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2A751">
      <w:pPr>
        <w:rPr>
          <w:rFonts w:hint="default"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       </w:t>
      </w:r>
    </w:p>
    <w:p w14:paraId="2B612D29">
      <w:pPr>
        <w:rPr>
          <w:rFonts w:ascii="仿宋_GB2312" w:hAnsi="仿宋_GB2312" w:eastAsia="仿宋_GB2312" w:cs="仿宋_GB2312"/>
          <w:color w:val="auto"/>
          <w:sz w:val="36"/>
          <w:szCs w:val="36"/>
        </w:rPr>
      </w:pPr>
    </w:p>
    <w:p w14:paraId="5B5FF9B3">
      <w:pPr>
        <w:rPr>
          <w:rFonts w:ascii="仿宋_GB2312" w:hAnsi="仿宋_GB2312" w:eastAsia="仿宋_GB2312" w:cs="仿宋_GB2312"/>
          <w:color w:val="auto"/>
          <w:sz w:val="36"/>
          <w:szCs w:val="36"/>
        </w:rPr>
      </w:pPr>
    </w:p>
    <w:p w14:paraId="27356DD6">
      <w:pPr>
        <w:rPr>
          <w:rFonts w:ascii="仿宋_GB2312" w:hAnsi="仿宋_GB2312" w:eastAsia="仿宋_GB2312" w:cs="仿宋_GB2312"/>
          <w:color w:val="auto"/>
          <w:sz w:val="36"/>
          <w:szCs w:val="36"/>
        </w:rPr>
      </w:pPr>
    </w:p>
    <w:p w14:paraId="00A89828">
      <w:pPr>
        <w:rPr>
          <w:rFonts w:hint="eastAsia" w:ascii="仿宋_GB2312" w:hAnsi="仿宋_GB2312" w:eastAsia="仿宋_GB2312" w:cs="仿宋_GB2312"/>
          <w:color w:val="auto"/>
          <w:sz w:val="36"/>
          <w:szCs w:val="36"/>
        </w:rPr>
      </w:pPr>
    </w:p>
    <w:p w14:paraId="4DECF41F">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495BEF0E">
      <w:pPr>
        <w:adjustRightInd w:val="0"/>
        <w:snapToGrid w:val="0"/>
        <w:spacing w:before="192" w:beforeLines="80"/>
        <w:jc w:val="center"/>
        <w:rPr>
          <w:rFonts w:ascii="华文仿宋" w:hAnsi="华文仿宋" w:eastAsia="华文仿宋" w:cs="华文仿宋"/>
          <w:color w:val="auto"/>
          <w:kern w:val="44"/>
          <w:sz w:val="44"/>
          <w:szCs w:val="44"/>
        </w:rPr>
      </w:pPr>
      <w:r>
        <w:rPr>
          <w:rFonts w:hint="eastAsia" w:ascii="楷体_GB2312" w:eastAsia="楷体_GB2312"/>
          <w:bCs/>
          <w:color w:val="auto"/>
          <w:sz w:val="48"/>
          <w:szCs w:val="48"/>
        </w:rPr>
        <w:t>（污染影响类）</w:t>
      </w:r>
    </w:p>
    <w:p w14:paraId="5D2BF7B7">
      <w:pPr>
        <w:jc w:val="center"/>
        <w:rPr>
          <w:rFonts w:eastAsia="仿宋"/>
          <w:color w:val="auto"/>
          <w:sz w:val="52"/>
          <w:szCs w:val="52"/>
        </w:rPr>
      </w:pPr>
    </w:p>
    <w:p w14:paraId="36BB618B">
      <w:pPr>
        <w:ind w:firstLine="1040"/>
        <w:rPr>
          <w:rFonts w:eastAsia="仿宋"/>
          <w:color w:val="auto"/>
          <w:sz w:val="44"/>
          <w:szCs w:val="44"/>
        </w:rPr>
      </w:pPr>
    </w:p>
    <w:p w14:paraId="0F48EEA7">
      <w:pPr>
        <w:ind w:firstLine="1040"/>
        <w:rPr>
          <w:rFonts w:eastAsia="仿宋"/>
          <w:color w:val="auto"/>
          <w:sz w:val="44"/>
          <w:szCs w:val="44"/>
        </w:rPr>
      </w:pPr>
    </w:p>
    <w:p w14:paraId="29C956C5">
      <w:pPr>
        <w:ind w:firstLine="1040"/>
        <w:rPr>
          <w:rFonts w:eastAsia="仿宋"/>
          <w:color w:val="auto"/>
          <w:sz w:val="44"/>
          <w:szCs w:val="44"/>
        </w:rPr>
      </w:pPr>
    </w:p>
    <w:p w14:paraId="28F76B2E">
      <w:pPr>
        <w:ind w:firstLine="1040"/>
        <w:rPr>
          <w:rFonts w:eastAsia="仿宋"/>
          <w:color w:val="auto"/>
          <w:sz w:val="44"/>
          <w:szCs w:val="44"/>
        </w:rPr>
      </w:pPr>
    </w:p>
    <w:p w14:paraId="630EAE14">
      <w:pPr>
        <w:ind w:firstLine="1040"/>
        <w:rPr>
          <w:rFonts w:eastAsia="仿宋"/>
          <w:color w:val="auto"/>
          <w:sz w:val="44"/>
          <w:szCs w:val="44"/>
        </w:rPr>
      </w:pPr>
    </w:p>
    <w:p w14:paraId="31E8356D">
      <w:pPr>
        <w:pStyle w:val="5"/>
        <w:jc w:val="both"/>
        <w:rPr>
          <w:color w:val="auto"/>
        </w:rPr>
      </w:pPr>
    </w:p>
    <w:p w14:paraId="026E7BEF">
      <w:pPr>
        <w:ind w:firstLine="1040"/>
        <w:rPr>
          <w:rFonts w:eastAsia="仿宋"/>
          <w:color w:val="auto"/>
          <w:sz w:val="44"/>
          <w:szCs w:val="44"/>
        </w:rPr>
      </w:pPr>
    </w:p>
    <w:p w14:paraId="58D0D07F">
      <w:pPr>
        <w:keepNext w:val="0"/>
        <w:keepLines w:val="0"/>
        <w:pageBreakBefore w:val="0"/>
        <w:widowControl w:val="0"/>
        <w:kinsoku/>
        <w:wordWrap/>
        <w:overflowPunct/>
        <w:topLinePunct w:val="0"/>
        <w:autoSpaceDE/>
        <w:autoSpaceDN/>
        <w:bidi w:val="0"/>
        <w:adjustRightInd w:val="0"/>
        <w:snapToGrid w:val="0"/>
        <w:spacing w:line="336" w:lineRule="auto"/>
        <w:ind w:left="2558" w:leftChars="304" w:hanging="1920" w:hangingChars="600"/>
        <w:jc w:val="both"/>
        <w:textAlignment w:val="auto"/>
        <w:rPr>
          <w:rFonts w:hint="default" w:ascii="Times New Roman" w:hAnsi="Times New Roman" w:eastAsia="仿宋_GB2312" w:cs="Times New Roman"/>
          <w:color w:val="auto"/>
          <w:sz w:val="32"/>
          <w:szCs w:val="32"/>
          <w:u w:val="single"/>
          <w:lang w:val="en-US" w:eastAsia="zh-CN"/>
        </w:rPr>
      </w:pPr>
      <w:r>
        <w:rPr>
          <w:rFonts w:hint="eastAsia" w:ascii="仿宋_GB2312" w:eastAsia="仿宋_GB2312"/>
          <w:color w:val="auto"/>
          <w:sz w:val="32"/>
          <w:szCs w:val="32"/>
        </w:rPr>
        <w:t>项目名称：</w:t>
      </w:r>
      <w:r>
        <w:rPr>
          <w:rFonts w:hint="eastAsia" w:eastAsia="仿宋_GB2312" w:cs="Times New Roman"/>
          <w:color w:val="auto"/>
          <w:sz w:val="32"/>
          <w:szCs w:val="32"/>
          <w:u w:val="single"/>
          <w:lang w:val="en-US" w:eastAsia="zh-CN"/>
        </w:rPr>
        <w:t xml:space="preserve">  大唐中卫云基地数据中心绿电供应常乐500MW风电项目第二标段临时拌和站项目    </w:t>
      </w:r>
    </w:p>
    <w:p w14:paraId="5E5E61F8">
      <w:pPr>
        <w:keepNext w:val="0"/>
        <w:keepLines w:val="0"/>
        <w:pageBreakBefore w:val="0"/>
        <w:widowControl w:val="0"/>
        <w:kinsoku/>
        <w:wordWrap/>
        <w:overflowPunct/>
        <w:topLinePunct w:val="0"/>
        <w:autoSpaceDE/>
        <w:autoSpaceDN/>
        <w:bidi w:val="0"/>
        <w:adjustRightInd w:val="0"/>
        <w:snapToGrid w:val="0"/>
        <w:spacing w:line="336" w:lineRule="auto"/>
        <w:ind w:left="2230" w:leftChars="300" w:hanging="1600" w:hangingChars="500"/>
        <w:textAlignment w:val="auto"/>
        <w:rPr>
          <w:rFonts w:hint="default" w:ascii="仿宋_GB2312" w:eastAsia="仿宋_GB2312"/>
          <w:color w:val="auto"/>
          <w:sz w:val="32"/>
          <w:szCs w:val="32"/>
          <w:u w:val="single"/>
          <w:lang w:val="en-US" w:eastAsia="zh-CN"/>
        </w:rPr>
      </w:pPr>
      <w:r>
        <w:rPr>
          <w:rFonts w:hint="eastAsia" w:ascii="仿宋_GB2312" w:eastAsia="仿宋_GB2312"/>
          <w:color w:val="auto"/>
          <w:sz w:val="32"/>
          <w:szCs w:val="32"/>
        </w:rPr>
        <w:t>建设单位（盖章）：</w:t>
      </w:r>
      <w:r>
        <w:rPr>
          <w:rFonts w:hint="default" w:ascii="Times New Roman" w:hAnsi="Times New Roman" w:eastAsia="仿宋_GB2312" w:cs="Times New Roman"/>
          <w:color w:val="auto"/>
          <w:sz w:val="32"/>
          <w:szCs w:val="32"/>
          <w:u w:val="single"/>
          <w:lang w:val="en-US" w:eastAsia="zh-CN"/>
        </w:rPr>
        <w:t xml:space="preserve"> </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海原县宏顺新型建材有限公司</w:t>
      </w:r>
      <w:r>
        <w:rPr>
          <w:rFonts w:hint="default" w:ascii="Times New Roman" w:hAnsi="Times New Roman" w:eastAsia="仿宋_GB2312" w:cs="Times New Roman"/>
          <w:color w:val="auto"/>
          <w:spacing w:val="0"/>
          <w:sz w:val="32"/>
          <w:szCs w:val="32"/>
          <w:u w:val="single"/>
          <w:lang w:val="en-US" w:eastAsia="zh-CN"/>
        </w:rPr>
        <w:t xml:space="preserve">  </w:t>
      </w:r>
      <w:r>
        <w:rPr>
          <w:rFonts w:hint="default" w:ascii="Times New Roman" w:hAnsi="Times New Roman" w:eastAsia="仿宋_GB2312" w:cs="Times New Roman"/>
          <w:color w:val="auto"/>
          <w:spacing w:val="-11"/>
          <w:sz w:val="32"/>
          <w:szCs w:val="32"/>
          <w:u w:val="single"/>
          <w:lang w:val="en-US" w:eastAsia="zh-CN"/>
        </w:rPr>
        <w:t xml:space="preserve"> </w:t>
      </w:r>
      <w:r>
        <w:rPr>
          <w:rFonts w:hint="eastAsia" w:eastAsia="仿宋_GB2312" w:cs="Times New Roman"/>
          <w:color w:val="auto"/>
          <w:spacing w:val="-11"/>
          <w:sz w:val="32"/>
          <w:szCs w:val="32"/>
          <w:u w:val="single"/>
          <w:lang w:val="en-US" w:eastAsia="zh-CN"/>
        </w:rPr>
        <w:t xml:space="preserve"> </w:t>
      </w:r>
      <w:r>
        <w:rPr>
          <w:rFonts w:hint="default" w:ascii="Times New Roman" w:hAnsi="Times New Roman" w:eastAsia="仿宋_GB2312" w:cs="Times New Roman"/>
          <w:color w:val="auto"/>
          <w:spacing w:val="0"/>
          <w:sz w:val="32"/>
          <w:szCs w:val="32"/>
          <w:u w:val="single"/>
          <w:lang w:val="en-US" w:eastAsia="zh-CN"/>
        </w:rPr>
        <w:t xml:space="preserve"> </w:t>
      </w:r>
    </w:p>
    <w:p w14:paraId="15D14CFD">
      <w:pPr>
        <w:keepNext w:val="0"/>
        <w:keepLines w:val="0"/>
        <w:pageBreakBefore w:val="0"/>
        <w:widowControl w:val="0"/>
        <w:kinsoku/>
        <w:wordWrap/>
        <w:overflowPunct/>
        <w:topLinePunct w:val="0"/>
        <w:autoSpaceDE/>
        <w:autoSpaceDN/>
        <w:bidi w:val="0"/>
        <w:adjustRightInd w:val="0"/>
        <w:snapToGrid w:val="0"/>
        <w:spacing w:line="336" w:lineRule="auto"/>
        <w:ind w:left="630" w:leftChars="300"/>
        <w:textAlignment w:val="auto"/>
        <w:rPr>
          <w:rFonts w:ascii="仿宋_GB2312" w:eastAsia="仿宋_GB2312"/>
          <w:color w:val="auto"/>
          <w:sz w:val="32"/>
          <w:szCs w:val="32"/>
          <w:u w:val="single"/>
        </w:rPr>
      </w:pPr>
      <w:r>
        <w:rPr>
          <w:rFonts w:hint="eastAsia" w:ascii="仿宋_GB2312" w:eastAsia="仿宋_GB2312"/>
          <w:color w:val="auto"/>
          <w:sz w:val="32"/>
          <w:szCs w:val="32"/>
        </w:rPr>
        <w:t>编制日期：</w:t>
      </w:r>
      <w:r>
        <w:rPr>
          <w:rFonts w:hint="eastAsia" w:ascii="仿宋_GB2312" w:eastAsia="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202</w:t>
      </w:r>
      <w:r>
        <w:rPr>
          <w:rFonts w:hint="eastAsia" w:ascii="Times New Roman" w:hAnsi="Times New Roman" w:eastAsia="仿宋_GB2312" w:cs="Times New Roman"/>
          <w:color w:val="auto"/>
          <w:sz w:val="32"/>
          <w:szCs w:val="32"/>
          <w:u w:val="single"/>
          <w:lang w:val="en-US" w:eastAsia="zh-CN"/>
        </w:rPr>
        <w:t>5</w:t>
      </w:r>
      <w:r>
        <w:rPr>
          <w:rFonts w:hint="default" w:ascii="Times New Roman" w:hAnsi="Times New Roman" w:eastAsia="仿宋_GB2312" w:cs="Times New Roman"/>
          <w:color w:val="auto"/>
          <w:sz w:val="32"/>
          <w:szCs w:val="32"/>
          <w:u w:val="single"/>
          <w:lang w:val="en-US" w:eastAsia="zh-CN"/>
        </w:rPr>
        <w:t>年</w:t>
      </w:r>
      <w:r>
        <w:rPr>
          <w:rFonts w:hint="eastAsia" w:eastAsia="仿宋_GB2312" w:cs="Times New Roman"/>
          <w:color w:val="auto"/>
          <w:sz w:val="32"/>
          <w:szCs w:val="32"/>
          <w:u w:val="single"/>
          <w:lang w:val="en-US" w:eastAsia="zh-CN"/>
        </w:rPr>
        <w:t>12</w:t>
      </w:r>
      <w:r>
        <w:rPr>
          <w:rFonts w:hint="default" w:ascii="Times New Roman" w:hAnsi="Times New Roman" w:eastAsia="仿宋_GB2312" w:cs="Times New Roman"/>
          <w:color w:val="auto"/>
          <w:sz w:val="32"/>
          <w:szCs w:val="32"/>
          <w:u w:val="single"/>
          <w:lang w:val="en-US" w:eastAsia="zh-CN"/>
        </w:rPr>
        <w:t xml:space="preserve">月  </w:t>
      </w:r>
      <w:r>
        <w:rPr>
          <w:rFonts w:hint="eastAsia" w:ascii="仿宋_GB2312" w:eastAsia="仿宋_GB2312"/>
          <w:color w:val="auto"/>
          <w:sz w:val="32"/>
          <w:szCs w:val="32"/>
          <w:u w:val="single"/>
          <w:lang w:val="en-US" w:eastAsia="zh-CN"/>
        </w:rPr>
        <w:t xml:space="preserve">              </w:t>
      </w:r>
      <w:bookmarkStart w:id="0" w:name="_Hlk57884087"/>
    </w:p>
    <w:p w14:paraId="39566CE9">
      <w:pPr>
        <w:adjustRightInd w:val="0"/>
        <w:snapToGrid w:val="0"/>
        <w:spacing w:line="288" w:lineRule="auto"/>
        <w:ind w:firstLine="1040"/>
        <w:rPr>
          <w:rFonts w:ascii="仿宋_GB2312" w:eastAsia="仿宋_GB2312"/>
          <w:color w:val="auto"/>
          <w:sz w:val="36"/>
          <w:szCs w:val="36"/>
        </w:rPr>
      </w:pPr>
      <w:bookmarkStart w:id="4" w:name="_GoBack"/>
      <w:bookmarkEnd w:id="4"/>
    </w:p>
    <w:p w14:paraId="67BD192A">
      <w:pPr>
        <w:adjustRightInd w:val="0"/>
        <w:snapToGrid w:val="0"/>
        <w:spacing w:line="288" w:lineRule="auto"/>
        <w:ind w:firstLine="1040"/>
        <w:rPr>
          <w:rFonts w:ascii="仿宋_GB2312" w:eastAsia="仿宋_GB2312"/>
          <w:color w:val="auto"/>
          <w:sz w:val="36"/>
          <w:szCs w:val="36"/>
        </w:rPr>
      </w:pPr>
    </w:p>
    <w:p w14:paraId="1F8CEFF4">
      <w:pPr>
        <w:adjustRightInd w:val="0"/>
        <w:snapToGrid w:val="0"/>
        <w:spacing w:line="288" w:lineRule="auto"/>
        <w:rPr>
          <w:rFonts w:hint="eastAsia" w:ascii="仿宋_GB2312" w:eastAsia="仿宋_GB2312"/>
          <w:color w:val="auto"/>
          <w:sz w:val="36"/>
          <w:szCs w:val="36"/>
        </w:rPr>
      </w:pPr>
    </w:p>
    <w:bookmarkEnd w:id="0"/>
    <w:p w14:paraId="548BF53D">
      <w:pPr>
        <w:adjustRightInd w:val="0"/>
        <w:snapToGrid w:val="0"/>
        <w:spacing w:line="288" w:lineRule="auto"/>
        <w:jc w:val="center"/>
        <w:rPr>
          <w:rFonts w:hint="eastAsia" w:ascii="楷体_GB2312" w:eastAsia="楷体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eastAsia" w:ascii="楷体_GB2312" w:eastAsia="楷体_GB2312"/>
          <w:color w:val="auto"/>
          <w:sz w:val="36"/>
          <w:szCs w:val="36"/>
        </w:rPr>
        <w:t>中华人民共和国生态环境部制</w:t>
      </w:r>
    </w:p>
    <w:p w14:paraId="295458E3">
      <w:pPr>
        <w:pStyle w:val="48"/>
        <w:rPr>
          <w:rFonts w:hint="eastAsia"/>
          <w:color w:val="auto"/>
        </w:rPr>
      </w:pPr>
    </w:p>
    <w:p w14:paraId="28557805">
      <w:pPr>
        <w:pStyle w:val="19"/>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651"/>
        <w:gridCol w:w="2368"/>
        <w:gridCol w:w="2009"/>
        <w:gridCol w:w="2842"/>
      </w:tblGrid>
      <w:tr w14:paraId="799F4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651" w:type="dxa"/>
            <w:noWrap w:val="0"/>
            <w:tcMar>
              <w:top w:w="16" w:type="dxa"/>
              <w:left w:w="16" w:type="dxa"/>
              <w:right w:w="16" w:type="dxa"/>
            </w:tcMar>
            <w:vAlign w:val="center"/>
          </w:tcPr>
          <w:p w14:paraId="7C34D075">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建设项目名称</w:t>
            </w:r>
          </w:p>
        </w:tc>
        <w:tc>
          <w:tcPr>
            <w:tcW w:w="7219" w:type="dxa"/>
            <w:gridSpan w:val="3"/>
            <w:noWrap w:val="0"/>
            <w:vAlign w:val="center"/>
          </w:tcPr>
          <w:p w14:paraId="493376C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大唐中卫云基地数据中心绿电供应常乐500MW风电项目第二标段临时拌和站项目</w:t>
            </w:r>
          </w:p>
        </w:tc>
      </w:tr>
      <w:tr w14:paraId="59FFF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51" w:type="dxa"/>
            <w:noWrap w:val="0"/>
            <w:tcMar>
              <w:top w:w="16" w:type="dxa"/>
              <w:left w:w="16" w:type="dxa"/>
              <w:right w:w="16" w:type="dxa"/>
            </w:tcMar>
            <w:vAlign w:val="center"/>
          </w:tcPr>
          <w:p w14:paraId="4AB0EA45">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项目代码</w:t>
            </w:r>
          </w:p>
        </w:tc>
        <w:tc>
          <w:tcPr>
            <w:tcW w:w="7219" w:type="dxa"/>
            <w:gridSpan w:val="3"/>
            <w:noWrap w:val="0"/>
            <w:vAlign w:val="center"/>
          </w:tcPr>
          <w:p w14:paraId="67F79F13">
            <w:pPr>
              <w:adjustRightInd w:val="0"/>
              <w:snapToGrid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w:t>
            </w:r>
          </w:p>
        </w:tc>
      </w:tr>
      <w:tr w14:paraId="63159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651" w:type="dxa"/>
            <w:noWrap w:val="0"/>
            <w:tcMar>
              <w:top w:w="16" w:type="dxa"/>
              <w:left w:w="16" w:type="dxa"/>
              <w:right w:w="16" w:type="dxa"/>
            </w:tcMar>
            <w:vAlign w:val="center"/>
          </w:tcPr>
          <w:p w14:paraId="5AAA28D8">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建设单位联系人</w:t>
            </w:r>
          </w:p>
        </w:tc>
        <w:tc>
          <w:tcPr>
            <w:tcW w:w="2368" w:type="dxa"/>
            <w:noWrap w:val="0"/>
            <w:vAlign w:val="center"/>
          </w:tcPr>
          <w:p w14:paraId="47327AD6">
            <w:pPr>
              <w:adjustRightInd w:val="0"/>
              <w:snapToGrid w:val="0"/>
              <w:jc w:val="center"/>
              <w:rPr>
                <w:rFonts w:hint="default" w:ascii="Times New Roman" w:hAnsi="Times New Roman" w:eastAsia="仿宋_GB2312" w:cs="Times New Roman"/>
                <w:color w:val="auto"/>
                <w:szCs w:val="21"/>
              </w:rPr>
            </w:pPr>
            <w:r>
              <w:rPr>
                <w:rFonts w:hint="eastAsia" w:eastAsia="仿宋_GB2312" w:cs="Times New Roman"/>
                <w:color w:val="auto"/>
                <w:sz w:val="24"/>
                <w:lang w:val="en-US" w:eastAsia="zh-CN"/>
              </w:rPr>
              <w:t>周涛</w:t>
            </w:r>
          </w:p>
        </w:tc>
        <w:tc>
          <w:tcPr>
            <w:tcW w:w="2009" w:type="dxa"/>
            <w:noWrap w:val="0"/>
            <w:vAlign w:val="center"/>
          </w:tcPr>
          <w:p w14:paraId="6D39A127">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b/>
                <w:bCs/>
                <w:color w:val="auto"/>
                <w:sz w:val="24"/>
                <w:szCs w:val="24"/>
              </w:rPr>
              <w:t>联系方式</w:t>
            </w:r>
          </w:p>
        </w:tc>
        <w:tc>
          <w:tcPr>
            <w:tcW w:w="2842" w:type="dxa"/>
            <w:noWrap w:val="0"/>
            <w:vAlign w:val="center"/>
          </w:tcPr>
          <w:p w14:paraId="5D780478">
            <w:pPr>
              <w:adjustRightInd w:val="0"/>
              <w:snapToGrid w:val="0"/>
              <w:jc w:val="center"/>
              <w:rPr>
                <w:rFonts w:hint="default" w:ascii="Times New Roman" w:hAnsi="Times New Roman" w:eastAsia="仿宋_GB2312" w:cs="Times New Roman"/>
                <w:color w:val="auto"/>
                <w:szCs w:val="21"/>
                <w:lang w:val="en-US" w:eastAsia="zh-CN"/>
              </w:rPr>
            </w:pPr>
            <w:r>
              <w:rPr>
                <w:rFonts w:hint="eastAsia" w:eastAsia="仿宋_GB2312" w:cs="Times New Roman"/>
                <w:color w:val="auto"/>
                <w:sz w:val="24"/>
                <w:szCs w:val="24"/>
                <w:lang w:val="en-US" w:eastAsia="zh-CN"/>
              </w:rPr>
              <w:t>/</w:t>
            </w:r>
          </w:p>
        </w:tc>
      </w:tr>
      <w:tr w14:paraId="65791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651" w:type="dxa"/>
            <w:noWrap w:val="0"/>
            <w:tcMar>
              <w:top w:w="16" w:type="dxa"/>
              <w:left w:w="16" w:type="dxa"/>
              <w:right w:w="16" w:type="dxa"/>
            </w:tcMar>
            <w:vAlign w:val="center"/>
          </w:tcPr>
          <w:p w14:paraId="6983754E">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建设地点</w:t>
            </w:r>
          </w:p>
        </w:tc>
        <w:tc>
          <w:tcPr>
            <w:tcW w:w="7219" w:type="dxa"/>
            <w:gridSpan w:val="3"/>
            <w:noWrap w:val="0"/>
            <w:vAlign w:val="center"/>
          </w:tcPr>
          <w:p w14:paraId="26ED29F4">
            <w:pPr>
              <w:adjustRightInd w:val="0"/>
              <w:snapToGrid w:val="0"/>
              <w:jc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4"/>
                <w:u w:val="none"/>
                <w:lang w:val="en-US" w:eastAsia="zh-CN"/>
              </w:rPr>
              <w:t>宁夏回族自治区中卫市沙坡头区兴仁镇</w:t>
            </w:r>
          </w:p>
        </w:tc>
      </w:tr>
      <w:tr w14:paraId="12E9E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651" w:type="dxa"/>
            <w:noWrap w:val="0"/>
            <w:tcMar>
              <w:top w:w="16" w:type="dxa"/>
              <w:left w:w="16" w:type="dxa"/>
              <w:right w:w="16" w:type="dxa"/>
            </w:tcMar>
            <w:vAlign w:val="center"/>
          </w:tcPr>
          <w:p w14:paraId="08AD6E82">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地理坐标</w:t>
            </w:r>
          </w:p>
        </w:tc>
        <w:tc>
          <w:tcPr>
            <w:tcW w:w="7219" w:type="dxa"/>
            <w:gridSpan w:val="3"/>
            <w:noWrap w:val="0"/>
            <w:vAlign w:val="center"/>
          </w:tcPr>
          <w:p w14:paraId="4B1D3EC9">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 w:val="24"/>
                <w:szCs w:val="24"/>
                <w:lang w:eastAsia="zh-CN"/>
              </w:rPr>
              <w:t>厂区中心地理坐标为：东经105°14′</w:t>
            </w:r>
            <w:r>
              <w:rPr>
                <w:rFonts w:hint="eastAsia" w:eastAsia="仿宋_GB2312" w:cs="Times New Roman"/>
                <w:bCs/>
                <w:color w:val="auto"/>
                <w:sz w:val="24"/>
                <w:szCs w:val="24"/>
                <w:lang w:val="en-US" w:eastAsia="zh-CN"/>
              </w:rPr>
              <w:t>36.134</w:t>
            </w:r>
            <w:r>
              <w:rPr>
                <w:rFonts w:hint="default" w:ascii="Times New Roman" w:hAnsi="Times New Roman" w:eastAsia="仿宋_GB2312" w:cs="Times New Roman"/>
                <w:bCs/>
                <w:color w:val="auto"/>
                <w:sz w:val="24"/>
                <w:szCs w:val="24"/>
                <w:lang w:eastAsia="zh-CN"/>
              </w:rPr>
              <w:t>″、北纬36°59′</w:t>
            </w:r>
            <w:r>
              <w:rPr>
                <w:rFonts w:hint="eastAsia" w:eastAsia="仿宋_GB2312" w:cs="Times New Roman"/>
                <w:bCs/>
                <w:color w:val="auto"/>
                <w:sz w:val="24"/>
                <w:szCs w:val="24"/>
                <w:lang w:val="en-US" w:eastAsia="zh-CN"/>
              </w:rPr>
              <w:t>49.493</w:t>
            </w:r>
            <w:r>
              <w:rPr>
                <w:rFonts w:hint="default" w:ascii="Times New Roman" w:hAnsi="Times New Roman" w:eastAsia="仿宋_GB2312" w:cs="Times New Roman"/>
                <w:bCs/>
                <w:color w:val="auto"/>
                <w:sz w:val="24"/>
                <w:szCs w:val="24"/>
                <w:lang w:eastAsia="zh-CN"/>
              </w:rPr>
              <w:t>″</w:t>
            </w:r>
          </w:p>
        </w:tc>
      </w:tr>
      <w:tr w14:paraId="5BF71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69" w:hRule="atLeast"/>
          <w:jc w:val="center"/>
        </w:trPr>
        <w:tc>
          <w:tcPr>
            <w:tcW w:w="1651" w:type="dxa"/>
            <w:noWrap w:val="0"/>
            <w:tcMar>
              <w:top w:w="16" w:type="dxa"/>
              <w:left w:w="16" w:type="dxa"/>
              <w:right w:w="16" w:type="dxa"/>
            </w:tcMar>
            <w:vAlign w:val="center"/>
          </w:tcPr>
          <w:p w14:paraId="79A89E87">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国民经济</w:t>
            </w:r>
          </w:p>
          <w:p w14:paraId="44E2A53D">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行业类别</w:t>
            </w:r>
          </w:p>
        </w:tc>
        <w:tc>
          <w:tcPr>
            <w:tcW w:w="2368" w:type="dxa"/>
            <w:noWrap w:val="0"/>
            <w:vAlign w:val="center"/>
          </w:tcPr>
          <w:p w14:paraId="4099C44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水泥制品制造</w:t>
            </w:r>
            <w:r>
              <w:rPr>
                <w:rFonts w:hint="default" w:ascii="Times New Roman" w:hAnsi="Times New Roman" w:eastAsia="仿宋_GB2312" w:cs="Times New Roman"/>
                <w:color w:val="auto"/>
                <w:sz w:val="24"/>
                <w:lang w:val="en-US" w:eastAsia="zh-CN"/>
              </w:rPr>
              <w:t>C3021</w:t>
            </w:r>
          </w:p>
        </w:tc>
        <w:tc>
          <w:tcPr>
            <w:tcW w:w="2009" w:type="dxa"/>
            <w:noWrap w:val="0"/>
            <w:vAlign w:val="center"/>
          </w:tcPr>
          <w:p w14:paraId="78740E47">
            <w:pPr>
              <w:adjustRightInd w:val="0"/>
              <w:snapToGrid w:val="0"/>
              <w:jc w:val="center"/>
              <w:rPr>
                <w:rFonts w:hint="default" w:ascii="Times New Roman" w:hAnsi="Times New Roman" w:eastAsia="仿宋_GB2312" w:cs="Times New Roman"/>
                <w:b/>
                <w:bCs/>
                <w:color w:val="auto"/>
                <w:sz w:val="24"/>
                <w:szCs w:val="24"/>
              </w:rPr>
            </w:pPr>
            <w:bookmarkStart w:id="1" w:name="_Hlk49843745"/>
            <w:r>
              <w:rPr>
                <w:rFonts w:hint="default" w:ascii="Times New Roman" w:hAnsi="Times New Roman" w:eastAsia="仿宋_GB2312" w:cs="Times New Roman"/>
                <w:b/>
                <w:bCs/>
                <w:color w:val="auto"/>
                <w:sz w:val="24"/>
                <w:szCs w:val="24"/>
              </w:rPr>
              <w:t>建设项目</w:t>
            </w:r>
          </w:p>
          <w:p w14:paraId="6538C0EF">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行业类别</w:t>
            </w:r>
            <w:bookmarkEnd w:id="1"/>
          </w:p>
        </w:tc>
        <w:tc>
          <w:tcPr>
            <w:tcW w:w="2842" w:type="dxa"/>
            <w:noWrap w:val="0"/>
            <w:vAlign w:val="center"/>
          </w:tcPr>
          <w:p w14:paraId="1B9FCB5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二十七、非金属矿物制品业，55、石膏、水泥制品及类似品制造</w:t>
            </w:r>
          </w:p>
        </w:tc>
      </w:tr>
      <w:tr w14:paraId="1179C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06" w:hRule="atLeast"/>
          <w:jc w:val="center"/>
        </w:trPr>
        <w:tc>
          <w:tcPr>
            <w:tcW w:w="1651" w:type="dxa"/>
            <w:noWrap w:val="0"/>
            <w:tcMar>
              <w:top w:w="16" w:type="dxa"/>
              <w:left w:w="16" w:type="dxa"/>
              <w:right w:w="16" w:type="dxa"/>
            </w:tcMar>
            <w:vAlign w:val="center"/>
          </w:tcPr>
          <w:p w14:paraId="04A07AA4">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建设性质</w:t>
            </w:r>
          </w:p>
        </w:tc>
        <w:tc>
          <w:tcPr>
            <w:tcW w:w="2368" w:type="dxa"/>
            <w:noWrap w:val="0"/>
            <w:vAlign w:val="center"/>
          </w:tcPr>
          <w:p w14:paraId="740A1033">
            <w:pPr>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szCs w:val="24"/>
              </w:rPr>
              <w:t>新建（迁建）</w:t>
            </w:r>
          </w:p>
          <w:p w14:paraId="235EB882">
            <w:pPr>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szCs w:val="24"/>
              </w:rPr>
              <w:t>改建</w:t>
            </w:r>
          </w:p>
          <w:p w14:paraId="3D5DE006">
            <w:pPr>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szCs w:val="24"/>
              </w:rPr>
              <w:t>扩建</w:t>
            </w:r>
          </w:p>
          <w:p w14:paraId="392A2C38">
            <w:pPr>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szCs w:val="24"/>
              </w:rPr>
              <w:t>技术改造</w:t>
            </w:r>
          </w:p>
        </w:tc>
        <w:tc>
          <w:tcPr>
            <w:tcW w:w="2009" w:type="dxa"/>
            <w:noWrap w:val="0"/>
            <w:vAlign w:val="center"/>
          </w:tcPr>
          <w:p w14:paraId="5096657D">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建设项目</w:t>
            </w:r>
          </w:p>
          <w:p w14:paraId="3BDFFC96">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申报情形</w:t>
            </w:r>
          </w:p>
        </w:tc>
        <w:tc>
          <w:tcPr>
            <w:tcW w:w="2842" w:type="dxa"/>
            <w:noWrap w:val="0"/>
            <w:vAlign w:val="center"/>
          </w:tcPr>
          <w:p w14:paraId="1DBA6D51">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szCs w:val="24"/>
              </w:rPr>
              <w:t>首次申报项目</w:t>
            </w:r>
          </w:p>
          <w:p w14:paraId="445DCE3F">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szCs w:val="24"/>
              </w:rPr>
              <w:t>不予批准后再次申报项目</w:t>
            </w:r>
          </w:p>
          <w:p w14:paraId="0AC38179">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szCs w:val="24"/>
              </w:rPr>
              <w:t>超五年重新审核项目</w:t>
            </w:r>
          </w:p>
          <w:p w14:paraId="5FF09D82">
            <w:pPr>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szCs w:val="24"/>
              </w:rPr>
              <w:t>重大变动重新报批项目</w:t>
            </w:r>
          </w:p>
        </w:tc>
      </w:tr>
      <w:tr w14:paraId="3F9A9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1651" w:type="dxa"/>
            <w:noWrap w:val="0"/>
            <w:tcMar>
              <w:top w:w="16" w:type="dxa"/>
              <w:left w:w="16" w:type="dxa"/>
              <w:right w:w="16" w:type="dxa"/>
            </w:tcMar>
            <w:vAlign w:val="center"/>
          </w:tcPr>
          <w:p w14:paraId="2948DC8F">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项目审批（核准/</w:t>
            </w:r>
          </w:p>
          <w:p w14:paraId="5674037B">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备案）部门（选填）</w:t>
            </w:r>
          </w:p>
        </w:tc>
        <w:tc>
          <w:tcPr>
            <w:tcW w:w="2368" w:type="dxa"/>
            <w:noWrap w:val="0"/>
            <w:vAlign w:val="center"/>
          </w:tcPr>
          <w:p w14:paraId="6429FC86">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无</w:t>
            </w:r>
          </w:p>
        </w:tc>
        <w:tc>
          <w:tcPr>
            <w:tcW w:w="2009" w:type="dxa"/>
            <w:noWrap w:val="0"/>
            <w:vAlign w:val="center"/>
          </w:tcPr>
          <w:p w14:paraId="673AC563">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项目审批（核准/</w:t>
            </w:r>
          </w:p>
          <w:p w14:paraId="6613AF51">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备案）文号（选填）</w:t>
            </w:r>
          </w:p>
        </w:tc>
        <w:tc>
          <w:tcPr>
            <w:tcW w:w="2842" w:type="dxa"/>
            <w:noWrap w:val="0"/>
            <w:vAlign w:val="center"/>
          </w:tcPr>
          <w:p w14:paraId="4168ACAC">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无</w:t>
            </w:r>
          </w:p>
        </w:tc>
      </w:tr>
      <w:tr w14:paraId="1ED35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651" w:type="dxa"/>
            <w:noWrap w:val="0"/>
            <w:tcMar>
              <w:top w:w="16" w:type="dxa"/>
              <w:left w:w="16" w:type="dxa"/>
              <w:right w:w="16" w:type="dxa"/>
            </w:tcMar>
            <w:vAlign w:val="center"/>
          </w:tcPr>
          <w:p w14:paraId="4A214572">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总投资（万元）</w:t>
            </w:r>
          </w:p>
        </w:tc>
        <w:tc>
          <w:tcPr>
            <w:tcW w:w="2368" w:type="dxa"/>
            <w:noWrap w:val="0"/>
            <w:vAlign w:val="center"/>
          </w:tcPr>
          <w:p w14:paraId="107C8B96">
            <w:pPr>
              <w:adjustRightInd w:val="0"/>
              <w:snapToGrid w:val="0"/>
              <w:jc w:val="center"/>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lang w:val="en-US" w:eastAsia="zh-CN"/>
              </w:rPr>
              <w:t>00</w:t>
            </w:r>
          </w:p>
        </w:tc>
        <w:tc>
          <w:tcPr>
            <w:tcW w:w="2009" w:type="dxa"/>
            <w:noWrap w:val="0"/>
            <w:tcMar>
              <w:top w:w="16" w:type="dxa"/>
              <w:left w:w="16" w:type="dxa"/>
              <w:right w:w="16" w:type="dxa"/>
            </w:tcMar>
            <w:vAlign w:val="center"/>
          </w:tcPr>
          <w:p w14:paraId="41A12442">
            <w:pPr>
              <w:adjustRightInd w:val="0"/>
              <w:snapToGrid w:val="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环保投资（万元）</w:t>
            </w:r>
          </w:p>
        </w:tc>
        <w:tc>
          <w:tcPr>
            <w:tcW w:w="2842" w:type="dxa"/>
            <w:noWrap w:val="0"/>
            <w:vAlign w:val="center"/>
          </w:tcPr>
          <w:p w14:paraId="3D9483F0">
            <w:pPr>
              <w:adjustRightInd w:val="0"/>
              <w:snapToGrid w:val="0"/>
              <w:jc w:val="center"/>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65</w:t>
            </w:r>
          </w:p>
        </w:tc>
      </w:tr>
      <w:tr w14:paraId="6CADF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1651" w:type="dxa"/>
            <w:noWrap w:val="0"/>
            <w:tcMar>
              <w:top w:w="16" w:type="dxa"/>
              <w:left w:w="16" w:type="dxa"/>
              <w:right w:w="16" w:type="dxa"/>
            </w:tcMar>
            <w:vAlign w:val="center"/>
          </w:tcPr>
          <w:p w14:paraId="2D20324C">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环保投资占比（%）</w:t>
            </w:r>
          </w:p>
        </w:tc>
        <w:tc>
          <w:tcPr>
            <w:tcW w:w="2368" w:type="dxa"/>
            <w:noWrap w:val="0"/>
            <w:vAlign w:val="center"/>
          </w:tcPr>
          <w:p w14:paraId="08703C22">
            <w:pPr>
              <w:adjustRightInd w:val="0"/>
              <w:snapToGrid w:val="0"/>
              <w:jc w:val="center"/>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6.5</w:t>
            </w:r>
            <w:r>
              <w:rPr>
                <w:rFonts w:hint="default" w:ascii="Times New Roman" w:hAnsi="Times New Roman" w:eastAsia="仿宋_GB2312" w:cs="Times New Roman"/>
                <w:color w:val="auto"/>
                <w:sz w:val="24"/>
                <w:szCs w:val="24"/>
                <w:highlight w:val="none"/>
                <w:lang w:val="en-US" w:eastAsia="zh-CN"/>
              </w:rPr>
              <w:t>%</w:t>
            </w:r>
          </w:p>
        </w:tc>
        <w:tc>
          <w:tcPr>
            <w:tcW w:w="2009" w:type="dxa"/>
            <w:noWrap w:val="0"/>
            <w:tcMar>
              <w:top w:w="16" w:type="dxa"/>
              <w:left w:w="16" w:type="dxa"/>
              <w:right w:w="16" w:type="dxa"/>
            </w:tcMar>
            <w:vAlign w:val="center"/>
          </w:tcPr>
          <w:p w14:paraId="23B5A0E9">
            <w:pPr>
              <w:adjustRightInd w:val="0"/>
              <w:snapToGrid w:val="0"/>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施工工期</w:t>
            </w:r>
          </w:p>
        </w:tc>
        <w:tc>
          <w:tcPr>
            <w:tcW w:w="2842" w:type="dxa"/>
            <w:noWrap w:val="0"/>
            <w:vAlign w:val="center"/>
          </w:tcPr>
          <w:p w14:paraId="7C8ED2E3">
            <w:pPr>
              <w:adjustRightInd w:val="0"/>
              <w:snapToGrid w:val="0"/>
              <w:jc w:val="center"/>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个月</w:t>
            </w:r>
          </w:p>
        </w:tc>
      </w:tr>
      <w:tr w14:paraId="541D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1651" w:type="dxa"/>
            <w:noWrap w:val="0"/>
            <w:tcMar>
              <w:top w:w="16" w:type="dxa"/>
              <w:left w:w="16" w:type="dxa"/>
              <w:right w:w="16" w:type="dxa"/>
            </w:tcMar>
            <w:vAlign w:val="center"/>
          </w:tcPr>
          <w:p w14:paraId="2528BCFF">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是否开工建设</w:t>
            </w:r>
          </w:p>
        </w:tc>
        <w:tc>
          <w:tcPr>
            <w:tcW w:w="2368" w:type="dxa"/>
            <w:noWrap w:val="0"/>
            <w:vAlign w:val="center"/>
          </w:tcPr>
          <w:p w14:paraId="24D38DF8">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szCs w:val="24"/>
              </w:rPr>
              <w:t>否</w:t>
            </w:r>
          </w:p>
          <w:p w14:paraId="34A58B13">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szCs w:val="24"/>
              </w:rPr>
              <w:t>是：</w:t>
            </w:r>
            <w:r>
              <w:rPr>
                <w:rFonts w:hint="default" w:ascii="Times New Roman" w:hAnsi="Times New Roman" w:eastAsia="仿宋_GB2312" w:cs="Times New Roman"/>
                <w:color w:val="auto"/>
                <w:sz w:val="24"/>
                <w:szCs w:val="24"/>
                <w:u w:val="single"/>
              </w:rPr>
              <w:t xml:space="preserve">             </w:t>
            </w:r>
          </w:p>
        </w:tc>
        <w:tc>
          <w:tcPr>
            <w:tcW w:w="2009" w:type="dxa"/>
            <w:noWrap w:val="0"/>
            <w:tcMar>
              <w:top w:w="16" w:type="dxa"/>
              <w:left w:w="16" w:type="dxa"/>
              <w:right w:w="16" w:type="dxa"/>
            </w:tcMar>
            <w:vAlign w:val="center"/>
          </w:tcPr>
          <w:p w14:paraId="2EA10624">
            <w:pPr>
              <w:adjustRightInd w:val="0"/>
              <w:snapToGrid w:val="0"/>
              <w:jc w:val="center"/>
              <w:rPr>
                <w:rFonts w:hint="default" w:ascii="Times New Roman" w:hAnsi="Times New Roman" w:eastAsia="仿宋_GB2312" w:cs="Times New Roman"/>
                <w:b/>
                <w:bCs/>
                <w:color w:val="auto"/>
                <w:spacing w:val="-6"/>
                <w:sz w:val="24"/>
                <w:szCs w:val="24"/>
              </w:rPr>
            </w:pPr>
            <w:r>
              <w:rPr>
                <w:rFonts w:hint="default" w:ascii="Times New Roman" w:hAnsi="Times New Roman" w:eastAsia="仿宋_GB2312" w:cs="Times New Roman"/>
                <w:b/>
                <w:bCs/>
                <w:color w:val="auto"/>
                <w:spacing w:val="-6"/>
                <w:sz w:val="24"/>
                <w:szCs w:val="24"/>
              </w:rPr>
              <w:t>用地（用海）</w:t>
            </w:r>
          </w:p>
          <w:p w14:paraId="185460C1">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pacing w:val="-6"/>
                <w:sz w:val="24"/>
                <w:szCs w:val="24"/>
              </w:rPr>
              <w:t>面积（m</w:t>
            </w:r>
            <w:r>
              <w:rPr>
                <w:rFonts w:hint="default" w:ascii="Times New Roman" w:hAnsi="Times New Roman" w:eastAsia="仿宋_GB2312" w:cs="Times New Roman"/>
                <w:b/>
                <w:bCs/>
                <w:color w:val="auto"/>
                <w:spacing w:val="-6"/>
                <w:sz w:val="24"/>
                <w:szCs w:val="24"/>
                <w:vertAlign w:val="superscript"/>
              </w:rPr>
              <w:t>2</w:t>
            </w:r>
            <w:r>
              <w:rPr>
                <w:rFonts w:hint="default" w:ascii="Times New Roman" w:hAnsi="Times New Roman" w:eastAsia="仿宋_GB2312" w:cs="Times New Roman"/>
                <w:b/>
                <w:bCs/>
                <w:color w:val="auto"/>
                <w:spacing w:val="-6"/>
                <w:sz w:val="24"/>
                <w:szCs w:val="24"/>
              </w:rPr>
              <w:t>）</w:t>
            </w:r>
          </w:p>
        </w:tc>
        <w:tc>
          <w:tcPr>
            <w:tcW w:w="2842" w:type="dxa"/>
            <w:noWrap w:val="0"/>
            <w:vAlign w:val="center"/>
          </w:tcPr>
          <w:p w14:paraId="445BD8F1">
            <w:pPr>
              <w:adjustRightInd w:val="0"/>
              <w:snapToGrid w:val="0"/>
              <w:jc w:val="center"/>
              <w:rPr>
                <w:rFonts w:hint="default" w:ascii="Times New Roman" w:hAnsi="Times New Roman" w:eastAsia="仿宋_GB2312" w:cs="Times New Roman"/>
                <w:color w:val="auto"/>
                <w:sz w:val="24"/>
                <w:szCs w:val="24"/>
                <w:lang w:eastAsia="zh-CN"/>
              </w:rPr>
            </w:pPr>
            <w:r>
              <w:rPr>
                <w:rFonts w:hint="eastAsia" w:eastAsia="仿宋_GB2312" w:cs="Times New Roman"/>
                <w:bCs/>
                <w:color w:val="auto"/>
                <w:sz w:val="24"/>
                <w:szCs w:val="24"/>
                <w:lang w:val="en-US" w:eastAsia="zh-CN"/>
              </w:rPr>
              <w:t>12257</w:t>
            </w:r>
            <w:r>
              <w:rPr>
                <w:rFonts w:hint="default" w:ascii="Times New Roman" w:hAnsi="Times New Roman" w:eastAsia="仿宋_GB2312" w:cs="Times New Roman"/>
                <w:bCs/>
                <w:color w:val="auto"/>
                <w:sz w:val="24"/>
                <w:szCs w:val="24"/>
                <w:lang w:val="en-US" w:eastAsia="zh-CN"/>
              </w:rPr>
              <w:t>m</w:t>
            </w:r>
            <w:r>
              <w:rPr>
                <w:rFonts w:hint="default" w:ascii="Times New Roman" w:hAnsi="Times New Roman" w:eastAsia="仿宋_GB2312" w:cs="Times New Roman"/>
                <w:bCs/>
                <w:color w:val="auto"/>
                <w:sz w:val="24"/>
                <w:szCs w:val="24"/>
                <w:vertAlign w:val="superscript"/>
                <w:lang w:val="en-US" w:eastAsia="zh-CN"/>
              </w:rPr>
              <w:t>2</w:t>
            </w:r>
            <w:r>
              <w:rPr>
                <w:rFonts w:hint="default" w:ascii="Times New Roman" w:hAnsi="Times New Roman" w:eastAsia="仿宋_GB2312" w:cs="Times New Roman"/>
                <w:bCs/>
                <w:color w:val="auto"/>
                <w:sz w:val="24"/>
                <w:szCs w:val="24"/>
                <w:vertAlign w:val="baseline"/>
                <w:lang w:val="en-US" w:eastAsia="zh-CN"/>
              </w:rPr>
              <w:t>（1.2257公顷）</w:t>
            </w:r>
          </w:p>
        </w:tc>
      </w:tr>
      <w:tr w14:paraId="22D27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651" w:type="dxa"/>
            <w:noWrap w:val="0"/>
            <w:vAlign w:val="center"/>
          </w:tcPr>
          <w:p w14:paraId="135ED928">
            <w:pPr>
              <w:autoSpaceDE w:val="0"/>
              <w:autoSpaceDN w:val="0"/>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专项评价</w:t>
            </w:r>
          </w:p>
          <w:p w14:paraId="7B537585">
            <w:pPr>
              <w:autoSpaceDE w:val="0"/>
              <w:autoSpaceDN w:val="0"/>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设置情况</w:t>
            </w:r>
          </w:p>
        </w:tc>
        <w:tc>
          <w:tcPr>
            <w:tcW w:w="7219" w:type="dxa"/>
            <w:gridSpan w:val="3"/>
            <w:noWrap w:val="0"/>
            <w:vAlign w:val="center"/>
          </w:tcPr>
          <w:p w14:paraId="5FE50DD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无</w:t>
            </w:r>
          </w:p>
        </w:tc>
      </w:tr>
      <w:tr w14:paraId="47EFD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51" w:type="dxa"/>
            <w:noWrap w:val="0"/>
            <w:vAlign w:val="center"/>
          </w:tcPr>
          <w:p w14:paraId="5C50C24B">
            <w:pPr>
              <w:autoSpaceDE w:val="0"/>
              <w:autoSpaceDN w:val="0"/>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sz w:val="24"/>
                <w:szCs w:val="24"/>
              </w:rPr>
              <w:t>规划情况</w:t>
            </w:r>
          </w:p>
        </w:tc>
        <w:tc>
          <w:tcPr>
            <w:tcW w:w="7219" w:type="dxa"/>
            <w:gridSpan w:val="3"/>
            <w:noWrap w:val="0"/>
            <w:vAlign w:val="center"/>
          </w:tcPr>
          <w:p w14:paraId="19695E1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val="en-US" w:eastAsia="zh-CN"/>
              </w:rPr>
              <w:t>无</w:t>
            </w:r>
          </w:p>
        </w:tc>
      </w:tr>
      <w:tr w14:paraId="4388E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651" w:type="dxa"/>
            <w:noWrap w:val="0"/>
            <w:vAlign w:val="center"/>
          </w:tcPr>
          <w:p w14:paraId="47A7CCED">
            <w:pPr>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sz w:val="24"/>
                <w:szCs w:val="24"/>
              </w:rPr>
              <w:t>规划环境影响评价情况</w:t>
            </w:r>
          </w:p>
        </w:tc>
        <w:tc>
          <w:tcPr>
            <w:tcW w:w="7219" w:type="dxa"/>
            <w:gridSpan w:val="3"/>
            <w:noWrap w:val="0"/>
            <w:vAlign w:val="center"/>
          </w:tcPr>
          <w:p w14:paraId="16A48EA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val="en-US" w:eastAsia="zh-CN"/>
              </w:rPr>
              <w:t>无</w:t>
            </w:r>
          </w:p>
        </w:tc>
      </w:tr>
      <w:tr w14:paraId="2A5E1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651" w:type="dxa"/>
            <w:noWrap w:val="0"/>
            <w:vAlign w:val="center"/>
          </w:tcPr>
          <w:p w14:paraId="1142CAD7">
            <w:pPr>
              <w:autoSpaceDE w:val="0"/>
              <w:autoSpaceDN w:val="0"/>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规划及规划环境影响评价符合性分析</w:t>
            </w:r>
          </w:p>
        </w:tc>
        <w:tc>
          <w:tcPr>
            <w:tcW w:w="7219" w:type="dxa"/>
            <w:gridSpan w:val="3"/>
            <w:noWrap w:val="0"/>
            <w:vAlign w:val="center"/>
          </w:tcPr>
          <w:p w14:paraId="05EBF64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sz w:val="24"/>
                <w:lang w:eastAsia="zh-CN"/>
              </w:rPr>
              <w:t>无</w:t>
            </w:r>
          </w:p>
        </w:tc>
      </w:tr>
      <w:tr w14:paraId="30894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651" w:type="dxa"/>
            <w:noWrap w:val="0"/>
            <w:vAlign w:val="center"/>
          </w:tcPr>
          <w:p w14:paraId="52B7B577">
            <w:pPr>
              <w:autoSpaceDE w:val="0"/>
              <w:autoSpaceDN w:val="0"/>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其他符合性分析</w:t>
            </w:r>
          </w:p>
        </w:tc>
        <w:tc>
          <w:tcPr>
            <w:tcW w:w="7219" w:type="dxa"/>
            <w:gridSpan w:val="3"/>
            <w:noWrap w:val="0"/>
            <w:vAlign w:val="center"/>
          </w:tcPr>
          <w:p w14:paraId="087479F9">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360" w:lineRule="auto"/>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lang w:eastAsia="zh-CN"/>
              </w:rPr>
              <w:t>一</w:t>
            </w:r>
            <w:r>
              <w:rPr>
                <w:rFonts w:hint="default" w:ascii="Times New Roman" w:hAnsi="Times New Roman" w:eastAsia="仿宋_GB2312" w:cs="Times New Roman"/>
                <w:b/>
                <w:bCs/>
                <w:color w:val="auto"/>
                <w:sz w:val="24"/>
              </w:rPr>
              <w:t>、</w:t>
            </w:r>
            <w:r>
              <w:rPr>
                <w:rFonts w:hint="default" w:ascii="Times New Roman" w:hAnsi="Times New Roman" w:eastAsia="仿宋_GB2312" w:cs="Times New Roman"/>
                <w:b/>
                <w:bCs/>
                <w:color w:val="auto"/>
                <w:sz w:val="24"/>
                <w:lang w:eastAsia="zh-CN"/>
              </w:rPr>
              <w:t>与</w:t>
            </w:r>
            <w:r>
              <w:rPr>
                <w:rFonts w:hint="default" w:ascii="Times New Roman" w:hAnsi="Times New Roman" w:eastAsia="仿宋_GB2312" w:cs="Times New Roman"/>
                <w:b/>
                <w:bCs/>
                <w:color w:val="auto"/>
                <w:sz w:val="24"/>
                <w:lang w:val="en-US" w:eastAsia="zh-CN"/>
              </w:rPr>
              <w:t>中卫市“三线一单”生态环境分区管控符合性分析</w:t>
            </w:r>
          </w:p>
          <w:p w14:paraId="213C75E1">
            <w:pPr>
              <w:keepNext w:val="0"/>
              <w:keepLines w:val="0"/>
              <w:pageBreakBefore w:val="0"/>
              <w:widowControl w:val="0"/>
              <w:kinsoku/>
              <w:wordWrap/>
              <w:overflowPunct/>
              <w:topLinePunct w:val="0"/>
              <w:autoSpaceDE w:val="0"/>
              <w:autoSpaceDN w:val="0"/>
              <w:bidi w:val="0"/>
              <w:adjustRightInd w:val="0"/>
              <w:snapToGrid w:val="0"/>
              <w:spacing w:line="356" w:lineRule="auto"/>
              <w:ind w:firstLine="482" w:firstLineChars="200"/>
              <w:textAlignment w:val="auto"/>
              <w:rPr>
                <w:rFonts w:hint="eastAsia" w:eastAsia="仿宋_GB2312" w:cs="Times New Roman"/>
                <w:b/>
                <w:bCs/>
                <w:color w:val="auto"/>
                <w:sz w:val="24"/>
                <w:lang w:val="en-US" w:eastAsia="zh-CN"/>
              </w:rPr>
            </w:pPr>
            <w:r>
              <w:rPr>
                <w:rFonts w:hint="default" w:ascii="Times New Roman" w:hAnsi="Times New Roman" w:eastAsia="仿宋_GB2312" w:cs="Times New Roman"/>
                <w:b/>
                <w:bCs/>
                <w:color w:val="auto"/>
                <w:sz w:val="24"/>
                <w:lang w:val="en-US" w:eastAsia="zh-CN"/>
              </w:rPr>
              <w:t>1.</w:t>
            </w:r>
            <w:r>
              <w:rPr>
                <w:rFonts w:hint="default" w:ascii="Times New Roman" w:hAnsi="Times New Roman" w:eastAsia="仿宋_GB2312" w:cs="Times New Roman"/>
                <w:b/>
                <w:bCs/>
                <w:color w:val="auto"/>
                <w:sz w:val="24"/>
              </w:rPr>
              <w:t>生态保护红线</w:t>
            </w:r>
            <w:r>
              <w:rPr>
                <w:rFonts w:hint="default" w:ascii="Times New Roman" w:hAnsi="Times New Roman" w:eastAsia="仿宋_GB2312" w:cs="Times New Roman"/>
                <w:b/>
                <w:bCs/>
                <w:color w:val="auto"/>
                <w:sz w:val="24"/>
                <w:lang w:val="en-US" w:eastAsia="zh-CN"/>
              </w:rPr>
              <w:t>及生态</w:t>
            </w:r>
            <w:r>
              <w:rPr>
                <w:rFonts w:hint="eastAsia" w:eastAsia="仿宋_GB2312" w:cs="Times New Roman"/>
                <w:b/>
                <w:bCs/>
                <w:color w:val="auto"/>
                <w:sz w:val="24"/>
                <w:lang w:val="en-US" w:eastAsia="zh-CN"/>
              </w:rPr>
              <w:t>空间分布</w:t>
            </w:r>
          </w:p>
          <w:p w14:paraId="5C203832">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本项目位于</w:t>
            </w:r>
            <w:r>
              <w:rPr>
                <w:rFonts w:hint="default" w:ascii="Times New Roman" w:hAnsi="Times New Roman" w:eastAsia="仿宋_GB2312" w:cs="Times New Roman"/>
                <w:color w:val="auto"/>
                <w:sz w:val="24"/>
                <w:lang w:eastAsia="zh-CN"/>
              </w:rPr>
              <w:t>宁夏回族自治区</w:t>
            </w:r>
            <w:r>
              <w:rPr>
                <w:rFonts w:hint="default" w:ascii="Times New Roman" w:hAnsi="Times New Roman" w:eastAsia="仿宋_GB2312" w:cs="Times New Roman"/>
                <w:color w:val="auto"/>
                <w:sz w:val="24"/>
                <w:lang w:val="en-US" w:eastAsia="zh-CN"/>
              </w:rPr>
              <w:t>中卫市沙坡头区兴仁镇</w:t>
            </w:r>
            <w:r>
              <w:rPr>
                <w:rFonts w:hint="default" w:ascii="Times New Roman" w:hAnsi="Times New Roman" w:eastAsia="仿宋_GB2312" w:cs="Times New Roman"/>
                <w:color w:val="auto"/>
                <w:sz w:val="24"/>
              </w:rPr>
              <w:t>，</w:t>
            </w:r>
            <w:r>
              <w:rPr>
                <w:rFonts w:hint="eastAsia" w:eastAsia="仿宋_GB2312" w:cs="Times New Roman"/>
                <w:color w:val="auto"/>
                <w:sz w:val="24"/>
                <w:lang w:val="en-US" w:eastAsia="zh-CN"/>
              </w:rPr>
              <w:t>对照中卫市生态环境分区管控，</w:t>
            </w:r>
            <w:r>
              <w:rPr>
                <w:rFonts w:hint="default" w:ascii="Times New Roman" w:hAnsi="Times New Roman" w:eastAsia="仿宋_GB2312" w:cs="Times New Roman"/>
                <w:color w:val="auto"/>
                <w:sz w:val="24"/>
              </w:rPr>
              <w:t>项目不在中卫市生态保护红线管控范围，</w:t>
            </w:r>
            <w:r>
              <w:rPr>
                <w:rFonts w:hint="eastAsia" w:eastAsia="仿宋_GB2312" w:cs="Times New Roman"/>
                <w:color w:val="auto"/>
                <w:sz w:val="24"/>
                <w:lang w:val="en-US" w:eastAsia="zh-CN"/>
              </w:rPr>
              <w:t>不占用一般生态空间。因此，</w:t>
            </w:r>
            <w:r>
              <w:rPr>
                <w:rFonts w:hint="default" w:ascii="Times New Roman" w:hAnsi="Times New Roman" w:eastAsia="仿宋_GB2312" w:cs="Times New Roman"/>
                <w:color w:val="auto"/>
                <w:sz w:val="24"/>
                <w:lang w:eastAsia="zh-CN"/>
              </w:rPr>
              <w:t>项目与中卫市生态保护红线关系具体详见</w:t>
            </w:r>
            <w:r>
              <w:rPr>
                <w:rFonts w:hint="default" w:ascii="Times New Roman" w:hAnsi="Times New Roman" w:eastAsia="仿宋_GB2312" w:cs="Times New Roman"/>
                <w:color w:val="auto"/>
                <w:sz w:val="24"/>
                <w:lang w:val="en-US" w:eastAsia="zh-CN"/>
              </w:rPr>
              <w:t>附</w:t>
            </w:r>
            <w:r>
              <w:rPr>
                <w:rFonts w:hint="default" w:ascii="Times New Roman" w:hAnsi="Times New Roman" w:eastAsia="仿宋_GB2312" w:cs="Times New Roman"/>
                <w:color w:val="auto"/>
                <w:sz w:val="24"/>
                <w:lang w:eastAsia="zh-CN"/>
              </w:rPr>
              <w:t>图</w:t>
            </w:r>
            <w:r>
              <w:rPr>
                <w:rFonts w:hint="default" w:ascii="Times New Roman" w:hAnsi="Times New Roman" w:eastAsia="仿宋_GB2312" w:cs="Times New Roman"/>
                <w:color w:val="auto"/>
                <w:sz w:val="24"/>
                <w:lang w:val="en-US" w:eastAsia="zh-CN"/>
              </w:rPr>
              <w:t>1-1</w:t>
            </w:r>
            <w:r>
              <w:rPr>
                <w:rFonts w:hint="eastAsia" w:eastAsia="仿宋_GB2312" w:cs="Times New Roman"/>
                <w:color w:val="auto"/>
                <w:sz w:val="24"/>
                <w:lang w:val="en-US" w:eastAsia="zh-CN"/>
              </w:rPr>
              <w:t>，与中卫市生态空间分布位置关系见附图1-2</w:t>
            </w:r>
            <w:r>
              <w:rPr>
                <w:rFonts w:hint="default" w:ascii="Times New Roman" w:hAnsi="Times New Roman" w:eastAsia="仿宋_GB2312" w:cs="Times New Roman"/>
                <w:color w:val="auto"/>
                <w:sz w:val="24"/>
                <w:lang w:val="en-US" w:eastAsia="zh-CN"/>
              </w:rPr>
              <w:t>。项目建设符合国家和地方产业政策；项目不涉及自然保护区、风景名胜区、风景名胜区、湿地公园、森林公园、地质公园，国家级水产种质资源保护区。</w:t>
            </w:r>
            <w:r>
              <w:rPr>
                <w:rFonts w:hint="default" w:ascii="Times New Roman" w:hAnsi="Times New Roman" w:eastAsia="仿宋_GB2312" w:cs="Times New Roman"/>
                <w:color w:val="auto"/>
                <w:sz w:val="24"/>
              </w:rPr>
              <w:t>因此项目符合</w:t>
            </w:r>
            <w:r>
              <w:rPr>
                <w:rFonts w:hint="default" w:ascii="Times New Roman" w:hAnsi="Times New Roman" w:eastAsia="仿宋_GB2312" w:cs="Times New Roman"/>
                <w:color w:val="auto"/>
                <w:sz w:val="24"/>
                <w:lang w:val="en-US" w:eastAsia="zh-CN"/>
              </w:rPr>
              <w:t>中卫市生态保护红线及生态分区管控的要求</w:t>
            </w:r>
            <w:r>
              <w:rPr>
                <w:rFonts w:hint="default" w:ascii="Times New Roman" w:hAnsi="Times New Roman" w:eastAsia="仿宋_GB2312" w:cs="Times New Roman"/>
                <w:color w:val="auto"/>
                <w:sz w:val="24"/>
              </w:rPr>
              <w:t>。</w:t>
            </w:r>
          </w:p>
          <w:p w14:paraId="3AD1C674">
            <w:pPr>
              <w:keepNext w:val="0"/>
              <w:keepLines w:val="0"/>
              <w:pageBreakBefore w:val="0"/>
              <w:widowControl w:val="0"/>
              <w:kinsoku/>
              <w:wordWrap/>
              <w:overflowPunct/>
              <w:topLinePunct w:val="0"/>
              <w:autoSpaceDE w:val="0"/>
              <w:autoSpaceDN w:val="0"/>
              <w:bidi w:val="0"/>
              <w:adjustRightInd w:val="0"/>
              <w:snapToGrid w:val="0"/>
              <w:spacing w:line="356" w:lineRule="auto"/>
              <w:ind w:firstLine="482" w:firstLineChars="200"/>
              <w:textAlignment w:val="auto"/>
              <w:rPr>
                <w:rFonts w:hint="default" w:ascii="Times New Roman" w:hAnsi="Times New Roman" w:eastAsia="仿宋_GB2312" w:cs="Times New Roman"/>
                <w:b/>
                <w:bCs/>
                <w:color w:val="auto"/>
                <w:sz w:val="24"/>
                <w:lang w:eastAsia="zh-CN"/>
              </w:rPr>
            </w:pPr>
            <w:r>
              <w:rPr>
                <w:rFonts w:hint="default" w:ascii="Times New Roman" w:hAnsi="Times New Roman" w:eastAsia="仿宋_GB2312" w:cs="Times New Roman"/>
                <w:b/>
                <w:bCs/>
                <w:color w:val="auto"/>
                <w:sz w:val="24"/>
                <w:lang w:val="en-US" w:eastAsia="zh-CN"/>
              </w:rPr>
              <w:t>2.</w:t>
            </w:r>
            <w:r>
              <w:rPr>
                <w:rFonts w:hint="default" w:ascii="Times New Roman" w:hAnsi="Times New Roman" w:eastAsia="仿宋_GB2312" w:cs="Times New Roman"/>
                <w:b/>
                <w:bCs/>
                <w:color w:val="auto"/>
                <w:sz w:val="24"/>
                <w:lang w:eastAsia="zh-CN"/>
              </w:rPr>
              <w:t>环境质量底线及分区管控符合性</w:t>
            </w:r>
          </w:p>
          <w:p w14:paraId="7849B5BF">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1</w:t>
            </w:r>
            <w:r>
              <w:rPr>
                <w:rFonts w:hint="default" w:ascii="Times New Roman" w:hAnsi="Times New Roman" w:eastAsia="仿宋_GB2312" w:cs="Times New Roman"/>
                <w:color w:val="auto"/>
                <w:sz w:val="24"/>
                <w:lang w:eastAsia="zh-CN"/>
              </w:rPr>
              <w:t>）水环境质量底线及分区管控</w:t>
            </w:r>
          </w:p>
          <w:p w14:paraId="59F1EE69">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根据</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202</w:t>
            </w:r>
            <w:r>
              <w:rPr>
                <w:rFonts w:hint="eastAsia" w:eastAsia="仿宋_GB2312" w:cs="Times New Roman"/>
                <w:color w:val="auto"/>
                <w:sz w:val="24"/>
                <w:lang w:val="en-US" w:eastAsia="zh-CN"/>
              </w:rPr>
              <w:t>4</w:t>
            </w:r>
            <w:r>
              <w:rPr>
                <w:rFonts w:hint="default" w:ascii="Times New Roman" w:hAnsi="Times New Roman" w:eastAsia="仿宋_GB2312" w:cs="Times New Roman"/>
                <w:color w:val="auto"/>
                <w:sz w:val="24"/>
                <w:lang w:val="en-US" w:eastAsia="zh-CN"/>
              </w:rPr>
              <w:t>年宁夏生态环境质量状况</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202</w:t>
            </w:r>
            <w:r>
              <w:rPr>
                <w:rFonts w:hint="eastAsia" w:eastAsia="仿宋_GB2312" w:cs="Times New Roman"/>
                <w:color w:val="auto"/>
                <w:sz w:val="24"/>
                <w:lang w:val="en-US" w:eastAsia="zh-CN"/>
              </w:rPr>
              <w:t>4</w:t>
            </w:r>
            <w:r>
              <w:rPr>
                <w:rFonts w:hint="default" w:ascii="Times New Roman" w:hAnsi="Times New Roman" w:eastAsia="仿宋_GB2312" w:cs="Times New Roman"/>
                <w:color w:val="auto"/>
                <w:sz w:val="24"/>
                <w:lang w:val="en-US" w:eastAsia="zh-CN"/>
              </w:rPr>
              <w:t>年，黄河干流宁夏段6个国控断面均为</w:t>
            </w:r>
            <w:r>
              <w:rPr>
                <w:rFonts w:hint="default" w:ascii="Times New Roman" w:hAnsi="Times New Roman" w:eastAsia="仿宋_GB2312" w:cs="Times New Roman"/>
                <w:color w:val="auto"/>
                <w:sz w:val="24"/>
                <w:lang w:val="en-US" w:eastAsia="zh-CN"/>
              </w:rPr>
              <w:fldChar w:fldCharType="begin"/>
            </w:r>
            <w:r>
              <w:rPr>
                <w:rFonts w:hint="default" w:ascii="Times New Roman" w:hAnsi="Times New Roman" w:eastAsia="仿宋_GB2312" w:cs="Times New Roman"/>
                <w:color w:val="auto"/>
                <w:sz w:val="24"/>
                <w:lang w:val="en-US" w:eastAsia="zh-CN"/>
              </w:rPr>
              <w:instrText xml:space="preserve"> = 2 \* ROMAN \* MERGEFORMAT </w:instrText>
            </w:r>
            <w:r>
              <w:rPr>
                <w:rFonts w:hint="default" w:ascii="Times New Roman" w:hAnsi="Times New Roman" w:eastAsia="仿宋_GB2312" w:cs="Times New Roman"/>
                <w:color w:val="auto"/>
                <w:sz w:val="24"/>
                <w:lang w:val="en-US" w:eastAsia="zh-CN"/>
              </w:rPr>
              <w:fldChar w:fldCharType="separate"/>
            </w:r>
            <w:r>
              <w:rPr>
                <w:rFonts w:hint="default" w:ascii="Times New Roman" w:hAnsi="Times New Roman" w:eastAsia="仿宋_GB2312" w:cs="Times New Roman"/>
                <w:color w:val="auto"/>
                <w:sz w:val="24"/>
                <w:lang w:eastAsia="zh-CN"/>
              </w:rPr>
              <w:t>II</w:t>
            </w:r>
            <w:r>
              <w:rPr>
                <w:rFonts w:hint="default" w:ascii="Times New Roman" w:hAnsi="Times New Roman" w:eastAsia="仿宋_GB2312" w:cs="Times New Roman"/>
                <w:color w:val="auto"/>
                <w:sz w:val="24"/>
                <w:lang w:val="en-US" w:eastAsia="zh-CN"/>
              </w:rPr>
              <w:fldChar w:fldCharType="end"/>
            </w:r>
            <w:r>
              <w:rPr>
                <w:rFonts w:hint="default" w:ascii="Times New Roman" w:hAnsi="Times New Roman" w:eastAsia="仿宋_GB2312" w:cs="Times New Roman"/>
                <w:color w:val="auto"/>
                <w:sz w:val="24"/>
                <w:lang w:val="en-US" w:eastAsia="zh-CN"/>
              </w:rPr>
              <w:t>类水质，与上年同期相比，所有断面水质均无明显变化。</w:t>
            </w:r>
          </w:p>
          <w:p w14:paraId="1BC1413C">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eastAsia="zh-CN"/>
              </w:rPr>
              <w:t>本项目位于中卫市水环境管控分区中的一般管控区。项目与中卫市</w:t>
            </w:r>
            <w:r>
              <w:rPr>
                <w:rFonts w:hint="default" w:ascii="Times New Roman" w:hAnsi="Times New Roman" w:eastAsia="仿宋_GB2312" w:cs="Times New Roman"/>
                <w:color w:val="auto"/>
                <w:sz w:val="24"/>
                <w:lang w:val="en-US" w:eastAsia="zh-CN"/>
              </w:rPr>
              <w:t>水环境分区</w:t>
            </w:r>
            <w:r>
              <w:rPr>
                <w:rFonts w:hint="default" w:ascii="Times New Roman" w:hAnsi="Times New Roman" w:eastAsia="仿宋_GB2312" w:cs="Times New Roman"/>
                <w:color w:val="auto"/>
                <w:sz w:val="24"/>
                <w:lang w:eastAsia="zh-CN"/>
              </w:rPr>
              <w:t>关系具体详见</w:t>
            </w:r>
            <w:r>
              <w:rPr>
                <w:rFonts w:hint="default" w:ascii="Times New Roman" w:hAnsi="Times New Roman" w:eastAsia="仿宋_GB2312" w:cs="Times New Roman"/>
                <w:color w:val="auto"/>
                <w:sz w:val="24"/>
                <w:lang w:val="en-US" w:eastAsia="zh-CN"/>
              </w:rPr>
              <w:t>附</w:t>
            </w:r>
            <w:r>
              <w:rPr>
                <w:rFonts w:hint="default" w:ascii="Times New Roman" w:hAnsi="Times New Roman" w:eastAsia="仿宋_GB2312" w:cs="Times New Roman"/>
                <w:color w:val="auto"/>
                <w:sz w:val="24"/>
                <w:lang w:eastAsia="zh-CN"/>
              </w:rPr>
              <w:t>图</w:t>
            </w:r>
            <w:r>
              <w:rPr>
                <w:rFonts w:hint="default" w:ascii="Times New Roman" w:hAnsi="Times New Roman" w:eastAsia="仿宋_GB2312" w:cs="Times New Roman"/>
                <w:color w:val="auto"/>
                <w:sz w:val="24"/>
                <w:lang w:val="en-US" w:eastAsia="zh-CN"/>
              </w:rPr>
              <w:t>1-</w:t>
            </w:r>
            <w:r>
              <w:rPr>
                <w:rFonts w:hint="eastAsia" w:eastAsia="仿宋_GB2312" w:cs="Times New Roman"/>
                <w:color w:val="auto"/>
                <w:sz w:val="24"/>
                <w:lang w:val="en-US" w:eastAsia="zh-CN"/>
              </w:rPr>
              <w:t>3</w:t>
            </w:r>
            <w:r>
              <w:rPr>
                <w:rFonts w:hint="default" w:ascii="Times New Roman" w:hAnsi="Times New Roman" w:eastAsia="仿宋_GB2312" w:cs="Times New Roman"/>
                <w:color w:val="auto"/>
                <w:sz w:val="24"/>
                <w:lang w:val="en-US" w:eastAsia="zh-CN"/>
              </w:rPr>
              <w:t>。</w:t>
            </w:r>
            <w:r>
              <w:rPr>
                <w:rFonts w:hint="default" w:ascii="Times New Roman" w:hAnsi="Times New Roman" w:eastAsia="仿宋_GB2312" w:cs="Times New Roman"/>
                <w:color w:val="auto"/>
                <w:sz w:val="24"/>
                <w:lang w:eastAsia="zh-CN"/>
              </w:rPr>
              <w:t>对于水环境优先保护区、重点管控区以外，现状水质达标的控制断面所对应的一般管控区，应落实《中华人民共和国水污染防治法》等相关法律法规的总体要求，加强水资源节约和保护，积极推动水生态修复治理，持续深入推进水污染防治，改善水环境质量。</w:t>
            </w:r>
            <w:r>
              <w:rPr>
                <w:rFonts w:hint="eastAsia" w:eastAsia="仿宋_GB2312" w:cs="Times New Roman"/>
                <w:color w:val="auto"/>
                <w:sz w:val="24"/>
                <w:highlight w:val="none"/>
                <w:lang w:val="en-US" w:eastAsia="zh-CN"/>
              </w:rPr>
              <w:t>根据临时用地批复，本项目临时用地有效期1年，自文件发布之日起计算（即2025年10月11日起），</w:t>
            </w:r>
            <w:r>
              <w:rPr>
                <w:rFonts w:hint="default" w:ascii="Times New Roman" w:hAnsi="Times New Roman" w:eastAsia="仿宋_GB2312" w:cs="Times New Roman"/>
                <w:color w:val="auto"/>
                <w:sz w:val="24"/>
                <w:lang w:eastAsia="zh-CN"/>
              </w:rPr>
              <w:t>项目车辆冲洗废水</w:t>
            </w:r>
            <w:r>
              <w:rPr>
                <w:rFonts w:hint="eastAsia"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清洗搅拌机废水全部排入沉淀池，经沉淀后回用，不外排，</w:t>
            </w:r>
            <w:r>
              <w:rPr>
                <w:rFonts w:hint="eastAsia" w:eastAsia="仿宋_GB2312" w:cs="Times New Roman"/>
                <w:color w:val="auto"/>
                <w:sz w:val="24"/>
                <w:lang w:val="en-US" w:eastAsia="zh-CN"/>
              </w:rPr>
              <w:t>食堂废水经隔油设施隔油后，与</w:t>
            </w:r>
            <w:r>
              <w:rPr>
                <w:rFonts w:hint="default" w:ascii="Times New Roman" w:hAnsi="Times New Roman" w:eastAsia="仿宋_GB2312" w:cs="Times New Roman"/>
                <w:color w:val="auto"/>
                <w:sz w:val="24"/>
                <w:lang w:eastAsia="zh-CN"/>
              </w:rPr>
              <w:t>生活污水</w:t>
            </w:r>
            <w:r>
              <w:rPr>
                <w:rFonts w:hint="eastAsia" w:eastAsia="仿宋_GB2312" w:cs="Times New Roman"/>
                <w:color w:val="auto"/>
                <w:sz w:val="24"/>
                <w:lang w:val="en-US" w:eastAsia="zh-CN"/>
              </w:rPr>
              <w:t>一同</w:t>
            </w:r>
            <w:r>
              <w:rPr>
                <w:rFonts w:hint="default" w:ascii="Times New Roman" w:hAnsi="Times New Roman" w:eastAsia="仿宋_GB2312" w:cs="Times New Roman"/>
                <w:color w:val="auto"/>
                <w:sz w:val="24"/>
                <w:lang w:eastAsia="zh-CN"/>
              </w:rPr>
              <w:t>经化粪池处理后拉运</w:t>
            </w:r>
            <w:r>
              <w:rPr>
                <w:rFonts w:hint="eastAsia" w:eastAsia="仿宋_GB2312" w:cs="Times New Roman"/>
                <w:b w:val="0"/>
                <w:bCs w:val="0"/>
                <w:color w:val="auto"/>
                <w:kern w:val="2"/>
                <w:sz w:val="24"/>
                <w:szCs w:val="24"/>
                <w:lang w:val="en-US" w:eastAsia="zh-CN" w:bidi="ar-SA"/>
              </w:rPr>
              <w:t>中卫市沙坡头区兴仁镇污水</w:t>
            </w:r>
            <w:r>
              <w:rPr>
                <w:rFonts w:hint="default" w:ascii="Times New Roman" w:hAnsi="Times New Roman" w:eastAsia="仿宋_GB2312" w:cs="Times New Roman"/>
                <w:b w:val="0"/>
                <w:bCs w:val="0"/>
                <w:color w:val="auto"/>
                <w:kern w:val="2"/>
                <w:sz w:val="24"/>
                <w:szCs w:val="24"/>
                <w:lang w:val="en-US" w:eastAsia="zh-CN" w:bidi="ar-SA"/>
              </w:rPr>
              <w:t>处理厂</w:t>
            </w:r>
            <w:r>
              <w:rPr>
                <w:rFonts w:hint="default" w:ascii="Times New Roman" w:hAnsi="Times New Roman" w:eastAsia="仿宋_GB2312" w:cs="Times New Roman"/>
                <w:color w:val="auto"/>
                <w:sz w:val="24"/>
                <w:lang w:val="en-US" w:eastAsia="zh-CN"/>
              </w:rPr>
              <w:t>进行处理</w:t>
            </w:r>
            <w:r>
              <w:rPr>
                <w:rFonts w:hint="default" w:ascii="Times New Roman" w:hAnsi="Times New Roman" w:eastAsia="仿宋_GB2312" w:cs="Times New Roman"/>
                <w:color w:val="auto"/>
                <w:sz w:val="24"/>
                <w:lang w:eastAsia="zh-CN"/>
              </w:rPr>
              <w:t>，</w:t>
            </w:r>
            <w:r>
              <w:rPr>
                <w:rFonts w:hint="eastAsia" w:eastAsia="仿宋_GB2312" w:cs="Times New Roman"/>
                <w:color w:val="auto"/>
                <w:sz w:val="24"/>
                <w:lang w:val="en-US" w:eastAsia="zh-CN"/>
              </w:rPr>
              <w:t>废水</w:t>
            </w:r>
            <w:r>
              <w:rPr>
                <w:rFonts w:hint="default" w:ascii="Times New Roman" w:hAnsi="Times New Roman" w:eastAsia="仿宋_GB2312" w:cs="Times New Roman"/>
                <w:color w:val="auto"/>
                <w:sz w:val="24"/>
                <w:lang w:eastAsia="zh-CN"/>
              </w:rPr>
              <w:t>均可妥善处理。项目为临时工程，运营期结束后对周边环境的影响也将随之消失。</w:t>
            </w:r>
            <w:r>
              <w:rPr>
                <w:rFonts w:hint="default" w:ascii="Times New Roman" w:hAnsi="Times New Roman" w:eastAsia="仿宋_GB2312" w:cs="Times New Roman"/>
                <w:color w:val="auto"/>
                <w:sz w:val="24"/>
                <w:lang w:val="en-US" w:eastAsia="zh-CN"/>
              </w:rPr>
              <w:t>因此，不会对区域水环境质量造成影响，</w:t>
            </w:r>
            <w:r>
              <w:rPr>
                <w:rFonts w:hint="default" w:ascii="Times New Roman" w:hAnsi="Times New Roman" w:eastAsia="仿宋_GB2312" w:cs="Times New Roman"/>
                <w:color w:val="auto"/>
                <w:sz w:val="24"/>
                <w:lang w:eastAsia="zh-CN"/>
              </w:rPr>
              <w:t>符合中卫市水环境质量底线一般管控区要求。</w:t>
            </w:r>
          </w:p>
          <w:p w14:paraId="3A81F282">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2</w:t>
            </w:r>
            <w:r>
              <w:rPr>
                <w:rFonts w:hint="default" w:ascii="Times New Roman" w:hAnsi="Times New Roman" w:eastAsia="仿宋_GB2312" w:cs="Times New Roman"/>
                <w:color w:val="auto"/>
                <w:sz w:val="24"/>
                <w:lang w:eastAsia="zh-CN"/>
              </w:rPr>
              <w:t>）大气环境质量底线及分区管控</w:t>
            </w:r>
          </w:p>
          <w:p w14:paraId="38457701">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大气环境：</w:t>
            </w:r>
            <w:r>
              <w:rPr>
                <w:rFonts w:hint="eastAsia" w:eastAsia="仿宋_GB2312" w:cs="Times New Roman"/>
                <w:color w:val="auto"/>
                <w:sz w:val="24"/>
                <w:lang w:val="en-US" w:eastAsia="zh-CN"/>
              </w:rPr>
              <w:t>本项目位于中卫市沙坡头区兴仁镇，选取2024年为评价基准年，</w:t>
            </w:r>
            <w:r>
              <w:rPr>
                <w:rFonts w:hint="default" w:ascii="Times New Roman" w:hAnsi="Times New Roman" w:eastAsia="仿宋_GB2312" w:cs="Times New Roman"/>
                <w:color w:val="auto"/>
                <w:sz w:val="24"/>
                <w:lang w:val="en-US" w:eastAsia="zh-CN"/>
              </w:rPr>
              <w:t>根据</w:t>
            </w:r>
            <w:r>
              <w:rPr>
                <w:rFonts w:hint="eastAsia" w:eastAsia="仿宋_GB2312" w:cs="Times New Roman"/>
                <w:color w:val="auto"/>
                <w:sz w:val="24"/>
                <w:lang w:val="en-US" w:eastAsia="zh-CN"/>
              </w:rPr>
              <w:t>环境空气质量模型技术支持服务系统中生态环境部环境影响评价数值模拟重点实验室的数据，剔除沙尘天气影响后，中卫市2024年</w:t>
            </w:r>
            <w:r>
              <w:rPr>
                <w:rFonts w:hint="default" w:ascii="Times New Roman" w:hAnsi="Times New Roman" w:eastAsia="仿宋_GB2312" w:cs="Times New Roman"/>
                <w:color w:val="auto"/>
                <w:sz w:val="24"/>
                <w:lang w:val="en-US" w:eastAsia="zh-CN"/>
              </w:rPr>
              <w:t>SO</w:t>
            </w:r>
            <w:r>
              <w:rPr>
                <w:rFonts w:hint="default" w:ascii="Times New Roman" w:hAnsi="Times New Roman" w:eastAsia="仿宋_GB2312" w:cs="Times New Roman"/>
                <w:color w:val="auto"/>
                <w:sz w:val="24"/>
                <w:vertAlign w:val="subscript"/>
                <w:lang w:val="en-US" w:eastAsia="zh-CN"/>
              </w:rPr>
              <w:t>2</w:t>
            </w:r>
            <w:r>
              <w:rPr>
                <w:rFonts w:hint="default" w:ascii="Times New Roman" w:hAnsi="Times New Roman" w:eastAsia="仿宋_GB2312" w:cs="Times New Roman"/>
                <w:color w:val="auto"/>
                <w:sz w:val="24"/>
                <w:lang w:val="en-US" w:eastAsia="zh-CN"/>
              </w:rPr>
              <w:t>、NO</w:t>
            </w:r>
            <w:r>
              <w:rPr>
                <w:rFonts w:hint="default" w:ascii="Times New Roman" w:hAnsi="Times New Roman" w:eastAsia="仿宋_GB2312" w:cs="Times New Roman"/>
                <w:color w:val="auto"/>
                <w:sz w:val="24"/>
                <w:vertAlign w:val="subscript"/>
                <w:lang w:val="en-US" w:eastAsia="zh-CN"/>
              </w:rPr>
              <w:t>2</w:t>
            </w:r>
            <w:r>
              <w:rPr>
                <w:rFonts w:hint="default" w:ascii="Times New Roman" w:hAnsi="Times New Roman" w:eastAsia="仿宋_GB2312" w:cs="Times New Roman"/>
                <w:color w:val="auto"/>
                <w:sz w:val="24"/>
                <w:lang w:val="en-US" w:eastAsia="zh-CN"/>
              </w:rPr>
              <w:t>、CO、PM</w:t>
            </w:r>
            <w:r>
              <w:rPr>
                <w:rFonts w:hint="default" w:ascii="Times New Roman" w:hAnsi="Times New Roman" w:eastAsia="仿宋_GB2312" w:cs="Times New Roman"/>
                <w:color w:val="auto"/>
                <w:sz w:val="24"/>
                <w:vertAlign w:val="subscript"/>
                <w:lang w:val="en-US" w:eastAsia="zh-CN"/>
              </w:rPr>
              <w:t>10</w:t>
            </w:r>
            <w:r>
              <w:rPr>
                <w:rFonts w:hint="default" w:ascii="Times New Roman" w:hAnsi="Times New Roman" w:eastAsia="仿宋_GB2312" w:cs="Times New Roman"/>
                <w:color w:val="auto"/>
                <w:sz w:val="24"/>
                <w:lang w:val="en-US" w:eastAsia="zh-CN"/>
              </w:rPr>
              <w:t>、PM</w:t>
            </w:r>
            <w:r>
              <w:rPr>
                <w:rFonts w:hint="default" w:ascii="Times New Roman" w:hAnsi="Times New Roman" w:eastAsia="仿宋_GB2312" w:cs="Times New Roman"/>
                <w:color w:val="auto"/>
                <w:sz w:val="24"/>
                <w:vertAlign w:val="subscript"/>
                <w:lang w:val="en-US" w:eastAsia="zh-CN"/>
              </w:rPr>
              <w:t>2.5</w:t>
            </w:r>
            <w:r>
              <w:rPr>
                <w:rFonts w:hint="default" w:ascii="Times New Roman" w:hAnsi="Times New Roman" w:eastAsia="仿宋_GB2312" w:cs="Times New Roman"/>
                <w:color w:val="auto"/>
                <w:sz w:val="24"/>
                <w:lang w:val="en-US" w:eastAsia="zh-CN"/>
              </w:rPr>
              <w:t>和O</w:t>
            </w:r>
            <w:r>
              <w:rPr>
                <w:rFonts w:hint="default" w:ascii="Times New Roman" w:hAnsi="Times New Roman" w:eastAsia="仿宋_GB2312" w:cs="Times New Roman"/>
                <w:color w:val="auto"/>
                <w:sz w:val="24"/>
                <w:vertAlign w:val="subscript"/>
                <w:lang w:val="en-US" w:eastAsia="zh-CN"/>
              </w:rPr>
              <w:t>3</w:t>
            </w:r>
            <w:r>
              <w:rPr>
                <w:rFonts w:hint="default" w:ascii="Times New Roman" w:hAnsi="Times New Roman" w:eastAsia="仿宋_GB2312" w:cs="Times New Roman"/>
                <w:color w:val="auto"/>
                <w:sz w:val="24"/>
                <w:lang w:val="en-US" w:eastAsia="zh-CN"/>
              </w:rPr>
              <w:t>年均值满足《环境空气质量标准》（GB3095-2012）中</w:t>
            </w:r>
            <w:r>
              <w:rPr>
                <w:rFonts w:hint="eastAsia" w:eastAsia="仿宋_GB2312" w:cs="Times New Roman"/>
                <w:color w:val="auto"/>
                <w:sz w:val="24"/>
                <w:lang w:val="en-US" w:eastAsia="zh-CN"/>
              </w:rPr>
              <w:t>二级</w:t>
            </w:r>
            <w:r>
              <w:rPr>
                <w:rFonts w:hint="default" w:ascii="Times New Roman" w:hAnsi="Times New Roman" w:eastAsia="仿宋_GB2312" w:cs="Times New Roman"/>
                <w:color w:val="auto"/>
                <w:sz w:val="24"/>
                <w:lang w:val="en-US" w:eastAsia="zh-CN"/>
              </w:rPr>
              <w:t>标准限值要求；满足中卫市大气环境质量目标。</w:t>
            </w:r>
          </w:p>
          <w:p w14:paraId="33BE17FA">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eastAsia="zh-CN"/>
              </w:rPr>
              <w:t>本项目建设地点位于中卫市大气环境一般管控区。</w:t>
            </w:r>
            <w:r>
              <w:rPr>
                <w:rFonts w:hint="default" w:ascii="Times New Roman" w:hAnsi="Times New Roman" w:eastAsia="仿宋_GB2312" w:cs="Times New Roman"/>
                <w:color w:val="auto"/>
                <w:sz w:val="24"/>
                <w:lang w:val="en-US" w:eastAsia="zh-CN"/>
              </w:rPr>
              <w:t>大气环境一般管控区：落实《中华人民共和国大气污染防治法》等相关法律法规的一般要求，在满足区域基本的污染物排放标准和污染防治要求基础上，进一步采用更清洁的生产方式和更有效的污染治理措施，推动区域环境空气质量持续改善。毗邻大气环境优先保护区的新建项目，还应特别注意污染物排放对优先保护区的影响，应优化选址方案或采取有效的污染防治措施。</w:t>
            </w:r>
            <w:r>
              <w:rPr>
                <w:rFonts w:hint="default" w:ascii="Times New Roman" w:hAnsi="Times New Roman" w:eastAsia="仿宋_GB2312" w:cs="Times New Roman"/>
                <w:color w:val="auto"/>
                <w:sz w:val="24"/>
                <w:lang w:eastAsia="zh-CN"/>
              </w:rPr>
              <w:t>本项目施工期严格落实建筑工地“六个100%”防控措施，运营期本项目搅拌机</w:t>
            </w:r>
            <w:r>
              <w:rPr>
                <w:rFonts w:hint="eastAsia" w:eastAsia="仿宋_GB2312" w:cs="Times New Roman"/>
                <w:color w:val="auto"/>
                <w:sz w:val="24"/>
                <w:lang w:val="en-US" w:eastAsia="zh-CN"/>
              </w:rPr>
              <w:t>和</w:t>
            </w:r>
            <w:r>
              <w:rPr>
                <w:rFonts w:hint="default" w:ascii="Times New Roman" w:hAnsi="Times New Roman" w:eastAsia="仿宋_GB2312" w:cs="Times New Roman"/>
                <w:color w:val="auto"/>
                <w:sz w:val="24"/>
                <w:lang w:eastAsia="zh-CN"/>
              </w:rPr>
              <w:t>输送廊道均为全封闭建设，运输车辆控制装载量并遮盖篷布，</w:t>
            </w:r>
            <w:r>
              <w:rPr>
                <w:rFonts w:hint="eastAsia" w:eastAsia="仿宋_GB2312" w:cs="Times New Roman"/>
                <w:color w:val="auto"/>
                <w:sz w:val="24"/>
                <w:lang w:val="en-US" w:eastAsia="zh-CN"/>
              </w:rPr>
              <w:t>采取相应</w:t>
            </w:r>
            <w:r>
              <w:rPr>
                <w:rFonts w:hint="default" w:ascii="Times New Roman" w:hAnsi="Times New Roman" w:eastAsia="仿宋_GB2312" w:cs="Times New Roman"/>
                <w:color w:val="auto"/>
                <w:sz w:val="24"/>
                <w:lang w:eastAsia="zh-CN"/>
              </w:rPr>
              <w:t>废气</w:t>
            </w:r>
            <w:r>
              <w:rPr>
                <w:rFonts w:hint="eastAsia" w:eastAsia="仿宋_GB2312" w:cs="Times New Roman"/>
                <w:color w:val="auto"/>
                <w:sz w:val="24"/>
                <w:lang w:val="en-US" w:eastAsia="zh-CN"/>
              </w:rPr>
              <w:t>处理措施处理后</w:t>
            </w:r>
            <w:r>
              <w:rPr>
                <w:rFonts w:hint="default" w:ascii="Times New Roman" w:hAnsi="Times New Roman" w:eastAsia="仿宋_GB2312" w:cs="Times New Roman"/>
                <w:color w:val="auto"/>
                <w:sz w:val="24"/>
                <w:lang w:eastAsia="zh-CN"/>
              </w:rPr>
              <w:t>能达标排放，对项目周边环境空气质量影响较小，且项目为临时工程，运营期结束后对环境空气的影响也将随之消失，符合中卫市大气环境质量底线大气环境一般管控区要求。</w:t>
            </w:r>
            <w:r>
              <w:rPr>
                <w:rFonts w:hint="default" w:ascii="Times New Roman" w:hAnsi="Times New Roman" w:eastAsia="仿宋_GB2312" w:cs="Times New Roman"/>
                <w:color w:val="auto"/>
                <w:sz w:val="24"/>
                <w:lang w:val="en-US" w:eastAsia="zh-CN"/>
              </w:rPr>
              <w:t>本项目与中卫市大气环境分区管控位置关系见附图1-</w:t>
            </w:r>
            <w:r>
              <w:rPr>
                <w:rFonts w:hint="eastAsia" w:eastAsia="仿宋_GB2312" w:cs="Times New Roman"/>
                <w:color w:val="auto"/>
                <w:sz w:val="24"/>
                <w:lang w:val="en-US" w:eastAsia="zh-CN"/>
              </w:rPr>
              <w:t>4</w:t>
            </w:r>
            <w:r>
              <w:rPr>
                <w:rFonts w:hint="default" w:ascii="Times New Roman" w:hAnsi="Times New Roman" w:eastAsia="仿宋_GB2312" w:cs="Times New Roman"/>
                <w:color w:val="auto"/>
                <w:sz w:val="24"/>
                <w:lang w:val="en-US" w:eastAsia="zh-CN"/>
              </w:rPr>
              <w:t>。</w:t>
            </w:r>
          </w:p>
          <w:p w14:paraId="24006B2B">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③土壤污染风险防控底线及分区管控</w:t>
            </w:r>
          </w:p>
          <w:p w14:paraId="58927DF7">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根据土壤环境质量现状、土地利用现状，综合考虑全市农用地土壤污染状况详查和重点行业企业用地详查结果，衔接现有污染地块名录、土壤环境重点监管企业清单等，将中卫市划分为农用地优先保护区、建设用地污染风险重点管控区和土壤环境一般管控区。</w:t>
            </w:r>
          </w:p>
          <w:p w14:paraId="455D9A4A">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eastAsia="zh-CN"/>
              </w:rPr>
              <w:t>本项目位于中卫市土壤环境一般管控区域</w:t>
            </w:r>
            <w:r>
              <w:rPr>
                <w:rFonts w:hint="eastAsia" w:eastAsia="仿宋_GB2312" w:cs="Times New Roman"/>
                <w:color w:val="auto"/>
                <w:sz w:val="24"/>
                <w:lang w:eastAsia="zh-CN"/>
              </w:rPr>
              <w:t>，</w:t>
            </w:r>
            <w:r>
              <w:rPr>
                <w:rFonts w:hint="eastAsia" w:eastAsia="仿宋_GB2312" w:cs="Times New Roman"/>
                <w:color w:val="auto"/>
                <w:sz w:val="24"/>
                <w:lang w:val="en-US" w:eastAsia="zh-CN"/>
              </w:rPr>
              <w:t>项目占地类型为采矿用地，占地面积为12257m</w:t>
            </w:r>
            <w:r>
              <w:rPr>
                <w:rFonts w:hint="eastAsia" w:eastAsia="仿宋_GB2312" w:cs="Times New Roman"/>
                <w:color w:val="auto"/>
                <w:sz w:val="24"/>
                <w:vertAlign w:val="superscript"/>
                <w:lang w:val="en-US" w:eastAsia="zh-CN"/>
              </w:rPr>
              <w:t>2</w:t>
            </w:r>
            <w:r>
              <w:rPr>
                <w:rFonts w:hint="default" w:ascii="Times New Roman" w:hAnsi="Times New Roman" w:eastAsia="仿宋_GB2312" w:cs="Times New Roman"/>
                <w:color w:val="auto"/>
                <w:sz w:val="24"/>
                <w:lang w:eastAsia="zh-CN"/>
              </w:rPr>
              <w:t>。土壤环境一般管控区域在编制国土空间规划等相关规划时，应充分考虑污染地块的环境风险，合理确定土地用途。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本项目为</w:t>
            </w:r>
            <w:r>
              <w:rPr>
                <w:rFonts w:hint="eastAsia" w:eastAsia="仿宋_GB2312" w:cs="Times New Roman"/>
                <w:color w:val="auto"/>
                <w:sz w:val="24"/>
                <w:lang w:val="en-US" w:eastAsia="zh-CN"/>
              </w:rPr>
              <w:t>临时工程</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项目用地为采矿用地，</w:t>
            </w:r>
            <w:r>
              <w:rPr>
                <w:rFonts w:hint="eastAsia" w:eastAsia="仿宋_GB2312" w:cs="Times New Roman"/>
                <w:color w:val="auto"/>
                <w:sz w:val="24"/>
                <w:highlight w:val="none"/>
                <w:lang w:val="en-US" w:eastAsia="zh-CN"/>
              </w:rPr>
              <w:t>根据“关于大唐中卫云基地数据中心绿电供应常乐500WM风电项目第二标段临时用地的批复”，将项目用地批复给中国电建集团北京勘测设计研究院有限公司（以下简称“中电北京院”），中电北京院委托本公司建设拌合站并负责临时用地后期的土地复垦费用监管，本项目临时用地有效期1年，自文件发布之日起计算（即2025年10月11日起），</w:t>
            </w:r>
            <w:r>
              <w:rPr>
                <w:rFonts w:hint="default" w:ascii="Times New Roman" w:hAnsi="Times New Roman" w:eastAsia="仿宋_GB2312" w:cs="Times New Roman"/>
                <w:color w:val="auto"/>
                <w:sz w:val="24"/>
                <w:highlight w:val="none"/>
                <w:lang w:val="en-US" w:eastAsia="zh-CN"/>
              </w:rPr>
              <w:t>运营期结束后恢复为</w:t>
            </w:r>
            <w:r>
              <w:rPr>
                <w:rFonts w:hint="eastAsia" w:eastAsia="仿宋_GB2312" w:cs="Times New Roman"/>
                <w:color w:val="auto"/>
                <w:sz w:val="24"/>
                <w:highlight w:val="none"/>
                <w:lang w:val="en-US" w:eastAsia="zh-CN"/>
              </w:rPr>
              <w:t>原有土地利用现状</w:t>
            </w:r>
            <w:r>
              <w:rPr>
                <w:rFonts w:hint="default" w:ascii="Times New Roman" w:hAnsi="Times New Roman" w:eastAsia="仿宋_GB2312" w:cs="Times New Roman"/>
                <w:color w:val="auto"/>
                <w:sz w:val="24"/>
                <w:highlight w:val="none"/>
                <w:lang w:val="en-US" w:eastAsia="zh-CN"/>
              </w:rPr>
              <w:t>。</w:t>
            </w:r>
            <w:r>
              <w:rPr>
                <w:rFonts w:hint="default" w:ascii="Times New Roman" w:hAnsi="Times New Roman" w:eastAsia="仿宋_GB2312" w:cs="Times New Roman"/>
                <w:color w:val="auto"/>
                <w:sz w:val="24"/>
                <w:lang w:eastAsia="zh-CN"/>
              </w:rPr>
              <w:t>运营期以环境空气污染为主，</w:t>
            </w:r>
            <w:r>
              <w:rPr>
                <w:rFonts w:hint="eastAsia" w:eastAsia="仿宋_GB2312" w:cs="Times New Roman"/>
                <w:color w:val="auto"/>
                <w:sz w:val="24"/>
                <w:lang w:val="en-US" w:eastAsia="zh-CN"/>
              </w:rPr>
              <w:t>且厂区进行硬化，不存在土壤污染途径，</w:t>
            </w:r>
            <w:r>
              <w:rPr>
                <w:rFonts w:hint="default" w:ascii="Times New Roman" w:hAnsi="Times New Roman" w:eastAsia="仿宋_GB2312" w:cs="Times New Roman"/>
                <w:color w:val="auto"/>
                <w:sz w:val="24"/>
                <w:lang w:eastAsia="zh-CN"/>
              </w:rPr>
              <w:t>不会对区域土壤环境产生影响，项目建设符合中卫市土壤环境质量底线一般管控区要求。本项目与</w:t>
            </w:r>
            <w:r>
              <w:rPr>
                <w:rFonts w:hint="default" w:ascii="Times New Roman" w:hAnsi="Times New Roman" w:eastAsia="仿宋_GB2312" w:cs="Times New Roman"/>
                <w:color w:val="auto"/>
                <w:sz w:val="24"/>
                <w:lang w:val="en-US" w:eastAsia="zh-CN"/>
              </w:rPr>
              <w:t>中卫</w:t>
            </w:r>
            <w:r>
              <w:rPr>
                <w:rFonts w:hint="default" w:ascii="Times New Roman" w:hAnsi="Times New Roman" w:eastAsia="仿宋_GB2312" w:cs="Times New Roman"/>
                <w:color w:val="auto"/>
                <w:sz w:val="24"/>
                <w:lang w:eastAsia="zh-CN"/>
              </w:rPr>
              <w:t>市土壤污染风险分区管控位置关系见</w:t>
            </w:r>
            <w:r>
              <w:rPr>
                <w:rFonts w:hint="default" w:ascii="Times New Roman" w:hAnsi="Times New Roman" w:eastAsia="仿宋_GB2312" w:cs="Times New Roman"/>
                <w:color w:val="auto"/>
                <w:sz w:val="24"/>
                <w:lang w:val="en-US" w:eastAsia="zh-CN"/>
              </w:rPr>
              <w:t>附</w:t>
            </w:r>
            <w:r>
              <w:rPr>
                <w:rFonts w:hint="default" w:ascii="Times New Roman" w:hAnsi="Times New Roman" w:eastAsia="仿宋_GB2312" w:cs="Times New Roman"/>
                <w:color w:val="auto"/>
                <w:sz w:val="24"/>
                <w:lang w:eastAsia="zh-CN"/>
              </w:rPr>
              <w:t>图</w:t>
            </w:r>
            <w:r>
              <w:rPr>
                <w:rFonts w:hint="default" w:ascii="Times New Roman" w:hAnsi="Times New Roman" w:eastAsia="仿宋_GB2312" w:cs="Times New Roman"/>
                <w:color w:val="auto"/>
                <w:sz w:val="24"/>
                <w:lang w:val="en-US" w:eastAsia="zh-CN"/>
              </w:rPr>
              <w:t>1-</w:t>
            </w:r>
            <w:r>
              <w:rPr>
                <w:rFonts w:hint="eastAsia" w:eastAsia="仿宋_GB2312" w:cs="Times New Roman"/>
                <w:color w:val="auto"/>
                <w:sz w:val="24"/>
                <w:lang w:val="en-US" w:eastAsia="zh-CN"/>
              </w:rPr>
              <w:t>5</w:t>
            </w:r>
            <w:r>
              <w:rPr>
                <w:rFonts w:hint="default" w:ascii="Times New Roman" w:hAnsi="Times New Roman" w:eastAsia="仿宋_GB2312" w:cs="Times New Roman"/>
                <w:color w:val="auto"/>
                <w:sz w:val="24"/>
                <w:lang w:val="en-US" w:eastAsia="zh-CN"/>
              </w:rPr>
              <w:t>。</w:t>
            </w:r>
          </w:p>
          <w:p w14:paraId="0C6E26E0">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综上，本项目符合环境质量底线要求。</w:t>
            </w:r>
          </w:p>
          <w:p w14:paraId="3D00DEA1">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fldChar w:fldCharType="begin"/>
            </w:r>
            <w:r>
              <w:rPr>
                <w:rFonts w:hint="default" w:ascii="Times New Roman" w:hAnsi="Times New Roman" w:eastAsia="仿宋_GB2312" w:cs="Times New Roman"/>
                <w:color w:val="auto"/>
                <w:sz w:val="24"/>
                <w:lang w:val="en-US" w:eastAsia="zh-CN"/>
              </w:rPr>
              <w:instrText xml:space="preserve"> = 3 \* GB2 \* MERGEFORMAT </w:instrText>
            </w:r>
            <w:r>
              <w:rPr>
                <w:rFonts w:hint="default" w:ascii="Times New Roman" w:hAnsi="Times New Roman" w:eastAsia="仿宋_GB2312" w:cs="Times New Roman"/>
                <w:color w:val="auto"/>
                <w:sz w:val="24"/>
                <w:lang w:val="en-US" w:eastAsia="zh-CN"/>
              </w:rPr>
              <w:fldChar w:fldCharType="separate"/>
            </w:r>
            <w:r>
              <w:rPr>
                <w:rFonts w:hint="default" w:ascii="Times New Roman" w:hAnsi="Times New Roman" w:eastAsia="仿宋_GB2312" w:cs="Times New Roman"/>
                <w:color w:val="auto"/>
                <w:sz w:val="24"/>
                <w:lang w:eastAsia="zh-CN"/>
              </w:rPr>
              <w:t>⑶</w:t>
            </w:r>
            <w:r>
              <w:rPr>
                <w:rFonts w:hint="default" w:ascii="Times New Roman" w:hAnsi="Times New Roman" w:eastAsia="仿宋_GB2312" w:cs="Times New Roman"/>
                <w:color w:val="auto"/>
                <w:sz w:val="24"/>
                <w:lang w:val="en-US" w:eastAsia="zh-CN"/>
              </w:rPr>
              <w:fldChar w:fldCharType="end"/>
            </w:r>
            <w:r>
              <w:rPr>
                <w:rFonts w:hint="default" w:ascii="Times New Roman" w:hAnsi="Times New Roman" w:eastAsia="仿宋_GB2312" w:cs="Times New Roman"/>
                <w:color w:val="auto"/>
                <w:sz w:val="24"/>
                <w:lang w:eastAsia="zh-CN"/>
              </w:rPr>
              <w:t>资源利用上线及分区管控符合性</w:t>
            </w:r>
          </w:p>
          <w:p w14:paraId="51D807A8">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①能源（煤炭）资源利用上线及分区管控</w:t>
            </w:r>
          </w:p>
          <w:p w14:paraId="19017506">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本项目为临时拌合站，</w:t>
            </w:r>
            <w:r>
              <w:rPr>
                <w:rFonts w:hint="eastAsia" w:eastAsia="仿宋_GB2312" w:cs="Times New Roman"/>
                <w:color w:val="auto"/>
                <w:sz w:val="24"/>
                <w:lang w:val="en-US" w:eastAsia="zh-CN"/>
              </w:rPr>
              <w:t>主要以电能为主，</w:t>
            </w:r>
            <w:r>
              <w:rPr>
                <w:rFonts w:hint="default" w:ascii="Times New Roman" w:hAnsi="Times New Roman" w:eastAsia="仿宋_GB2312" w:cs="Times New Roman"/>
                <w:color w:val="auto"/>
                <w:sz w:val="24"/>
                <w:lang w:eastAsia="zh-CN"/>
              </w:rPr>
              <w:t>项目建设不涉及中卫市能源（煤炭）资源利用上线。</w:t>
            </w:r>
          </w:p>
          <w:p w14:paraId="60695565">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②水资源利用上线及分区管控</w:t>
            </w:r>
          </w:p>
          <w:p w14:paraId="0D625411">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根据近三年自治区实行最严格水资源管理制度和节水型社会建设工作考核结果，将中卫市各县级行政区中取用水总量未达标的区域（中宁县、海原县），作为水资源利用效率重点管控区。本项目位于</w:t>
            </w:r>
            <w:r>
              <w:rPr>
                <w:rFonts w:hint="default" w:ascii="Times New Roman" w:hAnsi="Times New Roman" w:eastAsia="仿宋_GB2312" w:cs="Times New Roman"/>
                <w:color w:val="auto"/>
                <w:sz w:val="24"/>
                <w:lang w:eastAsia="zh-CN"/>
              </w:rPr>
              <w:t>宁夏中卫市沙坡头区</w:t>
            </w:r>
            <w:r>
              <w:rPr>
                <w:rFonts w:hint="default" w:ascii="Times New Roman" w:hAnsi="Times New Roman" w:eastAsia="仿宋_GB2312" w:cs="Times New Roman"/>
                <w:color w:val="auto"/>
                <w:sz w:val="24"/>
                <w:lang w:val="en-US" w:eastAsia="zh-CN"/>
              </w:rPr>
              <w:t>兴仁镇，属于水资源利用效率重点管控区域。</w:t>
            </w:r>
            <w:r>
              <w:rPr>
                <w:rFonts w:hint="default" w:ascii="Times New Roman" w:hAnsi="Times New Roman" w:eastAsia="仿宋_GB2312" w:cs="Times New Roman"/>
                <w:color w:val="auto"/>
                <w:sz w:val="24"/>
                <w:lang w:eastAsia="zh-CN"/>
              </w:rPr>
              <w:t>本项目用水主要为混凝土生产用水、车辆冲洗用水、</w:t>
            </w:r>
            <w:r>
              <w:rPr>
                <w:rFonts w:hint="default" w:ascii="Times New Roman" w:hAnsi="Times New Roman" w:eastAsia="仿宋_GB2312" w:cs="Times New Roman"/>
                <w:color w:val="auto"/>
                <w:sz w:val="24"/>
                <w:lang w:val="en-US" w:eastAsia="zh-CN"/>
              </w:rPr>
              <w:t>清洗搅拌机用水</w:t>
            </w:r>
            <w:r>
              <w:rPr>
                <w:rFonts w:hint="eastAsia" w:eastAsia="仿宋_GB2312" w:cs="Times New Roman"/>
                <w:color w:val="auto"/>
                <w:sz w:val="24"/>
                <w:lang w:eastAsia="zh-CN"/>
              </w:rPr>
              <w:t>、</w:t>
            </w:r>
            <w:r>
              <w:rPr>
                <w:rFonts w:hint="default" w:ascii="Times New Roman" w:hAnsi="Times New Roman" w:eastAsia="仿宋_GB2312" w:cs="Times New Roman"/>
                <w:color w:val="auto"/>
                <w:sz w:val="24"/>
                <w:lang w:eastAsia="zh-CN"/>
              </w:rPr>
              <w:t>生活用水</w:t>
            </w:r>
            <w:r>
              <w:rPr>
                <w:rFonts w:hint="eastAsia" w:eastAsia="仿宋_GB2312" w:cs="Times New Roman"/>
                <w:color w:val="auto"/>
                <w:sz w:val="24"/>
                <w:lang w:val="en-US" w:eastAsia="zh-CN"/>
              </w:rPr>
              <w:t>及食堂用水</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lang w:eastAsia="zh-CN"/>
              </w:rPr>
              <w:t>总新鲜水用量为</w:t>
            </w:r>
            <w:r>
              <w:rPr>
                <w:rFonts w:hint="eastAsia" w:eastAsia="仿宋_GB2312" w:cs="Times New Roman"/>
                <w:color w:val="auto"/>
                <w:sz w:val="24"/>
                <w:highlight w:val="none"/>
                <w:lang w:val="en-US" w:eastAsia="zh-CN"/>
              </w:rPr>
              <w:t>42976</w:t>
            </w:r>
            <w:r>
              <w:rPr>
                <w:rFonts w:hint="default" w:ascii="Times New Roman" w:hAnsi="Times New Roman" w:eastAsia="仿宋_GB2312" w:cs="Times New Roman"/>
                <w:color w:val="auto"/>
                <w:sz w:val="24"/>
                <w:highlight w:val="none"/>
                <w:lang w:eastAsia="zh-CN"/>
              </w:rPr>
              <w:t>m</w:t>
            </w:r>
            <w:r>
              <w:rPr>
                <w:rFonts w:hint="default" w:ascii="Times New Roman" w:hAnsi="Times New Roman" w:eastAsia="仿宋_GB2312" w:cs="Times New Roman"/>
                <w:color w:val="auto"/>
                <w:sz w:val="24"/>
                <w:highlight w:val="none"/>
                <w:vertAlign w:val="superscript"/>
                <w:lang w:eastAsia="zh-CN"/>
              </w:rPr>
              <w:t>3</w:t>
            </w:r>
            <w:r>
              <w:rPr>
                <w:rFonts w:hint="default" w:ascii="Times New Roman" w:hAnsi="Times New Roman" w:eastAsia="仿宋_GB2312" w:cs="Times New Roman"/>
                <w:color w:val="auto"/>
                <w:sz w:val="24"/>
                <w:highlight w:val="none"/>
                <w:lang w:eastAsia="zh-CN"/>
              </w:rPr>
              <w:t>/a</w:t>
            </w:r>
            <w:r>
              <w:rPr>
                <w:rFonts w:hint="default" w:ascii="Times New Roman" w:hAnsi="Times New Roman" w:eastAsia="仿宋_GB2312" w:cs="Times New Roman"/>
                <w:color w:val="auto"/>
                <w:sz w:val="24"/>
                <w:highlight w:val="none"/>
                <w:lang w:val="en-US" w:eastAsia="zh-CN"/>
              </w:rPr>
              <w:t>，用</w:t>
            </w:r>
            <w:r>
              <w:rPr>
                <w:rFonts w:hint="default" w:ascii="Times New Roman" w:hAnsi="Times New Roman" w:eastAsia="仿宋_GB2312" w:cs="Times New Roman"/>
                <w:color w:val="auto"/>
                <w:sz w:val="24"/>
                <w:lang w:val="en-US" w:eastAsia="zh-CN"/>
              </w:rPr>
              <w:t>水由中卫市市政供水管网提供，</w:t>
            </w:r>
            <w:r>
              <w:rPr>
                <w:rFonts w:hint="default" w:ascii="Times New Roman" w:hAnsi="Times New Roman" w:eastAsia="仿宋_GB2312" w:cs="Times New Roman"/>
                <w:color w:val="auto"/>
                <w:sz w:val="24"/>
                <w:lang w:eastAsia="zh-CN"/>
              </w:rPr>
              <w:t>根据《自治区人民政府办公厅关于印发实行最严格水资源管理制度考核办法的通知》（宁政办发〔2013〕61号），2020年中卫市取水总量红线控制指标为13.003亿m</w:t>
            </w:r>
            <w:r>
              <w:rPr>
                <w:rFonts w:hint="default" w:ascii="Times New Roman" w:hAnsi="Times New Roman" w:eastAsia="仿宋_GB2312" w:cs="Times New Roman"/>
                <w:color w:val="auto"/>
                <w:sz w:val="24"/>
                <w:vertAlign w:val="superscript"/>
                <w:lang w:eastAsia="zh-CN"/>
              </w:rPr>
              <w:t>3</w:t>
            </w:r>
            <w:r>
              <w:rPr>
                <w:rFonts w:hint="default" w:ascii="Times New Roman" w:hAnsi="Times New Roman" w:eastAsia="仿宋_GB2312" w:cs="Times New Roman"/>
                <w:color w:val="auto"/>
                <w:sz w:val="24"/>
                <w:lang w:eastAsia="zh-CN"/>
              </w:rPr>
              <w:t>，其中黄河水控制指标为11.773亿m</w:t>
            </w:r>
            <w:r>
              <w:rPr>
                <w:rFonts w:hint="default" w:ascii="Times New Roman" w:hAnsi="Times New Roman" w:eastAsia="仿宋_GB2312" w:cs="Times New Roman"/>
                <w:color w:val="auto"/>
                <w:sz w:val="24"/>
                <w:vertAlign w:val="superscript"/>
                <w:lang w:eastAsia="zh-CN"/>
              </w:rPr>
              <w:t>3</w:t>
            </w:r>
            <w:r>
              <w:rPr>
                <w:rFonts w:hint="default" w:ascii="Times New Roman" w:hAnsi="Times New Roman" w:eastAsia="仿宋_GB2312" w:cs="Times New Roman"/>
                <w:color w:val="auto"/>
                <w:sz w:val="24"/>
                <w:lang w:eastAsia="zh-CN"/>
              </w:rPr>
              <w:t>，中卫市近五年平均及现状年取水总量、取黄河水量均不超红线指标，本</w:t>
            </w:r>
            <w:r>
              <w:rPr>
                <w:rFonts w:hint="default" w:ascii="Times New Roman" w:hAnsi="Times New Roman" w:eastAsia="仿宋_GB2312" w:cs="Times New Roman"/>
                <w:color w:val="auto"/>
                <w:sz w:val="24"/>
                <w:lang w:val="en-US" w:eastAsia="zh-CN"/>
              </w:rPr>
              <w:t>项目水资源消耗量相对区域资源利用总量较小，项目为临时工程，</w:t>
            </w:r>
            <w:r>
              <w:rPr>
                <w:rFonts w:hint="eastAsia" w:eastAsia="仿宋_GB2312" w:cs="Times New Roman"/>
                <w:color w:val="auto"/>
                <w:sz w:val="24"/>
                <w:lang w:val="en-US" w:eastAsia="zh-CN"/>
              </w:rPr>
              <w:t>服务期满</w:t>
            </w:r>
            <w:r>
              <w:rPr>
                <w:rFonts w:hint="default" w:ascii="Times New Roman" w:hAnsi="Times New Roman" w:eastAsia="仿宋_GB2312" w:cs="Times New Roman"/>
                <w:color w:val="auto"/>
                <w:sz w:val="24"/>
                <w:lang w:val="en-US" w:eastAsia="zh-CN"/>
              </w:rPr>
              <w:t>后对周边环境的影响也将随之消失。故符合水资源利用上线及分区管控要求。</w:t>
            </w:r>
          </w:p>
          <w:p w14:paraId="5AB4B2FD">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③土地资源利用上线及分区管控</w:t>
            </w:r>
          </w:p>
          <w:p w14:paraId="591BB947">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中卫市无土地资源重点管控区。</w:t>
            </w:r>
            <w:r>
              <w:rPr>
                <w:rFonts w:hint="default" w:ascii="Times New Roman" w:hAnsi="Times New Roman" w:eastAsia="仿宋_GB2312" w:cs="Times New Roman"/>
                <w:color w:val="auto"/>
                <w:sz w:val="24"/>
                <w:highlight w:val="none"/>
                <w:lang w:val="en-US" w:eastAsia="zh-CN"/>
              </w:rPr>
              <w:t>本项目建设地点位于宁夏中卫市沙坡头区兴仁镇，</w:t>
            </w:r>
            <w:r>
              <w:rPr>
                <w:rFonts w:hint="eastAsia" w:eastAsia="仿宋_GB2312" w:cs="Times New Roman"/>
                <w:color w:val="auto"/>
                <w:sz w:val="24"/>
                <w:highlight w:val="none"/>
                <w:lang w:val="en-US" w:eastAsia="zh-CN"/>
              </w:rPr>
              <w:t>项目占地类型为采矿用地，</w:t>
            </w:r>
            <w:r>
              <w:rPr>
                <w:rFonts w:hint="eastAsia" w:eastAsia="仿宋_GB2312" w:cs="Times New Roman"/>
                <w:color w:val="auto"/>
                <w:sz w:val="24"/>
                <w:lang w:val="en-US" w:eastAsia="zh-CN"/>
              </w:rPr>
              <w:t>占地面积为12257m</w:t>
            </w:r>
            <w:r>
              <w:rPr>
                <w:rFonts w:hint="eastAsia" w:eastAsia="仿宋_GB2312" w:cs="Times New Roman"/>
                <w:color w:val="auto"/>
                <w:sz w:val="24"/>
                <w:vertAlign w:val="superscript"/>
                <w:lang w:val="en-US" w:eastAsia="zh-CN"/>
              </w:rPr>
              <w:t>2</w:t>
            </w:r>
            <w:r>
              <w:rPr>
                <w:rFonts w:hint="eastAsia" w:eastAsia="仿宋_GB2312" w:cs="Times New Roman"/>
                <w:color w:val="auto"/>
                <w:sz w:val="24"/>
                <w:highlight w:val="none"/>
                <w:lang w:val="en-US" w:eastAsia="zh-CN"/>
              </w:rPr>
              <w:t>，</w:t>
            </w:r>
            <w:r>
              <w:rPr>
                <w:rFonts w:hint="default" w:ascii="Times New Roman" w:hAnsi="Times New Roman" w:eastAsia="仿宋_GB2312" w:cs="Times New Roman"/>
                <w:color w:val="auto"/>
                <w:sz w:val="24"/>
                <w:highlight w:val="none"/>
                <w:lang w:val="en-US" w:eastAsia="zh-CN"/>
              </w:rPr>
              <w:t>项目为临时建设工程</w:t>
            </w:r>
            <w:r>
              <w:rPr>
                <w:rFonts w:hint="eastAsia" w:eastAsia="仿宋_GB2312" w:cs="Times New Roman"/>
                <w:color w:val="auto"/>
                <w:sz w:val="24"/>
                <w:highlight w:val="none"/>
                <w:lang w:val="en-US" w:eastAsia="zh-CN"/>
              </w:rPr>
              <w:t>，</w:t>
            </w:r>
            <w:r>
              <w:rPr>
                <w:rFonts w:hint="default" w:ascii="Times New Roman" w:hAnsi="Times New Roman" w:eastAsia="仿宋_GB2312" w:cs="Times New Roman"/>
                <w:color w:val="auto"/>
                <w:sz w:val="24"/>
                <w:highlight w:val="none"/>
                <w:lang w:val="en-US" w:eastAsia="zh-CN"/>
              </w:rPr>
              <w:t>已取得临时用地手续，</w:t>
            </w:r>
            <w:r>
              <w:rPr>
                <w:rFonts w:hint="eastAsia" w:eastAsia="仿宋_GB2312" w:cs="Times New Roman"/>
                <w:color w:val="auto"/>
                <w:sz w:val="24"/>
                <w:highlight w:val="none"/>
                <w:lang w:val="en-US" w:eastAsia="zh-CN"/>
              </w:rPr>
              <w:t>根据临时用地批复，本项目临时用地有效期为1年，自文件发布之日起计算（即2025年10月11日），项目服务期满后，若继续延用，则需要办理相关手续，若不再延用，则根据土地复垦方案进行复垦，并及时恢复为采矿用地，定期开展生态监测及复垦区域管护。</w:t>
            </w:r>
            <w:r>
              <w:rPr>
                <w:rFonts w:hint="default" w:ascii="Times New Roman" w:hAnsi="Times New Roman" w:eastAsia="仿宋_GB2312" w:cs="Times New Roman"/>
                <w:color w:val="auto"/>
                <w:sz w:val="24"/>
                <w:highlight w:val="none"/>
                <w:lang w:eastAsia="zh-CN"/>
              </w:rPr>
              <w:t>符合土地资源利用上线要求。</w:t>
            </w:r>
          </w:p>
          <w:p w14:paraId="11AA5C77">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综上分析，本项目符合资源利用上线要求。</w:t>
            </w:r>
          </w:p>
          <w:p w14:paraId="521372A0">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fldChar w:fldCharType="begin"/>
            </w:r>
            <w:r>
              <w:rPr>
                <w:rFonts w:hint="default" w:ascii="Times New Roman" w:hAnsi="Times New Roman" w:eastAsia="仿宋_GB2312" w:cs="Times New Roman"/>
                <w:color w:val="auto"/>
                <w:sz w:val="24"/>
                <w:lang w:val="en-US" w:eastAsia="zh-CN"/>
              </w:rPr>
              <w:instrText xml:space="preserve"> = 4 \* GB2 \* MERGEFORMAT </w:instrText>
            </w:r>
            <w:r>
              <w:rPr>
                <w:rFonts w:hint="default" w:ascii="Times New Roman" w:hAnsi="Times New Roman" w:eastAsia="仿宋_GB2312" w:cs="Times New Roman"/>
                <w:color w:val="auto"/>
                <w:sz w:val="24"/>
                <w:lang w:val="en-US" w:eastAsia="zh-CN"/>
              </w:rPr>
              <w:fldChar w:fldCharType="separate"/>
            </w:r>
            <w:r>
              <w:rPr>
                <w:rFonts w:hint="default" w:ascii="Times New Roman" w:hAnsi="Times New Roman" w:eastAsia="仿宋_GB2312" w:cs="Times New Roman"/>
                <w:color w:val="auto"/>
                <w:sz w:val="24"/>
                <w:lang w:eastAsia="zh-CN"/>
              </w:rPr>
              <w:t>⑷</w:t>
            </w:r>
            <w:r>
              <w:rPr>
                <w:rFonts w:hint="default" w:ascii="Times New Roman" w:hAnsi="Times New Roman" w:eastAsia="仿宋_GB2312" w:cs="Times New Roman"/>
                <w:color w:val="auto"/>
                <w:sz w:val="24"/>
                <w:lang w:val="en-US" w:eastAsia="zh-CN"/>
              </w:rPr>
              <w:fldChar w:fldCharType="end"/>
            </w:r>
            <w:r>
              <w:rPr>
                <w:rFonts w:hint="default" w:ascii="Times New Roman" w:hAnsi="Times New Roman" w:eastAsia="仿宋_GB2312" w:cs="Times New Roman"/>
                <w:color w:val="auto"/>
                <w:sz w:val="24"/>
                <w:lang w:eastAsia="zh-CN"/>
              </w:rPr>
              <w:t>环境管控单元与准入清单符合性</w:t>
            </w:r>
          </w:p>
          <w:p w14:paraId="0118AC9C">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项目</w:t>
            </w:r>
            <w:r>
              <w:rPr>
                <w:rFonts w:hint="default" w:ascii="Times New Roman" w:hAnsi="Times New Roman" w:eastAsia="仿宋_GB2312" w:cs="Times New Roman"/>
                <w:color w:val="auto"/>
                <w:sz w:val="24"/>
                <w:lang w:val="en-US" w:eastAsia="zh-CN"/>
              </w:rPr>
              <w:t>与</w:t>
            </w:r>
            <w:r>
              <w:rPr>
                <w:rFonts w:hint="default" w:ascii="Times New Roman" w:hAnsi="Times New Roman" w:eastAsia="仿宋_GB2312" w:cs="Times New Roman"/>
                <w:color w:val="auto"/>
                <w:sz w:val="24"/>
                <w:lang w:eastAsia="zh-CN"/>
              </w:rPr>
              <w:t>中卫市环境管控单元位置关系见图</w:t>
            </w:r>
            <w:r>
              <w:rPr>
                <w:rFonts w:hint="default" w:ascii="Times New Roman" w:hAnsi="Times New Roman" w:eastAsia="仿宋_GB2312" w:cs="Times New Roman"/>
                <w:color w:val="auto"/>
                <w:sz w:val="24"/>
                <w:lang w:val="en-US" w:eastAsia="zh-CN"/>
              </w:rPr>
              <w:t>1-</w:t>
            </w:r>
            <w:r>
              <w:rPr>
                <w:rFonts w:hint="eastAsia" w:eastAsia="仿宋_GB2312" w:cs="Times New Roman"/>
                <w:color w:val="auto"/>
                <w:sz w:val="24"/>
                <w:lang w:val="en-US" w:eastAsia="zh-CN"/>
              </w:rPr>
              <w:t>6</w:t>
            </w:r>
            <w:r>
              <w:rPr>
                <w:rFonts w:hint="default" w:ascii="Times New Roman" w:hAnsi="Times New Roman" w:eastAsia="仿宋_GB2312" w:cs="Times New Roman"/>
                <w:color w:val="auto"/>
                <w:sz w:val="24"/>
                <w:lang w:eastAsia="zh-CN"/>
              </w:rPr>
              <w:t>。由图可知，本项目建设地点位于宁夏中卫市沙坡头区</w:t>
            </w:r>
            <w:r>
              <w:rPr>
                <w:rFonts w:hint="default" w:ascii="Times New Roman" w:hAnsi="Times New Roman" w:eastAsia="仿宋_GB2312" w:cs="Times New Roman"/>
                <w:color w:val="auto"/>
                <w:sz w:val="24"/>
                <w:lang w:val="en-US" w:eastAsia="zh-CN"/>
              </w:rPr>
              <w:t>兴仁镇</w:t>
            </w:r>
            <w:r>
              <w:rPr>
                <w:rFonts w:hint="default" w:ascii="Times New Roman" w:hAnsi="Times New Roman" w:eastAsia="仿宋_GB2312" w:cs="Times New Roman"/>
                <w:color w:val="auto"/>
                <w:sz w:val="24"/>
                <w:lang w:eastAsia="zh-CN"/>
              </w:rPr>
              <w:t>，属于环境管控单元中</w:t>
            </w:r>
            <w:r>
              <w:rPr>
                <w:rFonts w:hint="default" w:ascii="Times New Roman" w:hAnsi="Times New Roman" w:eastAsia="仿宋_GB2312" w:cs="Times New Roman"/>
                <w:color w:val="auto"/>
                <w:sz w:val="24"/>
                <w:lang w:val="en-US" w:eastAsia="zh-CN"/>
              </w:rPr>
              <w:t>一般管控单元</w:t>
            </w:r>
            <w:r>
              <w:rPr>
                <w:rFonts w:hint="default" w:ascii="Times New Roman" w:hAnsi="Times New Roman" w:eastAsia="仿宋_GB2312" w:cs="Times New Roman"/>
                <w:color w:val="auto"/>
                <w:sz w:val="24"/>
                <w:lang w:eastAsia="zh-CN"/>
              </w:rPr>
              <w:t>。项目严格执行各项污染防治措施后，废水、废气、噪声及固废均可得到有效防治，污染物的排放对周围环境影响较小。符合中卫市环境管控单元要求。根据中卫市人民政府办公室关于发布《中卫市生态环境分区管控动态更新成果》的通知（卫政办发〔2024〕33号），中卫市环境管控单元生态环境准入清单</w:t>
            </w:r>
            <w:r>
              <w:rPr>
                <w:rFonts w:hint="default" w:ascii="Times New Roman" w:hAnsi="Times New Roman" w:eastAsia="仿宋_GB2312" w:cs="Times New Roman"/>
                <w:color w:val="auto"/>
                <w:sz w:val="24"/>
                <w:lang w:val="en-US" w:eastAsia="zh-CN"/>
              </w:rPr>
              <w:t>见表1-1，</w:t>
            </w:r>
            <w:r>
              <w:rPr>
                <w:rFonts w:hint="default" w:ascii="Times New Roman" w:hAnsi="Times New Roman" w:eastAsia="仿宋_GB2312" w:cs="Times New Roman"/>
                <w:color w:val="auto"/>
                <w:sz w:val="24"/>
                <w:lang w:eastAsia="zh-CN"/>
              </w:rPr>
              <w:t>本项目不属于禁止、限制开发建设活动或不符合空间布局要求活动，且符合生态保护红线、环境质量底线及资源利用上线相关要求，故项目建设符合生态环境准入清单要求。</w:t>
            </w:r>
          </w:p>
          <w:p w14:paraId="325BB13C">
            <w:pPr>
              <w:keepNext w:val="0"/>
              <w:keepLines w:val="0"/>
              <w:pageBreakBefore w:val="0"/>
              <w:widowControl w:val="0"/>
              <w:kinsoku/>
              <w:wordWrap/>
              <w:overflowPunct/>
              <w:topLinePunct w:val="0"/>
              <w:autoSpaceDE w:val="0"/>
              <w:autoSpaceDN w:val="0"/>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综上所述，本项目的建设符合“三线一单”相关要求。</w:t>
            </w:r>
          </w:p>
          <w:p w14:paraId="6B2BE0AE">
            <w:pPr>
              <w:keepNext w:val="0"/>
              <w:keepLines w:val="0"/>
              <w:pageBreakBefore w:val="0"/>
              <w:widowControl w:val="0"/>
              <w:kinsoku/>
              <w:wordWrap/>
              <w:overflowPunct/>
              <w:topLinePunct w:val="0"/>
              <w:autoSpaceDE w:val="0"/>
              <w:autoSpaceDN w:val="0"/>
              <w:bidi w:val="0"/>
              <w:adjustRightInd w:val="0"/>
              <w:snapToGrid w:val="0"/>
              <w:spacing w:line="356" w:lineRule="auto"/>
              <w:textAlignment w:val="auto"/>
              <w:rPr>
                <w:rFonts w:hint="default" w:ascii="Times New Roman" w:hAnsi="Times New Roman" w:eastAsia="仿宋_GB2312" w:cs="Times New Roman"/>
                <w:color w:val="auto"/>
                <w:sz w:val="24"/>
                <w:lang w:eastAsia="zh-CN"/>
              </w:rPr>
            </w:pPr>
          </w:p>
          <w:p w14:paraId="0DACC6F3">
            <w:pPr>
              <w:keepNext w:val="0"/>
              <w:keepLines w:val="0"/>
              <w:pageBreakBefore w:val="0"/>
              <w:widowControl w:val="0"/>
              <w:kinsoku/>
              <w:wordWrap/>
              <w:overflowPunct/>
              <w:topLinePunct w:val="0"/>
              <w:autoSpaceDE w:val="0"/>
              <w:autoSpaceDN w:val="0"/>
              <w:bidi w:val="0"/>
              <w:adjustRightInd w:val="0"/>
              <w:snapToGrid w:val="0"/>
              <w:spacing w:line="356" w:lineRule="auto"/>
              <w:textAlignment w:val="auto"/>
              <w:rPr>
                <w:rFonts w:hint="default" w:ascii="Times New Roman" w:hAnsi="Times New Roman" w:eastAsia="仿宋_GB2312" w:cs="Times New Roman"/>
                <w:color w:val="auto"/>
                <w:sz w:val="24"/>
                <w:lang w:eastAsia="zh-CN"/>
              </w:rPr>
            </w:pPr>
          </w:p>
          <w:p w14:paraId="45FE4BA5">
            <w:pPr>
              <w:keepNext w:val="0"/>
              <w:keepLines w:val="0"/>
              <w:pageBreakBefore w:val="0"/>
              <w:widowControl w:val="0"/>
              <w:kinsoku/>
              <w:wordWrap/>
              <w:overflowPunct/>
              <w:topLinePunct w:val="0"/>
              <w:autoSpaceDE w:val="0"/>
              <w:autoSpaceDN w:val="0"/>
              <w:bidi w:val="0"/>
              <w:adjustRightInd w:val="0"/>
              <w:snapToGrid w:val="0"/>
              <w:spacing w:line="356" w:lineRule="auto"/>
              <w:textAlignment w:val="auto"/>
              <w:rPr>
                <w:rFonts w:hint="default" w:ascii="Times New Roman" w:hAnsi="Times New Roman" w:eastAsia="仿宋_GB2312" w:cs="Times New Roman"/>
                <w:color w:val="auto"/>
                <w:sz w:val="24"/>
                <w:lang w:eastAsia="zh-CN"/>
              </w:rPr>
            </w:pPr>
          </w:p>
          <w:p w14:paraId="01C9512F">
            <w:pPr>
              <w:keepNext w:val="0"/>
              <w:keepLines w:val="0"/>
              <w:pageBreakBefore w:val="0"/>
              <w:widowControl w:val="0"/>
              <w:kinsoku/>
              <w:wordWrap/>
              <w:overflowPunct/>
              <w:topLinePunct w:val="0"/>
              <w:autoSpaceDE w:val="0"/>
              <w:autoSpaceDN w:val="0"/>
              <w:bidi w:val="0"/>
              <w:adjustRightInd w:val="0"/>
              <w:snapToGrid w:val="0"/>
              <w:spacing w:line="356" w:lineRule="auto"/>
              <w:textAlignment w:val="auto"/>
              <w:rPr>
                <w:rFonts w:hint="default" w:ascii="Times New Roman" w:hAnsi="Times New Roman" w:eastAsia="仿宋_GB2312" w:cs="Times New Roman"/>
                <w:color w:val="auto"/>
                <w:sz w:val="24"/>
                <w:lang w:eastAsia="zh-CN"/>
              </w:rPr>
            </w:pPr>
          </w:p>
          <w:p w14:paraId="78A59D69">
            <w:pPr>
              <w:keepNext w:val="0"/>
              <w:keepLines w:val="0"/>
              <w:pageBreakBefore w:val="0"/>
              <w:widowControl w:val="0"/>
              <w:kinsoku/>
              <w:wordWrap/>
              <w:overflowPunct/>
              <w:topLinePunct w:val="0"/>
              <w:autoSpaceDE w:val="0"/>
              <w:autoSpaceDN w:val="0"/>
              <w:bidi w:val="0"/>
              <w:adjustRightInd w:val="0"/>
              <w:snapToGrid w:val="0"/>
              <w:spacing w:line="356" w:lineRule="auto"/>
              <w:textAlignment w:val="auto"/>
              <w:rPr>
                <w:rFonts w:hint="default" w:ascii="Times New Roman" w:hAnsi="Times New Roman" w:eastAsia="仿宋_GB2312" w:cs="Times New Roman"/>
                <w:color w:val="auto"/>
                <w:sz w:val="24"/>
                <w:lang w:eastAsia="zh-CN"/>
              </w:rPr>
            </w:pPr>
          </w:p>
          <w:p w14:paraId="7D28D393">
            <w:pPr>
              <w:keepNext w:val="0"/>
              <w:keepLines w:val="0"/>
              <w:pageBreakBefore w:val="0"/>
              <w:widowControl w:val="0"/>
              <w:kinsoku/>
              <w:wordWrap/>
              <w:overflowPunct/>
              <w:topLinePunct w:val="0"/>
              <w:autoSpaceDE w:val="0"/>
              <w:autoSpaceDN w:val="0"/>
              <w:bidi w:val="0"/>
              <w:adjustRightInd w:val="0"/>
              <w:snapToGrid w:val="0"/>
              <w:spacing w:line="356" w:lineRule="auto"/>
              <w:textAlignment w:val="auto"/>
              <w:rPr>
                <w:rFonts w:hint="default" w:ascii="Times New Roman" w:hAnsi="Times New Roman" w:eastAsia="仿宋_GB2312" w:cs="Times New Roman"/>
                <w:color w:val="auto"/>
                <w:sz w:val="24"/>
                <w:lang w:eastAsia="zh-CN"/>
              </w:rPr>
            </w:pPr>
          </w:p>
        </w:tc>
      </w:tr>
    </w:tbl>
    <w:p w14:paraId="73D4442A">
      <w:pPr>
        <w:autoSpaceDE w:val="0"/>
        <w:autoSpaceDN w:val="0"/>
        <w:adjustRightInd w:val="0"/>
        <w:snapToGrid w:val="0"/>
        <w:jc w:val="center"/>
        <w:rPr>
          <w:rFonts w:hint="default" w:ascii="Times New Roman" w:hAnsi="Times New Roman" w:eastAsia="宋体" w:cs="Times New Roman"/>
          <w:b/>
          <w:bCs/>
          <w:color w:val="auto"/>
          <w:kern w:val="0"/>
          <w:sz w:val="24"/>
          <w:szCs w:val="24"/>
        </w:rPr>
        <w:sectPr>
          <w:footerReference r:id="rId5" w:type="default"/>
          <w:pgSz w:w="11906" w:h="16838"/>
          <w:pgMar w:top="1531" w:right="1531" w:bottom="153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76975027">
      <w:pPr>
        <w:pStyle w:val="15"/>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表</w:t>
      </w:r>
      <w:r>
        <w:rPr>
          <w:rFonts w:hint="eastAsia" w:ascii="Times New Roman" w:hAnsi="Times New Roman" w:cs="Times New Roman"/>
          <w:color w:val="auto"/>
          <w:kern w:val="0"/>
          <w:sz w:val="21"/>
          <w:szCs w:val="21"/>
          <w:highlight w:val="none"/>
          <w:lang w:val="en-US" w:eastAsia="zh-CN" w:bidi="ar-SA"/>
        </w:rPr>
        <w:t>1</w:t>
      </w:r>
      <w:r>
        <w:rPr>
          <w:rFonts w:hint="eastAsia" w:cs="Times New Roman"/>
          <w:color w:val="auto"/>
          <w:kern w:val="0"/>
          <w:sz w:val="21"/>
          <w:szCs w:val="21"/>
          <w:highlight w:val="none"/>
          <w:lang w:val="en-US" w:eastAsia="zh-CN" w:bidi="ar-SA"/>
        </w:rPr>
        <w:t>-1</w:t>
      </w:r>
      <w:r>
        <w:rPr>
          <w:rFonts w:hint="default" w:ascii="Times New Roman" w:hAnsi="Times New Roman" w:eastAsia="宋体" w:cs="Times New Roman"/>
          <w:color w:val="auto"/>
          <w:kern w:val="0"/>
          <w:sz w:val="21"/>
          <w:szCs w:val="21"/>
          <w:highlight w:val="none"/>
          <w:lang w:val="en-US" w:eastAsia="zh-CN" w:bidi="ar-SA"/>
        </w:rPr>
        <w:t xml:space="preserve"> </w:t>
      </w:r>
      <w:r>
        <w:rPr>
          <w:rFonts w:hint="eastAsia" w:cs="Times New Roman"/>
          <w:color w:val="auto"/>
          <w:kern w:val="0"/>
          <w:sz w:val="21"/>
          <w:szCs w:val="21"/>
          <w:highlight w:val="non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 xml:space="preserve">   </w:t>
      </w:r>
      <w:r>
        <w:rPr>
          <w:rFonts w:hint="eastAsia" w:ascii="Times New Roman" w:hAnsi="Times New Roman" w:cs="Times New Roman"/>
          <w:b/>
          <w:bCs/>
          <w:color w:val="auto"/>
          <w:kern w:val="0"/>
          <w:sz w:val="24"/>
          <w:szCs w:val="24"/>
          <w:highlight w:val="none"/>
          <w:lang w:val="en-US" w:eastAsia="zh-CN" w:bidi="ar-SA"/>
        </w:rPr>
        <w:t>中卫市</w:t>
      </w:r>
      <w:r>
        <w:rPr>
          <w:rFonts w:hint="default" w:ascii="Times New Roman" w:hAnsi="Times New Roman" w:eastAsia="宋体" w:cs="Times New Roman"/>
          <w:b/>
          <w:bCs/>
          <w:color w:val="auto"/>
          <w:kern w:val="0"/>
          <w:sz w:val="24"/>
          <w:szCs w:val="24"/>
          <w:highlight w:val="none"/>
          <w:lang w:val="en-US" w:eastAsia="zh-CN" w:bidi="ar-SA"/>
        </w:rPr>
        <w:t>环境管控单元生态环境准入清单</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6"/>
        <w:gridCol w:w="856"/>
        <w:gridCol w:w="510"/>
        <w:gridCol w:w="509"/>
        <w:gridCol w:w="781"/>
        <w:gridCol w:w="1066"/>
        <w:gridCol w:w="990"/>
        <w:gridCol w:w="3135"/>
        <w:gridCol w:w="1821"/>
        <w:gridCol w:w="1578"/>
        <w:gridCol w:w="1670"/>
      </w:tblGrid>
      <w:tr w14:paraId="4464A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blHeader/>
          <w:jc w:val="center"/>
        </w:trPr>
        <w:tc>
          <w:tcPr>
            <w:tcW w:w="1034" w:type="dxa"/>
            <w:vMerge w:val="restart"/>
            <w:tcBorders>
              <w:tl2br w:val="nil"/>
              <w:tr2bl w:val="nil"/>
            </w:tcBorders>
            <w:noWrap w:val="0"/>
            <w:vAlign w:val="center"/>
          </w:tcPr>
          <w:p w14:paraId="5DA9259C">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823" w:type="dxa"/>
            <w:vMerge w:val="restart"/>
            <w:tcBorders>
              <w:tl2br w:val="nil"/>
              <w:tr2bl w:val="nil"/>
            </w:tcBorders>
            <w:noWrap w:val="0"/>
            <w:vAlign w:val="center"/>
          </w:tcPr>
          <w:p w14:paraId="777AE224">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环境管控单元名称</w:t>
            </w:r>
          </w:p>
        </w:tc>
        <w:tc>
          <w:tcPr>
            <w:tcW w:w="1731" w:type="dxa"/>
            <w:gridSpan w:val="3"/>
            <w:tcBorders>
              <w:tl2br w:val="nil"/>
              <w:tr2bl w:val="nil"/>
            </w:tcBorders>
            <w:noWrap w:val="0"/>
            <w:vAlign w:val="center"/>
          </w:tcPr>
          <w:p w14:paraId="02E5219C">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行政区划</w:t>
            </w:r>
          </w:p>
        </w:tc>
        <w:tc>
          <w:tcPr>
            <w:tcW w:w="1024" w:type="dxa"/>
            <w:vMerge w:val="restart"/>
            <w:tcBorders>
              <w:tl2br w:val="nil"/>
              <w:tr2bl w:val="nil"/>
            </w:tcBorders>
            <w:noWrap w:val="0"/>
            <w:vAlign w:val="center"/>
          </w:tcPr>
          <w:p w14:paraId="399D25B8">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要素</w:t>
            </w:r>
          </w:p>
          <w:p w14:paraId="3132F56A">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属性</w:t>
            </w:r>
          </w:p>
        </w:tc>
        <w:tc>
          <w:tcPr>
            <w:tcW w:w="952" w:type="dxa"/>
            <w:vMerge w:val="restart"/>
            <w:tcBorders>
              <w:tl2br w:val="nil"/>
              <w:tr2bl w:val="nil"/>
            </w:tcBorders>
            <w:noWrap w:val="0"/>
            <w:vAlign w:val="center"/>
          </w:tcPr>
          <w:p w14:paraId="7129980B">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管控</w:t>
            </w:r>
          </w:p>
          <w:p w14:paraId="3DA02D7B">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单元</w:t>
            </w:r>
          </w:p>
          <w:p w14:paraId="06A52CD5">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分类</w:t>
            </w:r>
          </w:p>
        </w:tc>
        <w:tc>
          <w:tcPr>
            <w:tcW w:w="7884" w:type="dxa"/>
            <w:gridSpan w:val="4"/>
            <w:tcBorders>
              <w:tl2br w:val="nil"/>
              <w:tr2bl w:val="nil"/>
            </w:tcBorders>
            <w:noWrap w:val="0"/>
            <w:vAlign w:val="center"/>
          </w:tcPr>
          <w:p w14:paraId="27A88556">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“三线一单”生态环境准入清单编制要求</w:t>
            </w:r>
          </w:p>
        </w:tc>
      </w:tr>
      <w:tr w14:paraId="63E11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8" w:hRule="atLeast"/>
          <w:tblHeader/>
          <w:jc w:val="center"/>
        </w:trPr>
        <w:tc>
          <w:tcPr>
            <w:tcW w:w="1034" w:type="dxa"/>
            <w:vMerge w:val="continue"/>
            <w:tcBorders>
              <w:tl2br w:val="nil"/>
              <w:tr2bl w:val="nil"/>
            </w:tcBorders>
            <w:noWrap w:val="0"/>
            <w:vAlign w:val="center"/>
          </w:tcPr>
          <w:p w14:paraId="4F6FC208">
            <w:pPr>
              <w:widowControl/>
              <w:spacing w:line="240" w:lineRule="auto"/>
              <w:jc w:val="center"/>
              <w:rPr>
                <w:rFonts w:hint="default" w:ascii="Times New Roman" w:hAnsi="Times New Roman" w:eastAsia="宋体" w:cs="Times New Roman"/>
                <w:b/>
                <w:bCs/>
                <w:color w:val="auto"/>
                <w:kern w:val="0"/>
                <w:sz w:val="21"/>
                <w:szCs w:val="21"/>
              </w:rPr>
            </w:pPr>
          </w:p>
        </w:tc>
        <w:tc>
          <w:tcPr>
            <w:tcW w:w="823" w:type="dxa"/>
            <w:vMerge w:val="continue"/>
            <w:tcBorders>
              <w:tl2br w:val="nil"/>
              <w:tr2bl w:val="nil"/>
            </w:tcBorders>
            <w:noWrap w:val="0"/>
            <w:vAlign w:val="center"/>
          </w:tcPr>
          <w:p w14:paraId="3EAE8986">
            <w:pPr>
              <w:widowControl/>
              <w:spacing w:line="240" w:lineRule="auto"/>
              <w:jc w:val="center"/>
              <w:rPr>
                <w:rFonts w:hint="default" w:ascii="Times New Roman" w:hAnsi="Times New Roman" w:eastAsia="宋体" w:cs="Times New Roman"/>
                <w:b/>
                <w:bCs/>
                <w:color w:val="auto"/>
                <w:kern w:val="0"/>
                <w:sz w:val="21"/>
                <w:szCs w:val="21"/>
              </w:rPr>
            </w:pPr>
          </w:p>
        </w:tc>
        <w:tc>
          <w:tcPr>
            <w:tcW w:w="491" w:type="dxa"/>
            <w:tcBorders>
              <w:tl2br w:val="nil"/>
              <w:tr2bl w:val="nil"/>
            </w:tcBorders>
            <w:noWrap w:val="0"/>
            <w:vAlign w:val="center"/>
          </w:tcPr>
          <w:p w14:paraId="3DFDB93B">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省</w:t>
            </w:r>
          </w:p>
        </w:tc>
        <w:tc>
          <w:tcPr>
            <w:tcW w:w="490" w:type="dxa"/>
            <w:tcBorders>
              <w:tl2br w:val="nil"/>
              <w:tr2bl w:val="nil"/>
            </w:tcBorders>
            <w:noWrap w:val="0"/>
            <w:vAlign w:val="center"/>
          </w:tcPr>
          <w:p w14:paraId="7A262B3E">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市</w:t>
            </w:r>
          </w:p>
        </w:tc>
        <w:tc>
          <w:tcPr>
            <w:tcW w:w="750" w:type="dxa"/>
            <w:tcBorders>
              <w:tl2br w:val="nil"/>
              <w:tr2bl w:val="nil"/>
            </w:tcBorders>
            <w:noWrap w:val="0"/>
            <w:vAlign w:val="center"/>
          </w:tcPr>
          <w:p w14:paraId="130B687F">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县</w:t>
            </w:r>
          </w:p>
        </w:tc>
        <w:tc>
          <w:tcPr>
            <w:tcW w:w="1024" w:type="dxa"/>
            <w:vMerge w:val="continue"/>
            <w:tcBorders>
              <w:tl2br w:val="nil"/>
              <w:tr2bl w:val="nil"/>
            </w:tcBorders>
            <w:noWrap w:val="0"/>
            <w:vAlign w:val="center"/>
          </w:tcPr>
          <w:p w14:paraId="5B2CD906">
            <w:pPr>
              <w:widowControl/>
              <w:spacing w:line="240" w:lineRule="auto"/>
              <w:jc w:val="center"/>
              <w:rPr>
                <w:rFonts w:hint="default" w:ascii="Times New Roman" w:hAnsi="Times New Roman" w:eastAsia="宋体" w:cs="Times New Roman"/>
                <w:b/>
                <w:bCs/>
                <w:color w:val="auto"/>
                <w:kern w:val="0"/>
                <w:sz w:val="21"/>
                <w:szCs w:val="21"/>
              </w:rPr>
            </w:pPr>
          </w:p>
        </w:tc>
        <w:tc>
          <w:tcPr>
            <w:tcW w:w="952" w:type="dxa"/>
            <w:vMerge w:val="continue"/>
            <w:tcBorders>
              <w:tl2br w:val="nil"/>
              <w:tr2bl w:val="nil"/>
            </w:tcBorders>
            <w:noWrap w:val="0"/>
            <w:vAlign w:val="center"/>
          </w:tcPr>
          <w:p w14:paraId="74491541">
            <w:pPr>
              <w:widowControl/>
              <w:spacing w:line="240" w:lineRule="auto"/>
              <w:jc w:val="center"/>
              <w:rPr>
                <w:rFonts w:hint="default" w:ascii="Times New Roman" w:hAnsi="Times New Roman" w:eastAsia="宋体" w:cs="Times New Roman"/>
                <w:b/>
                <w:bCs/>
                <w:color w:val="auto"/>
                <w:kern w:val="0"/>
                <w:sz w:val="21"/>
                <w:szCs w:val="21"/>
              </w:rPr>
            </w:pPr>
          </w:p>
        </w:tc>
        <w:tc>
          <w:tcPr>
            <w:tcW w:w="3012" w:type="dxa"/>
            <w:tcBorders>
              <w:tl2br w:val="nil"/>
              <w:tr2bl w:val="nil"/>
            </w:tcBorders>
            <w:noWrap w:val="0"/>
            <w:vAlign w:val="center"/>
          </w:tcPr>
          <w:p w14:paraId="3D070F99">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空间布局约束</w:t>
            </w:r>
          </w:p>
        </w:tc>
        <w:tc>
          <w:tcPr>
            <w:tcW w:w="1750" w:type="dxa"/>
            <w:tcBorders>
              <w:tl2br w:val="nil"/>
              <w:tr2bl w:val="nil"/>
            </w:tcBorders>
            <w:noWrap w:val="0"/>
            <w:vAlign w:val="center"/>
          </w:tcPr>
          <w:p w14:paraId="5F09CC71">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污染物排放管控</w:t>
            </w:r>
          </w:p>
        </w:tc>
        <w:tc>
          <w:tcPr>
            <w:tcW w:w="1517" w:type="dxa"/>
            <w:tcBorders>
              <w:tl2br w:val="nil"/>
              <w:tr2bl w:val="nil"/>
            </w:tcBorders>
            <w:noWrap w:val="0"/>
            <w:vAlign w:val="center"/>
          </w:tcPr>
          <w:p w14:paraId="0E85392B">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环境风险防控</w:t>
            </w:r>
          </w:p>
        </w:tc>
        <w:tc>
          <w:tcPr>
            <w:tcW w:w="1605" w:type="dxa"/>
            <w:tcBorders>
              <w:tl2br w:val="nil"/>
              <w:tr2bl w:val="nil"/>
            </w:tcBorders>
            <w:noWrap w:val="0"/>
            <w:vAlign w:val="center"/>
          </w:tcPr>
          <w:p w14:paraId="55519500">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资源开发效率要求</w:t>
            </w:r>
          </w:p>
        </w:tc>
      </w:tr>
      <w:tr w14:paraId="78CC8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1" w:hRule="atLeast"/>
          <w:tblHeader/>
          <w:jc w:val="center"/>
        </w:trPr>
        <w:tc>
          <w:tcPr>
            <w:tcW w:w="1034" w:type="dxa"/>
            <w:tcBorders>
              <w:tl2br w:val="nil"/>
              <w:tr2bl w:val="nil"/>
            </w:tcBorders>
            <w:noWrap w:val="0"/>
            <w:vAlign w:val="center"/>
          </w:tcPr>
          <w:p w14:paraId="38997596">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ZH64050230001</w:t>
            </w:r>
          </w:p>
        </w:tc>
        <w:tc>
          <w:tcPr>
            <w:tcW w:w="823" w:type="dxa"/>
            <w:tcBorders>
              <w:tl2br w:val="nil"/>
              <w:tr2bl w:val="nil"/>
            </w:tcBorders>
            <w:noWrap w:val="0"/>
            <w:vAlign w:val="center"/>
          </w:tcPr>
          <w:p w14:paraId="60536E4B">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沙坡头区一般管控单元1</w:t>
            </w:r>
          </w:p>
        </w:tc>
        <w:tc>
          <w:tcPr>
            <w:tcW w:w="491" w:type="dxa"/>
            <w:tcBorders>
              <w:tl2br w:val="nil"/>
              <w:tr2bl w:val="nil"/>
            </w:tcBorders>
            <w:noWrap w:val="0"/>
            <w:vAlign w:val="center"/>
          </w:tcPr>
          <w:p w14:paraId="08B0A7FD">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宁夏回族自治区</w:t>
            </w:r>
          </w:p>
        </w:tc>
        <w:tc>
          <w:tcPr>
            <w:tcW w:w="490" w:type="dxa"/>
            <w:tcBorders>
              <w:tl2br w:val="nil"/>
              <w:tr2bl w:val="nil"/>
            </w:tcBorders>
            <w:noWrap w:val="0"/>
            <w:vAlign w:val="center"/>
          </w:tcPr>
          <w:p w14:paraId="758A0582">
            <w:pPr>
              <w:widowControl/>
              <w:spacing w:line="24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中卫市</w:t>
            </w:r>
          </w:p>
        </w:tc>
        <w:tc>
          <w:tcPr>
            <w:tcW w:w="750" w:type="dxa"/>
            <w:tcBorders>
              <w:tl2br w:val="nil"/>
              <w:tr2bl w:val="nil"/>
            </w:tcBorders>
            <w:noWrap w:val="0"/>
            <w:vAlign w:val="center"/>
          </w:tcPr>
          <w:p w14:paraId="377BF8CA">
            <w:pPr>
              <w:keepNext w:val="0"/>
              <w:keepLines w:val="0"/>
              <w:widowControl/>
              <w:suppressLineNumbers w:val="0"/>
              <w:jc w:val="left"/>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沙坡头区</w:t>
            </w:r>
          </w:p>
        </w:tc>
        <w:tc>
          <w:tcPr>
            <w:tcW w:w="1024" w:type="dxa"/>
            <w:tcBorders>
              <w:tl2br w:val="nil"/>
              <w:tr2bl w:val="nil"/>
            </w:tcBorders>
            <w:noWrap w:val="0"/>
            <w:vAlign w:val="center"/>
          </w:tcPr>
          <w:p w14:paraId="2939BDFE">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一般管控区</w:t>
            </w:r>
          </w:p>
        </w:tc>
        <w:tc>
          <w:tcPr>
            <w:tcW w:w="952" w:type="dxa"/>
            <w:tcBorders>
              <w:tl2br w:val="nil"/>
              <w:tr2bl w:val="nil"/>
            </w:tcBorders>
            <w:noWrap w:val="0"/>
            <w:vAlign w:val="center"/>
          </w:tcPr>
          <w:p w14:paraId="3CB6956A">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一般管控单元</w:t>
            </w:r>
          </w:p>
        </w:tc>
        <w:tc>
          <w:tcPr>
            <w:tcW w:w="3012" w:type="dxa"/>
            <w:tcBorders>
              <w:tl2br w:val="nil"/>
              <w:tr2bl w:val="nil"/>
            </w:tcBorders>
            <w:noWrap w:val="0"/>
            <w:vAlign w:val="center"/>
          </w:tcPr>
          <w:p w14:paraId="3C8165FD">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1.禁止新建项目乱征滥占草地、破坏沙生植被，严格限制在区域内采砂取土。</w:t>
            </w:r>
          </w:p>
          <w:p w14:paraId="69F439DA">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2.限制无序发展光伏产业。严格限制在农用地优先保护区集中区域新建医药、垃圾焚烧、铅酸蓄电池制造回收、电子废弃物拆解、危险废物处置和危险化学品生产、储存、使用等行业项目。</w:t>
            </w:r>
          </w:p>
          <w:p w14:paraId="240B0D0A">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3.在满足产业准入、总量控制、排放标准等国家和地方相关管理制度要求的前提下，集约发展。</w:t>
            </w:r>
          </w:p>
          <w:p w14:paraId="74450D6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4.深入推进</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散乱污</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工业企业整治工作，对不符合国家或自治区产业政策、依法应办理而未办理相关审批或登记手续、违法排污严重的工业企业，限期关停拆除</w:t>
            </w:r>
            <w:r>
              <w:rPr>
                <w:rFonts w:hint="eastAsia" w:cs="Times New Roman"/>
                <w:color w:val="auto"/>
                <w:kern w:val="0"/>
                <w:sz w:val="21"/>
                <w:szCs w:val="21"/>
                <w:lang w:eastAsia="zh-CN"/>
              </w:rPr>
              <w:t>。</w:t>
            </w:r>
          </w:p>
        </w:tc>
        <w:tc>
          <w:tcPr>
            <w:tcW w:w="1750" w:type="dxa"/>
            <w:tcBorders>
              <w:tl2br w:val="nil"/>
              <w:tr2bl w:val="nil"/>
            </w:tcBorders>
            <w:noWrap w:val="0"/>
            <w:vAlign w:val="center"/>
          </w:tcPr>
          <w:p w14:paraId="1812D1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1517" w:type="dxa"/>
            <w:tcBorders>
              <w:tl2br w:val="nil"/>
              <w:tr2bl w:val="nil"/>
            </w:tcBorders>
            <w:noWrap w:val="0"/>
            <w:vAlign w:val="center"/>
          </w:tcPr>
          <w:p w14:paraId="6209CB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1605" w:type="dxa"/>
            <w:tcBorders>
              <w:tl2br w:val="nil"/>
              <w:tr2bl w:val="nil"/>
            </w:tcBorders>
            <w:noWrap w:val="0"/>
            <w:vAlign w:val="center"/>
          </w:tcPr>
          <w:p w14:paraId="22FBC0DA">
            <w:pPr>
              <w:widowControl/>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w:t>
            </w:r>
          </w:p>
        </w:tc>
      </w:tr>
      <w:tr w14:paraId="00B1F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5" w:hRule="atLeast"/>
          <w:tblHeader/>
          <w:jc w:val="center"/>
        </w:trPr>
        <w:tc>
          <w:tcPr>
            <w:tcW w:w="1034" w:type="dxa"/>
            <w:tcBorders>
              <w:tl2br w:val="nil"/>
              <w:tr2bl w:val="nil"/>
            </w:tcBorders>
            <w:noWrap w:val="0"/>
            <w:vAlign w:val="center"/>
          </w:tcPr>
          <w:p w14:paraId="6539DE18">
            <w:pPr>
              <w:widowControl/>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本项目情况</w:t>
            </w:r>
          </w:p>
        </w:tc>
        <w:tc>
          <w:tcPr>
            <w:tcW w:w="2554" w:type="dxa"/>
            <w:gridSpan w:val="4"/>
            <w:tcBorders>
              <w:tl2br w:val="nil"/>
              <w:tr2bl w:val="nil"/>
            </w:tcBorders>
            <w:noWrap w:val="0"/>
            <w:vAlign w:val="center"/>
          </w:tcPr>
          <w:p w14:paraId="7DDDA208">
            <w:pPr>
              <w:widowControl/>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位于中卫市沙坡头区</w:t>
            </w:r>
            <w:r>
              <w:rPr>
                <w:rFonts w:hint="eastAsia" w:cs="Times New Roman"/>
                <w:color w:val="auto"/>
                <w:sz w:val="21"/>
                <w:szCs w:val="21"/>
                <w:lang w:val="en-US" w:eastAsia="zh-CN"/>
              </w:rPr>
              <w:t>兴仁镇</w:t>
            </w:r>
          </w:p>
        </w:tc>
        <w:tc>
          <w:tcPr>
            <w:tcW w:w="1976" w:type="dxa"/>
            <w:gridSpan w:val="2"/>
            <w:tcBorders>
              <w:tl2br w:val="nil"/>
              <w:tr2bl w:val="nil"/>
            </w:tcBorders>
            <w:noWrap w:val="0"/>
            <w:vAlign w:val="center"/>
          </w:tcPr>
          <w:p w14:paraId="26CA7EF4">
            <w:pPr>
              <w:widowControl/>
              <w:spacing w:line="240" w:lineRule="auto"/>
              <w:jc w:val="center"/>
              <w:rPr>
                <w:rFonts w:hint="default" w:ascii="Times New Roman" w:hAnsi="Times New Roman" w:cs="Times New Roman"/>
                <w:color w:val="auto"/>
                <w:sz w:val="21"/>
                <w:szCs w:val="21"/>
              </w:rPr>
            </w:pPr>
            <w:r>
              <w:rPr>
                <w:rFonts w:hint="eastAsia" w:cs="Times New Roman"/>
                <w:color w:val="auto"/>
                <w:kern w:val="0"/>
                <w:sz w:val="21"/>
                <w:szCs w:val="21"/>
                <w:lang w:val="en-US" w:eastAsia="zh-CN"/>
              </w:rPr>
              <w:t>一般管控单元</w:t>
            </w:r>
          </w:p>
        </w:tc>
        <w:tc>
          <w:tcPr>
            <w:tcW w:w="7884" w:type="dxa"/>
            <w:gridSpan w:val="4"/>
            <w:tcBorders>
              <w:tl2br w:val="nil"/>
              <w:tr2bl w:val="nil"/>
            </w:tcBorders>
            <w:noWrap w:val="0"/>
            <w:vAlign w:val="center"/>
          </w:tcPr>
          <w:p w14:paraId="3766B001">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项目用地为</w:t>
            </w:r>
            <w:r>
              <w:rPr>
                <w:rFonts w:hint="eastAsia" w:ascii="Times New Roman" w:hAnsi="Times New Roman" w:cs="Times New Roman"/>
                <w:color w:val="auto"/>
                <w:sz w:val="21"/>
                <w:szCs w:val="21"/>
                <w:lang w:val="en-US" w:eastAsia="zh-CN"/>
              </w:rPr>
              <w:t>采矿用地</w:t>
            </w:r>
            <w:r>
              <w:rPr>
                <w:rFonts w:hint="eastAsia" w:cs="Times New Roman"/>
                <w:color w:val="auto"/>
                <w:sz w:val="21"/>
                <w:szCs w:val="21"/>
                <w:lang w:val="en-US" w:eastAsia="zh-CN"/>
              </w:rPr>
              <w:t>，</w:t>
            </w:r>
            <w:r>
              <w:rPr>
                <w:rFonts w:hint="eastAsia" w:cs="Times New Roman"/>
                <w:color w:val="auto"/>
                <w:sz w:val="21"/>
                <w:szCs w:val="21"/>
                <w:highlight w:val="none"/>
                <w:lang w:val="en-US" w:eastAsia="zh-CN"/>
              </w:rPr>
              <w:t>运营期结束后恢复为采矿用地</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rPr>
              <w:t>项目建设符合国家和地方产业政策；项目废气、噪声达标排放，</w:t>
            </w:r>
            <w:r>
              <w:rPr>
                <w:rFonts w:hint="eastAsia" w:cs="Times New Roman"/>
                <w:color w:val="auto"/>
                <w:sz w:val="21"/>
                <w:szCs w:val="21"/>
                <w:lang w:val="en-US" w:eastAsia="zh-CN"/>
              </w:rPr>
              <w:t>生产废水沉淀后回用，食堂废水经隔油设施隔油后，与生活污水一同经化粪池处理后，拉运至中卫市沙坡头区兴仁镇污水处理厂进行处理</w:t>
            </w:r>
            <w:r>
              <w:rPr>
                <w:rFonts w:hint="default" w:ascii="Times New Roman" w:hAnsi="Times New Roman" w:cs="Times New Roman"/>
                <w:color w:val="auto"/>
                <w:sz w:val="21"/>
                <w:szCs w:val="21"/>
              </w:rPr>
              <w:t>，固体废物</w:t>
            </w:r>
            <w:r>
              <w:rPr>
                <w:rFonts w:hint="default" w:ascii="Times New Roman" w:hAnsi="Times New Roman" w:cs="Times New Roman"/>
                <w:color w:val="auto"/>
                <w:sz w:val="21"/>
                <w:szCs w:val="21"/>
                <w:lang w:val="en-US" w:eastAsia="zh-CN"/>
              </w:rPr>
              <w:t>资源化利用</w:t>
            </w:r>
            <w:r>
              <w:rPr>
                <w:rFonts w:hint="default" w:ascii="Times New Roman" w:hAnsi="Times New Roman" w:cs="Times New Roman"/>
                <w:color w:val="auto"/>
                <w:sz w:val="21"/>
                <w:szCs w:val="21"/>
              </w:rPr>
              <w:t>。</w:t>
            </w:r>
          </w:p>
        </w:tc>
      </w:tr>
    </w:tbl>
    <w:p w14:paraId="73AE0B12">
      <w:pPr>
        <w:autoSpaceDE w:val="0"/>
        <w:autoSpaceDN w:val="0"/>
        <w:adjustRightInd w:val="0"/>
        <w:snapToGrid w:val="0"/>
        <w:jc w:val="center"/>
        <w:rPr>
          <w:rFonts w:hint="default" w:ascii="Times New Roman" w:hAnsi="Times New Roman" w:eastAsia="宋体" w:cs="Times New Roman"/>
          <w:b/>
          <w:bCs/>
          <w:color w:val="auto"/>
          <w:kern w:val="0"/>
          <w:sz w:val="24"/>
          <w:szCs w:val="24"/>
        </w:rPr>
        <w:sectPr>
          <w:pgSz w:w="16838" w:h="11906" w:orient="landscape"/>
          <w:pgMar w:top="1531" w:right="1531" w:bottom="1531" w:left="1531" w:header="851" w:footer="1077" w:gutter="0"/>
          <w:pgBorders>
            <w:top w:val="none" w:sz="0" w:space="0"/>
            <w:left w:val="none" w:sz="0" w:space="0"/>
            <w:bottom w:val="none" w:sz="0" w:space="0"/>
            <w:right w:val="none" w:sz="0" w:space="0"/>
          </w:pgBorders>
          <w:pgNumType w:fmt="decimal"/>
          <w:cols w:space="720" w:num="1"/>
          <w:docGrid w:linePitch="312" w:charSpace="0"/>
        </w:sect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7516"/>
      </w:tblGrid>
      <w:tr w14:paraId="6CFEE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97" w:hRule="atLeast"/>
          <w:jc w:val="center"/>
        </w:trPr>
        <w:tc>
          <w:tcPr>
            <w:tcW w:w="1354" w:type="dxa"/>
            <w:noWrap w:val="0"/>
            <w:vAlign w:val="center"/>
          </w:tcPr>
          <w:p w14:paraId="3843A21A">
            <w:pPr>
              <w:autoSpaceDE w:val="0"/>
              <w:autoSpaceDN w:val="0"/>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其他符合性分析</w:t>
            </w:r>
          </w:p>
        </w:tc>
        <w:tc>
          <w:tcPr>
            <w:tcW w:w="7516" w:type="dxa"/>
            <w:noWrap w:val="0"/>
            <w:vAlign w:val="center"/>
          </w:tcPr>
          <w:p w14:paraId="17376FB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lang w:eastAsia="zh-CN"/>
              </w:rPr>
              <w:t>二</w:t>
            </w:r>
            <w:r>
              <w:rPr>
                <w:rFonts w:hint="default" w:ascii="Times New Roman" w:hAnsi="Times New Roman" w:eastAsia="仿宋_GB2312" w:cs="Times New Roman"/>
                <w:b/>
                <w:bCs/>
                <w:color w:val="auto"/>
                <w:sz w:val="24"/>
              </w:rPr>
              <w:t>、产业政策符合性分析</w:t>
            </w:r>
          </w:p>
          <w:p w14:paraId="41DAC31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0" w:firstLineChars="2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rPr>
              <w:t>根据中华人民共和国国家发展改革委令第7号公布《产业结构调整指导目录</w:t>
            </w:r>
            <w:r>
              <w:rPr>
                <w:rFonts w:hint="eastAsia" w:ascii="Times New Roman" w:hAnsi="Times New Roman" w:eastAsia="仿宋_GB2312" w:cs="Times New Roman"/>
                <w:color w:val="auto"/>
                <w:sz w:val="24"/>
                <w:lang w:eastAsia="zh-CN"/>
              </w:rPr>
              <w:t>（</w:t>
            </w:r>
            <w:r>
              <w:rPr>
                <w:rFonts w:hint="eastAsia" w:cs="Times New Roman"/>
                <w:color w:val="auto"/>
                <w:sz w:val="24"/>
                <w:lang w:val="en-US" w:eastAsia="zh-CN"/>
              </w:rPr>
              <w:t>2024</w:t>
            </w:r>
            <w:r>
              <w:rPr>
                <w:rFonts w:hint="default" w:ascii="Times New Roman" w:hAnsi="Times New Roman" w:eastAsia="仿宋_GB2312" w:cs="Times New Roman"/>
                <w:color w:val="auto"/>
                <w:sz w:val="24"/>
              </w:rPr>
              <w:t>年本</w:t>
            </w:r>
            <w:r>
              <w:rPr>
                <w:rFonts w:hint="eastAsia"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w:t>
            </w:r>
            <w:r>
              <w:rPr>
                <w:rFonts w:hint="default" w:ascii="Times New Roman" w:hAnsi="Times New Roman" w:eastAsia="仿宋_GB2312" w:cs="Times New Roman"/>
                <w:color w:val="auto"/>
                <w:sz w:val="24"/>
                <w:szCs w:val="24"/>
                <w:lang w:val="en-US" w:eastAsia="zh-CN"/>
              </w:rPr>
              <w:t>，本项目为</w:t>
            </w:r>
            <w:r>
              <w:rPr>
                <w:rFonts w:hint="eastAsia" w:eastAsia="仿宋_GB2312" w:cs="Times New Roman"/>
                <w:color w:val="auto"/>
                <w:sz w:val="24"/>
                <w:szCs w:val="24"/>
                <w:lang w:val="en-US" w:eastAsia="zh-CN"/>
              </w:rPr>
              <w:t>水泥</w:t>
            </w:r>
            <w:r>
              <w:rPr>
                <w:rFonts w:hint="default" w:ascii="Times New Roman" w:hAnsi="Times New Roman" w:eastAsia="仿宋_GB2312" w:cs="Times New Roman"/>
                <w:color w:val="auto"/>
                <w:sz w:val="24"/>
                <w:szCs w:val="24"/>
                <w:lang w:val="en-US" w:eastAsia="zh-CN"/>
              </w:rPr>
              <w:t>混凝土生产加工项目，不属于“鼓励类”、“限制类”和“淘汰类”</w:t>
            </w:r>
            <w:r>
              <w:rPr>
                <w:rFonts w:hint="eastAsia" w:eastAsia="仿宋_GB2312" w:cs="Times New Roman"/>
                <w:color w:val="auto"/>
                <w:sz w:val="24"/>
                <w:szCs w:val="24"/>
                <w:lang w:val="en-US" w:eastAsia="zh-CN"/>
              </w:rPr>
              <w:t>项目</w:t>
            </w:r>
            <w:r>
              <w:rPr>
                <w:rFonts w:hint="default" w:ascii="Times New Roman" w:hAnsi="Times New Roman" w:eastAsia="仿宋_GB2312" w:cs="Times New Roman"/>
                <w:color w:val="auto"/>
                <w:sz w:val="24"/>
                <w:szCs w:val="24"/>
                <w:lang w:val="en-US" w:eastAsia="zh-CN"/>
              </w:rPr>
              <w:t>，属“允许类”建设项目，故项目的建设符合国家产业政策要求。</w:t>
            </w:r>
          </w:p>
          <w:p w14:paraId="3E4E7D1C">
            <w:pPr>
              <w:keepNext w:val="0"/>
              <w:keepLines w:val="0"/>
              <w:pageBreakBefore w:val="0"/>
              <w:widowControl w:val="0"/>
              <w:kinsoku/>
              <w:wordWrap/>
              <w:overflowPunct/>
              <w:topLinePunct w:val="0"/>
              <w:autoSpaceDE w:val="0"/>
              <w:autoSpaceDN w:val="0"/>
              <w:bidi w:val="0"/>
              <w:adjustRightInd w:val="0"/>
              <w:snapToGrid w:val="0"/>
              <w:spacing w:line="360" w:lineRule="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lang w:val="en-US" w:eastAsia="zh-CN"/>
              </w:rPr>
              <w:t>三</w:t>
            </w:r>
            <w:r>
              <w:rPr>
                <w:rFonts w:hint="default" w:ascii="Times New Roman" w:hAnsi="Times New Roman" w:eastAsia="仿宋_GB2312" w:cs="Times New Roman"/>
                <w:b/>
                <w:bCs/>
                <w:color w:val="auto"/>
                <w:sz w:val="24"/>
              </w:rPr>
              <w:t>、与《宁夏回族自治区生态环境保护“十四五”规划》的符合性分析</w:t>
            </w:r>
          </w:p>
          <w:p w14:paraId="1F99A17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根据宁夏回族自治区人民政府办公厅《关于印发宁夏回族自治区生态环境保护“十四五”规划的通知》（宁政办发[2021]59号）中“五、加强协同治理，改善环境空气质量中的（二）持续强化“四尘”同治。</w:t>
            </w:r>
            <w:r>
              <w:rPr>
                <w:rFonts w:hint="default" w:ascii="Times New Roman" w:hAnsi="Times New Roman" w:eastAsia="仿宋_GB2312" w:cs="Times New Roman"/>
                <w:b/>
                <w:bCs/>
                <w:color w:val="auto"/>
                <w:sz w:val="24"/>
                <w:lang w:eastAsia="zh-CN"/>
              </w:rPr>
              <w:t>深化烟尘污染治理</w:t>
            </w:r>
            <w:r>
              <w:rPr>
                <w:rFonts w:hint="default" w:ascii="Times New Roman" w:hAnsi="Times New Roman" w:eastAsia="仿宋_GB2312" w:cs="Times New Roman"/>
                <w:color w:val="auto"/>
                <w:sz w:val="24"/>
                <w:lang w:eastAsia="zh-CN"/>
              </w:rPr>
              <w:t>：推进实施钢铁、水泥等行业超低排放改造。逐步完善焦化、铁合金、</w:t>
            </w:r>
            <w:r>
              <w:rPr>
                <w:rFonts w:hint="default" w:ascii="Times New Roman" w:hAnsi="Times New Roman" w:eastAsia="仿宋_GB2312" w:cs="Times New Roman"/>
                <w:b w:val="0"/>
                <w:bCs w:val="0"/>
                <w:color w:val="auto"/>
                <w:sz w:val="24"/>
                <w:lang w:eastAsia="zh-CN"/>
              </w:rPr>
              <w:t>石墨碳素</w:t>
            </w:r>
            <w:r>
              <w:rPr>
                <w:rFonts w:hint="default" w:ascii="Times New Roman" w:hAnsi="Times New Roman" w:eastAsia="仿宋_GB2312" w:cs="Times New Roman"/>
                <w:color w:val="auto"/>
                <w:sz w:val="24"/>
                <w:lang w:eastAsia="zh-CN"/>
              </w:rPr>
              <w:t>等</w:t>
            </w:r>
            <w:r>
              <w:rPr>
                <w:rFonts w:hint="default" w:ascii="Times New Roman" w:hAnsi="Times New Roman" w:eastAsia="仿宋_GB2312" w:cs="Times New Roman"/>
                <w:b w:val="0"/>
                <w:bCs w:val="0"/>
                <w:color w:val="auto"/>
                <w:sz w:val="24"/>
                <w:lang w:eastAsia="zh-CN"/>
              </w:rPr>
              <w:t>涉煤工业炉窑</w:t>
            </w:r>
            <w:r>
              <w:rPr>
                <w:rFonts w:hint="default" w:ascii="Times New Roman" w:hAnsi="Times New Roman" w:eastAsia="仿宋_GB2312" w:cs="Times New Roman"/>
                <w:color w:val="auto"/>
                <w:sz w:val="24"/>
                <w:lang w:eastAsia="zh-CN"/>
              </w:rPr>
              <w:t>尾气综合利用路径和措施，推进焦化、铁合金尾气发电等行业深度脱硝治理。继续推动燃气锅炉低氮改造。实施挥发性有机物排放总量控制，探索建立挥发性有机物减排认定与绩效考核机制。从源头减少产生量、过程减少泄漏量、末端减少排放量，严格落实国家和地方产品挥发性有机物含量限值标准，实施低（无）挥发性有机物原辅材料替代，推进石油炼制、石化、现代煤化工、原料药制造、农药制造、化学原料和化学品制造、涂料等行业“一厂一策”综合治理。加强无组织排放管控，提升挥发性有机物排放“三率”。控制服务业和生活源涉挥发性有机物溶剂使用。</w:t>
            </w:r>
          </w:p>
          <w:p w14:paraId="0C0BDE4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0" w:firstLineChars="200"/>
              <w:jc w:val="both"/>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本项目为</w:t>
            </w:r>
            <w:r>
              <w:rPr>
                <w:rFonts w:hint="eastAsia" w:eastAsia="仿宋_GB2312" w:cs="Times New Roman"/>
                <w:color w:val="auto"/>
                <w:sz w:val="24"/>
                <w:szCs w:val="24"/>
                <w:lang w:val="en-US" w:eastAsia="zh-CN"/>
              </w:rPr>
              <w:t>水泥</w:t>
            </w:r>
            <w:r>
              <w:rPr>
                <w:rFonts w:hint="default" w:ascii="Times New Roman" w:hAnsi="Times New Roman" w:eastAsia="仿宋_GB2312" w:cs="Times New Roman"/>
                <w:color w:val="auto"/>
                <w:sz w:val="24"/>
                <w:szCs w:val="24"/>
                <w:lang w:val="en-US" w:eastAsia="zh-CN"/>
              </w:rPr>
              <w:t>混凝土生产加工项目</w:t>
            </w:r>
            <w:r>
              <w:rPr>
                <w:rFonts w:hint="default" w:ascii="Times New Roman" w:hAnsi="Times New Roman" w:eastAsia="仿宋_GB2312" w:cs="Times New Roman"/>
                <w:color w:val="auto"/>
                <w:sz w:val="24"/>
                <w:lang w:eastAsia="zh-CN"/>
              </w:rPr>
              <w:t>，不涉及燃煤锅炉</w:t>
            </w:r>
            <w:r>
              <w:rPr>
                <w:rFonts w:hint="eastAsia" w:eastAsia="仿宋_GB2312" w:cs="Times New Roman"/>
                <w:color w:val="auto"/>
                <w:sz w:val="24"/>
                <w:lang w:val="en-US" w:eastAsia="zh-CN"/>
              </w:rPr>
              <w:t>的使用，本项目不涉及</w:t>
            </w:r>
            <w:r>
              <w:rPr>
                <w:rFonts w:hint="default" w:ascii="Times New Roman" w:hAnsi="Times New Roman" w:eastAsia="仿宋_GB2312" w:cs="Times New Roman"/>
                <w:color w:val="auto"/>
                <w:sz w:val="24"/>
                <w:lang w:eastAsia="zh-CN"/>
              </w:rPr>
              <w:t>挥发性有机物</w:t>
            </w:r>
            <w:r>
              <w:rPr>
                <w:rFonts w:hint="eastAsia" w:eastAsia="仿宋_GB2312" w:cs="Times New Roman"/>
                <w:color w:val="auto"/>
                <w:sz w:val="24"/>
                <w:lang w:val="en-US" w:eastAsia="zh-CN"/>
              </w:rPr>
              <w:t>产生，产生的颗粒物经相应处理措施处理后可达标排放</w:t>
            </w:r>
            <w:r>
              <w:rPr>
                <w:rFonts w:hint="default" w:ascii="Times New Roman" w:hAnsi="Times New Roman" w:eastAsia="仿宋_GB2312" w:cs="Times New Roman"/>
                <w:color w:val="auto"/>
                <w:sz w:val="24"/>
                <w:lang w:eastAsia="zh-CN"/>
              </w:rPr>
              <w:t>。因此本项目符合《宁夏回族自治区生态环境保护“十四五”规划》中相关要求。</w:t>
            </w:r>
          </w:p>
          <w:p w14:paraId="295B089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lang w:val="en-US" w:eastAsia="zh-CN"/>
              </w:rPr>
              <w:t>四</w:t>
            </w:r>
            <w:r>
              <w:rPr>
                <w:rFonts w:hint="default" w:ascii="Times New Roman" w:hAnsi="Times New Roman" w:eastAsia="仿宋_GB2312" w:cs="Times New Roman"/>
                <w:b/>
                <w:bCs/>
                <w:color w:val="auto"/>
                <w:sz w:val="24"/>
              </w:rPr>
              <w:t>、与《宁夏</w:t>
            </w:r>
            <w:r>
              <w:rPr>
                <w:rFonts w:hint="default" w:ascii="Times New Roman" w:hAnsi="Times New Roman" w:eastAsia="仿宋_GB2312" w:cs="Times New Roman"/>
                <w:b/>
                <w:bCs/>
                <w:color w:val="auto"/>
                <w:sz w:val="24"/>
                <w:lang w:eastAsia="zh-CN"/>
              </w:rPr>
              <w:t>回族自治区工业</w:t>
            </w:r>
            <w:r>
              <w:rPr>
                <w:rFonts w:hint="default" w:ascii="Times New Roman" w:hAnsi="Times New Roman" w:eastAsia="仿宋_GB2312" w:cs="Times New Roman"/>
                <w:b/>
                <w:bCs/>
                <w:color w:val="auto"/>
                <w:sz w:val="24"/>
              </w:rPr>
              <w:t>固体废物污染防治“十四五”规划》符合性分析</w:t>
            </w:r>
          </w:p>
          <w:p w14:paraId="57A248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szCs w:val="24"/>
                <w:lang w:val="en-US" w:eastAsia="zh-CN"/>
              </w:rPr>
              <w:t>根据《宁夏回族自治区工业固体废物污染防治“十四五”规划》中</w:t>
            </w:r>
            <w:r>
              <w:rPr>
                <w:rFonts w:hint="default" w:ascii="Times New Roman" w:hAnsi="Times New Roman" w:eastAsia="仿宋_GB2312" w:cs="Times New Roman"/>
                <w:color w:val="auto"/>
                <w:sz w:val="24"/>
                <w:lang w:eastAsia="zh-CN"/>
              </w:rPr>
              <w:t>“三、重点任务中的（四）多措并举，促进工业固体废物资源化及（六）提升危险废物环境监管能力”。</w:t>
            </w:r>
            <w:r>
              <w:rPr>
                <w:rFonts w:hint="default" w:ascii="Times New Roman" w:hAnsi="Times New Roman" w:eastAsia="仿宋_GB2312" w:cs="Times New Roman"/>
                <w:b/>
                <w:bCs/>
                <w:color w:val="auto"/>
                <w:sz w:val="24"/>
                <w:lang w:eastAsia="zh-CN"/>
              </w:rPr>
              <w:t>实施工业固体废物消减计划：</w:t>
            </w:r>
            <w:r>
              <w:rPr>
                <w:rFonts w:hint="default" w:ascii="Times New Roman" w:hAnsi="Times New Roman" w:eastAsia="仿宋_GB2312" w:cs="Times New Roman"/>
                <w:color w:val="auto"/>
                <w:sz w:val="24"/>
                <w:lang w:eastAsia="zh-CN"/>
              </w:rPr>
              <w:t>各市县（区）政府应严格管控临时渣场及堆场用地审批，督促固废产生企业加快综合利用。全面落实产废企业综合利用主体责任，按照“谁产生、谁利用”的原则，煤炭开采、火电、煤化工等重点产废企业按照环境影响评价报告书及其批复文件中提出的工业固体废物综合利用方案和综合利用率，逐年制定工业固体废物综合利用计划报综合利用主管部门、生态环境部门备案，综合利用计划应明确综合利用工业固体废物的种类、途径、比例和数量。</w:t>
            </w:r>
            <w:r>
              <w:rPr>
                <w:rFonts w:hint="default" w:ascii="Times New Roman" w:hAnsi="Times New Roman" w:eastAsia="仿宋_GB2312" w:cs="Times New Roman"/>
                <w:b/>
                <w:bCs/>
                <w:color w:val="auto"/>
                <w:sz w:val="24"/>
                <w:lang w:eastAsia="zh-CN"/>
              </w:rPr>
              <w:t>完善危险废物收集体系建设：</w:t>
            </w:r>
            <w:r>
              <w:rPr>
                <w:rFonts w:hint="default" w:ascii="Times New Roman" w:hAnsi="Times New Roman" w:eastAsia="仿宋_GB2312" w:cs="Times New Roman"/>
                <w:color w:val="auto"/>
                <w:sz w:val="24"/>
                <w:lang w:eastAsia="zh-CN"/>
              </w:rPr>
              <w:t>推动收集转运贮存专业化，支持危险废物专业收集转运和利用处置单位建设区域性收集网点和贮存设施，开展小微企业、科研机构、学校等产生的危险废物有偿收集转运服务。建立危险废物和医疗废物运输车辆备案制度，完善“点对点”的常备通行路线，实现危险废物和医疗废物运输车辆规范有序、安全便捷通行。根据企业环境信用记录和环境风险可控程度等，以“白名单”方式简化危险废物跨省转移审批程序。</w:t>
            </w:r>
          </w:p>
          <w:p w14:paraId="054A2E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本项目为</w:t>
            </w:r>
            <w:r>
              <w:rPr>
                <w:rFonts w:hint="eastAsia" w:eastAsia="仿宋_GB2312" w:cs="Times New Roman"/>
                <w:color w:val="auto"/>
                <w:sz w:val="24"/>
                <w:szCs w:val="24"/>
                <w:highlight w:val="none"/>
                <w:lang w:val="en-US" w:eastAsia="zh-CN"/>
              </w:rPr>
              <w:t>水泥</w:t>
            </w:r>
            <w:r>
              <w:rPr>
                <w:rFonts w:hint="default" w:ascii="Times New Roman" w:hAnsi="Times New Roman" w:eastAsia="仿宋_GB2312" w:cs="Times New Roman"/>
                <w:color w:val="auto"/>
                <w:sz w:val="24"/>
                <w:szCs w:val="24"/>
                <w:highlight w:val="none"/>
                <w:lang w:val="en-US" w:eastAsia="zh-CN"/>
              </w:rPr>
              <w:t>混凝土生产加工项目，</w:t>
            </w:r>
            <w:r>
              <w:rPr>
                <w:rFonts w:hint="default" w:ascii="Times New Roman" w:hAnsi="Times New Roman" w:eastAsia="仿宋_GB2312" w:cs="Times New Roman"/>
                <w:color w:val="auto"/>
                <w:sz w:val="24"/>
                <w:highlight w:val="none"/>
                <w:lang w:eastAsia="zh-CN"/>
              </w:rPr>
              <w:t>运营期产生的工业固体废物有沉淀池沉渣、除尘器收尘灰，收集后回用于生产</w:t>
            </w:r>
            <w:r>
              <w:rPr>
                <w:rFonts w:hint="eastAsia" w:eastAsia="仿宋_GB2312" w:cs="Times New Roman"/>
                <w:color w:val="auto"/>
                <w:sz w:val="24"/>
                <w:highlight w:val="none"/>
                <w:lang w:eastAsia="zh-CN"/>
              </w:rPr>
              <w:t>；</w:t>
            </w:r>
            <w:r>
              <w:rPr>
                <w:rFonts w:hint="eastAsia" w:eastAsia="仿宋_GB2312" w:cs="Times New Roman"/>
                <w:color w:val="auto"/>
                <w:sz w:val="24"/>
                <w:highlight w:val="none"/>
                <w:lang w:val="en-US" w:eastAsia="zh-CN"/>
              </w:rPr>
              <w:t>同时，项目生产过程中以粉煤灰为原料进行加工，属于一般固废的利用。因此，本项目</w:t>
            </w:r>
            <w:r>
              <w:rPr>
                <w:rFonts w:hint="default" w:ascii="Times New Roman" w:hAnsi="Times New Roman" w:eastAsia="仿宋_GB2312" w:cs="Times New Roman"/>
                <w:color w:val="auto"/>
                <w:sz w:val="24"/>
                <w:highlight w:val="none"/>
                <w:lang w:eastAsia="zh-CN"/>
              </w:rPr>
              <w:t>符合“谁产生、谁利用”及“资源化利用原则”</w:t>
            </w:r>
            <w:r>
              <w:rPr>
                <w:rFonts w:hint="eastAsia" w:eastAsia="仿宋_GB2312" w:cs="Times New Roman"/>
                <w:color w:val="auto"/>
                <w:sz w:val="24"/>
                <w:highlight w:val="none"/>
                <w:lang w:eastAsia="zh-CN"/>
              </w:rPr>
              <w:t>。</w:t>
            </w:r>
            <w:r>
              <w:rPr>
                <w:rFonts w:hint="eastAsia" w:eastAsia="仿宋_GB2312" w:cs="Times New Roman"/>
                <w:color w:val="auto"/>
                <w:sz w:val="24"/>
                <w:szCs w:val="24"/>
                <w:highlight w:val="none"/>
                <w:lang w:val="en-US" w:eastAsia="zh-CN"/>
              </w:rPr>
              <w:t>本项目为临时工程，运营期为1年，车辆检修依托周边维修站，且项目运营期较短，若设备需进行检修，其产生的废机油由厂家更换回收，不在厂区贮存</w:t>
            </w:r>
            <w:r>
              <w:rPr>
                <w:rFonts w:hint="eastAsia" w:eastAsia="仿宋_GB2312" w:cs="Times New Roman"/>
                <w:color w:val="auto"/>
                <w:sz w:val="24"/>
                <w:highlight w:val="none"/>
                <w:lang w:val="en-US" w:eastAsia="zh-CN"/>
              </w:rPr>
              <w:t>。</w:t>
            </w:r>
            <w:r>
              <w:rPr>
                <w:rFonts w:hint="default" w:ascii="Times New Roman" w:hAnsi="Times New Roman" w:eastAsia="仿宋_GB2312" w:cs="Times New Roman"/>
                <w:color w:val="auto"/>
                <w:sz w:val="24"/>
                <w:highlight w:val="none"/>
                <w:lang w:eastAsia="zh-CN"/>
              </w:rPr>
              <w:t>因此本项目符合《</w:t>
            </w:r>
            <w:r>
              <w:rPr>
                <w:rFonts w:hint="default" w:ascii="Times New Roman" w:hAnsi="Times New Roman" w:eastAsia="仿宋_GB2312" w:cs="Times New Roman"/>
                <w:color w:val="auto"/>
                <w:sz w:val="24"/>
                <w:szCs w:val="24"/>
                <w:highlight w:val="none"/>
                <w:lang w:val="en-US" w:eastAsia="zh-CN"/>
              </w:rPr>
              <w:t>宁夏回族自治区工业固体废物污染防治“十四五”规划</w:t>
            </w:r>
            <w:r>
              <w:rPr>
                <w:rFonts w:hint="default" w:ascii="Times New Roman" w:hAnsi="Times New Roman" w:eastAsia="仿宋_GB2312" w:cs="Times New Roman"/>
                <w:color w:val="auto"/>
                <w:sz w:val="24"/>
                <w:highlight w:val="none"/>
                <w:lang w:eastAsia="zh-CN"/>
              </w:rPr>
              <w:t>》中相关要求。</w:t>
            </w:r>
          </w:p>
          <w:p w14:paraId="461763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lang w:val="en-US" w:eastAsia="zh-CN"/>
              </w:rPr>
              <w:t>五</w:t>
            </w:r>
            <w:r>
              <w:rPr>
                <w:rFonts w:hint="default" w:ascii="Times New Roman" w:hAnsi="Times New Roman" w:eastAsia="仿宋_GB2312" w:cs="Times New Roman"/>
                <w:b/>
                <w:bCs/>
                <w:color w:val="auto"/>
                <w:sz w:val="24"/>
              </w:rPr>
              <w:t>、与《宁夏回族自治区固体废物污染环境防治条例》符合性分析</w:t>
            </w:r>
          </w:p>
          <w:p w14:paraId="2D5FF8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根据《宁夏回族自治区固体废物污染环境防治条例》中</w:t>
            </w:r>
            <w:r>
              <w:rPr>
                <w:rFonts w:hint="default" w:ascii="Times New Roman" w:hAnsi="Times New Roman" w:eastAsia="仿宋_GB2312" w:cs="Times New Roman"/>
                <w:color w:val="auto"/>
                <w:sz w:val="24"/>
                <w:lang w:eastAsia="zh-CN"/>
              </w:rPr>
              <w:t>“第三章第二十五条、第四章第三十条、第五章第四十二条”，</w:t>
            </w:r>
            <w:r>
              <w:rPr>
                <w:rFonts w:hint="default" w:ascii="Times New Roman" w:hAnsi="Times New Roman" w:eastAsia="仿宋_GB2312" w:cs="Times New Roman"/>
                <w:b/>
                <w:bCs/>
                <w:color w:val="auto"/>
                <w:sz w:val="24"/>
                <w:lang w:eastAsia="zh-CN"/>
              </w:rPr>
              <w:t>第二十五条：</w:t>
            </w:r>
            <w:r>
              <w:rPr>
                <w:rFonts w:hint="default" w:ascii="Times New Roman" w:hAnsi="Times New Roman" w:eastAsia="仿宋_GB2312" w:cs="Times New Roman"/>
                <w:color w:val="auto"/>
                <w:sz w:val="24"/>
                <w:lang w:eastAsia="zh-CN"/>
              </w:rPr>
              <w:t>产生工业固体废物的工业园区应当按照有关规定建设工业固体废物集中收集、贮存、处置设施和场所，并加强工业固体废物综合利用；</w:t>
            </w:r>
            <w:r>
              <w:rPr>
                <w:rFonts w:hint="default" w:ascii="Times New Roman" w:hAnsi="Times New Roman" w:eastAsia="仿宋_GB2312" w:cs="Times New Roman"/>
                <w:b/>
                <w:bCs/>
                <w:color w:val="auto"/>
                <w:sz w:val="24"/>
                <w:lang w:eastAsia="zh-CN"/>
              </w:rPr>
              <w:t>第三十条：</w:t>
            </w:r>
            <w:r>
              <w:rPr>
                <w:rFonts w:hint="default" w:ascii="Times New Roman" w:hAnsi="Times New Roman" w:eastAsia="仿宋_GB2312" w:cs="Times New Roman"/>
                <w:color w:val="auto"/>
                <w:sz w:val="24"/>
                <w:lang w:eastAsia="zh-CN"/>
              </w:rPr>
              <w:t>各级人民政府及有关部门应当建立生产、流通、消费等领域全过程生活垃圾源头减量机制，减少生活垃圾产生量，促进资源节约和循环利用；</w:t>
            </w:r>
            <w:r>
              <w:rPr>
                <w:rFonts w:hint="default" w:ascii="Times New Roman" w:hAnsi="Times New Roman" w:eastAsia="仿宋_GB2312" w:cs="Times New Roman"/>
                <w:b/>
                <w:bCs/>
                <w:color w:val="auto"/>
                <w:sz w:val="24"/>
                <w:lang w:eastAsia="zh-CN"/>
              </w:rPr>
              <w:t>第四十二条：</w:t>
            </w:r>
            <w:r>
              <w:rPr>
                <w:rFonts w:hint="default" w:ascii="Times New Roman" w:hAnsi="Times New Roman" w:eastAsia="仿宋_GB2312" w:cs="Times New Roman"/>
                <w:color w:val="auto"/>
                <w:sz w:val="24"/>
                <w:lang w:eastAsia="zh-CN"/>
              </w:rPr>
              <w:t>产生危险废物的单位应当按照国家有关规定制定危险废物管理计划，建立危险废物管理台账，如实记录有关信息，并通过固体废物信息管理系统向所在地生态环境主管部门申报危险废物的种类、产生量、流向、贮存、处置等有关资料。</w:t>
            </w:r>
          </w:p>
          <w:p w14:paraId="17B673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本项目为</w:t>
            </w:r>
            <w:r>
              <w:rPr>
                <w:rFonts w:hint="eastAsia" w:eastAsia="仿宋_GB2312" w:cs="Times New Roman"/>
                <w:color w:val="auto"/>
                <w:sz w:val="24"/>
                <w:szCs w:val="24"/>
                <w:highlight w:val="none"/>
                <w:lang w:val="en-US" w:eastAsia="zh-CN"/>
              </w:rPr>
              <w:t>水泥</w:t>
            </w:r>
            <w:r>
              <w:rPr>
                <w:rFonts w:hint="default" w:ascii="Times New Roman" w:hAnsi="Times New Roman" w:eastAsia="仿宋_GB2312" w:cs="Times New Roman"/>
                <w:color w:val="auto"/>
                <w:sz w:val="24"/>
                <w:szCs w:val="24"/>
                <w:highlight w:val="none"/>
                <w:lang w:val="en-US" w:eastAsia="zh-CN"/>
              </w:rPr>
              <w:t>混凝土生产加工项目，</w:t>
            </w:r>
            <w:r>
              <w:rPr>
                <w:rFonts w:hint="default" w:ascii="Times New Roman" w:hAnsi="Times New Roman" w:eastAsia="仿宋_GB2312" w:cs="Times New Roman"/>
                <w:color w:val="auto"/>
                <w:sz w:val="24"/>
                <w:highlight w:val="none"/>
                <w:lang w:eastAsia="zh-CN"/>
              </w:rPr>
              <w:t>运营期产生的工业固体废物有沉淀池沉渣、除尘器收尘灰，收集后回用于生产，符合“谁产生、谁利用”及“资源化利用原则”；</w:t>
            </w:r>
            <w:r>
              <w:rPr>
                <w:rFonts w:hint="eastAsia" w:eastAsia="仿宋_GB2312" w:cs="Times New Roman"/>
                <w:color w:val="auto"/>
                <w:sz w:val="24"/>
                <w:szCs w:val="24"/>
                <w:highlight w:val="none"/>
                <w:lang w:val="en-US" w:eastAsia="zh-CN"/>
              </w:rPr>
              <w:t>项目为临时工程，运营期为1年，车辆检修依托周边维修站，且项目运营期较短，若需进行设备检修，其产生的废机油由厂家更换回收，不在厂区贮存</w:t>
            </w:r>
            <w:r>
              <w:rPr>
                <w:rFonts w:hint="eastAsia" w:eastAsia="仿宋_GB2312" w:cs="Times New Roman"/>
                <w:color w:val="auto"/>
                <w:sz w:val="24"/>
                <w:highlight w:val="none"/>
                <w:lang w:val="en-US" w:eastAsia="zh-CN"/>
              </w:rPr>
              <w:t>。</w:t>
            </w:r>
            <w:r>
              <w:rPr>
                <w:rFonts w:hint="default" w:ascii="Times New Roman" w:hAnsi="Times New Roman" w:eastAsia="仿宋_GB2312" w:cs="Times New Roman"/>
                <w:color w:val="auto"/>
                <w:sz w:val="24"/>
                <w:highlight w:val="none"/>
                <w:lang w:eastAsia="zh-CN"/>
              </w:rPr>
              <w:t>因此本项目符合《</w:t>
            </w:r>
            <w:r>
              <w:rPr>
                <w:rFonts w:hint="default" w:ascii="Times New Roman" w:hAnsi="Times New Roman" w:eastAsia="仿宋_GB2312" w:cs="Times New Roman"/>
                <w:color w:val="auto"/>
                <w:sz w:val="24"/>
                <w:szCs w:val="24"/>
                <w:highlight w:val="none"/>
                <w:lang w:val="en-US" w:eastAsia="zh-CN"/>
              </w:rPr>
              <w:t>宁夏回族自治区固体废物污染环境防治条例</w:t>
            </w:r>
            <w:r>
              <w:rPr>
                <w:rFonts w:hint="default" w:ascii="Times New Roman" w:hAnsi="Times New Roman" w:eastAsia="仿宋_GB2312" w:cs="Times New Roman"/>
                <w:color w:val="auto"/>
                <w:sz w:val="24"/>
                <w:highlight w:val="none"/>
                <w:lang w:eastAsia="zh-CN"/>
              </w:rPr>
              <w:t>》中相关要求。</w:t>
            </w:r>
          </w:p>
          <w:p w14:paraId="34E056C3">
            <w:pPr>
              <w:pStyle w:val="59"/>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textAlignment w:val="baseline"/>
              <w:rPr>
                <w:rFonts w:hint="default" w:ascii="Times New Roman" w:hAnsi="Times New Roman" w:cs="Times New Roman"/>
                <w:color w:val="auto"/>
                <w:highlight w:val="none"/>
                <w:lang w:val="en-US" w:eastAsia="zh-CN"/>
              </w:rPr>
            </w:pPr>
            <w:r>
              <w:rPr>
                <w:rFonts w:hint="eastAsia" w:eastAsia="仿宋_GB2312" w:cs="Times New Roman"/>
                <w:b/>
                <w:bCs/>
                <w:color w:val="auto"/>
                <w:sz w:val="24"/>
                <w:szCs w:val="24"/>
                <w:highlight w:val="none"/>
                <w:lang w:val="en-US" w:eastAsia="zh-CN" w:bidi="ar-SA"/>
              </w:rPr>
              <w:t>六</w:t>
            </w:r>
            <w:r>
              <w:rPr>
                <w:rFonts w:hint="eastAsia" w:ascii="Times New Roman" w:hAnsi="Times New Roman" w:eastAsia="仿宋_GB2312" w:cs="Times New Roman"/>
                <w:b/>
                <w:bCs/>
                <w:color w:val="auto"/>
                <w:sz w:val="24"/>
                <w:szCs w:val="24"/>
                <w:highlight w:val="none"/>
                <w:lang w:val="en-US" w:eastAsia="zh-CN" w:bidi="ar-SA"/>
              </w:rPr>
              <w:t>.</w:t>
            </w:r>
            <w:r>
              <w:rPr>
                <w:rFonts w:hint="default" w:ascii="Times New Roman" w:hAnsi="Times New Roman" w:eastAsia="仿宋_GB2312" w:cs="Times New Roman"/>
                <w:b/>
                <w:bCs/>
                <w:color w:val="auto"/>
                <w:sz w:val="24"/>
                <w:szCs w:val="24"/>
                <w:highlight w:val="none"/>
                <w:lang w:val="en-US" w:eastAsia="zh-CN" w:bidi="ar-SA"/>
              </w:rPr>
              <w:t>项目与《预拌混凝土绿色生产及管理技术规程》</w:t>
            </w:r>
            <w:r>
              <w:rPr>
                <w:rFonts w:hint="eastAsia" w:ascii="Times New Roman" w:hAnsi="Times New Roman" w:eastAsia="仿宋_GB2312" w:cs="Times New Roman"/>
                <w:b/>
                <w:bCs/>
                <w:color w:val="auto"/>
                <w:sz w:val="24"/>
                <w:szCs w:val="24"/>
                <w:highlight w:val="none"/>
                <w:lang w:val="en-US" w:eastAsia="zh-CN" w:bidi="ar-SA"/>
              </w:rPr>
              <w:t>符合性分析</w:t>
            </w:r>
          </w:p>
          <w:p w14:paraId="450C6F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auto"/>
                <w:kern w:val="16"/>
                <w:sz w:val="24"/>
                <w:szCs w:val="24"/>
                <w:highlight w:val="none"/>
                <w:lang w:val="en-US" w:eastAsia="zh-CN" w:bidi="ar-SA"/>
              </w:rPr>
            </w:pPr>
            <w:r>
              <w:rPr>
                <w:rFonts w:hint="eastAsia" w:ascii="Times New Roman" w:hAnsi="Times New Roman" w:eastAsia="仿宋_GB2312" w:cs="Times New Roman"/>
                <w:color w:val="auto"/>
                <w:kern w:val="16"/>
                <w:sz w:val="24"/>
                <w:szCs w:val="24"/>
                <w:highlight w:val="none"/>
                <w:lang w:val="en-US" w:eastAsia="zh-CN" w:bidi="ar-SA"/>
              </w:rPr>
              <w:t>《预拌混凝土绿色生产及管理技术规程》中提到“预拌混凝土生产选用技术先进、低噪声、低能耗、低排放的搅拌、运输和试验设备是绿色生产的重要内容。本章针对绿色生产涉及的重要设备设施做出了技术规定或要求，其中包括：搅拌、运输和试验设备选用；搅拌站（楼）封闭；除尘装置；搅拌层和称量层水冲洗装置；卸料口；料位控制系统；骨料堆场；配料地仓和配料用皮带输送机；处理废弃新拌混凝土的设备设施（小型预制构件成型设备、砂石分离机和压滤机等）；运输车清洗装置；实时监控系统等。</w:t>
            </w:r>
          </w:p>
          <w:p w14:paraId="5BDC29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auto"/>
                <w:kern w:val="16"/>
                <w:sz w:val="24"/>
                <w:szCs w:val="24"/>
                <w:highlight w:val="none"/>
                <w:lang w:val="en-US" w:eastAsia="zh-CN" w:bidi="ar-SA"/>
              </w:rPr>
            </w:pPr>
            <w:r>
              <w:rPr>
                <w:rFonts w:hint="eastAsia" w:ascii="Times New Roman" w:hAnsi="Times New Roman" w:eastAsia="仿宋_GB2312" w:cs="Times New Roman"/>
                <w:color w:val="auto"/>
                <w:kern w:val="16"/>
                <w:sz w:val="24"/>
                <w:szCs w:val="24"/>
                <w:highlight w:val="none"/>
                <w:lang w:val="en-US" w:eastAsia="zh-CN" w:bidi="ar-SA"/>
              </w:rPr>
              <w:t>搅拌站（楼）采用整体封闭式或开放式生产方式均可。绿色生产的核心是严格控制搅拌站（楼）的噪声和生产性粉尘的排放，并满足本规程技术指标要求，避免搅拌站（楼）生产对厂界外区域产生较大负面影响。通过安装除尘装置和加强生产管理等措施，开放式生产也可满足上述要求。”</w:t>
            </w:r>
          </w:p>
          <w:p w14:paraId="0EE695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auto"/>
                <w:kern w:val="16"/>
                <w:sz w:val="24"/>
                <w:szCs w:val="24"/>
                <w:highlight w:val="none"/>
                <w:lang w:val="en-US" w:eastAsia="zh-CN" w:bidi="ar-SA"/>
              </w:rPr>
            </w:pPr>
            <w:r>
              <w:rPr>
                <w:rFonts w:hint="eastAsia" w:ascii="Times New Roman" w:hAnsi="Times New Roman" w:eastAsia="仿宋_GB2312" w:cs="Times New Roman"/>
                <w:color w:val="auto"/>
                <w:kern w:val="16"/>
                <w:sz w:val="24"/>
                <w:szCs w:val="24"/>
                <w:highlight w:val="none"/>
                <w:lang w:val="en-US" w:eastAsia="zh-CN" w:bidi="ar-SA"/>
              </w:rPr>
              <w:t>本项目运营期废气主要</w:t>
            </w:r>
            <w:r>
              <w:rPr>
                <w:rFonts w:hint="eastAsia" w:eastAsia="仿宋_GB2312" w:cs="Times New Roman"/>
                <w:color w:val="auto"/>
                <w:kern w:val="16"/>
                <w:sz w:val="24"/>
                <w:szCs w:val="24"/>
                <w:highlight w:val="none"/>
                <w:lang w:val="en-US" w:eastAsia="zh-CN" w:bidi="ar-SA"/>
              </w:rPr>
              <w:t>为</w:t>
            </w:r>
            <w:r>
              <w:rPr>
                <w:rFonts w:hint="eastAsia" w:ascii="Times New Roman" w:hAnsi="Times New Roman" w:eastAsia="仿宋_GB2312" w:cs="Times New Roman"/>
                <w:color w:val="auto"/>
                <w:kern w:val="16"/>
                <w:sz w:val="24"/>
                <w:szCs w:val="24"/>
                <w:highlight w:val="none"/>
                <w:lang w:val="en-US" w:eastAsia="zh-CN" w:bidi="ar-SA"/>
              </w:rPr>
              <w:t>水泥、粉煤灰筒仓、堆料棚和搅拌机混合搅拌过程中产生的颗粒物</w:t>
            </w:r>
            <w:r>
              <w:rPr>
                <w:rFonts w:hint="eastAsia" w:eastAsia="仿宋_GB2312" w:cs="Times New Roman"/>
                <w:color w:val="auto"/>
                <w:kern w:val="16"/>
                <w:sz w:val="24"/>
                <w:szCs w:val="24"/>
                <w:highlight w:val="none"/>
                <w:lang w:val="en-US" w:eastAsia="zh-CN" w:bidi="ar-SA"/>
              </w:rPr>
              <w:t>，</w:t>
            </w:r>
            <w:r>
              <w:rPr>
                <w:rFonts w:hint="eastAsia" w:ascii="Times New Roman" w:hAnsi="Times New Roman" w:eastAsia="仿宋_GB2312" w:cs="Times New Roman"/>
                <w:color w:val="auto"/>
                <w:kern w:val="16"/>
                <w:sz w:val="24"/>
                <w:szCs w:val="24"/>
                <w:highlight w:val="none"/>
                <w:lang w:val="en-US" w:eastAsia="zh-CN" w:bidi="ar-SA"/>
              </w:rPr>
              <w:t>经相应处理措施进行处理</w:t>
            </w:r>
            <w:r>
              <w:rPr>
                <w:rFonts w:hint="eastAsia" w:eastAsia="仿宋_GB2312" w:cs="Times New Roman"/>
                <w:color w:val="auto"/>
                <w:kern w:val="16"/>
                <w:sz w:val="24"/>
                <w:szCs w:val="24"/>
                <w:highlight w:val="none"/>
                <w:lang w:val="en-US" w:eastAsia="zh-CN" w:bidi="ar-SA"/>
              </w:rPr>
              <w:t>后</w:t>
            </w:r>
            <w:r>
              <w:rPr>
                <w:rFonts w:hint="eastAsia" w:ascii="Times New Roman" w:hAnsi="Times New Roman" w:eastAsia="仿宋_GB2312" w:cs="Times New Roman"/>
                <w:color w:val="auto"/>
                <w:kern w:val="16"/>
                <w:sz w:val="24"/>
                <w:szCs w:val="24"/>
                <w:highlight w:val="none"/>
                <w:lang w:val="en-US" w:eastAsia="zh-CN" w:bidi="ar-SA"/>
              </w:rPr>
              <w:t>，可有效抑制污染物排放，</w:t>
            </w:r>
            <w:r>
              <w:rPr>
                <w:rFonts w:hint="eastAsia" w:eastAsia="仿宋_GB2312" w:cs="Times New Roman"/>
                <w:color w:val="auto"/>
                <w:kern w:val="16"/>
                <w:sz w:val="24"/>
                <w:szCs w:val="24"/>
                <w:highlight w:val="none"/>
                <w:lang w:val="en-US" w:eastAsia="zh-CN" w:bidi="ar-SA"/>
              </w:rPr>
              <w:t>对周边环境产生的影响较小</w:t>
            </w:r>
            <w:r>
              <w:rPr>
                <w:rFonts w:hint="eastAsia" w:ascii="Times New Roman" w:hAnsi="Times New Roman" w:eastAsia="仿宋_GB2312" w:cs="Times New Roman"/>
                <w:color w:val="auto"/>
                <w:kern w:val="16"/>
                <w:sz w:val="24"/>
                <w:szCs w:val="24"/>
                <w:highlight w:val="none"/>
                <w:lang w:val="en-US" w:eastAsia="zh-CN" w:bidi="ar-SA"/>
              </w:rPr>
              <w:t>，</w:t>
            </w:r>
            <w:r>
              <w:rPr>
                <w:rFonts w:hint="default" w:ascii="Times New Roman" w:hAnsi="Times New Roman" w:eastAsia="仿宋_GB2312" w:cs="Times New Roman"/>
                <w:color w:val="auto"/>
                <w:sz w:val="24"/>
                <w:lang w:eastAsia="zh-CN"/>
              </w:rPr>
              <w:t>且项目为临时工程，运营期结束后对环境空气的影响也将随之消失，</w:t>
            </w:r>
            <w:r>
              <w:rPr>
                <w:rFonts w:hint="eastAsia" w:ascii="Times New Roman" w:hAnsi="Times New Roman" w:eastAsia="仿宋_GB2312" w:cs="Times New Roman"/>
                <w:color w:val="auto"/>
                <w:kern w:val="16"/>
                <w:sz w:val="24"/>
                <w:szCs w:val="24"/>
                <w:highlight w:val="none"/>
                <w:lang w:val="en-US" w:eastAsia="zh-CN" w:bidi="ar-SA"/>
              </w:rPr>
              <w:t>因此本项目符合相关要求。</w:t>
            </w:r>
          </w:p>
          <w:p w14:paraId="7C16B1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color w:val="auto"/>
                <w:kern w:val="2"/>
                <w:sz w:val="24"/>
                <w:highlight w:val="none"/>
                <w:lang w:val="en-US" w:eastAsia="zh-CN" w:bidi="ar-SA"/>
              </w:rPr>
            </w:pPr>
            <w:r>
              <w:rPr>
                <w:rFonts w:hint="eastAsia" w:cs="Times New Roman"/>
                <w:b/>
                <w:color w:val="auto"/>
                <w:kern w:val="2"/>
                <w:sz w:val="24"/>
                <w:highlight w:val="none"/>
                <w:lang w:val="en-US" w:eastAsia="zh-CN" w:bidi="ar-SA"/>
              </w:rPr>
              <w:t>七</w:t>
            </w:r>
            <w:r>
              <w:rPr>
                <w:rFonts w:hint="eastAsia" w:ascii="Times New Roman" w:hAnsi="Times New Roman" w:cs="Times New Roman"/>
                <w:b/>
                <w:color w:val="auto"/>
                <w:kern w:val="2"/>
                <w:sz w:val="24"/>
                <w:highlight w:val="none"/>
                <w:lang w:val="en-US" w:eastAsia="zh-CN" w:bidi="ar-SA"/>
              </w:rPr>
              <w:t>.</w:t>
            </w:r>
            <w:r>
              <w:rPr>
                <w:rFonts w:hint="eastAsia" w:ascii="Times New Roman" w:hAnsi="Times New Roman" w:eastAsia="仿宋_GB2312" w:cs="Times New Roman"/>
                <w:b/>
                <w:bCs/>
                <w:color w:val="auto"/>
                <w:kern w:val="2"/>
                <w:sz w:val="24"/>
                <w:szCs w:val="24"/>
                <w:highlight w:val="none"/>
                <w:lang w:val="en-US" w:eastAsia="zh-CN" w:bidi="ar-SA"/>
              </w:rPr>
              <w:t>项目与《宁夏回族自治区预拌商品混凝土管理办法》（宁建发[2011]142号）符合性分析</w:t>
            </w:r>
          </w:p>
          <w:p w14:paraId="48678E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仿宋_GB2312" w:cs="Times New Roman"/>
                <w:b w:val="0"/>
                <w:bCs w:val="0"/>
                <w:color w:val="auto"/>
                <w:kern w:val="16"/>
                <w:sz w:val="24"/>
                <w:szCs w:val="24"/>
                <w:highlight w:val="none"/>
                <w:lang w:val="en-US" w:eastAsia="zh-CN" w:bidi="ar-SA"/>
              </w:rPr>
            </w:pPr>
            <w:r>
              <w:rPr>
                <w:rFonts w:hint="eastAsia" w:ascii="Times New Roman" w:hAnsi="Times New Roman" w:eastAsia="仿宋_GB2312" w:cs="Times New Roman"/>
                <w:b w:val="0"/>
                <w:bCs w:val="0"/>
                <w:color w:val="auto"/>
                <w:kern w:val="16"/>
                <w:sz w:val="24"/>
                <w:szCs w:val="24"/>
                <w:highlight w:val="none"/>
                <w:lang w:val="en-US" w:eastAsia="zh-CN" w:bidi="ar-SA"/>
              </w:rPr>
              <w:t>《宁夏回族自治区预拌商品混凝土管理办法》中提到“第十三条预拌商品混凝土生产企业，应当符合国家和自治区有关资源节约、清洁生产、安全文明生产的规定，做到搅拌站（厂）场地全硬化，绿化达标，配置相应的混凝土运输车排污水处理和砂石料分离设施以及生产过程的除尘、降噪等设施。积极支持预拌商品混凝土生产企业开展资源综合利用工作。”</w:t>
            </w:r>
          </w:p>
          <w:p w14:paraId="537C37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color w:val="auto"/>
                <w:highlight w:val="none"/>
                <w:lang w:val="en-US" w:eastAsia="zh-CN"/>
              </w:rPr>
            </w:pPr>
            <w:r>
              <w:rPr>
                <w:rFonts w:hint="eastAsia" w:ascii="Times New Roman" w:hAnsi="Times New Roman" w:eastAsia="仿宋_GB2312" w:cs="Times New Roman"/>
                <w:color w:val="auto"/>
                <w:kern w:val="16"/>
                <w:sz w:val="24"/>
                <w:szCs w:val="24"/>
                <w:highlight w:val="none"/>
                <w:lang w:val="en-US" w:eastAsia="zh-CN" w:bidi="ar-SA"/>
              </w:rPr>
              <w:t>本项目运营期废气主要</w:t>
            </w:r>
            <w:r>
              <w:rPr>
                <w:rFonts w:hint="eastAsia" w:eastAsia="仿宋_GB2312" w:cs="Times New Roman"/>
                <w:color w:val="auto"/>
                <w:kern w:val="16"/>
                <w:sz w:val="24"/>
                <w:szCs w:val="24"/>
                <w:highlight w:val="none"/>
                <w:lang w:val="en-US" w:eastAsia="zh-CN" w:bidi="ar-SA"/>
              </w:rPr>
              <w:t>为</w:t>
            </w:r>
            <w:r>
              <w:rPr>
                <w:rFonts w:hint="eastAsia" w:ascii="Times New Roman" w:hAnsi="Times New Roman" w:eastAsia="仿宋_GB2312" w:cs="Times New Roman"/>
                <w:color w:val="auto"/>
                <w:kern w:val="16"/>
                <w:sz w:val="24"/>
                <w:szCs w:val="24"/>
                <w:highlight w:val="none"/>
                <w:lang w:val="en-US" w:eastAsia="zh-CN" w:bidi="ar-SA"/>
              </w:rPr>
              <w:t>水泥、粉煤灰筒仓、堆料棚和搅拌机混合搅拌过程中产生的颗粒物</w:t>
            </w:r>
            <w:r>
              <w:rPr>
                <w:rFonts w:hint="eastAsia" w:eastAsia="仿宋_GB2312" w:cs="Times New Roman"/>
                <w:color w:val="auto"/>
                <w:kern w:val="16"/>
                <w:sz w:val="24"/>
                <w:szCs w:val="24"/>
                <w:highlight w:val="none"/>
                <w:lang w:val="en-US" w:eastAsia="zh-CN" w:bidi="ar-SA"/>
              </w:rPr>
              <w:t>，</w:t>
            </w:r>
            <w:r>
              <w:rPr>
                <w:rFonts w:hint="eastAsia" w:ascii="Times New Roman" w:hAnsi="Times New Roman" w:eastAsia="仿宋_GB2312" w:cs="Times New Roman"/>
                <w:color w:val="auto"/>
                <w:kern w:val="16"/>
                <w:sz w:val="24"/>
                <w:szCs w:val="24"/>
                <w:highlight w:val="none"/>
                <w:lang w:val="en-US" w:eastAsia="zh-CN" w:bidi="ar-SA"/>
              </w:rPr>
              <w:t>经相应处理措施进行处理</w:t>
            </w:r>
            <w:r>
              <w:rPr>
                <w:rFonts w:hint="eastAsia" w:eastAsia="仿宋_GB2312" w:cs="Times New Roman"/>
                <w:color w:val="auto"/>
                <w:kern w:val="16"/>
                <w:sz w:val="24"/>
                <w:szCs w:val="24"/>
                <w:highlight w:val="none"/>
                <w:lang w:val="en-US" w:eastAsia="zh-CN" w:bidi="ar-SA"/>
              </w:rPr>
              <w:t>后</w:t>
            </w:r>
            <w:r>
              <w:rPr>
                <w:rFonts w:hint="eastAsia" w:ascii="Times New Roman" w:hAnsi="Times New Roman" w:eastAsia="仿宋_GB2312" w:cs="Times New Roman"/>
                <w:color w:val="auto"/>
                <w:kern w:val="16"/>
                <w:sz w:val="24"/>
                <w:szCs w:val="24"/>
                <w:highlight w:val="none"/>
                <w:lang w:val="en-US" w:eastAsia="zh-CN" w:bidi="ar-SA"/>
              </w:rPr>
              <w:t>，可</w:t>
            </w:r>
            <w:r>
              <w:rPr>
                <w:rFonts w:hint="eastAsia" w:eastAsia="仿宋_GB2312" w:cs="Times New Roman"/>
                <w:color w:val="auto"/>
                <w:kern w:val="16"/>
                <w:sz w:val="24"/>
                <w:szCs w:val="24"/>
                <w:highlight w:val="none"/>
                <w:lang w:val="en-US" w:eastAsia="zh-CN" w:bidi="ar-SA"/>
              </w:rPr>
              <w:t>达标排放</w:t>
            </w:r>
            <w:r>
              <w:rPr>
                <w:rFonts w:hint="eastAsia" w:eastAsia="仿宋_GB2312" w:cs="Times New Roman"/>
                <w:color w:val="auto"/>
                <w:sz w:val="24"/>
                <w:szCs w:val="24"/>
                <w:highlight w:val="none"/>
                <w:lang w:val="en-US" w:eastAsia="zh-CN"/>
              </w:rPr>
              <w:t>。因此，本项目符合管理办法相关规定。</w:t>
            </w:r>
          </w:p>
          <w:p w14:paraId="6482E9B5">
            <w:pPr>
              <w:pStyle w:val="59"/>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textAlignment w:val="baseline"/>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八.</w:t>
            </w:r>
            <w:r>
              <w:rPr>
                <w:rFonts w:hint="eastAsia" w:ascii="Times New Roman" w:hAnsi="Times New Roman" w:eastAsia="仿宋_GB2312" w:cs="Times New Roman"/>
                <w:b/>
                <w:bCs/>
                <w:color w:val="auto"/>
                <w:sz w:val="24"/>
                <w:szCs w:val="24"/>
                <w:highlight w:val="none"/>
                <w:lang w:val="en-US" w:eastAsia="zh-CN" w:bidi="ar-SA"/>
              </w:rPr>
              <w:t>项目选址</w:t>
            </w:r>
            <w:r>
              <w:rPr>
                <w:rFonts w:hint="default" w:ascii="Times New Roman" w:hAnsi="Times New Roman" w:eastAsia="仿宋_GB2312" w:cs="Times New Roman"/>
                <w:b/>
                <w:bCs/>
                <w:color w:val="auto"/>
                <w:sz w:val="24"/>
                <w:szCs w:val="24"/>
                <w:highlight w:val="none"/>
                <w:lang w:val="en-US" w:eastAsia="zh-CN" w:bidi="ar-SA"/>
              </w:rPr>
              <w:t>符合性分析</w:t>
            </w:r>
          </w:p>
          <w:p w14:paraId="223068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本项目建设地点位于宁夏中卫市沙坡头区</w:t>
            </w:r>
            <w:r>
              <w:rPr>
                <w:rFonts w:hint="default" w:ascii="Times New Roman" w:hAnsi="Times New Roman" w:eastAsia="仿宋_GB2312" w:cs="Times New Roman"/>
                <w:color w:val="auto"/>
                <w:sz w:val="24"/>
                <w:szCs w:val="24"/>
                <w:lang w:val="en-US" w:eastAsia="zh-CN"/>
              </w:rPr>
              <w:t>兴仁镇</w:t>
            </w:r>
            <w:r>
              <w:rPr>
                <w:rFonts w:hint="default" w:ascii="Times New Roman" w:hAnsi="Times New Roman" w:eastAsia="仿宋_GB2312" w:cs="Times New Roman"/>
                <w:color w:val="auto"/>
                <w:sz w:val="24"/>
                <w:szCs w:val="24"/>
              </w:rPr>
              <w:t>，建设场地内均为</w:t>
            </w:r>
            <w:r>
              <w:rPr>
                <w:rFonts w:hint="default" w:ascii="Times New Roman" w:hAnsi="Times New Roman" w:eastAsia="仿宋_GB2312" w:cs="Times New Roman"/>
                <w:color w:val="auto"/>
                <w:sz w:val="24"/>
                <w:szCs w:val="24"/>
                <w:lang w:val="en-US" w:eastAsia="zh-CN"/>
              </w:rPr>
              <w:t>采矿</w:t>
            </w:r>
            <w:r>
              <w:rPr>
                <w:rFonts w:hint="default" w:ascii="Times New Roman" w:hAnsi="Times New Roman" w:eastAsia="仿宋_GB2312" w:cs="Times New Roman"/>
                <w:color w:val="auto"/>
                <w:sz w:val="24"/>
                <w:szCs w:val="24"/>
              </w:rPr>
              <w:t>用地，</w:t>
            </w:r>
            <w:r>
              <w:rPr>
                <w:rFonts w:hint="default" w:ascii="Times New Roman" w:hAnsi="Times New Roman" w:eastAsia="仿宋_GB2312" w:cs="Times New Roman"/>
                <w:color w:val="auto"/>
                <w:sz w:val="24"/>
                <w:szCs w:val="24"/>
                <w:lang w:val="en-US" w:eastAsia="zh-CN"/>
              </w:rPr>
              <w:t>经核查本项目占地范围内不压覆矿产资源，</w:t>
            </w:r>
            <w:r>
              <w:rPr>
                <w:rFonts w:hint="default" w:ascii="Times New Roman" w:hAnsi="Times New Roman" w:eastAsia="仿宋_GB2312" w:cs="Times New Roman"/>
                <w:color w:val="auto"/>
                <w:sz w:val="24"/>
                <w:szCs w:val="24"/>
              </w:rPr>
              <w:t>无拆迁建构筑物，场内地势平整。</w:t>
            </w:r>
            <w:r>
              <w:rPr>
                <w:rFonts w:hint="eastAsia" w:eastAsia="仿宋_GB2312" w:cs="Times New Roman"/>
                <w:color w:val="auto"/>
                <w:sz w:val="24"/>
                <w:szCs w:val="24"/>
                <w:lang w:val="en-US" w:eastAsia="zh-CN"/>
              </w:rPr>
              <w:t>大唐中卫云基地数据中心绿电供应常乐500MW风电项目第二标段主体工程距离本项目约3千米处，</w:t>
            </w:r>
            <w:r>
              <w:rPr>
                <w:rFonts w:hint="default" w:ascii="Times New Roman" w:hAnsi="Times New Roman" w:eastAsia="仿宋_GB2312" w:cs="Times New Roman"/>
                <w:color w:val="auto"/>
                <w:sz w:val="24"/>
                <w:szCs w:val="24"/>
                <w:lang w:val="en-US" w:eastAsia="zh-CN"/>
              </w:rPr>
              <w:t>项目周边分布有红油线、中关线，交通便利，且</w:t>
            </w:r>
            <w:r>
              <w:rPr>
                <w:rFonts w:hint="default" w:ascii="Times New Roman" w:hAnsi="Times New Roman" w:eastAsia="仿宋_GB2312" w:cs="Times New Roman"/>
                <w:color w:val="auto"/>
                <w:sz w:val="24"/>
                <w:szCs w:val="24"/>
                <w:lang w:eastAsia="zh-CN"/>
              </w:rPr>
              <w:t>项目所在位置</w:t>
            </w:r>
            <w:r>
              <w:rPr>
                <w:rFonts w:hint="default" w:ascii="Times New Roman" w:hAnsi="Times New Roman" w:eastAsia="仿宋_GB2312" w:cs="Times New Roman"/>
                <w:color w:val="auto"/>
                <w:sz w:val="24"/>
                <w:szCs w:val="24"/>
              </w:rPr>
              <w:t>原材料可直接汽车短运到</w:t>
            </w:r>
            <w:r>
              <w:rPr>
                <w:rFonts w:hint="default" w:ascii="Times New Roman" w:hAnsi="Times New Roman" w:eastAsia="仿宋_GB2312" w:cs="Times New Roman"/>
                <w:color w:val="auto"/>
                <w:sz w:val="24"/>
                <w:szCs w:val="24"/>
                <w:lang w:val="en-US" w:eastAsia="zh-CN"/>
              </w:rPr>
              <w:t>厂区</w:t>
            </w:r>
            <w:r>
              <w:rPr>
                <w:rFonts w:hint="default" w:ascii="Times New Roman" w:hAnsi="Times New Roman" w:eastAsia="仿宋_GB2312" w:cs="Times New Roman"/>
                <w:color w:val="auto"/>
                <w:sz w:val="24"/>
                <w:szCs w:val="24"/>
              </w:rPr>
              <w:t>原料仓内，就近输送安装使用，降低成本。</w:t>
            </w:r>
          </w:p>
          <w:p w14:paraId="49C9C7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lang w:val="en-US" w:eastAsia="zh-CN"/>
              </w:rPr>
              <w:t>项目选址不在宁夏回族自治区生态保护红线范围内。本项目运营期废水主要为生活污水</w:t>
            </w:r>
            <w:r>
              <w:rPr>
                <w:rFonts w:hint="eastAsia" w:eastAsia="仿宋_GB2312" w:cs="Times New Roman"/>
                <w:color w:val="auto"/>
                <w:sz w:val="24"/>
                <w:szCs w:val="24"/>
                <w:lang w:val="en-US" w:eastAsia="zh-CN"/>
              </w:rPr>
              <w:t>、</w:t>
            </w:r>
            <w:r>
              <w:rPr>
                <w:rFonts w:hint="eastAsia" w:eastAsia="仿宋_GB2312" w:cs="Times New Roman"/>
                <w:color w:val="auto"/>
                <w:sz w:val="24"/>
                <w:lang w:val="en-US" w:eastAsia="zh-CN"/>
              </w:rPr>
              <w:t>食堂废水、</w:t>
            </w:r>
            <w:r>
              <w:rPr>
                <w:rFonts w:hint="default" w:ascii="Times New Roman" w:hAnsi="Times New Roman" w:eastAsia="仿宋_GB2312" w:cs="Times New Roman"/>
                <w:color w:val="auto"/>
                <w:sz w:val="24"/>
                <w:lang w:eastAsia="zh-CN"/>
              </w:rPr>
              <w:t>车辆冲洗废水</w:t>
            </w:r>
            <w:r>
              <w:rPr>
                <w:rFonts w:hint="eastAsia" w:eastAsia="仿宋_GB2312" w:cs="Times New Roman"/>
                <w:color w:val="auto"/>
                <w:sz w:val="24"/>
                <w:lang w:val="en-US" w:eastAsia="zh-CN"/>
              </w:rPr>
              <w:t>和</w:t>
            </w:r>
            <w:r>
              <w:rPr>
                <w:rFonts w:hint="default" w:ascii="Times New Roman" w:hAnsi="Times New Roman" w:eastAsia="仿宋_GB2312" w:cs="Times New Roman"/>
                <w:color w:val="auto"/>
                <w:sz w:val="24"/>
                <w:lang w:val="en-US" w:eastAsia="zh-CN"/>
              </w:rPr>
              <w:t>清洗搅拌机废水</w:t>
            </w:r>
            <w:r>
              <w:rPr>
                <w:rFonts w:hint="eastAsia" w:eastAsia="仿宋_GB2312" w:cs="Times New Roman"/>
                <w:color w:val="auto"/>
                <w:sz w:val="24"/>
                <w:lang w:val="en-US" w:eastAsia="zh-CN"/>
              </w:rPr>
              <w:t>，食堂废水经隔油设施隔油后，与</w:t>
            </w:r>
            <w:r>
              <w:rPr>
                <w:rFonts w:hint="default" w:ascii="Times New Roman" w:hAnsi="Times New Roman" w:eastAsia="仿宋_GB2312" w:cs="Times New Roman"/>
                <w:color w:val="auto"/>
                <w:sz w:val="24"/>
                <w:lang w:eastAsia="zh-CN"/>
              </w:rPr>
              <w:t>生活污水</w:t>
            </w:r>
            <w:r>
              <w:rPr>
                <w:rFonts w:hint="eastAsia" w:eastAsia="仿宋_GB2312" w:cs="Times New Roman"/>
                <w:color w:val="auto"/>
                <w:sz w:val="24"/>
                <w:lang w:val="en-US" w:eastAsia="zh-CN"/>
              </w:rPr>
              <w:t>一同</w:t>
            </w:r>
            <w:r>
              <w:rPr>
                <w:rFonts w:hint="default" w:ascii="Times New Roman" w:hAnsi="Times New Roman" w:eastAsia="仿宋_GB2312" w:cs="Times New Roman"/>
                <w:color w:val="auto"/>
                <w:sz w:val="24"/>
                <w:lang w:eastAsia="zh-CN"/>
              </w:rPr>
              <w:t>经化粪池处理后拉运</w:t>
            </w:r>
            <w:r>
              <w:rPr>
                <w:rFonts w:hint="eastAsia" w:eastAsia="仿宋_GB2312" w:cs="Times New Roman"/>
                <w:b w:val="0"/>
                <w:bCs w:val="0"/>
                <w:color w:val="auto"/>
                <w:kern w:val="2"/>
                <w:sz w:val="24"/>
                <w:szCs w:val="24"/>
                <w:lang w:val="en-US" w:eastAsia="zh-CN" w:bidi="ar-SA"/>
              </w:rPr>
              <w:t>中卫市沙坡头区兴仁镇污水</w:t>
            </w:r>
            <w:r>
              <w:rPr>
                <w:rFonts w:hint="default" w:ascii="Times New Roman" w:hAnsi="Times New Roman" w:eastAsia="仿宋_GB2312" w:cs="Times New Roman"/>
                <w:b w:val="0"/>
                <w:bCs w:val="0"/>
                <w:color w:val="auto"/>
                <w:kern w:val="2"/>
                <w:sz w:val="24"/>
                <w:szCs w:val="24"/>
                <w:lang w:val="en-US" w:eastAsia="zh-CN" w:bidi="ar-SA"/>
              </w:rPr>
              <w:t>处理厂</w:t>
            </w:r>
            <w:r>
              <w:rPr>
                <w:rFonts w:hint="default" w:ascii="Times New Roman" w:hAnsi="Times New Roman" w:eastAsia="仿宋_GB2312" w:cs="Times New Roman"/>
                <w:color w:val="auto"/>
                <w:sz w:val="24"/>
                <w:lang w:val="en-US" w:eastAsia="zh-CN"/>
              </w:rPr>
              <w:t>进行处理</w:t>
            </w:r>
            <w:r>
              <w:rPr>
                <w:rFonts w:hint="eastAsia" w:eastAsia="仿宋_GB2312" w:cs="Times New Roman"/>
                <w:color w:val="auto"/>
                <w:sz w:val="24"/>
                <w:lang w:val="en-US" w:eastAsia="zh-CN"/>
              </w:rPr>
              <w:t>，</w:t>
            </w:r>
            <w:r>
              <w:rPr>
                <w:rFonts w:hint="default" w:ascii="Times New Roman" w:hAnsi="Times New Roman" w:eastAsia="仿宋_GB2312" w:cs="Times New Roman"/>
                <w:color w:val="auto"/>
                <w:sz w:val="24"/>
                <w:szCs w:val="24"/>
                <w:lang w:val="en-US" w:eastAsia="zh-CN"/>
              </w:rPr>
              <w:t>清洗搅拌机废水及车辆清洗废水</w:t>
            </w:r>
            <w:r>
              <w:rPr>
                <w:rFonts w:hint="default" w:ascii="Times New Roman" w:hAnsi="Times New Roman" w:eastAsia="仿宋_GB2312" w:cs="Times New Roman"/>
                <w:color w:val="auto"/>
                <w:sz w:val="24"/>
                <w:lang w:val="en-US" w:eastAsia="zh-CN"/>
              </w:rPr>
              <w:t>经沉淀后回用，不外排</w:t>
            </w:r>
            <w:r>
              <w:rPr>
                <w:rFonts w:hint="default" w:ascii="Times New Roman" w:hAnsi="Times New Roman" w:eastAsia="仿宋_GB2312" w:cs="Times New Roman"/>
                <w:color w:val="auto"/>
                <w:sz w:val="24"/>
                <w:szCs w:val="24"/>
                <w:lang w:val="en-US" w:eastAsia="zh-CN"/>
              </w:rPr>
              <w:t>，不会对周边地表水体造成影响。项目周边500m范围内含大气环境保护目标，保护对象为兴仁村居民，本项目废气经相关措施处理后，</w:t>
            </w:r>
            <w:r>
              <w:rPr>
                <w:rFonts w:hint="default" w:ascii="Times New Roman" w:hAnsi="Times New Roman" w:eastAsia="仿宋_GB2312" w:cs="Times New Roman"/>
                <w:color w:val="auto"/>
                <w:sz w:val="24"/>
                <w:szCs w:val="24"/>
                <w:highlight w:val="none"/>
                <w:lang w:val="en-US" w:eastAsia="zh-CN"/>
              </w:rPr>
              <w:t>均能达标排放；对周边居民产生的影响较小</w:t>
            </w:r>
            <w:r>
              <w:rPr>
                <w:rFonts w:hint="eastAsia"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highlight w:val="none"/>
                <w:lang w:eastAsia="zh-CN"/>
              </w:rPr>
              <w:t>且项目为临时工程，运营期结束后影响也将随之消失</w:t>
            </w:r>
            <w:r>
              <w:rPr>
                <w:rFonts w:hint="default" w:ascii="Times New Roman" w:hAnsi="Times New Roman" w:eastAsia="仿宋_GB2312" w:cs="Times New Roman"/>
                <w:color w:val="auto"/>
                <w:sz w:val="24"/>
                <w:szCs w:val="24"/>
                <w:highlight w:val="none"/>
                <w:lang w:val="en-US" w:eastAsia="zh-CN"/>
              </w:rPr>
              <w:t>。</w:t>
            </w:r>
          </w:p>
          <w:p w14:paraId="7AE64D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因此，综合考虑项目建设性质、产品需求及相关法律法规要求，项目选址合理。</w:t>
            </w:r>
          </w:p>
          <w:p w14:paraId="3D8AED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eastAsia="zh-CN"/>
              </w:rPr>
            </w:pPr>
          </w:p>
          <w:p w14:paraId="2575B0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auto"/>
                <w:sz w:val="24"/>
                <w:szCs w:val="24"/>
                <w:lang w:eastAsia="zh-CN"/>
              </w:rPr>
            </w:pPr>
          </w:p>
        </w:tc>
      </w:tr>
    </w:tbl>
    <w:p w14:paraId="1D201753">
      <w:pPr>
        <w:spacing w:line="360" w:lineRule="auto"/>
        <w:outlineLvl w:val="0"/>
        <w:rPr>
          <w:rFonts w:eastAsia="黑体"/>
          <w:color w:val="auto"/>
          <w:sz w:val="30"/>
        </w:rPr>
        <w:sectPr>
          <w:pgSz w:w="11906" w:h="16838"/>
          <w:pgMar w:top="1531" w:right="1531" w:bottom="153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14:paraId="5C7E6F7E">
      <w:pPr>
        <w:pStyle w:val="19"/>
        <w:keepNext w:val="0"/>
        <w:keepLines w:val="0"/>
        <w:pageBreakBefore w:val="0"/>
        <w:widowControl/>
        <w:kinsoku/>
        <w:wordWrap/>
        <w:overflowPunct/>
        <w:topLinePunct w:val="0"/>
        <w:autoSpaceDE/>
        <w:autoSpaceDN/>
        <w:bidi w:val="0"/>
        <w:adjustRightInd/>
        <w:snapToGrid/>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8"/>
        <w:gridCol w:w="8176"/>
      </w:tblGrid>
      <w:tr w14:paraId="393BE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3" w:hRule="atLeast"/>
          <w:jc w:val="center"/>
        </w:trPr>
        <w:tc>
          <w:tcPr>
            <w:tcW w:w="808" w:type="dxa"/>
            <w:noWrap w:val="0"/>
            <w:vAlign w:val="center"/>
          </w:tcPr>
          <w:p w14:paraId="14F08DC8">
            <w:pPr>
              <w:pStyle w:val="19"/>
              <w:adjustRightInd w:val="0"/>
              <w:snapToGrid w:val="0"/>
              <w:spacing w:before="0" w:beforeAutospacing="0" w:after="0" w:afterAutospacing="0"/>
              <w:jc w:val="center"/>
              <w:rPr>
                <w:rFonts w:hint="eastAsia" w:cs="宋体"/>
                <w:b/>
                <w:bCs/>
                <w:color w:val="auto"/>
                <w:sz w:val="24"/>
                <w:szCs w:val="24"/>
              </w:rPr>
            </w:pPr>
            <w:r>
              <w:rPr>
                <w:rFonts w:hint="eastAsia" w:cs="宋体"/>
                <w:b/>
                <w:bCs/>
                <w:color w:val="auto"/>
                <w:sz w:val="24"/>
                <w:szCs w:val="24"/>
              </w:rPr>
              <w:t>建</w:t>
            </w:r>
          </w:p>
          <w:p w14:paraId="7FFC009D">
            <w:pPr>
              <w:pStyle w:val="19"/>
              <w:adjustRightInd w:val="0"/>
              <w:snapToGrid w:val="0"/>
              <w:spacing w:before="0" w:beforeAutospacing="0" w:after="0" w:afterAutospacing="0"/>
              <w:jc w:val="center"/>
              <w:rPr>
                <w:rFonts w:hint="eastAsia" w:cs="宋体"/>
                <w:b/>
                <w:bCs/>
                <w:color w:val="auto"/>
                <w:sz w:val="24"/>
                <w:szCs w:val="24"/>
              </w:rPr>
            </w:pPr>
            <w:r>
              <w:rPr>
                <w:rFonts w:hint="eastAsia" w:cs="宋体"/>
                <w:b/>
                <w:bCs/>
                <w:color w:val="auto"/>
                <w:sz w:val="24"/>
                <w:szCs w:val="24"/>
              </w:rPr>
              <w:t>设</w:t>
            </w:r>
          </w:p>
          <w:p w14:paraId="63370C3D">
            <w:pPr>
              <w:pStyle w:val="19"/>
              <w:adjustRightInd w:val="0"/>
              <w:snapToGrid w:val="0"/>
              <w:spacing w:before="0" w:beforeAutospacing="0" w:after="0" w:afterAutospacing="0"/>
              <w:jc w:val="center"/>
              <w:rPr>
                <w:rFonts w:hint="eastAsia" w:cs="宋体"/>
                <w:b/>
                <w:bCs/>
                <w:color w:val="auto"/>
                <w:sz w:val="24"/>
                <w:szCs w:val="24"/>
              </w:rPr>
            </w:pPr>
            <w:r>
              <w:rPr>
                <w:rFonts w:hint="eastAsia" w:cs="宋体"/>
                <w:b/>
                <w:bCs/>
                <w:color w:val="auto"/>
                <w:sz w:val="24"/>
                <w:szCs w:val="24"/>
              </w:rPr>
              <w:t>内</w:t>
            </w:r>
          </w:p>
          <w:p w14:paraId="241B9169">
            <w:pPr>
              <w:pStyle w:val="19"/>
              <w:adjustRightInd w:val="0"/>
              <w:snapToGrid w:val="0"/>
              <w:spacing w:before="0" w:beforeAutospacing="0" w:after="0" w:afterAutospacing="0"/>
              <w:jc w:val="center"/>
              <w:rPr>
                <w:rFonts w:cs="宋体"/>
                <w:color w:val="auto"/>
                <w:sz w:val="21"/>
                <w:szCs w:val="21"/>
              </w:rPr>
            </w:pPr>
            <w:r>
              <w:rPr>
                <w:rFonts w:hint="eastAsia" w:cs="宋体"/>
                <w:b/>
                <w:bCs/>
                <w:color w:val="auto"/>
                <w:sz w:val="24"/>
                <w:szCs w:val="24"/>
              </w:rPr>
              <w:t>容</w:t>
            </w:r>
          </w:p>
        </w:tc>
        <w:tc>
          <w:tcPr>
            <w:tcW w:w="8176" w:type="dxa"/>
            <w:noWrap w:val="0"/>
            <w:vAlign w:val="top"/>
          </w:tcPr>
          <w:p w14:paraId="37B433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1、本项目基本情况</w:t>
            </w:r>
          </w:p>
          <w:p w14:paraId="0143A0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⑴项目概况</w:t>
            </w:r>
          </w:p>
          <w:p w14:paraId="547698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eastAsia="zh-CN"/>
              </w:rPr>
              <w:t>项目名称：</w:t>
            </w:r>
            <w:bookmarkStart w:id="2" w:name="_Toc127333645"/>
            <w:r>
              <w:rPr>
                <w:rFonts w:hint="default" w:ascii="Times New Roman" w:hAnsi="Times New Roman" w:eastAsia="仿宋_GB2312" w:cs="Times New Roman"/>
                <w:bCs/>
                <w:color w:val="auto"/>
                <w:sz w:val="24"/>
                <w:szCs w:val="24"/>
                <w:lang w:eastAsia="zh-CN"/>
              </w:rPr>
              <w:t>大唐中卫云基地数据中心绿电供应常乐500MW风电项目第二标段临时拌和站项目</w:t>
            </w:r>
          </w:p>
          <w:p w14:paraId="5CA3179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bCs/>
                <w:color w:val="auto"/>
                <w:sz w:val="24"/>
                <w:szCs w:val="24"/>
                <w:lang w:eastAsia="zh-CN"/>
              </w:rPr>
              <w:t>建设性质：新建</w:t>
            </w:r>
          </w:p>
          <w:p w14:paraId="54BB0D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eastAsia="zh-CN"/>
              </w:rPr>
              <w:t>建设单位：</w:t>
            </w:r>
            <w:r>
              <w:rPr>
                <w:rFonts w:hint="default" w:ascii="Times New Roman" w:hAnsi="Times New Roman" w:eastAsia="仿宋_GB2312" w:cs="Times New Roman"/>
                <w:bCs/>
                <w:color w:val="auto"/>
                <w:sz w:val="24"/>
                <w:szCs w:val="24"/>
                <w:lang w:val="en-US" w:eastAsia="zh-CN"/>
              </w:rPr>
              <w:t>海原县宏顺新型建材有限公司</w:t>
            </w:r>
          </w:p>
          <w:p w14:paraId="124156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eastAsia="zh-CN"/>
              </w:rPr>
              <w:t>建设地点</w:t>
            </w:r>
            <w:bookmarkEnd w:id="2"/>
            <w:r>
              <w:rPr>
                <w:rFonts w:hint="default" w:ascii="Times New Roman" w:hAnsi="Times New Roman" w:eastAsia="仿宋_GB2312" w:cs="Times New Roman"/>
                <w:bCs/>
                <w:color w:val="auto"/>
                <w:sz w:val="24"/>
                <w:szCs w:val="24"/>
                <w:lang w:eastAsia="zh-CN"/>
              </w:rPr>
              <w:t>：本项目</w:t>
            </w:r>
            <w:r>
              <w:rPr>
                <w:rFonts w:hint="eastAsia" w:eastAsia="仿宋_GB2312" w:cs="Times New Roman"/>
                <w:bCs/>
                <w:color w:val="auto"/>
                <w:sz w:val="24"/>
                <w:szCs w:val="24"/>
                <w:lang w:val="en-US" w:eastAsia="zh-CN"/>
              </w:rPr>
              <w:t>具体建设地点</w:t>
            </w:r>
            <w:r>
              <w:rPr>
                <w:rFonts w:hint="default" w:ascii="Times New Roman" w:hAnsi="Times New Roman" w:eastAsia="仿宋_GB2312" w:cs="Times New Roman"/>
                <w:bCs/>
                <w:color w:val="auto"/>
                <w:sz w:val="24"/>
                <w:szCs w:val="24"/>
                <w:lang w:eastAsia="zh-CN"/>
              </w:rPr>
              <w:t>位于</w:t>
            </w:r>
            <w:r>
              <w:rPr>
                <w:rFonts w:hint="default" w:ascii="Times New Roman" w:hAnsi="Times New Roman" w:eastAsia="仿宋_GB2312" w:cs="Times New Roman"/>
                <w:color w:val="auto"/>
                <w:sz w:val="24"/>
                <w:szCs w:val="24"/>
                <w:lang w:val="en-US" w:eastAsia="zh-CN"/>
              </w:rPr>
              <w:t>宁夏回族自治区中卫市沙坡头区兴仁镇，</w:t>
            </w:r>
            <w:r>
              <w:rPr>
                <w:rFonts w:hint="eastAsia" w:eastAsia="仿宋_GB2312" w:cs="Times New Roman"/>
                <w:color w:val="auto"/>
                <w:sz w:val="24"/>
                <w:highlight w:val="none"/>
                <w:lang w:val="en-US" w:eastAsia="zh-CN"/>
              </w:rPr>
              <w:t>占地类型为采矿用地，占地面积为12257m</w:t>
            </w:r>
            <w:r>
              <w:rPr>
                <w:rFonts w:hint="eastAsia" w:eastAsia="仿宋_GB2312" w:cs="Times New Roman"/>
                <w:color w:val="auto"/>
                <w:sz w:val="24"/>
                <w:highlight w:val="none"/>
                <w:vertAlign w:val="superscript"/>
                <w:lang w:val="en-US" w:eastAsia="zh-CN"/>
              </w:rPr>
              <w:t>2</w:t>
            </w:r>
            <w:r>
              <w:rPr>
                <w:rFonts w:hint="eastAsia" w:eastAsia="仿宋_GB2312" w:cs="Times New Roman"/>
                <w:color w:val="auto"/>
                <w:sz w:val="24"/>
                <w:highlight w:val="none"/>
                <w:lang w:val="en-US" w:eastAsia="zh-CN"/>
              </w:rPr>
              <w:t>，</w:t>
            </w:r>
            <w:r>
              <w:rPr>
                <w:rFonts w:hint="default" w:ascii="Times New Roman" w:hAnsi="Times New Roman" w:eastAsia="仿宋_GB2312" w:cs="Times New Roman"/>
                <w:bCs/>
                <w:color w:val="auto"/>
                <w:sz w:val="24"/>
                <w:szCs w:val="24"/>
                <w:lang w:eastAsia="zh-CN"/>
              </w:rPr>
              <w:t>项目厂区中心地理坐标为：东经105°14′</w:t>
            </w:r>
            <w:r>
              <w:rPr>
                <w:rFonts w:hint="eastAsia" w:eastAsia="仿宋_GB2312" w:cs="Times New Roman"/>
                <w:bCs/>
                <w:color w:val="auto"/>
                <w:sz w:val="24"/>
                <w:szCs w:val="24"/>
                <w:lang w:val="en-US" w:eastAsia="zh-CN"/>
              </w:rPr>
              <w:t>36.134</w:t>
            </w:r>
            <w:r>
              <w:rPr>
                <w:rFonts w:hint="default" w:ascii="Times New Roman" w:hAnsi="Times New Roman" w:eastAsia="仿宋_GB2312" w:cs="Times New Roman"/>
                <w:bCs/>
                <w:color w:val="auto"/>
                <w:sz w:val="24"/>
                <w:szCs w:val="24"/>
                <w:lang w:eastAsia="zh-CN"/>
              </w:rPr>
              <w:t>″、北纬36°59′</w:t>
            </w:r>
            <w:r>
              <w:rPr>
                <w:rFonts w:hint="eastAsia" w:eastAsia="仿宋_GB2312" w:cs="Times New Roman"/>
                <w:bCs/>
                <w:color w:val="auto"/>
                <w:sz w:val="24"/>
                <w:szCs w:val="24"/>
                <w:lang w:val="en-US" w:eastAsia="zh-CN"/>
              </w:rPr>
              <w:t>49.493</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color w:val="auto"/>
                <w:kern w:val="0"/>
                <w:sz w:val="24"/>
                <w:szCs w:val="24"/>
                <w:lang w:eastAsia="zh-CN"/>
              </w:rPr>
              <w:t>，四至范围东</w:t>
            </w:r>
            <w:r>
              <w:rPr>
                <w:rFonts w:hint="eastAsia" w:eastAsia="仿宋_GB2312" w:cs="Times New Roman"/>
                <w:color w:val="auto"/>
                <w:kern w:val="0"/>
                <w:sz w:val="24"/>
                <w:szCs w:val="24"/>
                <w:lang w:val="en-US" w:eastAsia="zh-CN"/>
              </w:rPr>
              <w:t>至羊粪厂</w:t>
            </w:r>
            <w:r>
              <w:rPr>
                <w:rFonts w:hint="eastAsia" w:eastAsia="仿宋_GB2312" w:cs="Times New Roman"/>
                <w:color w:val="auto"/>
                <w:kern w:val="0"/>
                <w:sz w:val="24"/>
                <w:szCs w:val="24"/>
                <w:lang w:eastAsia="zh-CN"/>
              </w:rPr>
              <w:t>、</w:t>
            </w:r>
            <w:r>
              <w:rPr>
                <w:rFonts w:hint="eastAsia" w:eastAsia="仿宋_GB2312" w:cs="Times New Roman"/>
                <w:color w:val="auto"/>
                <w:kern w:val="0"/>
                <w:sz w:val="24"/>
                <w:szCs w:val="24"/>
                <w:lang w:val="en-US" w:eastAsia="zh-CN"/>
              </w:rPr>
              <w:t>南至张成如住房，</w:t>
            </w:r>
            <w:r>
              <w:rPr>
                <w:rFonts w:hint="default" w:ascii="Times New Roman" w:hAnsi="Times New Roman" w:eastAsia="仿宋_GB2312" w:cs="Times New Roman"/>
                <w:color w:val="auto"/>
                <w:kern w:val="0"/>
                <w:sz w:val="24"/>
                <w:szCs w:val="24"/>
                <w:lang w:eastAsia="zh-CN"/>
              </w:rPr>
              <w:t>西</w:t>
            </w:r>
            <w:r>
              <w:rPr>
                <w:rFonts w:hint="eastAsia" w:eastAsia="仿宋_GB2312" w:cs="Times New Roman"/>
                <w:color w:val="auto"/>
                <w:kern w:val="0"/>
                <w:sz w:val="24"/>
                <w:szCs w:val="24"/>
                <w:lang w:val="en-US" w:eastAsia="zh-CN"/>
              </w:rPr>
              <w:t>至</w:t>
            </w:r>
            <w:r>
              <w:rPr>
                <w:rFonts w:hint="default" w:ascii="Times New Roman" w:hAnsi="Times New Roman" w:eastAsia="仿宋_GB2312" w:cs="Times New Roman"/>
                <w:color w:val="auto"/>
                <w:kern w:val="0"/>
                <w:sz w:val="24"/>
                <w:szCs w:val="24"/>
                <w:lang w:eastAsia="zh-CN"/>
              </w:rPr>
              <w:t>农村道路，</w:t>
            </w:r>
            <w:r>
              <w:rPr>
                <w:rFonts w:hint="eastAsia" w:eastAsia="仿宋_GB2312" w:cs="Times New Roman"/>
                <w:color w:val="auto"/>
                <w:kern w:val="0"/>
                <w:sz w:val="24"/>
                <w:szCs w:val="24"/>
                <w:lang w:val="en-US" w:eastAsia="zh-CN"/>
              </w:rPr>
              <w:t>北至荒地，</w:t>
            </w:r>
            <w:r>
              <w:rPr>
                <w:rFonts w:hint="default" w:ascii="Times New Roman" w:hAnsi="Times New Roman" w:eastAsia="仿宋_GB2312" w:cs="Times New Roman"/>
                <w:bCs/>
                <w:color w:val="auto"/>
                <w:sz w:val="24"/>
                <w:szCs w:val="24"/>
                <w:lang w:eastAsia="zh-CN"/>
              </w:rPr>
              <w:t>本项目</w:t>
            </w:r>
            <w:r>
              <w:rPr>
                <w:rFonts w:hint="default" w:ascii="Times New Roman" w:hAnsi="Times New Roman" w:eastAsia="仿宋_GB2312" w:cs="Times New Roman"/>
                <w:bCs/>
                <w:color w:val="auto"/>
                <w:sz w:val="24"/>
                <w:szCs w:val="24"/>
                <w:lang w:val="en-US" w:eastAsia="zh-CN"/>
              </w:rPr>
              <w:t>与中卫市</w:t>
            </w:r>
            <w:r>
              <w:rPr>
                <w:rFonts w:hint="default" w:ascii="Times New Roman" w:hAnsi="Times New Roman" w:eastAsia="仿宋_GB2312" w:cs="Times New Roman"/>
                <w:bCs/>
                <w:color w:val="auto"/>
                <w:sz w:val="24"/>
                <w:szCs w:val="24"/>
                <w:lang w:eastAsia="zh-CN"/>
              </w:rPr>
              <w:t>行政区划关系见图</w:t>
            </w:r>
            <w:r>
              <w:rPr>
                <w:rFonts w:hint="default" w:ascii="Times New Roman" w:hAnsi="Times New Roman" w:eastAsia="仿宋_GB2312" w:cs="Times New Roman"/>
                <w:bCs/>
                <w:color w:val="auto"/>
                <w:sz w:val="24"/>
                <w:szCs w:val="24"/>
                <w:lang w:val="en-US" w:eastAsia="zh-CN"/>
              </w:rPr>
              <w:t>2-1。</w:t>
            </w:r>
            <w:r>
              <w:rPr>
                <w:rFonts w:hint="default" w:ascii="Times New Roman" w:hAnsi="Times New Roman" w:eastAsia="仿宋_GB2312" w:cs="Times New Roman"/>
                <w:color w:val="auto"/>
                <w:sz w:val="24"/>
                <w:highlight w:val="none"/>
                <w:lang w:val="en-US" w:eastAsia="zh-CN"/>
              </w:rPr>
              <w:t>本项目已取得临时用地手续，</w:t>
            </w:r>
            <w:r>
              <w:rPr>
                <w:rFonts w:hint="eastAsia" w:eastAsia="仿宋_GB2312" w:cs="Times New Roman"/>
                <w:color w:val="auto"/>
                <w:sz w:val="24"/>
                <w:highlight w:val="none"/>
                <w:lang w:val="en-US" w:eastAsia="zh-CN"/>
              </w:rPr>
              <w:t>根据临时用地批复，本项目临时用地有效期为1年，自文件发布之日起计算（即2025年10月11日），项目服务期满后，若继续延用，则需要办理相关手续，若不再延用，则根据土地复垦方案进行复垦，并及时恢复为采矿用地，定期开展生态监测及复垦区域管护，本次评价包括项目施工期、运营期和拆除阶段。</w:t>
            </w:r>
          </w:p>
          <w:p w14:paraId="5FC24F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eastAsia" w:ascii="Times New Roman" w:hAnsi="Times New Roman" w:eastAsia="仿宋_GB2312" w:cs="Times New Roman"/>
                <w:b/>
                <w:bCs w:val="0"/>
                <w:color w:val="auto"/>
                <w:sz w:val="24"/>
                <w:szCs w:val="24"/>
                <w:lang w:val="en-US" w:eastAsia="zh-CN"/>
              </w:rPr>
              <w:t>（2）</w:t>
            </w:r>
            <w:r>
              <w:rPr>
                <w:rFonts w:hint="default" w:ascii="Times New Roman" w:hAnsi="Times New Roman" w:eastAsia="仿宋_GB2312" w:cs="Times New Roman"/>
                <w:b/>
                <w:bCs w:val="0"/>
                <w:color w:val="auto"/>
                <w:sz w:val="24"/>
                <w:szCs w:val="24"/>
                <w:lang w:val="en-US" w:eastAsia="zh-CN"/>
              </w:rPr>
              <w:t>建设规模及内容</w:t>
            </w:r>
          </w:p>
          <w:p w14:paraId="0C7A83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bCs/>
                <w:color w:val="auto"/>
                <w:sz w:val="24"/>
                <w:szCs w:val="24"/>
                <w:lang w:val="en-US" w:eastAsia="zh-CN"/>
              </w:rPr>
              <w:t>本项目厂区总占地面积</w:t>
            </w:r>
            <w:r>
              <w:rPr>
                <w:rFonts w:hint="eastAsia" w:eastAsia="仿宋_GB2312" w:cs="Times New Roman"/>
                <w:bCs/>
                <w:color w:val="auto"/>
                <w:sz w:val="24"/>
                <w:szCs w:val="24"/>
                <w:lang w:val="en-US" w:eastAsia="zh-CN"/>
              </w:rPr>
              <w:t>12257</w:t>
            </w:r>
            <w:r>
              <w:rPr>
                <w:rFonts w:hint="default" w:ascii="Times New Roman" w:hAnsi="Times New Roman" w:eastAsia="仿宋_GB2312" w:cs="Times New Roman"/>
                <w:bCs/>
                <w:color w:val="auto"/>
                <w:sz w:val="24"/>
                <w:szCs w:val="24"/>
                <w:lang w:val="en-US" w:eastAsia="zh-CN"/>
              </w:rPr>
              <w:t>m</w:t>
            </w:r>
            <w:r>
              <w:rPr>
                <w:rFonts w:hint="default" w:ascii="Times New Roman" w:hAnsi="Times New Roman" w:eastAsia="仿宋_GB2312" w:cs="Times New Roman"/>
                <w:bCs/>
                <w:color w:val="auto"/>
                <w:sz w:val="24"/>
                <w:szCs w:val="24"/>
                <w:vertAlign w:val="superscript"/>
                <w:lang w:val="en-US" w:eastAsia="zh-CN"/>
              </w:rPr>
              <w:t>2</w:t>
            </w:r>
            <w:r>
              <w:rPr>
                <w:rFonts w:hint="default" w:ascii="Times New Roman" w:hAnsi="Times New Roman" w:eastAsia="仿宋_GB2312" w:cs="Times New Roman"/>
                <w:bCs/>
                <w:color w:val="auto"/>
                <w:sz w:val="24"/>
                <w:szCs w:val="24"/>
                <w:lang w:val="en-US" w:eastAsia="zh-CN"/>
              </w:rPr>
              <w:t>，</w:t>
            </w:r>
            <w:r>
              <w:rPr>
                <w:rFonts w:hint="default" w:ascii="Times New Roman" w:hAnsi="Times New Roman" w:eastAsia="仿宋_GB2312" w:cs="Times New Roman"/>
                <w:bCs/>
                <w:color w:val="auto"/>
                <w:sz w:val="24"/>
                <w:szCs w:val="24"/>
                <w:highlight w:val="none"/>
                <w:lang w:val="en-US" w:eastAsia="zh-CN"/>
              </w:rPr>
              <w:t>新建</w:t>
            </w:r>
            <w:r>
              <w:rPr>
                <w:rFonts w:hint="eastAsia" w:eastAsia="仿宋_GB2312" w:cs="Times New Roman"/>
                <w:bCs/>
                <w:color w:val="auto"/>
                <w:sz w:val="24"/>
                <w:szCs w:val="24"/>
                <w:highlight w:val="none"/>
                <w:lang w:val="en-US" w:eastAsia="zh-CN"/>
              </w:rPr>
              <w:t>2</w:t>
            </w:r>
            <w:r>
              <w:rPr>
                <w:rFonts w:hint="default" w:ascii="Times New Roman" w:hAnsi="Times New Roman" w:eastAsia="仿宋_GB2312" w:cs="Times New Roman"/>
                <w:bCs/>
                <w:color w:val="auto"/>
                <w:sz w:val="24"/>
                <w:szCs w:val="24"/>
                <w:highlight w:val="none"/>
                <w:lang w:val="en-US" w:eastAsia="zh-CN"/>
              </w:rPr>
              <w:t>条</w:t>
            </w:r>
            <w:r>
              <w:rPr>
                <w:rFonts w:hint="eastAsia" w:eastAsia="仿宋_GB2312" w:cs="Times New Roman"/>
                <w:bCs/>
                <w:color w:val="auto"/>
                <w:sz w:val="24"/>
                <w:szCs w:val="24"/>
                <w:highlight w:val="none"/>
                <w:lang w:val="en-US" w:eastAsia="zh-CN"/>
              </w:rPr>
              <w:t>年产量均为10万</w:t>
            </w:r>
            <w:r>
              <w:rPr>
                <w:rFonts w:hint="default" w:ascii="Times New Roman" w:hAnsi="Times New Roman" w:eastAsia="仿宋_GB2312" w:cs="Times New Roman"/>
                <w:bCs/>
                <w:color w:val="auto"/>
                <w:sz w:val="24"/>
                <w:szCs w:val="24"/>
                <w:highlight w:val="none"/>
                <w:lang w:val="en-US" w:eastAsia="zh-CN"/>
              </w:rPr>
              <w:t>立方米</w:t>
            </w:r>
            <w:r>
              <w:rPr>
                <w:rFonts w:hint="eastAsia" w:eastAsia="仿宋_GB2312" w:cs="Times New Roman"/>
                <w:bCs/>
                <w:color w:val="auto"/>
                <w:sz w:val="24"/>
                <w:szCs w:val="24"/>
                <w:highlight w:val="none"/>
                <w:lang w:val="en-US" w:eastAsia="zh-CN"/>
              </w:rPr>
              <w:t>水泥</w:t>
            </w:r>
            <w:r>
              <w:rPr>
                <w:rFonts w:hint="default" w:ascii="Times New Roman" w:hAnsi="Times New Roman" w:eastAsia="仿宋_GB2312" w:cs="Times New Roman"/>
                <w:bCs/>
                <w:color w:val="auto"/>
                <w:sz w:val="24"/>
                <w:szCs w:val="24"/>
                <w:highlight w:val="none"/>
                <w:lang w:val="en-US" w:eastAsia="zh-CN"/>
              </w:rPr>
              <w:t>混凝土生产线，建设内容主要包括</w:t>
            </w:r>
            <w:r>
              <w:rPr>
                <w:rFonts w:hint="eastAsia" w:eastAsia="仿宋_GB2312" w:cs="Times New Roman"/>
                <w:bCs/>
                <w:color w:val="auto"/>
                <w:sz w:val="24"/>
                <w:szCs w:val="24"/>
                <w:highlight w:val="none"/>
                <w:lang w:val="en-US" w:eastAsia="zh-CN"/>
              </w:rPr>
              <w:t>：水泥</w:t>
            </w:r>
            <w:r>
              <w:rPr>
                <w:rFonts w:hint="default" w:ascii="Times New Roman" w:hAnsi="Times New Roman" w:eastAsia="仿宋_GB2312" w:cs="Times New Roman"/>
                <w:bCs/>
                <w:color w:val="auto"/>
                <w:sz w:val="24"/>
                <w:szCs w:val="24"/>
                <w:highlight w:val="none"/>
                <w:lang w:val="en-US" w:eastAsia="zh-CN"/>
              </w:rPr>
              <w:t>混凝土</w:t>
            </w:r>
            <w:r>
              <w:rPr>
                <w:rFonts w:hint="eastAsia" w:eastAsia="仿宋_GB2312" w:cs="Times New Roman"/>
                <w:bCs/>
                <w:color w:val="auto"/>
                <w:sz w:val="24"/>
                <w:szCs w:val="24"/>
                <w:highlight w:val="none"/>
                <w:lang w:val="en-US" w:eastAsia="zh-CN"/>
              </w:rPr>
              <w:t>拌合楼</w:t>
            </w:r>
            <w:r>
              <w:rPr>
                <w:rFonts w:hint="default" w:ascii="Times New Roman" w:hAnsi="Times New Roman" w:eastAsia="仿宋_GB2312" w:cs="Times New Roman"/>
                <w:bCs/>
                <w:color w:val="auto"/>
                <w:sz w:val="24"/>
                <w:szCs w:val="24"/>
                <w:highlight w:val="none"/>
                <w:lang w:val="en-US" w:eastAsia="zh-CN"/>
              </w:rPr>
              <w:t>、</w:t>
            </w:r>
            <w:r>
              <w:rPr>
                <w:rFonts w:hint="eastAsia" w:eastAsia="仿宋_GB2312" w:cs="Times New Roman"/>
                <w:bCs/>
                <w:color w:val="auto"/>
                <w:sz w:val="24"/>
                <w:szCs w:val="24"/>
                <w:highlight w:val="none"/>
                <w:lang w:val="en-US" w:eastAsia="zh-CN"/>
              </w:rPr>
              <w:t>4座</w:t>
            </w:r>
            <w:r>
              <w:rPr>
                <w:rFonts w:hint="default" w:ascii="Times New Roman" w:hAnsi="Times New Roman" w:eastAsia="仿宋_GB2312" w:cs="Times New Roman"/>
                <w:bCs/>
                <w:color w:val="auto"/>
                <w:sz w:val="24"/>
                <w:szCs w:val="24"/>
                <w:highlight w:val="none"/>
                <w:lang w:val="en-US" w:eastAsia="zh-CN"/>
              </w:rPr>
              <w:t>水泥筒仓（</w:t>
            </w:r>
            <w:r>
              <w:rPr>
                <w:rFonts w:hint="eastAsia" w:eastAsia="仿宋_GB2312" w:cs="Times New Roman"/>
                <w:bCs/>
                <w:color w:val="auto"/>
                <w:sz w:val="24"/>
                <w:szCs w:val="24"/>
                <w:highlight w:val="none"/>
                <w:lang w:val="en-US" w:eastAsia="zh-CN"/>
              </w:rPr>
              <w:t>4</w:t>
            </w:r>
            <w:r>
              <w:rPr>
                <w:rFonts w:hint="default" w:ascii="Times New Roman" w:hAnsi="Times New Roman" w:eastAsia="仿宋_GB2312" w:cs="Times New Roman"/>
                <w:bCs/>
                <w:color w:val="auto"/>
                <w:sz w:val="24"/>
                <w:szCs w:val="24"/>
                <w:highlight w:val="none"/>
                <w:lang w:val="en-US" w:eastAsia="zh-CN"/>
              </w:rPr>
              <w:t>×</w:t>
            </w:r>
            <w:r>
              <w:rPr>
                <w:rFonts w:hint="eastAsia" w:eastAsia="仿宋_GB2312" w:cs="Times New Roman"/>
                <w:bCs/>
                <w:color w:val="auto"/>
                <w:sz w:val="24"/>
                <w:szCs w:val="24"/>
                <w:highlight w:val="none"/>
                <w:lang w:val="en-US" w:eastAsia="zh-CN"/>
              </w:rPr>
              <w:t>20</w:t>
            </w:r>
            <w:r>
              <w:rPr>
                <w:rFonts w:hint="default" w:ascii="Times New Roman" w:hAnsi="Times New Roman" w:eastAsia="仿宋_GB2312" w:cs="Times New Roman"/>
                <w:bCs/>
                <w:color w:val="auto"/>
                <w:sz w:val="24"/>
                <w:szCs w:val="24"/>
                <w:highlight w:val="none"/>
                <w:lang w:val="en-US" w:eastAsia="zh-CN"/>
              </w:rPr>
              <w:t>0t）、</w:t>
            </w:r>
            <w:r>
              <w:rPr>
                <w:rFonts w:hint="eastAsia" w:eastAsia="仿宋_GB2312" w:cs="Times New Roman"/>
                <w:bCs/>
                <w:color w:val="auto"/>
                <w:sz w:val="24"/>
                <w:szCs w:val="24"/>
                <w:highlight w:val="none"/>
                <w:lang w:val="en-US" w:eastAsia="zh-CN"/>
              </w:rPr>
              <w:t>4座</w:t>
            </w:r>
            <w:r>
              <w:rPr>
                <w:rFonts w:hint="default" w:ascii="Times New Roman" w:hAnsi="Times New Roman" w:eastAsia="仿宋_GB2312" w:cs="Times New Roman"/>
                <w:bCs/>
                <w:color w:val="auto"/>
                <w:sz w:val="24"/>
                <w:szCs w:val="24"/>
                <w:highlight w:val="none"/>
                <w:lang w:val="en-US" w:eastAsia="zh-CN"/>
              </w:rPr>
              <w:t>粉煤灰筒仓（</w:t>
            </w:r>
            <w:r>
              <w:rPr>
                <w:rFonts w:hint="eastAsia" w:eastAsia="仿宋_GB2312" w:cs="Times New Roman"/>
                <w:bCs/>
                <w:color w:val="auto"/>
                <w:sz w:val="24"/>
                <w:szCs w:val="24"/>
                <w:highlight w:val="none"/>
                <w:lang w:val="en-US" w:eastAsia="zh-CN"/>
              </w:rPr>
              <w:t>20</w:t>
            </w:r>
            <w:r>
              <w:rPr>
                <w:rFonts w:hint="default" w:ascii="Times New Roman" w:hAnsi="Times New Roman" w:eastAsia="仿宋_GB2312" w:cs="Times New Roman"/>
                <w:bCs/>
                <w:color w:val="auto"/>
                <w:sz w:val="24"/>
                <w:szCs w:val="24"/>
                <w:highlight w:val="none"/>
                <w:lang w:val="en-US" w:eastAsia="zh-CN"/>
              </w:rPr>
              <w:t>0t/个）、</w:t>
            </w:r>
            <w:r>
              <w:rPr>
                <w:rFonts w:hint="eastAsia" w:eastAsia="仿宋_GB2312" w:cs="Times New Roman"/>
                <w:bCs/>
                <w:color w:val="auto"/>
                <w:sz w:val="24"/>
                <w:szCs w:val="24"/>
                <w:highlight w:val="none"/>
                <w:lang w:val="en-US" w:eastAsia="zh-CN"/>
              </w:rPr>
              <w:t>4座</w:t>
            </w:r>
            <w:r>
              <w:rPr>
                <w:rFonts w:hint="default" w:ascii="Times New Roman" w:hAnsi="Times New Roman" w:eastAsia="仿宋_GB2312" w:cs="Times New Roman"/>
                <w:bCs/>
                <w:color w:val="auto"/>
                <w:sz w:val="24"/>
                <w:szCs w:val="24"/>
                <w:highlight w:val="none"/>
                <w:lang w:val="en-US" w:eastAsia="zh-CN"/>
              </w:rPr>
              <w:t>外加剂罐（10t/个）、</w:t>
            </w:r>
            <w:r>
              <w:rPr>
                <w:rFonts w:hint="eastAsia" w:eastAsia="仿宋_GB2312" w:cs="Times New Roman"/>
                <w:bCs/>
                <w:color w:val="auto"/>
                <w:sz w:val="24"/>
                <w:szCs w:val="24"/>
                <w:highlight w:val="none"/>
                <w:lang w:val="en-US" w:eastAsia="zh-CN"/>
              </w:rPr>
              <w:t>3</w:t>
            </w:r>
            <w:r>
              <w:rPr>
                <w:rFonts w:hint="default" w:ascii="Times New Roman" w:hAnsi="Times New Roman" w:eastAsia="仿宋_GB2312" w:cs="Times New Roman"/>
                <w:bCs/>
                <w:color w:val="auto"/>
                <w:sz w:val="24"/>
                <w:szCs w:val="24"/>
                <w:highlight w:val="none"/>
                <w:lang w:val="en-US" w:eastAsia="zh-CN"/>
              </w:rPr>
              <w:t>座半封闭式堆料棚及其他附属设施</w:t>
            </w:r>
            <w:r>
              <w:rPr>
                <w:rFonts w:hint="eastAsia" w:eastAsia="仿宋_GB2312" w:cs="Times New Roman"/>
                <w:bCs/>
                <w:color w:val="auto"/>
                <w:sz w:val="24"/>
                <w:szCs w:val="24"/>
                <w:highlight w:val="none"/>
                <w:lang w:val="en-US" w:eastAsia="zh-CN"/>
              </w:rPr>
              <w:t>等</w:t>
            </w:r>
            <w:r>
              <w:rPr>
                <w:rFonts w:hint="default" w:ascii="Times New Roman" w:hAnsi="Times New Roman" w:eastAsia="仿宋_GB2312" w:cs="Times New Roman"/>
                <w:bCs/>
                <w:color w:val="auto"/>
                <w:sz w:val="24"/>
                <w:szCs w:val="24"/>
                <w:highlight w:val="none"/>
                <w:lang w:val="en-US" w:eastAsia="zh-CN"/>
              </w:rPr>
              <w:t>。本</w:t>
            </w:r>
            <w:r>
              <w:rPr>
                <w:rFonts w:hint="default" w:ascii="Times New Roman" w:hAnsi="Times New Roman" w:eastAsia="仿宋_GB2312" w:cs="Times New Roman"/>
                <w:bCs/>
                <w:color w:val="auto"/>
                <w:sz w:val="24"/>
                <w:szCs w:val="24"/>
                <w:highlight w:val="none"/>
                <w:lang w:eastAsia="zh-CN"/>
              </w:rPr>
              <w:t>项目工程组成详见表</w:t>
            </w:r>
            <w:r>
              <w:rPr>
                <w:rFonts w:hint="default" w:ascii="Times New Roman" w:hAnsi="Times New Roman" w:eastAsia="仿宋_GB2312" w:cs="Times New Roman"/>
                <w:bCs/>
                <w:color w:val="auto"/>
                <w:sz w:val="24"/>
                <w:szCs w:val="24"/>
                <w:highlight w:val="none"/>
                <w:lang w:val="en-US" w:eastAsia="zh-CN"/>
              </w:rPr>
              <w:t>2</w:t>
            </w:r>
            <w:r>
              <w:rPr>
                <w:rFonts w:hint="eastAsia" w:eastAsia="仿宋_GB2312" w:cs="Times New Roman"/>
                <w:bCs/>
                <w:color w:val="auto"/>
                <w:sz w:val="24"/>
                <w:szCs w:val="24"/>
                <w:highlight w:val="none"/>
                <w:lang w:val="en-US" w:eastAsia="zh-CN"/>
              </w:rPr>
              <w:t>-1</w:t>
            </w:r>
            <w:r>
              <w:rPr>
                <w:rFonts w:hint="default" w:ascii="Times New Roman" w:hAnsi="Times New Roman" w:eastAsia="仿宋_GB2312" w:cs="Times New Roman"/>
                <w:bCs/>
                <w:color w:val="auto"/>
                <w:sz w:val="24"/>
                <w:szCs w:val="24"/>
                <w:highlight w:val="none"/>
                <w:lang w:eastAsia="zh-CN"/>
              </w:rPr>
              <w:t>。</w:t>
            </w:r>
          </w:p>
          <w:p w14:paraId="12EFA3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Cs w:val="21"/>
                <w:lang w:eastAsia="zh-CN"/>
              </w:rPr>
            </w:pPr>
          </w:p>
          <w:p w14:paraId="1151DB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Cs w:val="21"/>
                <w:lang w:eastAsia="zh-CN"/>
              </w:rPr>
            </w:pPr>
          </w:p>
          <w:p w14:paraId="4FB33C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Cs w:val="21"/>
                <w:lang w:eastAsia="zh-CN"/>
              </w:rPr>
            </w:pPr>
          </w:p>
          <w:p w14:paraId="267BBA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Cs w:val="21"/>
                <w:lang w:eastAsia="zh-CN"/>
              </w:rPr>
            </w:pPr>
          </w:p>
          <w:p w14:paraId="5B2B05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Cs w:val="21"/>
                <w:lang w:eastAsia="zh-CN"/>
              </w:rPr>
            </w:pPr>
          </w:p>
          <w:p w14:paraId="2E6811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Cs w:val="21"/>
                <w:lang w:eastAsia="zh-CN"/>
              </w:rPr>
            </w:pPr>
          </w:p>
          <w:p w14:paraId="00589A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Cs w:val="21"/>
                <w:lang w:eastAsia="zh-CN"/>
              </w:rPr>
            </w:pPr>
          </w:p>
          <w:p w14:paraId="6D0E9E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Cs w:val="21"/>
                <w:lang w:eastAsia="zh-CN"/>
              </w:rPr>
            </w:pPr>
          </w:p>
          <w:p w14:paraId="179A96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Cs w:val="21"/>
                <w:lang w:eastAsia="zh-CN"/>
              </w:rPr>
            </w:pPr>
          </w:p>
          <w:p w14:paraId="43D3BDD3">
            <w:pPr>
              <w:pStyle w:val="4"/>
              <w:ind w:left="0" w:leftChars="0" w:firstLine="0" w:firstLineChars="0"/>
              <w:rPr>
                <w:rFonts w:hint="eastAsia"/>
                <w:color w:val="auto"/>
                <w:lang w:eastAsia="zh-CN"/>
              </w:rPr>
            </w:pPr>
          </w:p>
        </w:tc>
      </w:tr>
    </w:tbl>
    <w:p w14:paraId="178F04AC">
      <w:pPr>
        <w:pStyle w:val="19"/>
        <w:adjustRightInd w:val="0"/>
        <w:snapToGrid w:val="0"/>
        <w:spacing w:before="0" w:beforeAutospacing="0" w:after="0" w:afterAutospacing="0"/>
        <w:jc w:val="center"/>
        <w:rPr>
          <w:rFonts w:hint="eastAsia" w:cs="宋体"/>
          <w:b/>
          <w:bCs/>
          <w:color w:val="auto"/>
          <w:sz w:val="24"/>
          <w:szCs w:val="24"/>
        </w:rPr>
        <w:sectPr>
          <w:pgSz w:w="11906" w:h="16838"/>
          <w:pgMar w:top="1531" w:right="1531" w:bottom="153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408AFF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
          <w:bCs w:val="0"/>
          <w:color w:val="auto"/>
          <w:sz w:val="24"/>
          <w:szCs w:val="24"/>
          <w:lang w:eastAsia="zh-CN"/>
        </w:rPr>
      </w:pPr>
      <w:r>
        <w:rPr>
          <w:rFonts w:hint="default" w:ascii="Times New Roman" w:hAnsi="Times New Roman" w:eastAsia="宋体" w:cs="Times New Roman"/>
          <w:bCs/>
          <w:color w:val="auto"/>
          <w:szCs w:val="21"/>
          <w:lang w:eastAsia="zh-CN"/>
        </w:rPr>
        <w:t>表</w:t>
      </w: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-1</w:t>
      </w:r>
      <w:r>
        <w:rPr>
          <w:rFonts w:hint="default" w:ascii="Times New Roman" w:hAnsi="Times New Roman" w:eastAsia="宋体" w:cs="Times New Roman"/>
          <w:bCs/>
          <w:color w:val="auto"/>
          <w:szCs w:val="21"/>
          <w:lang w:eastAsia="zh-CN"/>
        </w:rPr>
        <w:t xml:space="preserve">    </w:t>
      </w:r>
      <w:r>
        <w:rPr>
          <w:rFonts w:hint="eastAsia" w:cs="Times New Roman"/>
          <w:bCs/>
          <w:color w:val="auto"/>
          <w:szCs w:val="21"/>
          <w:lang w:val="en-US" w:eastAsia="zh-CN"/>
        </w:rPr>
        <w:t xml:space="preserve">                                      </w:t>
      </w:r>
      <w:r>
        <w:rPr>
          <w:rFonts w:hint="default" w:ascii="Times New Roman" w:hAnsi="Times New Roman" w:eastAsia="宋体" w:cs="Times New Roman"/>
          <w:b/>
          <w:bCs w:val="0"/>
          <w:color w:val="auto"/>
          <w:sz w:val="24"/>
          <w:szCs w:val="24"/>
          <w:lang w:eastAsia="zh-CN"/>
        </w:rPr>
        <w:t>本项目工程组成一览表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28"/>
        <w:gridCol w:w="1175"/>
        <w:gridCol w:w="10597"/>
        <w:gridCol w:w="1"/>
      </w:tblGrid>
      <w:tr w14:paraId="3BAAF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491" w:type="dxa"/>
            <w:noWrap w:val="0"/>
            <w:vAlign w:val="center"/>
          </w:tcPr>
          <w:p w14:paraId="0F782B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分类</w:t>
            </w:r>
          </w:p>
        </w:tc>
        <w:tc>
          <w:tcPr>
            <w:tcW w:w="1903" w:type="dxa"/>
            <w:gridSpan w:val="2"/>
            <w:noWrap w:val="0"/>
            <w:vAlign w:val="center"/>
          </w:tcPr>
          <w:p w14:paraId="07AC5F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工程名称</w:t>
            </w:r>
          </w:p>
        </w:tc>
        <w:tc>
          <w:tcPr>
            <w:tcW w:w="10598" w:type="dxa"/>
            <w:gridSpan w:val="2"/>
            <w:noWrap w:val="0"/>
            <w:vAlign w:val="center"/>
          </w:tcPr>
          <w:p w14:paraId="7B3692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建设规模</w:t>
            </w:r>
          </w:p>
        </w:tc>
      </w:tr>
      <w:tr w14:paraId="0E8C3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noWrap w:val="0"/>
            <w:vAlign w:val="center"/>
          </w:tcPr>
          <w:p w14:paraId="3ECEE2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主体工程</w:t>
            </w:r>
          </w:p>
        </w:tc>
        <w:tc>
          <w:tcPr>
            <w:tcW w:w="1903" w:type="dxa"/>
            <w:gridSpan w:val="2"/>
            <w:noWrap w:val="0"/>
            <w:vAlign w:val="center"/>
          </w:tcPr>
          <w:p w14:paraId="271B51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拌合楼</w:t>
            </w:r>
          </w:p>
        </w:tc>
        <w:tc>
          <w:tcPr>
            <w:tcW w:w="10598" w:type="dxa"/>
            <w:gridSpan w:val="2"/>
            <w:noWrap w:val="0"/>
            <w:vAlign w:val="center"/>
          </w:tcPr>
          <w:p w14:paraId="05A4795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厂区共建设2</w:t>
            </w:r>
            <w:r>
              <w:rPr>
                <w:rFonts w:hint="default" w:ascii="Times New Roman" w:hAnsi="Times New Roman" w:eastAsia="宋体" w:cs="Times New Roman"/>
                <w:color w:val="auto"/>
                <w:sz w:val="21"/>
                <w:szCs w:val="21"/>
                <w:highlight w:val="none"/>
                <w:vertAlign w:val="baseline"/>
                <w:lang w:val="en-US" w:eastAsia="zh-CN"/>
              </w:rPr>
              <w:t>条</w:t>
            </w:r>
            <w:r>
              <w:rPr>
                <w:rFonts w:hint="eastAsia" w:cs="Times New Roman"/>
                <w:color w:val="auto"/>
                <w:sz w:val="21"/>
                <w:szCs w:val="21"/>
                <w:highlight w:val="none"/>
                <w:vertAlign w:val="baseline"/>
                <w:lang w:val="en-US" w:eastAsia="zh-CN"/>
              </w:rPr>
              <w:t>水泥混凝土生产线</w:t>
            </w:r>
            <w:r>
              <w:rPr>
                <w:rFonts w:hint="default" w:ascii="Times New Roman" w:hAnsi="Times New Roman" w:eastAsia="宋体"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主要</w:t>
            </w:r>
            <w:r>
              <w:rPr>
                <w:rFonts w:hint="default" w:ascii="Times New Roman" w:hAnsi="Times New Roman" w:eastAsia="宋体" w:cs="Times New Roman"/>
                <w:color w:val="auto"/>
                <w:sz w:val="21"/>
                <w:szCs w:val="21"/>
                <w:highlight w:val="none"/>
                <w:vertAlign w:val="baseline"/>
                <w:lang w:val="en-US" w:eastAsia="zh-CN"/>
              </w:rPr>
              <w:t>包括</w:t>
            </w:r>
            <w:r>
              <w:rPr>
                <w:rFonts w:hint="eastAsia" w:cs="Times New Roman"/>
                <w:color w:val="auto"/>
                <w:sz w:val="21"/>
                <w:szCs w:val="21"/>
                <w:highlight w:val="none"/>
                <w:vertAlign w:val="baseline"/>
                <w:lang w:val="en-US" w:eastAsia="zh-CN"/>
              </w:rPr>
              <w:t>2座拌合楼、</w:t>
            </w:r>
            <w:r>
              <w:rPr>
                <w:rFonts w:hint="default" w:ascii="Times New Roman" w:hAnsi="Times New Roman" w:eastAsia="宋体" w:cs="Times New Roman"/>
                <w:color w:val="auto"/>
                <w:sz w:val="21"/>
                <w:szCs w:val="21"/>
                <w:highlight w:val="none"/>
                <w:vertAlign w:val="baseline"/>
                <w:lang w:val="en-US" w:eastAsia="zh-CN"/>
              </w:rPr>
              <w:t>输送系统、计量系统、搅拌系统、自动控制室等，</w:t>
            </w:r>
            <w:r>
              <w:rPr>
                <w:rFonts w:hint="eastAsia" w:cs="Times New Roman"/>
                <w:color w:val="auto"/>
                <w:sz w:val="21"/>
                <w:szCs w:val="21"/>
                <w:highlight w:val="none"/>
                <w:vertAlign w:val="baseline"/>
                <w:lang w:val="en-US" w:eastAsia="zh-CN"/>
              </w:rPr>
              <w:t>每条</w:t>
            </w:r>
            <w:r>
              <w:rPr>
                <w:rFonts w:hint="default" w:ascii="Times New Roman" w:hAnsi="Times New Roman" w:eastAsia="宋体" w:cs="Times New Roman"/>
                <w:color w:val="auto"/>
                <w:sz w:val="21"/>
                <w:szCs w:val="21"/>
                <w:highlight w:val="none"/>
                <w:vertAlign w:val="baseline"/>
                <w:lang w:val="en-US" w:eastAsia="zh-CN"/>
              </w:rPr>
              <w:t>生产线</w:t>
            </w:r>
            <w:r>
              <w:rPr>
                <w:rFonts w:hint="eastAsia" w:cs="Times New Roman"/>
                <w:color w:val="auto"/>
                <w:sz w:val="21"/>
                <w:szCs w:val="21"/>
                <w:highlight w:val="none"/>
                <w:vertAlign w:val="baseline"/>
                <w:lang w:val="en-US" w:eastAsia="zh-CN"/>
              </w:rPr>
              <w:t>年</w:t>
            </w:r>
            <w:r>
              <w:rPr>
                <w:rFonts w:hint="default" w:ascii="Times New Roman" w:hAnsi="Times New Roman" w:eastAsia="宋体" w:cs="Times New Roman"/>
                <w:color w:val="auto"/>
                <w:sz w:val="21"/>
                <w:szCs w:val="21"/>
                <w:highlight w:val="none"/>
                <w:vertAlign w:val="baseline"/>
                <w:lang w:val="en-US" w:eastAsia="zh-CN"/>
              </w:rPr>
              <w:t>产</w:t>
            </w:r>
            <w:r>
              <w:rPr>
                <w:rFonts w:hint="eastAsia" w:cs="Times New Roman"/>
                <w:color w:val="auto"/>
                <w:sz w:val="21"/>
                <w:szCs w:val="21"/>
                <w:highlight w:val="none"/>
                <w:vertAlign w:val="baseline"/>
                <w:lang w:val="en-US" w:eastAsia="zh-CN"/>
              </w:rPr>
              <w:t>量</w:t>
            </w:r>
            <w:r>
              <w:rPr>
                <w:rFonts w:hint="default" w:ascii="Times New Roman" w:hAnsi="Times New Roman" w:eastAsia="宋体" w:cs="Times New Roman"/>
                <w:color w:val="auto"/>
                <w:sz w:val="21"/>
                <w:szCs w:val="21"/>
                <w:highlight w:val="none"/>
                <w:vertAlign w:val="baseline"/>
                <w:lang w:val="en-US" w:eastAsia="zh-CN"/>
              </w:rPr>
              <w:t>为</w:t>
            </w:r>
            <w:r>
              <w:rPr>
                <w:rFonts w:hint="eastAsia" w:cs="Times New Roman"/>
                <w:color w:val="auto"/>
                <w:sz w:val="21"/>
                <w:szCs w:val="21"/>
                <w:highlight w:val="none"/>
                <w:vertAlign w:val="baseline"/>
                <w:lang w:val="en-US" w:eastAsia="zh-CN"/>
              </w:rPr>
              <w:t>10</w:t>
            </w:r>
            <w:r>
              <w:rPr>
                <w:rFonts w:hint="default" w:ascii="Times New Roman" w:hAnsi="Times New Roman" w:eastAsia="宋体" w:cs="Times New Roman"/>
                <w:color w:val="auto"/>
                <w:sz w:val="21"/>
                <w:szCs w:val="21"/>
                <w:highlight w:val="none"/>
                <w:vertAlign w:val="baseline"/>
                <w:lang w:val="en-US" w:eastAsia="zh-CN"/>
              </w:rPr>
              <w:t>万m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w:t>
            </w:r>
          </w:p>
        </w:tc>
      </w:tr>
      <w:tr w14:paraId="60A41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vMerge w:val="restart"/>
            <w:noWrap w:val="0"/>
            <w:vAlign w:val="center"/>
          </w:tcPr>
          <w:p w14:paraId="555F9C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储运工程</w:t>
            </w:r>
          </w:p>
        </w:tc>
        <w:tc>
          <w:tcPr>
            <w:tcW w:w="1903" w:type="dxa"/>
            <w:gridSpan w:val="2"/>
            <w:noWrap w:val="0"/>
            <w:vAlign w:val="center"/>
          </w:tcPr>
          <w:p w14:paraId="28C178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堆料棚</w:t>
            </w:r>
          </w:p>
        </w:tc>
        <w:tc>
          <w:tcPr>
            <w:tcW w:w="10598" w:type="dxa"/>
            <w:gridSpan w:val="2"/>
            <w:noWrap w:val="0"/>
            <w:vAlign w:val="center"/>
          </w:tcPr>
          <w:p w14:paraId="769033A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建筑面积</w:t>
            </w:r>
            <w:r>
              <w:rPr>
                <w:rFonts w:hint="eastAsia" w:cs="Times New Roman"/>
                <w:color w:val="auto"/>
                <w:sz w:val="21"/>
                <w:szCs w:val="21"/>
                <w:highlight w:val="none"/>
                <w:vertAlign w:val="baseline"/>
                <w:lang w:val="en-US" w:eastAsia="zh-CN"/>
              </w:rPr>
              <w:t>3240</w:t>
            </w:r>
            <w:r>
              <w:rPr>
                <w:rFonts w:hint="default" w:ascii="Times New Roman" w:hAnsi="Times New Roman" w:eastAsia="宋体" w:cs="Times New Roman"/>
                <w:color w:val="auto"/>
                <w:sz w:val="21"/>
                <w:szCs w:val="21"/>
                <w:highlight w:val="none"/>
                <w:vertAlign w:val="baseli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，半密闭厂房，分为</w:t>
            </w:r>
            <w:r>
              <w:rPr>
                <w:rFonts w:hint="eastAsia" w:cs="Times New Roman"/>
                <w:color w:val="auto"/>
                <w:sz w:val="21"/>
                <w:szCs w:val="21"/>
                <w:highlight w:val="none"/>
                <w:vertAlign w:val="baseline"/>
                <w:lang w:val="en-US" w:eastAsia="zh-CN"/>
              </w:rPr>
              <w:t>3</w:t>
            </w:r>
            <w:r>
              <w:rPr>
                <w:rFonts w:hint="default" w:ascii="Times New Roman" w:hAnsi="Times New Roman" w:eastAsia="宋体" w:cs="Times New Roman"/>
                <w:color w:val="auto"/>
                <w:sz w:val="21"/>
                <w:szCs w:val="21"/>
                <w:highlight w:val="none"/>
                <w:vertAlign w:val="baseline"/>
                <w:lang w:val="en-US" w:eastAsia="zh-CN"/>
              </w:rPr>
              <w:t>个长</w:t>
            </w:r>
            <w:r>
              <w:rPr>
                <w:rFonts w:hint="eastAsia" w:cs="Times New Roman"/>
                <w:color w:val="auto"/>
                <w:sz w:val="21"/>
                <w:szCs w:val="21"/>
                <w:highlight w:val="none"/>
                <w:vertAlign w:val="baseline"/>
                <w:lang w:val="en-US" w:eastAsia="zh-CN"/>
              </w:rPr>
              <w:t>30</w:t>
            </w:r>
            <w:r>
              <w:rPr>
                <w:rFonts w:hint="default" w:ascii="Times New Roman" w:hAnsi="Times New Roman" w:eastAsia="宋体" w:cs="Times New Roman"/>
                <w:color w:val="auto"/>
                <w:sz w:val="21"/>
                <w:szCs w:val="21"/>
                <w:highlight w:val="none"/>
                <w:vertAlign w:val="baseline"/>
                <w:lang w:val="en-US" w:eastAsia="zh-CN"/>
              </w:rPr>
              <w:t>m、宽</w:t>
            </w:r>
            <w:r>
              <w:rPr>
                <w:rFonts w:hint="eastAsia" w:cs="Times New Roman"/>
                <w:color w:val="auto"/>
                <w:sz w:val="21"/>
                <w:szCs w:val="21"/>
                <w:highlight w:val="none"/>
                <w:vertAlign w:val="baseline"/>
                <w:lang w:val="en-US" w:eastAsia="zh-CN"/>
              </w:rPr>
              <w:t>2</w:t>
            </w:r>
            <w:r>
              <w:rPr>
                <w:rFonts w:hint="default" w:ascii="Times New Roman" w:hAnsi="Times New Roman" w:eastAsia="宋体" w:cs="Times New Roman"/>
                <w:color w:val="auto"/>
                <w:sz w:val="21"/>
                <w:szCs w:val="21"/>
                <w:highlight w:val="none"/>
                <w:vertAlign w:val="baseline"/>
                <w:lang w:val="en-US" w:eastAsia="zh-CN"/>
              </w:rPr>
              <w:t>4m的料仓，</w:t>
            </w:r>
            <w:r>
              <w:rPr>
                <w:rFonts w:hint="eastAsia" w:cs="Times New Roman"/>
                <w:color w:val="auto"/>
                <w:sz w:val="21"/>
                <w:szCs w:val="21"/>
                <w:highlight w:val="none"/>
                <w:vertAlign w:val="baseline"/>
                <w:lang w:val="en-US" w:eastAsia="zh-CN"/>
              </w:rPr>
              <w:t>其中1#堆料棚主要用于储存水洗砂（中砂），2#堆料棚主要用于储存粒径为5~25mm碎石，3#堆料棚主要用于储存粒径为16~31.5mm碎石</w:t>
            </w:r>
            <w:r>
              <w:rPr>
                <w:rFonts w:hint="default" w:ascii="Times New Roman" w:hAnsi="Times New Roman" w:eastAsia="宋体" w:cs="Times New Roman"/>
                <w:color w:val="auto"/>
                <w:sz w:val="21"/>
                <w:szCs w:val="21"/>
                <w:highlight w:val="none"/>
                <w:vertAlign w:val="baseline"/>
                <w:lang w:val="en-US" w:eastAsia="zh-CN"/>
              </w:rPr>
              <w:t>。</w:t>
            </w:r>
          </w:p>
        </w:tc>
      </w:tr>
      <w:tr w14:paraId="7A117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vMerge w:val="continue"/>
            <w:noWrap w:val="0"/>
            <w:vAlign w:val="center"/>
          </w:tcPr>
          <w:p w14:paraId="6BC1A0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1903" w:type="dxa"/>
            <w:gridSpan w:val="2"/>
            <w:noWrap w:val="0"/>
            <w:vAlign w:val="center"/>
          </w:tcPr>
          <w:p w14:paraId="0D7C6A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水泥筒仓</w:t>
            </w:r>
          </w:p>
        </w:tc>
        <w:tc>
          <w:tcPr>
            <w:tcW w:w="10598" w:type="dxa"/>
            <w:gridSpan w:val="2"/>
            <w:noWrap w:val="0"/>
            <w:vAlign w:val="center"/>
          </w:tcPr>
          <w:p w14:paraId="1CFD85D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w:t>
            </w:r>
            <w:r>
              <w:rPr>
                <w:rFonts w:hint="default" w:ascii="Times New Roman" w:hAnsi="Times New Roman" w:eastAsia="宋体" w:cs="Times New Roman"/>
                <w:color w:val="auto"/>
                <w:sz w:val="21"/>
                <w:szCs w:val="21"/>
                <w:highlight w:val="none"/>
                <w:vertAlign w:val="baseline"/>
                <w:lang w:val="en-US" w:eastAsia="zh-CN"/>
              </w:rPr>
              <w:t>座，全封闭，单个容积为</w:t>
            </w:r>
            <w:r>
              <w:rPr>
                <w:rFonts w:hint="eastAsia" w:cs="Times New Roman"/>
                <w:color w:val="auto"/>
                <w:sz w:val="21"/>
                <w:szCs w:val="21"/>
                <w:highlight w:val="none"/>
                <w:vertAlign w:val="baseline"/>
                <w:lang w:val="en-US" w:eastAsia="zh-CN"/>
              </w:rPr>
              <w:t>20</w:t>
            </w:r>
            <w:r>
              <w:rPr>
                <w:rFonts w:hint="default" w:ascii="Times New Roman" w:hAnsi="Times New Roman" w:eastAsia="宋体" w:cs="Times New Roman"/>
                <w:color w:val="auto"/>
                <w:sz w:val="21"/>
                <w:szCs w:val="21"/>
                <w:highlight w:val="none"/>
                <w:vertAlign w:val="baseline"/>
                <w:lang w:val="en-US" w:eastAsia="zh-CN"/>
              </w:rPr>
              <w:t>0t，用于散装水泥的暂存。</w:t>
            </w:r>
          </w:p>
        </w:tc>
      </w:tr>
      <w:tr w14:paraId="5AB9E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vMerge w:val="continue"/>
            <w:noWrap w:val="0"/>
            <w:vAlign w:val="center"/>
          </w:tcPr>
          <w:p w14:paraId="10980B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1903" w:type="dxa"/>
            <w:gridSpan w:val="2"/>
            <w:noWrap w:val="0"/>
            <w:vAlign w:val="center"/>
          </w:tcPr>
          <w:p w14:paraId="0C2A2F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粉煤灰筒仓</w:t>
            </w:r>
          </w:p>
        </w:tc>
        <w:tc>
          <w:tcPr>
            <w:tcW w:w="10598" w:type="dxa"/>
            <w:gridSpan w:val="2"/>
            <w:noWrap w:val="0"/>
            <w:vAlign w:val="center"/>
          </w:tcPr>
          <w:p w14:paraId="771DAE7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w:t>
            </w:r>
            <w:r>
              <w:rPr>
                <w:rFonts w:hint="default" w:ascii="Times New Roman" w:hAnsi="Times New Roman" w:eastAsia="宋体" w:cs="Times New Roman"/>
                <w:color w:val="auto"/>
                <w:sz w:val="21"/>
                <w:szCs w:val="21"/>
                <w:highlight w:val="none"/>
                <w:vertAlign w:val="baseline"/>
                <w:lang w:val="en-US" w:eastAsia="zh-CN"/>
              </w:rPr>
              <w:t>座，全封闭，容积为</w:t>
            </w:r>
            <w:r>
              <w:rPr>
                <w:rFonts w:hint="eastAsia" w:cs="Times New Roman"/>
                <w:color w:val="auto"/>
                <w:sz w:val="21"/>
                <w:szCs w:val="21"/>
                <w:highlight w:val="none"/>
                <w:vertAlign w:val="baseline"/>
                <w:lang w:val="en-US" w:eastAsia="zh-CN"/>
              </w:rPr>
              <w:t>20</w:t>
            </w:r>
            <w:r>
              <w:rPr>
                <w:rFonts w:hint="default" w:ascii="Times New Roman" w:hAnsi="Times New Roman" w:eastAsia="宋体" w:cs="Times New Roman"/>
                <w:color w:val="auto"/>
                <w:sz w:val="21"/>
                <w:szCs w:val="21"/>
                <w:highlight w:val="none"/>
                <w:vertAlign w:val="baseline"/>
                <w:lang w:val="en-US" w:eastAsia="zh-CN"/>
              </w:rPr>
              <w:t>0t，用于储存粉煤灰。</w:t>
            </w:r>
          </w:p>
        </w:tc>
      </w:tr>
      <w:tr w14:paraId="42CCE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vMerge w:val="continue"/>
            <w:noWrap w:val="0"/>
            <w:vAlign w:val="center"/>
          </w:tcPr>
          <w:p w14:paraId="688255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1903" w:type="dxa"/>
            <w:gridSpan w:val="2"/>
            <w:noWrap w:val="0"/>
            <w:vAlign w:val="center"/>
          </w:tcPr>
          <w:p w14:paraId="4B1EDC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外加剂罐</w:t>
            </w:r>
          </w:p>
        </w:tc>
        <w:tc>
          <w:tcPr>
            <w:tcW w:w="10598" w:type="dxa"/>
            <w:gridSpan w:val="2"/>
            <w:noWrap w:val="0"/>
            <w:vAlign w:val="center"/>
          </w:tcPr>
          <w:p w14:paraId="6CCD949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w:t>
            </w:r>
            <w:r>
              <w:rPr>
                <w:rFonts w:hint="default" w:ascii="Times New Roman" w:hAnsi="Times New Roman" w:eastAsia="宋体" w:cs="Times New Roman"/>
                <w:color w:val="auto"/>
                <w:sz w:val="21"/>
                <w:szCs w:val="21"/>
                <w:highlight w:val="none"/>
                <w:vertAlign w:val="baseline"/>
                <w:lang w:val="en-US" w:eastAsia="zh-CN"/>
              </w:rPr>
              <w:t>座，全封闭，单个容积为10t，用于储存添加剂。</w:t>
            </w:r>
          </w:p>
        </w:tc>
      </w:tr>
      <w:tr w14:paraId="540C1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vMerge w:val="restart"/>
            <w:noWrap w:val="0"/>
            <w:vAlign w:val="center"/>
          </w:tcPr>
          <w:p w14:paraId="4AA14C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辅助工程</w:t>
            </w:r>
          </w:p>
        </w:tc>
        <w:tc>
          <w:tcPr>
            <w:tcW w:w="1903" w:type="dxa"/>
            <w:gridSpan w:val="2"/>
            <w:noWrap w:val="0"/>
            <w:vAlign w:val="center"/>
          </w:tcPr>
          <w:p w14:paraId="05AB0B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综合</w:t>
            </w:r>
            <w:r>
              <w:rPr>
                <w:rFonts w:hint="eastAsia" w:cs="Times New Roman"/>
                <w:color w:val="auto"/>
                <w:sz w:val="21"/>
                <w:szCs w:val="21"/>
                <w:highlight w:val="none"/>
                <w:vertAlign w:val="baseline"/>
                <w:lang w:val="en-US" w:eastAsia="zh-CN"/>
              </w:rPr>
              <w:t>区域</w:t>
            </w:r>
          </w:p>
        </w:tc>
        <w:tc>
          <w:tcPr>
            <w:tcW w:w="10598" w:type="dxa"/>
            <w:gridSpan w:val="2"/>
            <w:noWrap w:val="0"/>
            <w:vAlign w:val="center"/>
          </w:tcPr>
          <w:p w14:paraId="3DB504F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占地面积</w:t>
            </w:r>
            <w:r>
              <w:rPr>
                <w:rFonts w:hint="eastAsia" w:cs="Times New Roman"/>
                <w:color w:val="auto"/>
                <w:sz w:val="21"/>
                <w:szCs w:val="21"/>
                <w:highlight w:val="none"/>
                <w:vertAlign w:val="baseline"/>
                <w:lang w:val="en-US" w:eastAsia="zh-CN"/>
              </w:rPr>
              <w:t>72</w:t>
            </w:r>
            <w:r>
              <w:rPr>
                <w:rFonts w:hint="default" w:ascii="Times New Roman" w:hAnsi="Times New Roman" w:eastAsia="宋体" w:cs="Times New Roman"/>
                <w:color w:val="auto"/>
                <w:sz w:val="21"/>
                <w:szCs w:val="21"/>
                <w:highlight w:val="none"/>
                <w:vertAlign w:val="baseline"/>
                <w:lang w:val="en-US" w:eastAsia="zh-CN"/>
              </w:rPr>
              <w:t>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，位于厂区南侧，主要包括办公区、休息室、</w:t>
            </w:r>
            <w:r>
              <w:rPr>
                <w:rFonts w:hint="eastAsia" w:cs="Times New Roman"/>
                <w:color w:val="auto"/>
                <w:sz w:val="21"/>
                <w:szCs w:val="21"/>
                <w:highlight w:val="none"/>
                <w:vertAlign w:val="baseline"/>
                <w:lang w:val="en-US" w:eastAsia="zh-CN"/>
              </w:rPr>
              <w:t>调度</w:t>
            </w:r>
            <w:r>
              <w:rPr>
                <w:rFonts w:hint="default" w:ascii="Times New Roman" w:hAnsi="Times New Roman" w:eastAsia="宋体" w:cs="Times New Roman"/>
                <w:color w:val="auto"/>
                <w:sz w:val="21"/>
                <w:szCs w:val="21"/>
                <w:highlight w:val="none"/>
                <w:vertAlign w:val="baseline"/>
                <w:lang w:val="en-US" w:eastAsia="zh-CN"/>
              </w:rPr>
              <w:t>室、水泥室、水泥混凝土室、</w:t>
            </w:r>
            <w:r>
              <w:rPr>
                <w:rFonts w:hint="eastAsia" w:cs="Times New Roman"/>
                <w:color w:val="auto"/>
                <w:sz w:val="21"/>
                <w:szCs w:val="21"/>
                <w:highlight w:val="none"/>
                <w:vertAlign w:val="baseline"/>
                <w:lang w:val="en-US" w:eastAsia="zh-CN"/>
              </w:rPr>
              <w:t>力学</w:t>
            </w:r>
            <w:r>
              <w:rPr>
                <w:rFonts w:hint="default" w:ascii="Times New Roman" w:hAnsi="Times New Roman" w:eastAsia="宋体" w:cs="Times New Roman"/>
                <w:color w:val="auto"/>
                <w:sz w:val="21"/>
                <w:szCs w:val="21"/>
                <w:highlight w:val="none"/>
                <w:vertAlign w:val="baseline"/>
                <w:lang w:val="en-US" w:eastAsia="zh-CN"/>
              </w:rPr>
              <w:t>室、</w:t>
            </w:r>
            <w:r>
              <w:rPr>
                <w:rFonts w:hint="eastAsia" w:cs="Times New Roman"/>
                <w:color w:val="auto"/>
                <w:sz w:val="21"/>
                <w:szCs w:val="21"/>
                <w:highlight w:val="none"/>
                <w:vertAlign w:val="baseline"/>
                <w:lang w:val="en-US" w:eastAsia="zh-CN"/>
              </w:rPr>
              <w:t>综合实验</w:t>
            </w:r>
            <w:r>
              <w:rPr>
                <w:rFonts w:hint="default" w:ascii="Times New Roman" w:hAnsi="Times New Roman" w:eastAsia="宋体" w:cs="Times New Roman"/>
                <w:color w:val="auto"/>
                <w:sz w:val="21"/>
                <w:szCs w:val="21"/>
                <w:highlight w:val="none"/>
                <w:vertAlign w:val="baseline"/>
                <w:lang w:val="en-US" w:eastAsia="zh-CN"/>
              </w:rPr>
              <w:t>室、</w:t>
            </w:r>
            <w:r>
              <w:rPr>
                <w:rFonts w:hint="eastAsia" w:cs="Times New Roman"/>
                <w:color w:val="auto"/>
                <w:sz w:val="21"/>
                <w:szCs w:val="21"/>
                <w:highlight w:val="none"/>
                <w:vertAlign w:val="baseline"/>
                <w:lang w:val="en-US" w:eastAsia="zh-CN"/>
              </w:rPr>
              <w:t>养护</w:t>
            </w:r>
            <w:r>
              <w:rPr>
                <w:rFonts w:hint="default" w:ascii="Times New Roman" w:hAnsi="Times New Roman" w:eastAsia="宋体" w:cs="Times New Roman"/>
                <w:color w:val="auto"/>
                <w:sz w:val="21"/>
                <w:szCs w:val="21"/>
                <w:highlight w:val="none"/>
                <w:vertAlign w:val="baseline"/>
                <w:lang w:val="en-US" w:eastAsia="zh-CN"/>
              </w:rPr>
              <w:t>室</w:t>
            </w:r>
            <w:r>
              <w:rPr>
                <w:rFonts w:hint="eastAsia" w:cs="Times New Roman"/>
                <w:color w:val="auto"/>
                <w:sz w:val="21"/>
                <w:szCs w:val="21"/>
                <w:highlight w:val="none"/>
                <w:vertAlign w:val="baseline"/>
                <w:lang w:val="en-US" w:eastAsia="zh-CN"/>
              </w:rPr>
              <w:t>和食堂</w:t>
            </w:r>
            <w:r>
              <w:rPr>
                <w:rFonts w:hint="default" w:ascii="Times New Roman" w:hAnsi="Times New Roman" w:eastAsia="宋体" w:cs="Times New Roman"/>
                <w:color w:val="auto"/>
                <w:sz w:val="21"/>
                <w:szCs w:val="21"/>
                <w:highlight w:val="none"/>
                <w:vertAlign w:val="baseline"/>
                <w:lang w:val="en-US" w:eastAsia="zh-CN"/>
              </w:rPr>
              <w:t>。</w:t>
            </w:r>
          </w:p>
        </w:tc>
      </w:tr>
      <w:tr w14:paraId="56117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vMerge w:val="continue"/>
            <w:noWrap w:val="0"/>
            <w:vAlign w:val="center"/>
          </w:tcPr>
          <w:p w14:paraId="5FB1E4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1903" w:type="dxa"/>
            <w:gridSpan w:val="2"/>
            <w:shd w:val="clear" w:color="auto" w:fill="auto"/>
            <w:noWrap w:val="0"/>
            <w:vAlign w:val="center"/>
          </w:tcPr>
          <w:p w14:paraId="309127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门房</w:t>
            </w:r>
          </w:p>
        </w:tc>
        <w:tc>
          <w:tcPr>
            <w:tcW w:w="10598" w:type="dxa"/>
            <w:gridSpan w:val="2"/>
            <w:shd w:val="clear" w:color="auto" w:fill="auto"/>
            <w:noWrap w:val="0"/>
            <w:vAlign w:val="center"/>
          </w:tcPr>
          <w:p w14:paraId="1916918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占地面积</w:t>
            </w:r>
            <w:r>
              <w:rPr>
                <w:rFonts w:hint="eastAsia" w:cs="Times New Roman"/>
                <w:color w:val="auto"/>
                <w:sz w:val="21"/>
                <w:szCs w:val="21"/>
                <w:highlight w:val="none"/>
                <w:vertAlign w:val="baseline"/>
                <w:lang w:val="en-US" w:eastAsia="zh-CN"/>
              </w:rPr>
              <w:t>20</w:t>
            </w:r>
            <w:r>
              <w:rPr>
                <w:rFonts w:hint="default" w:ascii="Times New Roman" w:hAnsi="Times New Roman" w:eastAsia="宋体" w:cs="Times New Roman"/>
                <w:color w:val="auto"/>
                <w:sz w:val="21"/>
                <w:szCs w:val="21"/>
                <w:highlight w:val="none"/>
                <w:vertAlign w:val="baseli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，位于厂区南侧，</w:t>
            </w:r>
            <w:r>
              <w:rPr>
                <w:rFonts w:hint="eastAsia" w:cs="Times New Roman"/>
                <w:color w:val="auto"/>
                <w:sz w:val="21"/>
                <w:szCs w:val="21"/>
                <w:highlight w:val="none"/>
                <w:vertAlign w:val="baseline"/>
                <w:lang w:val="en-US" w:eastAsia="zh-CN"/>
              </w:rPr>
              <w:t>砖混结构</w:t>
            </w:r>
            <w:r>
              <w:rPr>
                <w:rFonts w:hint="default" w:ascii="Times New Roman" w:hAnsi="Times New Roman" w:eastAsia="宋体" w:cs="Times New Roman"/>
                <w:color w:val="auto"/>
                <w:sz w:val="21"/>
                <w:szCs w:val="21"/>
                <w:highlight w:val="none"/>
                <w:vertAlign w:val="baseline"/>
                <w:lang w:val="en-US" w:eastAsia="zh-CN"/>
              </w:rPr>
              <w:t>。</w:t>
            </w:r>
          </w:p>
        </w:tc>
      </w:tr>
      <w:tr w14:paraId="34D29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vMerge w:val="continue"/>
            <w:noWrap w:val="0"/>
            <w:vAlign w:val="center"/>
          </w:tcPr>
          <w:p w14:paraId="5E838B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1903" w:type="dxa"/>
            <w:gridSpan w:val="2"/>
            <w:shd w:val="clear" w:color="auto" w:fill="auto"/>
            <w:noWrap w:val="0"/>
            <w:vAlign w:val="center"/>
          </w:tcPr>
          <w:p w14:paraId="181991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沉淀池</w:t>
            </w:r>
          </w:p>
        </w:tc>
        <w:tc>
          <w:tcPr>
            <w:tcW w:w="10598" w:type="dxa"/>
            <w:gridSpan w:val="2"/>
            <w:shd w:val="clear" w:color="auto" w:fill="auto"/>
            <w:noWrap w:val="0"/>
            <w:vAlign w:val="center"/>
          </w:tcPr>
          <w:p w14:paraId="1DDF896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eastAsia="zh-CN"/>
              </w:rPr>
              <w:t>位于</w:t>
            </w:r>
            <w:r>
              <w:rPr>
                <w:rFonts w:hint="default" w:ascii="Times New Roman" w:hAnsi="Times New Roman" w:eastAsia="宋体" w:cs="Times New Roman"/>
                <w:color w:val="auto"/>
                <w:sz w:val="21"/>
                <w:szCs w:val="21"/>
                <w:highlight w:val="none"/>
                <w:lang w:val="en-US" w:eastAsia="zh-CN"/>
              </w:rPr>
              <w:t>厂区北侧，容积为</w:t>
            </w:r>
            <w:r>
              <w:rPr>
                <w:rFonts w:hint="eastAsia"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，用于收集车辆冲洗、搅拌机冲洗废水，沉淀池处理后回用。</w:t>
            </w:r>
          </w:p>
        </w:tc>
      </w:tr>
      <w:tr w14:paraId="5CA8E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noWrap w:val="0"/>
            <w:vAlign w:val="center"/>
          </w:tcPr>
          <w:p w14:paraId="001DFB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公用工程</w:t>
            </w:r>
          </w:p>
        </w:tc>
        <w:tc>
          <w:tcPr>
            <w:tcW w:w="1903" w:type="dxa"/>
            <w:gridSpan w:val="2"/>
            <w:noWrap w:val="0"/>
            <w:vAlign w:val="center"/>
          </w:tcPr>
          <w:p w14:paraId="2A0F5F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供水</w:t>
            </w:r>
          </w:p>
        </w:tc>
        <w:tc>
          <w:tcPr>
            <w:tcW w:w="10598" w:type="dxa"/>
            <w:gridSpan w:val="2"/>
            <w:noWrap w:val="0"/>
            <w:vAlign w:val="center"/>
          </w:tcPr>
          <w:p w14:paraId="7A3A021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由</w:t>
            </w:r>
            <w:r>
              <w:rPr>
                <w:rFonts w:hint="default" w:ascii="Times New Roman" w:hAnsi="Times New Roman" w:eastAsia="宋体" w:cs="Times New Roman"/>
                <w:bCs/>
                <w:color w:val="auto"/>
                <w:sz w:val="21"/>
                <w:szCs w:val="21"/>
                <w:highlight w:val="none"/>
                <w:lang w:val="en-US" w:eastAsia="zh-CN"/>
              </w:rPr>
              <w:t>兴仁镇</w:t>
            </w:r>
            <w:r>
              <w:rPr>
                <w:rFonts w:hint="default" w:ascii="Times New Roman" w:hAnsi="Times New Roman" w:eastAsia="宋体" w:cs="Times New Roman"/>
                <w:bCs/>
                <w:color w:val="auto"/>
                <w:sz w:val="21"/>
                <w:szCs w:val="21"/>
                <w:highlight w:val="none"/>
                <w:lang w:eastAsia="zh-CN"/>
              </w:rPr>
              <w:t>供水管网统一供给，本项目年用新鲜水</w:t>
            </w:r>
            <w:r>
              <w:rPr>
                <w:rFonts w:hint="eastAsia" w:cs="Times New Roman"/>
                <w:bCs/>
                <w:color w:val="auto"/>
                <w:sz w:val="21"/>
                <w:szCs w:val="21"/>
                <w:highlight w:val="none"/>
                <w:lang w:val="en-US" w:eastAsia="zh-CN"/>
              </w:rPr>
              <w:t>42976</w:t>
            </w:r>
            <w:r>
              <w:rPr>
                <w:rFonts w:hint="default" w:ascii="Times New Roman" w:hAnsi="Times New Roman" w:eastAsia="宋体" w:cs="Times New Roman"/>
                <w:bCs/>
                <w:color w:val="auto"/>
                <w:sz w:val="21"/>
                <w:szCs w:val="21"/>
                <w:highlight w:val="none"/>
                <w:lang w:eastAsia="zh-CN"/>
              </w:rPr>
              <w:t>m</w:t>
            </w:r>
            <w:r>
              <w:rPr>
                <w:rFonts w:hint="default" w:ascii="Times New Roman" w:hAnsi="Times New Roman" w:eastAsia="宋体" w:cs="Times New Roman"/>
                <w:bCs/>
                <w:color w:val="auto"/>
                <w:sz w:val="21"/>
                <w:szCs w:val="21"/>
                <w:highlight w:val="none"/>
                <w:vertAlign w:val="superscript"/>
                <w:lang w:eastAsia="zh-CN"/>
              </w:rPr>
              <w:t>3</w:t>
            </w:r>
            <w:r>
              <w:rPr>
                <w:rFonts w:hint="default" w:ascii="Times New Roman" w:hAnsi="Times New Roman" w:eastAsia="宋体" w:cs="Times New Roman"/>
                <w:bCs/>
                <w:color w:val="auto"/>
                <w:sz w:val="21"/>
                <w:szCs w:val="21"/>
                <w:highlight w:val="none"/>
                <w:lang w:eastAsia="zh-CN"/>
              </w:rPr>
              <w:t>/a。</w:t>
            </w:r>
          </w:p>
        </w:tc>
      </w:tr>
      <w:tr w14:paraId="377B9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vMerge w:val="restart"/>
            <w:noWrap w:val="0"/>
            <w:vAlign w:val="center"/>
          </w:tcPr>
          <w:p w14:paraId="276E8F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公用工程</w:t>
            </w:r>
          </w:p>
        </w:tc>
        <w:tc>
          <w:tcPr>
            <w:tcW w:w="1903" w:type="dxa"/>
            <w:gridSpan w:val="2"/>
            <w:noWrap w:val="0"/>
            <w:vAlign w:val="center"/>
          </w:tcPr>
          <w:p w14:paraId="111469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排水</w:t>
            </w:r>
          </w:p>
        </w:tc>
        <w:tc>
          <w:tcPr>
            <w:tcW w:w="10598" w:type="dxa"/>
            <w:gridSpan w:val="2"/>
            <w:noWrap w:val="0"/>
            <w:vAlign w:val="center"/>
          </w:tcPr>
          <w:p w14:paraId="785937C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Cs/>
                <w:color w:val="auto"/>
                <w:sz w:val="21"/>
                <w:szCs w:val="21"/>
                <w:highlight w:val="none"/>
                <w:lang w:eastAsia="zh-CN"/>
              </w:rPr>
            </w:pPr>
            <w:r>
              <w:rPr>
                <w:rFonts w:hint="eastAsia" w:cs="Times New Roman"/>
                <w:b w:val="0"/>
                <w:bCs/>
                <w:color w:val="auto"/>
                <w:kern w:val="0"/>
                <w:sz w:val="21"/>
                <w:szCs w:val="21"/>
                <w:highlight w:val="none"/>
                <w:lang w:val="en-US" w:eastAsia="zh-CN"/>
              </w:rPr>
              <w:t>厂区设置环保旱厕，生活污水主要为职工舆洗废水。</w:t>
            </w:r>
            <w:r>
              <w:rPr>
                <w:rFonts w:hint="default" w:ascii="Times New Roman" w:hAnsi="Times New Roman" w:eastAsia="宋体" w:cs="Times New Roman"/>
                <w:b w:val="0"/>
                <w:bCs/>
                <w:color w:val="auto"/>
                <w:kern w:val="0"/>
                <w:sz w:val="21"/>
                <w:szCs w:val="21"/>
                <w:highlight w:val="none"/>
                <w:lang w:val="en-US" w:eastAsia="zh-CN"/>
              </w:rPr>
              <w:t>本项目</w:t>
            </w:r>
            <w:r>
              <w:rPr>
                <w:rFonts w:hint="eastAsia" w:cs="Times New Roman"/>
                <w:b w:val="0"/>
                <w:bCs/>
                <w:color w:val="auto"/>
                <w:kern w:val="0"/>
                <w:sz w:val="21"/>
                <w:szCs w:val="21"/>
                <w:highlight w:val="none"/>
                <w:lang w:val="en-US" w:eastAsia="zh-CN"/>
              </w:rPr>
              <w:t>产生的食堂废水经隔油设施隔油后，与生活污水一同排入化粪池，总</w:t>
            </w:r>
            <w:r>
              <w:rPr>
                <w:rFonts w:hint="default" w:ascii="Times New Roman" w:hAnsi="Times New Roman" w:eastAsia="宋体" w:cs="Times New Roman"/>
                <w:b w:val="0"/>
                <w:bCs/>
                <w:color w:val="auto"/>
                <w:kern w:val="0"/>
                <w:sz w:val="21"/>
                <w:szCs w:val="21"/>
                <w:highlight w:val="none"/>
                <w:lang w:val="en-US" w:eastAsia="zh-CN"/>
              </w:rPr>
              <w:t>产生量为</w:t>
            </w:r>
            <w:r>
              <w:rPr>
                <w:rFonts w:hint="eastAsia" w:cs="Times New Roman"/>
                <w:b w:val="0"/>
                <w:bCs/>
                <w:color w:val="auto"/>
                <w:kern w:val="0"/>
                <w:sz w:val="21"/>
                <w:szCs w:val="21"/>
                <w:highlight w:val="none"/>
                <w:lang w:val="en-US" w:eastAsia="zh-CN"/>
              </w:rPr>
              <w:t>864</w:t>
            </w:r>
            <w:r>
              <w:rPr>
                <w:rFonts w:hint="default" w:ascii="Times New Roman" w:hAnsi="Times New Roman" w:eastAsia="宋体" w:cs="Times New Roman"/>
                <w:b w:val="0"/>
                <w:bCs/>
                <w:color w:val="auto"/>
                <w:kern w:val="0"/>
                <w:sz w:val="21"/>
                <w:szCs w:val="21"/>
                <w:highlight w:val="none"/>
                <w:lang w:val="en-US" w:eastAsia="zh-CN"/>
              </w:rPr>
              <w:t>m</w:t>
            </w:r>
            <w:r>
              <w:rPr>
                <w:rFonts w:hint="default" w:ascii="Times New Roman" w:hAnsi="Times New Roman" w:eastAsia="宋体" w:cs="Times New Roman"/>
                <w:b w:val="0"/>
                <w:bCs/>
                <w:color w:val="auto"/>
                <w:kern w:val="0"/>
                <w:sz w:val="21"/>
                <w:szCs w:val="21"/>
                <w:highlight w:val="none"/>
                <w:vertAlign w:val="superscript"/>
                <w:lang w:val="en-US" w:eastAsia="zh-CN"/>
              </w:rPr>
              <w:t>3</w:t>
            </w:r>
            <w:r>
              <w:rPr>
                <w:rFonts w:hint="default" w:ascii="Times New Roman" w:hAnsi="Times New Roman" w:eastAsia="宋体" w:cs="Times New Roman"/>
                <w:b w:val="0"/>
                <w:bCs/>
                <w:color w:val="auto"/>
                <w:kern w:val="0"/>
                <w:sz w:val="21"/>
                <w:szCs w:val="21"/>
                <w:highlight w:val="none"/>
                <w:lang w:val="en-US" w:eastAsia="zh-CN"/>
              </w:rPr>
              <w:t>/a，</w:t>
            </w:r>
            <w:r>
              <w:rPr>
                <w:rFonts w:hint="eastAsia" w:cs="Times New Roman"/>
                <w:b w:val="0"/>
                <w:bCs/>
                <w:color w:val="auto"/>
                <w:kern w:val="0"/>
                <w:sz w:val="21"/>
                <w:szCs w:val="21"/>
                <w:highlight w:val="none"/>
                <w:lang w:val="en-US" w:eastAsia="zh-CN"/>
              </w:rPr>
              <w:t>混合废水</w:t>
            </w:r>
            <w:r>
              <w:rPr>
                <w:rFonts w:hint="default" w:ascii="Times New Roman" w:hAnsi="Times New Roman" w:eastAsia="宋体" w:cs="Times New Roman"/>
                <w:b w:val="0"/>
                <w:bCs/>
                <w:color w:val="auto"/>
                <w:kern w:val="0"/>
                <w:sz w:val="21"/>
                <w:szCs w:val="21"/>
                <w:highlight w:val="none"/>
                <w:lang w:val="en-US" w:eastAsia="zh-CN"/>
              </w:rPr>
              <w:t>经化粪池（</w:t>
            </w:r>
            <w:r>
              <w:rPr>
                <w:rFonts w:hint="eastAsia" w:cs="Times New Roman"/>
                <w:b w:val="0"/>
                <w:bCs/>
                <w:color w:val="auto"/>
                <w:kern w:val="0"/>
                <w:sz w:val="21"/>
                <w:szCs w:val="21"/>
                <w:highlight w:val="none"/>
                <w:lang w:val="en-US" w:eastAsia="zh-CN"/>
              </w:rPr>
              <w:t>16</w:t>
            </w:r>
            <w:r>
              <w:rPr>
                <w:rFonts w:hint="default" w:ascii="Times New Roman" w:hAnsi="Times New Roman" w:eastAsia="宋体" w:cs="Times New Roman"/>
                <w:b w:val="0"/>
                <w:bCs/>
                <w:color w:val="auto"/>
                <w:kern w:val="0"/>
                <w:sz w:val="21"/>
                <w:szCs w:val="21"/>
                <w:highlight w:val="none"/>
                <w:lang w:val="en-US" w:eastAsia="zh-CN"/>
              </w:rPr>
              <w:t>m</w:t>
            </w:r>
            <w:r>
              <w:rPr>
                <w:rFonts w:hint="default" w:ascii="Times New Roman" w:hAnsi="Times New Roman" w:eastAsia="宋体" w:cs="Times New Roman"/>
                <w:b w:val="0"/>
                <w:bCs/>
                <w:color w:val="auto"/>
                <w:kern w:val="0"/>
                <w:sz w:val="21"/>
                <w:szCs w:val="21"/>
                <w:highlight w:val="none"/>
                <w:vertAlign w:val="superscript"/>
                <w:lang w:val="en-US" w:eastAsia="zh-CN"/>
              </w:rPr>
              <w:t>3</w:t>
            </w:r>
            <w:r>
              <w:rPr>
                <w:rFonts w:hint="default" w:ascii="Times New Roman" w:hAnsi="Times New Roman" w:eastAsia="宋体" w:cs="Times New Roman"/>
                <w:b w:val="0"/>
                <w:bCs/>
                <w:color w:val="auto"/>
                <w:kern w:val="0"/>
                <w:sz w:val="21"/>
                <w:szCs w:val="21"/>
                <w:highlight w:val="none"/>
                <w:lang w:val="en-US" w:eastAsia="zh-CN"/>
              </w:rPr>
              <w:t>）</w:t>
            </w:r>
            <w:r>
              <w:rPr>
                <w:rFonts w:hint="eastAsia" w:cs="Times New Roman"/>
                <w:b w:val="0"/>
                <w:bCs/>
                <w:color w:val="auto"/>
                <w:kern w:val="0"/>
                <w:sz w:val="21"/>
                <w:szCs w:val="21"/>
                <w:highlight w:val="none"/>
                <w:lang w:val="en-US" w:eastAsia="zh-CN"/>
              </w:rPr>
              <w:t>处理</w:t>
            </w:r>
            <w:r>
              <w:rPr>
                <w:rFonts w:hint="default" w:ascii="Times New Roman" w:hAnsi="Times New Roman" w:eastAsia="宋体" w:cs="Times New Roman"/>
                <w:b w:val="0"/>
                <w:bCs/>
                <w:color w:val="auto"/>
                <w:kern w:val="0"/>
                <w:sz w:val="21"/>
                <w:szCs w:val="21"/>
                <w:highlight w:val="none"/>
                <w:lang w:val="en-US" w:eastAsia="zh-CN"/>
              </w:rPr>
              <w:t>后，定期拉运至中卫市沙坡头区兴仁镇污水处理厂</w:t>
            </w:r>
            <w:r>
              <w:rPr>
                <w:rFonts w:hint="eastAsia" w:cs="Times New Roman"/>
                <w:b w:val="0"/>
                <w:bCs/>
                <w:color w:val="auto"/>
                <w:kern w:val="0"/>
                <w:sz w:val="21"/>
                <w:szCs w:val="21"/>
                <w:highlight w:val="none"/>
                <w:lang w:val="en-US" w:eastAsia="zh-CN"/>
              </w:rPr>
              <w:t>。</w:t>
            </w:r>
          </w:p>
        </w:tc>
      </w:tr>
      <w:tr w14:paraId="3A731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vMerge w:val="continue"/>
            <w:noWrap w:val="0"/>
            <w:vAlign w:val="center"/>
          </w:tcPr>
          <w:p w14:paraId="47860A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1903" w:type="dxa"/>
            <w:gridSpan w:val="2"/>
            <w:noWrap w:val="0"/>
            <w:vAlign w:val="center"/>
          </w:tcPr>
          <w:p w14:paraId="34FC2E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供电</w:t>
            </w:r>
          </w:p>
        </w:tc>
        <w:tc>
          <w:tcPr>
            <w:tcW w:w="10598" w:type="dxa"/>
            <w:gridSpan w:val="2"/>
            <w:noWrap w:val="0"/>
            <w:vAlign w:val="center"/>
          </w:tcPr>
          <w:p w14:paraId="79446C2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Cs/>
                <w:color w:val="auto"/>
                <w:sz w:val="21"/>
                <w:szCs w:val="21"/>
                <w:highlight w:val="none"/>
                <w:lang w:eastAsia="zh-CN"/>
              </w:rPr>
              <w:t>本项目年用电</w:t>
            </w:r>
            <w:r>
              <w:rPr>
                <w:rFonts w:hint="eastAsia" w:cs="Times New Roman"/>
                <w:bCs/>
                <w:color w:val="auto"/>
                <w:sz w:val="21"/>
                <w:szCs w:val="21"/>
                <w:highlight w:val="none"/>
                <w:lang w:val="en-US" w:eastAsia="zh-CN"/>
              </w:rPr>
              <w:t>195</w:t>
            </w:r>
            <w:r>
              <w:rPr>
                <w:rFonts w:hint="default" w:ascii="Times New Roman" w:hAnsi="Times New Roman" w:eastAsia="宋体" w:cs="Times New Roman"/>
                <w:bCs/>
                <w:color w:val="auto"/>
                <w:sz w:val="21"/>
                <w:szCs w:val="21"/>
                <w:highlight w:val="none"/>
                <w:lang w:eastAsia="zh-CN"/>
              </w:rPr>
              <w:t>万kW·h，用电由</w:t>
            </w:r>
            <w:r>
              <w:rPr>
                <w:rFonts w:hint="default" w:ascii="Times New Roman" w:hAnsi="Times New Roman" w:eastAsia="宋体" w:cs="Times New Roman"/>
                <w:bCs/>
                <w:color w:val="auto"/>
                <w:sz w:val="21"/>
                <w:szCs w:val="21"/>
                <w:highlight w:val="none"/>
                <w:lang w:val="en-US" w:eastAsia="zh-CN"/>
              </w:rPr>
              <w:t>沙坡头区兴仁镇至三眼井10KV高压线路</w:t>
            </w:r>
            <w:r>
              <w:rPr>
                <w:rFonts w:hint="default" w:ascii="Times New Roman" w:hAnsi="Times New Roman" w:eastAsia="宋体" w:cs="Times New Roman"/>
                <w:bCs/>
                <w:color w:val="auto"/>
                <w:sz w:val="21"/>
                <w:szCs w:val="21"/>
                <w:highlight w:val="none"/>
                <w:lang w:eastAsia="zh-CN"/>
              </w:rPr>
              <w:t>供电系统统一供应。</w:t>
            </w:r>
          </w:p>
        </w:tc>
      </w:tr>
      <w:tr w14:paraId="11C6D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vMerge w:val="continue"/>
            <w:noWrap w:val="0"/>
            <w:vAlign w:val="center"/>
          </w:tcPr>
          <w:p w14:paraId="71108A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1903" w:type="dxa"/>
            <w:gridSpan w:val="2"/>
            <w:noWrap w:val="0"/>
            <w:vAlign w:val="center"/>
          </w:tcPr>
          <w:p w14:paraId="4F074F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供热</w:t>
            </w:r>
          </w:p>
        </w:tc>
        <w:tc>
          <w:tcPr>
            <w:tcW w:w="10598" w:type="dxa"/>
            <w:gridSpan w:val="2"/>
            <w:noWrap w:val="0"/>
            <w:vAlign w:val="center"/>
          </w:tcPr>
          <w:p w14:paraId="5FD35C6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vertAlign w:val="baseline"/>
                <w:lang w:val="en-US" w:eastAsia="zh-CN"/>
              </w:rPr>
              <w:t>项目冬季</w:t>
            </w:r>
            <w:r>
              <w:rPr>
                <w:rFonts w:hint="eastAsia" w:cs="Times New Roman"/>
                <w:color w:val="auto"/>
                <w:sz w:val="21"/>
                <w:szCs w:val="21"/>
                <w:highlight w:val="none"/>
                <w:vertAlign w:val="baseline"/>
                <w:lang w:val="en-US" w:eastAsia="zh-CN"/>
              </w:rPr>
              <w:t>采用空调供热</w:t>
            </w:r>
            <w:r>
              <w:rPr>
                <w:rFonts w:hint="default" w:ascii="Times New Roman" w:hAnsi="Times New Roman" w:eastAsia="宋体" w:cs="Times New Roman"/>
                <w:color w:val="auto"/>
                <w:sz w:val="21"/>
                <w:szCs w:val="21"/>
                <w:highlight w:val="none"/>
                <w:vertAlign w:val="baseline"/>
                <w:lang w:val="en-US" w:eastAsia="zh-CN"/>
              </w:rPr>
              <w:t>。</w:t>
            </w:r>
          </w:p>
        </w:tc>
      </w:tr>
      <w:tr w14:paraId="79E22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491" w:type="dxa"/>
            <w:vMerge w:val="restart"/>
            <w:noWrap w:val="0"/>
            <w:vAlign w:val="center"/>
          </w:tcPr>
          <w:p w14:paraId="47830D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环保工程</w:t>
            </w:r>
          </w:p>
        </w:tc>
        <w:tc>
          <w:tcPr>
            <w:tcW w:w="728" w:type="dxa"/>
            <w:vMerge w:val="restart"/>
            <w:noWrap w:val="0"/>
            <w:vAlign w:val="center"/>
          </w:tcPr>
          <w:p w14:paraId="015EC3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废气防治</w:t>
            </w:r>
          </w:p>
        </w:tc>
        <w:tc>
          <w:tcPr>
            <w:tcW w:w="1175" w:type="dxa"/>
            <w:noWrap w:val="0"/>
            <w:vAlign w:val="center"/>
          </w:tcPr>
          <w:p w14:paraId="39AD9E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施工期</w:t>
            </w:r>
          </w:p>
        </w:tc>
        <w:tc>
          <w:tcPr>
            <w:tcW w:w="10598" w:type="dxa"/>
            <w:gridSpan w:val="2"/>
            <w:noWrap w:val="0"/>
            <w:vAlign w:val="center"/>
          </w:tcPr>
          <w:p w14:paraId="52D9B0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施工场地设置2.5m高围挡，定期洒水抑尘；新筑路基必须及时压实；运输土方、粉状物料等车辆采用篷布遮盖；开挖的土方不能及时回填时，在有风或大雨天气临时遮盖；对堆存易产生扬尘的施工材料用防尘网遮盖，粉状物料（如水泥、粉煤灰等）不得露天堆放；施工机械占地及无法及时清运固废临时占地采取定期洒水抑尘、覆盖防尘网等措施；施工期严格落实建筑工地“六个100%”防控措施。</w:t>
            </w:r>
          </w:p>
        </w:tc>
      </w:tr>
      <w:tr w14:paraId="745EF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1" w:type="dxa"/>
            <w:vMerge w:val="continue"/>
            <w:noWrap w:val="0"/>
            <w:vAlign w:val="center"/>
          </w:tcPr>
          <w:p w14:paraId="37D5B8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728" w:type="dxa"/>
            <w:vMerge w:val="continue"/>
            <w:noWrap w:val="0"/>
            <w:vAlign w:val="center"/>
          </w:tcPr>
          <w:p w14:paraId="002CB3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vMerge w:val="restart"/>
            <w:noWrap w:val="0"/>
            <w:vAlign w:val="center"/>
          </w:tcPr>
          <w:p w14:paraId="01AE26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运营期</w:t>
            </w:r>
          </w:p>
        </w:tc>
        <w:tc>
          <w:tcPr>
            <w:tcW w:w="10598" w:type="dxa"/>
            <w:gridSpan w:val="2"/>
            <w:noWrap w:val="0"/>
            <w:vAlign w:val="center"/>
          </w:tcPr>
          <w:p w14:paraId="55FFFEB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水泥筒仓粉尘（G</w:t>
            </w:r>
            <w:r>
              <w:rPr>
                <w:rFonts w:hint="default" w:ascii="Times New Roman" w:hAnsi="Times New Roman" w:eastAsia="宋体" w:cs="Times New Roman"/>
                <w:b/>
                <w:bCs w:val="0"/>
                <w:color w:val="auto"/>
                <w:sz w:val="21"/>
                <w:szCs w:val="21"/>
                <w:highlight w:val="none"/>
                <w:vertAlign w:val="subscript"/>
                <w:lang w:val="en-US" w:eastAsia="zh-CN"/>
              </w:rPr>
              <w:t>1-1</w:t>
            </w:r>
            <w:r>
              <w:rPr>
                <w:rFonts w:hint="default" w:ascii="Times New Roman" w:hAnsi="Times New Roman" w:eastAsia="宋体" w:cs="Times New Roman"/>
                <w:b/>
                <w:bCs w:val="0"/>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本项目水泥筒仓</w:t>
            </w:r>
            <w:r>
              <w:rPr>
                <w:rFonts w:hint="default" w:ascii="Times New Roman" w:hAnsi="Times New Roman" w:eastAsia="宋体" w:cs="Times New Roman"/>
                <w:bCs/>
                <w:color w:val="auto"/>
                <w:sz w:val="21"/>
                <w:szCs w:val="21"/>
                <w:highlight w:val="none"/>
                <w:lang w:val="en-US" w:eastAsia="zh-CN"/>
              </w:rPr>
              <w:t>产生的粉尘经</w:t>
            </w:r>
            <w:r>
              <w:rPr>
                <w:rFonts w:hint="default" w:ascii="Times New Roman" w:hAnsi="Times New Roman" w:eastAsia="宋体" w:cs="Times New Roman"/>
                <w:bCs/>
                <w:color w:val="auto"/>
                <w:sz w:val="21"/>
                <w:szCs w:val="21"/>
                <w:highlight w:val="none"/>
              </w:rPr>
              <w:t>上方</w:t>
            </w:r>
            <w:r>
              <w:rPr>
                <w:rFonts w:hint="default" w:ascii="Times New Roman" w:hAnsi="Times New Roman" w:eastAsia="宋体" w:cs="Times New Roman"/>
                <w:bCs/>
                <w:color w:val="auto"/>
                <w:sz w:val="21"/>
                <w:szCs w:val="21"/>
                <w:highlight w:val="none"/>
                <w:lang w:val="en-US" w:eastAsia="zh-CN"/>
              </w:rPr>
              <w:t>自带</w:t>
            </w:r>
            <w:r>
              <w:rPr>
                <w:rFonts w:hint="eastAsia" w:cs="Times New Roman"/>
                <w:bCs/>
                <w:color w:val="auto"/>
                <w:sz w:val="21"/>
                <w:szCs w:val="21"/>
                <w:highlight w:val="none"/>
                <w:lang w:val="en-US" w:eastAsia="zh-CN"/>
              </w:rPr>
              <w:t>脉冲除尘器</w:t>
            </w:r>
            <w:r>
              <w:rPr>
                <w:rFonts w:hint="default" w:ascii="Times New Roman" w:hAnsi="Times New Roman" w:eastAsia="宋体" w:cs="Times New Roman"/>
                <w:bCs/>
                <w:color w:val="auto"/>
                <w:sz w:val="21"/>
                <w:szCs w:val="21"/>
                <w:highlight w:val="none"/>
                <w:lang w:val="en-US" w:eastAsia="zh-CN"/>
              </w:rPr>
              <w:t>处理后无组织排放，除尘效率为99</w:t>
            </w:r>
            <w:r>
              <w:rPr>
                <w:rFonts w:hint="eastAsia" w:cs="Times New Roman"/>
                <w:bCs/>
                <w:color w:val="auto"/>
                <w:sz w:val="21"/>
                <w:szCs w:val="21"/>
                <w:highlight w:val="none"/>
                <w:lang w:val="en-US" w:eastAsia="zh-CN"/>
              </w:rPr>
              <w:t>.7</w:t>
            </w:r>
            <w:r>
              <w:rPr>
                <w:rFonts w:hint="default" w:ascii="Times New Roman" w:hAnsi="Times New Roman" w:eastAsia="宋体" w:cs="Times New Roman"/>
                <w:bCs/>
                <w:color w:val="auto"/>
                <w:sz w:val="21"/>
                <w:szCs w:val="21"/>
                <w:highlight w:val="none"/>
                <w:lang w:val="en-US" w:eastAsia="zh-CN"/>
              </w:rPr>
              <w:t>%。</w:t>
            </w:r>
          </w:p>
        </w:tc>
      </w:tr>
      <w:tr w14:paraId="0D5C9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1" w:type="dxa"/>
            <w:vMerge w:val="continue"/>
            <w:noWrap w:val="0"/>
            <w:vAlign w:val="center"/>
          </w:tcPr>
          <w:p w14:paraId="28F660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728" w:type="dxa"/>
            <w:vMerge w:val="continue"/>
            <w:noWrap w:val="0"/>
            <w:vAlign w:val="center"/>
          </w:tcPr>
          <w:p w14:paraId="4DC9B4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vMerge w:val="continue"/>
            <w:noWrap w:val="0"/>
            <w:vAlign w:val="center"/>
          </w:tcPr>
          <w:p w14:paraId="505782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0598" w:type="dxa"/>
            <w:gridSpan w:val="2"/>
            <w:noWrap w:val="0"/>
            <w:vAlign w:val="center"/>
          </w:tcPr>
          <w:p w14:paraId="41D7E48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粉煤灰筒仓粉尘（G</w:t>
            </w:r>
            <w:r>
              <w:rPr>
                <w:rFonts w:hint="default" w:ascii="Times New Roman" w:hAnsi="Times New Roman" w:eastAsia="宋体" w:cs="Times New Roman"/>
                <w:b/>
                <w:bCs w:val="0"/>
                <w:color w:val="auto"/>
                <w:sz w:val="21"/>
                <w:szCs w:val="21"/>
                <w:highlight w:val="none"/>
                <w:vertAlign w:val="subscript"/>
                <w:lang w:val="en-US" w:eastAsia="zh-CN"/>
              </w:rPr>
              <w:t>1-</w:t>
            </w:r>
            <w:r>
              <w:rPr>
                <w:rFonts w:hint="eastAsia" w:cs="Times New Roman"/>
                <w:b/>
                <w:bCs w:val="0"/>
                <w:color w:val="auto"/>
                <w:sz w:val="21"/>
                <w:szCs w:val="21"/>
                <w:highlight w:val="none"/>
                <w:vertAlign w:val="subscript"/>
                <w:lang w:val="en-US" w:eastAsia="zh-CN"/>
              </w:rPr>
              <w:t>2</w:t>
            </w:r>
            <w:r>
              <w:rPr>
                <w:rFonts w:hint="default" w:ascii="Times New Roman" w:hAnsi="Times New Roman" w:eastAsia="宋体" w:cs="Times New Roman"/>
                <w:b/>
                <w:bCs w:val="0"/>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本项目</w:t>
            </w:r>
            <w:r>
              <w:rPr>
                <w:rFonts w:hint="default" w:ascii="Times New Roman" w:hAnsi="Times New Roman" w:eastAsia="宋体" w:cs="Times New Roman"/>
                <w:bCs/>
                <w:color w:val="auto"/>
                <w:sz w:val="21"/>
                <w:szCs w:val="21"/>
                <w:highlight w:val="none"/>
                <w:lang w:val="en-US" w:eastAsia="zh-CN"/>
              </w:rPr>
              <w:t>粉煤灰</w:t>
            </w:r>
            <w:r>
              <w:rPr>
                <w:rFonts w:hint="default" w:ascii="Times New Roman" w:hAnsi="Times New Roman" w:eastAsia="宋体" w:cs="Times New Roman"/>
                <w:bCs/>
                <w:color w:val="auto"/>
                <w:sz w:val="21"/>
                <w:szCs w:val="21"/>
                <w:highlight w:val="none"/>
              </w:rPr>
              <w:t>筒仓</w:t>
            </w:r>
            <w:r>
              <w:rPr>
                <w:rFonts w:hint="default" w:ascii="Times New Roman" w:hAnsi="Times New Roman" w:eastAsia="宋体" w:cs="Times New Roman"/>
                <w:bCs/>
                <w:color w:val="auto"/>
                <w:sz w:val="21"/>
                <w:szCs w:val="21"/>
                <w:highlight w:val="none"/>
                <w:lang w:val="en-US" w:eastAsia="zh-CN"/>
              </w:rPr>
              <w:t>产生的粉尘经</w:t>
            </w:r>
            <w:r>
              <w:rPr>
                <w:rFonts w:hint="default" w:ascii="Times New Roman" w:hAnsi="Times New Roman" w:eastAsia="宋体" w:cs="Times New Roman"/>
                <w:bCs/>
                <w:color w:val="auto"/>
                <w:sz w:val="21"/>
                <w:szCs w:val="21"/>
                <w:highlight w:val="none"/>
              </w:rPr>
              <w:t>上方</w:t>
            </w:r>
            <w:r>
              <w:rPr>
                <w:rFonts w:hint="default" w:ascii="Times New Roman" w:hAnsi="Times New Roman" w:eastAsia="宋体" w:cs="Times New Roman"/>
                <w:bCs/>
                <w:color w:val="auto"/>
                <w:sz w:val="21"/>
                <w:szCs w:val="21"/>
                <w:highlight w:val="none"/>
                <w:lang w:val="en-US" w:eastAsia="zh-CN"/>
              </w:rPr>
              <w:t>自带</w:t>
            </w:r>
            <w:r>
              <w:rPr>
                <w:rFonts w:hint="eastAsia" w:cs="Times New Roman"/>
                <w:bCs/>
                <w:color w:val="auto"/>
                <w:sz w:val="21"/>
                <w:szCs w:val="21"/>
                <w:highlight w:val="none"/>
                <w:lang w:val="en-US" w:eastAsia="zh-CN"/>
              </w:rPr>
              <w:t>脉冲除尘器</w:t>
            </w:r>
            <w:r>
              <w:rPr>
                <w:rFonts w:hint="default" w:ascii="Times New Roman" w:hAnsi="Times New Roman" w:eastAsia="宋体" w:cs="Times New Roman"/>
                <w:bCs/>
                <w:color w:val="auto"/>
                <w:sz w:val="21"/>
                <w:szCs w:val="21"/>
                <w:highlight w:val="none"/>
                <w:lang w:val="en-US" w:eastAsia="zh-CN"/>
              </w:rPr>
              <w:t>处理后无组织排放，除尘效率为99</w:t>
            </w:r>
            <w:r>
              <w:rPr>
                <w:rFonts w:hint="eastAsia" w:cs="Times New Roman"/>
                <w:bCs/>
                <w:color w:val="auto"/>
                <w:sz w:val="21"/>
                <w:szCs w:val="21"/>
                <w:highlight w:val="none"/>
                <w:lang w:val="en-US" w:eastAsia="zh-CN"/>
              </w:rPr>
              <w:t>.7</w:t>
            </w:r>
            <w:r>
              <w:rPr>
                <w:rFonts w:hint="default" w:ascii="Times New Roman" w:hAnsi="Times New Roman" w:eastAsia="宋体" w:cs="Times New Roman"/>
                <w:bCs/>
                <w:color w:val="auto"/>
                <w:sz w:val="21"/>
                <w:szCs w:val="21"/>
                <w:highlight w:val="none"/>
                <w:lang w:val="en-US" w:eastAsia="zh-CN"/>
              </w:rPr>
              <w:t>%。</w:t>
            </w:r>
          </w:p>
        </w:tc>
      </w:tr>
      <w:tr w14:paraId="371AC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1" w:type="dxa"/>
            <w:vMerge w:val="continue"/>
            <w:noWrap w:val="0"/>
            <w:vAlign w:val="center"/>
          </w:tcPr>
          <w:p w14:paraId="6D8501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728" w:type="dxa"/>
            <w:vMerge w:val="continue"/>
            <w:noWrap w:val="0"/>
            <w:vAlign w:val="center"/>
          </w:tcPr>
          <w:p w14:paraId="5F4CC7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vMerge w:val="continue"/>
            <w:noWrap w:val="0"/>
            <w:vAlign w:val="center"/>
          </w:tcPr>
          <w:p w14:paraId="465A94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0598" w:type="dxa"/>
            <w:gridSpan w:val="2"/>
            <w:noWrap w:val="0"/>
            <w:vAlign w:val="center"/>
          </w:tcPr>
          <w:p w14:paraId="117A8D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堆料棚</w:t>
            </w:r>
            <w:r>
              <w:rPr>
                <w:rFonts w:hint="default" w:ascii="Times New Roman" w:hAnsi="Times New Roman" w:eastAsia="宋体" w:cs="Times New Roman"/>
                <w:b/>
                <w:bCs w:val="0"/>
                <w:color w:val="auto"/>
                <w:sz w:val="21"/>
                <w:szCs w:val="21"/>
                <w:highlight w:val="none"/>
                <w:lang w:val="en-US" w:eastAsia="zh-CN"/>
              </w:rPr>
              <w:t>粉尘（G</w:t>
            </w:r>
            <w:r>
              <w:rPr>
                <w:rFonts w:hint="default" w:ascii="Times New Roman" w:hAnsi="Times New Roman" w:eastAsia="宋体" w:cs="Times New Roman"/>
                <w:b/>
                <w:bCs w:val="0"/>
                <w:color w:val="auto"/>
                <w:sz w:val="21"/>
                <w:szCs w:val="21"/>
                <w:highlight w:val="none"/>
                <w:vertAlign w:val="subscript"/>
                <w:lang w:val="en-US" w:eastAsia="zh-CN"/>
              </w:rPr>
              <w:t>1-</w:t>
            </w:r>
            <w:r>
              <w:rPr>
                <w:rFonts w:hint="eastAsia" w:cs="Times New Roman"/>
                <w:b/>
                <w:bCs w:val="0"/>
                <w:color w:val="auto"/>
                <w:sz w:val="21"/>
                <w:szCs w:val="21"/>
                <w:highlight w:val="none"/>
                <w:vertAlign w:val="subscript"/>
                <w:lang w:val="en-US" w:eastAsia="zh-CN"/>
              </w:rPr>
              <w:t>3</w:t>
            </w:r>
            <w:r>
              <w:rPr>
                <w:rFonts w:hint="default" w:ascii="Times New Roman" w:hAnsi="Times New Roman" w:eastAsia="宋体" w:cs="Times New Roman"/>
                <w:b/>
                <w:bCs w:val="0"/>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：项目所用</w:t>
            </w:r>
            <w:r>
              <w:rPr>
                <w:rFonts w:hint="eastAsia" w:cs="Times New Roman"/>
                <w:bCs/>
                <w:color w:val="auto"/>
                <w:sz w:val="21"/>
                <w:szCs w:val="21"/>
                <w:highlight w:val="none"/>
                <w:lang w:val="en-US" w:eastAsia="zh-CN"/>
              </w:rPr>
              <w:t>碎石</w:t>
            </w:r>
            <w:r>
              <w:rPr>
                <w:rFonts w:hint="default" w:ascii="Times New Roman" w:hAnsi="Times New Roman" w:eastAsia="宋体" w:cs="Times New Roman"/>
                <w:bCs/>
                <w:color w:val="auto"/>
                <w:sz w:val="21"/>
                <w:szCs w:val="21"/>
                <w:highlight w:val="none"/>
                <w:lang w:val="en-US" w:eastAsia="zh-CN"/>
              </w:rPr>
              <w:t>和</w:t>
            </w:r>
            <w:r>
              <w:rPr>
                <w:rFonts w:hint="eastAsia" w:cs="Times New Roman"/>
                <w:bCs/>
                <w:color w:val="auto"/>
                <w:sz w:val="21"/>
                <w:szCs w:val="21"/>
                <w:highlight w:val="none"/>
                <w:lang w:val="en-US" w:eastAsia="zh-CN"/>
              </w:rPr>
              <w:t>水洗砂</w:t>
            </w:r>
            <w:r>
              <w:rPr>
                <w:rFonts w:hint="default" w:ascii="Times New Roman" w:hAnsi="Times New Roman" w:eastAsia="宋体" w:cs="Times New Roman"/>
                <w:bCs/>
                <w:color w:val="auto"/>
                <w:sz w:val="21"/>
                <w:szCs w:val="21"/>
                <w:highlight w:val="none"/>
                <w:lang w:val="en-US" w:eastAsia="zh-CN"/>
              </w:rPr>
              <w:t>采用篷布遮盖通过汽车运至堆料棚，进行分区堆放，再用铲车送入</w:t>
            </w:r>
            <w:r>
              <w:rPr>
                <w:rFonts w:hint="eastAsia" w:cs="Times New Roman"/>
                <w:bCs/>
                <w:color w:val="auto"/>
                <w:sz w:val="21"/>
                <w:szCs w:val="21"/>
                <w:highlight w:val="none"/>
                <w:lang w:val="en-US" w:eastAsia="zh-CN"/>
              </w:rPr>
              <w:t>计量平台</w:t>
            </w:r>
            <w:r>
              <w:rPr>
                <w:rFonts w:hint="default" w:ascii="Times New Roman" w:hAnsi="Times New Roman" w:eastAsia="宋体" w:cs="Times New Roman"/>
                <w:bCs/>
                <w:color w:val="auto"/>
                <w:sz w:val="21"/>
                <w:szCs w:val="21"/>
                <w:highlight w:val="none"/>
                <w:lang w:val="en-US" w:eastAsia="zh-CN"/>
              </w:rPr>
              <w:t>。项目运营期采取地表硬化、定期喷水措施，保持砂石堆表层湿润。</w:t>
            </w:r>
          </w:p>
        </w:tc>
      </w:tr>
      <w:tr w14:paraId="52C95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1" w:type="dxa"/>
            <w:vMerge w:val="continue"/>
            <w:noWrap w:val="0"/>
            <w:vAlign w:val="center"/>
          </w:tcPr>
          <w:p w14:paraId="6991D4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728" w:type="dxa"/>
            <w:vMerge w:val="continue"/>
            <w:noWrap w:val="0"/>
            <w:vAlign w:val="center"/>
          </w:tcPr>
          <w:p w14:paraId="06611A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vMerge w:val="continue"/>
            <w:noWrap w:val="0"/>
            <w:vAlign w:val="center"/>
          </w:tcPr>
          <w:p w14:paraId="1EA546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0598" w:type="dxa"/>
            <w:gridSpan w:val="2"/>
            <w:noWrap w:val="0"/>
            <w:vAlign w:val="center"/>
          </w:tcPr>
          <w:p w14:paraId="5B4C9DA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搅拌粉尘（G</w:t>
            </w:r>
            <w:r>
              <w:rPr>
                <w:rFonts w:hint="default" w:ascii="Times New Roman" w:hAnsi="Times New Roman" w:eastAsia="宋体" w:cs="Times New Roman"/>
                <w:b/>
                <w:bCs w:val="0"/>
                <w:color w:val="auto"/>
                <w:sz w:val="21"/>
                <w:szCs w:val="21"/>
                <w:highlight w:val="none"/>
                <w:vertAlign w:val="subscript"/>
                <w:lang w:val="en-US" w:eastAsia="zh-CN"/>
              </w:rPr>
              <w:t>1-</w:t>
            </w:r>
            <w:r>
              <w:rPr>
                <w:rFonts w:hint="eastAsia" w:cs="Times New Roman"/>
                <w:b/>
                <w:bCs w:val="0"/>
                <w:color w:val="auto"/>
                <w:sz w:val="21"/>
                <w:szCs w:val="21"/>
                <w:highlight w:val="none"/>
                <w:vertAlign w:val="subscript"/>
                <w:lang w:val="en-US" w:eastAsia="zh-CN"/>
              </w:rPr>
              <w:t>4</w:t>
            </w:r>
            <w:r>
              <w:rPr>
                <w:rFonts w:hint="default" w:ascii="Times New Roman" w:hAnsi="Times New Roman" w:eastAsia="宋体" w:cs="Times New Roman"/>
                <w:b/>
                <w:bCs w:val="0"/>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搅拌工序采用</w:t>
            </w:r>
            <w:r>
              <w:rPr>
                <w:rFonts w:hint="default" w:ascii="Times New Roman" w:hAnsi="Times New Roman" w:eastAsia="宋体" w:cs="Times New Roman"/>
                <w:bCs/>
                <w:color w:val="auto"/>
                <w:sz w:val="21"/>
                <w:szCs w:val="21"/>
                <w:highlight w:val="none"/>
                <w:lang w:val="en-US" w:eastAsia="zh-CN"/>
              </w:rPr>
              <w:t>全密闭搅拌机，配料口直接连接搅拌机，原料输送过程为全密闭廊道，搅拌过程大量加水，基本不产生粉尘。</w:t>
            </w:r>
          </w:p>
        </w:tc>
      </w:tr>
      <w:tr w14:paraId="68F17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1" w:type="dxa"/>
            <w:vMerge w:val="continue"/>
            <w:noWrap w:val="0"/>
            <w:vAlign w:val="center"/>
          </w:tcPr>
          <w:p w14:paraId="683535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728" w:type="dxa"/>
            <w:vMerge w:val="continue"/>
            <w:noWrap w:val="0"/>
            <w:vAlign w:val="center"/>
          </w:tcPr>
          <w:p w14:paraId="3B9506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vMerge w:val="continue"/>
            <w:noWrap w:val="0"/>
            <w:vAlign w:val="center"/>
          </w:tcPr>
          <w:p w14:paraId="29A211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0598" w:type="dxa"/>
            <w:gridSpan w:val="2"/>
            <w:noWrap w:val="0"/>
            <w:vAlign w:val="center"/>
          </w:tcPr>
          <w:p w14:paraId="1750BAB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食堂油烟（G</w:t>
            </w:r>
            <w:r>
              <w:rPr>
                <w:rFonts w:hint="eastAsia" w:cs="Times New Roman"/>
                <w:b/>
                <w:bCs/>
                <w:color w:val="auto"/>
                <w:sz w:val="21"/>
                <w:szCs w:val="21"/>
                <w:highlight w:val="none"/>
                <w:vertAlign w:val="subscript"/>
                <w:lang w:val="en-US" w:eastAsia="zh-CN"/>
              </w:rPr>
              <w:t>2</w:t>
            </w:r>
            <w:r>
              <w:rPr>
                <w:rFonts w:hint="default" w:ascii="Times New Roman" w:hAnsi="Times New Roman" w:eastAsia="宋体" w:cs="Times New Roman"/>
                <w:b/>
                <w:bCs/>
                <w:color w:val="auto"/>
                <w:sz w:val="21"/>
                <w:szCs w:val="21"/>
                <w:highlight w:val="none"/>
                <w:vertAlign w:val="baseline"/>
                <w:lang w:val="en-US" w:eastAsia="zh-CN"/>
              </w:rPr>
              <w:t>）</w:t>
            </w:r>
            <w:r>
              <w:rPr>
                <w:rFonts w:hint="eastAsia" w:ascii="Times New Roman" w:hAnsi="Times New Roman" w:eastAsia="宋体" w:cs="Times New Roman"/>
                <w:b/>
                <w:bCs/>
                <w:color w:val="auto"/>
                <w:sz w:val="21"/>
                <w:szCs w:val="21"/>
                <w:highlight w:val="none"/>
                <w:vertAlign w:val="baseline"/>
                <w:lang w:val="en-US" w:eastAsia="zh-CN"/>
              </w:rPr>
              <w:t>：</w:t>
            </w:r>
            <w:r>
              <w:rPr>
                <w:rFonts w:hint="eastAsia" w:ascii="Times New Roman" w:hAnsi="Times New Roman" w:eastAsia="宋体" w:cs="Times New Roman"/>
                <w:b w:val="0"/>
                <w:bCs w:val="0"/>
                <w:color w:val="auto"/>
                <w:sz w:val="21"/>
                <w:szCs w:val="21"/>
                <w:highlight w:val="none"/>
                <w:vertAlign w:val="baseline"/>
                <w:lang w:val="en-US" w:eastAsia="zh-CN"/>
              </w:rPr>
              <w:t>厂区</w:t>
            </w:r>
            <w:r>
              <w:rPr>
                <w:rFonts w:hint="default" w:ascii="Times New Roman" w:hAnsi="Times New Roman" w:eastAsia="宋体" w:cs="Times New Roman"/>
                <w:b w:val="0"/>
                <w:bCs w:val="0"/>
                <w:color w:val="auto"/>
                <w:sz w:val="21"/>
                <w:szCs w:val="21"/>
                <w:highlight w:val="none"/>
                <w:vertAlign w:val="baseline"/>
                <w:lang w:val="en-US" w:eastAsia="zh-CN"/>
              </w:rPr>
              <w:t>设置职工食堂，产生的油烟经净化装置处理后，</w:t>
            </w:r>
            <w:r>
              <w:rPr>
                <w:rFonts w:hint="eastAsia" w:ascii="Times New Roman" w:hAnsi="Times New Roman" w:cs="Times New Roman"/>
                <w:b w:val="0"/>
                <w:bCs w:val="0"/>
                <w:color w:val="auto"/>
                <w:sz w:val="21"/>
                <w:szCs w:val="21"/>
                <w:highlight w:val="none"/>
                <w:vertAlign w:val="baseline"/>
                <w:lang w:val="en-US" w:eastAsia="zh-CN"/>
              </w:rPr>
              <w:t>引至屋顶排放</w:t>
            </w:r>
            <w:r>
              <w:rPr>
                <w:rFonts w:hint="default" w:ascii="Times New Roman" w:hAnsi="Times New Roman" w:eastAsia="宋体" w:cs="Times New Roman"/>
                <w:b w:val="0"/>
                <w:bCs w:val="0"/>
                <w:color w:val="auto"/>
                <w:sz w:val="21"/>
                <w:szCs w:val="21"/>
                <w:highlight w:val="none"/>
                <w:vertAlign w:val="baseline"/>
                <w:lang w:val="en-US" w:eastAsia="zh-CN"/>
              </w:rPr>
              <w:t>。</w:t>
            </w:r>
          </w:p>
        </w:tc>
      </w:tr>
      <w:tr w14:paraId="5536A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91" w:type="dxa"/>
            <w:vMerge w:val="continue"/>
            <w:noWrap w:val="0"/>
            <w:vAlign w:val="center"/>
          </w:tcPr>
          <w:p w14:paraId="7EA5C5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728" w:type="dxa"/>
            <w:vMerge w:val="continue"/>
            <w:noWrap w:val="0"/>
            <w:vAlign w:val="center"/>
          </w:tcPr>
          <w:p w14:paraId="653BCE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noWrap w:val="0"/>
            <w:vAlign w:val="center"/>
          </w:tcPr>
          <w:p w14:paraId="0C1A58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拆除阶段</w:t>
            </w:r>
          </w:p>
        </w:tc>
        <w:tc>
          <w:tcPr>
            <w:tcW w:w="10598" w:type="dxa"/>
            <w:gridSpan w:val="2"/>
            <w:noWrap w:val="0"/>
            <w:vAlign w:val="center"/>
          </w:tcPr>
          <w:p w14:paraId="25CDBF2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运输粉状物料等易产生扬尘污染的车辆，装载高度不得超过车辆护栏，并采取遮盖措施，减少沿途抛洒，易产生扬尘的路段车辆应慢速行驶，保持车辆进出现场出入口路面清洁、湿润，同时在车辆出入口竖立减速标牌，限制行车速度</w:t>
            </w:r>
            <w:r>
              <w:rPr>
                <w:rFonts w:hint="eastAsia" w:ascii="Times New Roman" w:hAnsi="Times New Roman" w:cs="Times New Roman"/>
                <w:color w:val="auto"/>
                <w:sz w:val="21"/>
                <w:szCs w:val="21"/>
                <w:highlight w:val="none"/>
                <w:vertAlign w:val="baseline"/>
                <w:lang w:val="en-US" w:eastAsia="zh-CN"/>
              </w:rPr>
              <w:t>；出口处铺装道路上可见粘带泥土长度不得超过10m，不得带泥上路，污染路面应及时清扫冲洗等措施。</w:t>
            </w:r>
          </w:p>
        </w:tc>
      </w:tr>
      <w:tr w14:paraId="0B73A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37" w:hRule="atLeast"/>
          <w:jc w:val="center"/>
        </w:trPr>
        <w:tc>
          <w:tcPr>
            <w:tcW w:w="1491" w:type="dxa"/>
            <w:vMerge w:val="continue"/>
            <w:noWrap w:val="0"/>
            <w:vAlign w:val="center"/>
          </w:tcPr>
          <w:p w14:paraId="0A3BFE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728" w:type="dxa"/>
            <w:vMerge w:val="restart"/>
            <w:noWrap w:val="0"/>
            <w:vAlign w:val="center"/>
          </w:tcPr>
          <w:p w14:paraId="185166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废水防治</w:t>
            </w:r>
          </w:p>
        </w:tc>
        <w:tc>
          <w:tcPr>
            <w:tcW w:w="1175" w:type="dxa"/>
            <w:noWrap w:val="0"/>
            <w:vAlign w:val="center"/>
          </w:tcPr>
          <w:p w14:paraId="3A513E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施工期</w:t>
            </w:r>
          </w:p>
        </w:tc>
        <w:tc>
          <w:tcPr>
            <w:tcW w:w="10597" w:type="dxa"/>
            <w:noWrap w:val="0"/>
            <w:vAlign w:val="center"/>
          </w:tcPr>
          <w:p w14:paraId="3845F1E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本项目施工期建设1座临时沉淀池，施工废水经沉淀处理后用于施工场地泼洒抑尘；工人生活产生的少量洗漱废水，用于施工场地泼洒抑尘，同时拟建设的1座防渗型环保旱厕供工人如厕使用。</w:t>
            </w:r>
          </w:p>
        </w:tc>
      </w:tr>
      <w:tr w14:paraId="5AE74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37" w:hRule="atLeast"/>
          <w:jc w:val="center"/>
        </w:trPr>
        <w:tc>
          <w:tcPr>
            <w:tcW w:w="1491" w:type="dxa"/>
            <w:vMerge w:val="continue"/>
            <w:noWrap w:val="0"/>
            <w:vAlign w:val="center"/>
          </w:tcPr>
          <w:p w14:paraId="5D6491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728" w:type="dxa"/>
            <w:vMerge w:val="continue"/>
            <w:noWrap w:val="0"/>
            <w:vAlign w:val="center"/>
          </w:tcPr>
          <w:p w14:paraId="7509D4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noWrap w:val="0"/>
            <w:vAlign w:val="center"/>
          </w:tcPr>
          <w:p w14:paraId="57554D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运营期</w:t>
            </w:r>
          </w:p>
        </w:tc>
        <w:tc>
          <w:tcPr>
            <w:tcW w:w="10597" w:type="dxa"/>
            <w:noWrap w:val="0"/>
            <w:vAlign w:val="center"/>
          </w:tcPr>
          <w:p w14:paraId="2661393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w:t>
            </w:r>
            <w:r>
              <w:rPr>
                <w:rFonts w:hint="eastAsia" w:cs="Times New Roman"/>
                <w:color w:val="auto"/>
                <w:sz w:val="21"/>
                <w:szCs w:val="21"/>
                <w:highlight w:val="none"/>
                <w:vertAlign w:val="baseline"/>
                <w:lang w:val="en-US" w:eastAsia="zh-CN"/>
              </w:rPr>
              <w:t>食堂</w:t>
            </w:r>
            <w:r>
              <w:rPr>
                <w:rFonts w:hint="eastAsia" w:ascii="Times New Roman" w:hAnsi="Times New Roman" w:cs="Times New Roman"/>
                <w:color w:val="auto"/>
                <w:sz w:val="21"/>
                <w:szCs w:val="21"/>
                <w:highlight w:val="none"/>
                <w:vertAlign w:val="baseline"/>
                <w:lang w:val="en-US" w:eastAsia="zh-CN"/>
              </w:rPr>
              <w:t>废水经隔油设施隔油后，与</w:t>
            </w:r>
            <w:r>
              <w:rPr>
                <w:rFonts w:hint="default" w:ascii="Times New Roman" w:hAnsi="Times New Roman" w:eastAsia="宋体" w:cs="Times New Roman"/>
                <w:color w:val="auto"/>
                <w:sz w:val="21"/>
                <w:szCs w:val="21"/>
                <w:highlight w:val="none"/>
                <w:vertAlign w:val="baseline"/>
                <w:lang w:val="en-US" w:eastAsia="zh-CN"/>
              </w:rPr>
              <w:t>生活污水</w:t>
            </w:r>
            <w:r>
              <w:rPr>
                <w:rFonts w:hint="eastAsia" w:ascii="Times New Roman" w:hAnsi="Times New Roman" w:cs="Times New Roman"/>
                <w:color w:val="auto"/>
                <w:sz w:val="21"/>
                <w:szCs w:val="21"/>
                <w:highlight w:val="none"/>
                <w:vertAlign w:val="baseline"/>
                <w:lang w:val="en-US" w:eastAsia="zh-CN"/>
              </w:rPr>
              <w:t>一同进入</w:t>
            </w:r>
            <w:r>
              <w:rPr>
                <w:rFonts w:hint="default" w:ascii="Times New Roman" w:hAnsi="Times New Roman" w:eastAsia="宋体" w:cs="Times New Roman"/>
                <w:color w:val="auto"/>
                <w:sz w:val="21"/>
                <w:szCs w:val="21"/>
                <w:highlight w:val="none"/>
                <w:vertAlign w:val="baseline"/>
                <w:lang w:val="en-US" w:eastAsia="zh-CN"/>
              </w:rPr>
              <w:t>化粪池</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vertAlign w:val="baseline"/>
                <w:lang w:val="en-US" w:eastAsia="zh-CN"/>
              </w:rPr>
              <w:t>处理后，定期通拉运至中卫市沙坡头区兴仁镇污水处理厂进行处理；车辆冲洗废水、清洗搅拌机废水全部排入沉淀池，经沉淀后回用，不外排。</w:t>
            </w:r>
          </w:p>
        </w:tc>
      </w:tr>
      <w:tr w14:paraId="77DC1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82" w:hRule="atLeast"/>
          <w:jc w:val="center"/>
        </w:trPr>
        <w:tc>
          <w:tcPr>
            <w:tcW w:w="1491" w:type="dxa"/>
            <w:vMerge w:val="continue"/>
            <w:noWrap w:val="0"/>
            <w:vAlign w:val="center"/>
          </w:tcPr>
          <w:p w14:paraId="0EA828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728" w:type="dxa"/>
            <w:vMerge w:val="continue"/>
            <w:noWrap w:val="0"/>
            <w:vAlign w:val="center"/>
          </w:tcPr>
          <w:p w14:paraId="1BEACA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noWrap w:val="0"/>
            <w:vAlign w:val="center"/>
          </w:tcPr>
          <w:p w14:paraId="630C65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拆除阶段</w:t>
            </w:r>
          </w:p>
        </w:tc>
        <w:tc>
          <w:tcPr>
            <w:tcW w:w="10597" w:type="dxa"/>
            <w:noWrap w:val="0"/>
            <w:vAlign w:val="center"/>
          </w:tcPr>
          <w:p w14:paraId="503C784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本项目拆除阶段施工人员不在厂区居住，不产生生活污水。</w:t>
            </w:r>
          </w:p>
        </w:tc>
      </w:tr>
      <w:tr w14:paraId="5B95A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80" w:hRule="atLeast"/>
          <w:jc w:val="center"/>
        </w:trPr>
        <w:tc>
          <w:tcPr>
            <w:tcW w:w="1491" w:type="dxa"/>
            <w:vMerge w:val="continue"/>
            <w:noWrap w:val="0"/>
            <w:vAlign w:val="center"/>
          </w:tcPr>
          <w:p w14:paraId="44F618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728" w:type="dxa"/>
            <w:vMerge w:val="restart"/>
            <w:noWrap w:val="0"/>
            <w:vAlign w:val="center"/>
          </w:tcPr>
          <w:p w14:paraId="1E22F4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噪声防治</w:t>
            </w:r>
          </w:p>
        </w:tc>
        <w:tc>
          <w:tcPr>
            <w:tcW w:w="1175" w:type="dxa"/>
            <w:noWrap w:val="0"/>
            <w:vAlign w:val="center"/>
          </w:tcPr>
          <w:p w14:paraId="3FBD47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施工期</w:t>
            </w:r>
          </w:p>
        </w:tc>
        <w:tc>
          <w:tcPr>
            <w:tcW w:w="10597" w:type="dxa"/>
            <w:noWrap w:val="0"/>
            <w:vAlign w:val="center"/>
          </w:tcPr>
          <w:p w14:paraId="067687E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施工场地设置2.5m高围挡，并在围挡内设置防噪挡板；优先选用低噪声施工机械，合理安排施工时间；施工现场设置禁止鸣笛、慢行标志牌及车辆指引牌</w:t>
            </w:r>
            <w:r>
              <w:rPr>
                <w:rFonts w:hint="eastAsia" w:ascii="Times New Roman" w:hAnsi="Times New Roman" w:eastAsia="宋体" w:cs="Times New Roman"/>
                <w:bCs/>
                <w:color w:val="auto"/>
                <w:sz w:val="21"/>
                <w:szCs w:val="21"/>
                <w:highlight w:val="none"/>
                <w:lang w:val="en-US" w:eastAsia="zh-CN"/>
              </w:rPr>
              <w:t>等措施。</w:t>
            </w:r>
          </w:p>
        </w:tc>
      </w:tr>
      <w:tr w14:paraId="0811B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atLeast"/>
          <w:jc w:val="center"/>
        </w:trPr>
        <w:tc>
          <w:tcPr>
            <w:tcW w:w="1491" w:type="dxa"/>
            <w:vMerge w:val="continue"/>
            <w:noWrap w:val="0"/>
            <w:vAlign w:val="center"/>
          </w:tcPr>
          <w:p w14:paraId="314F00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728" w:type="dxa"/>
            <w:vMerge w:val="continue"/>
            <w:noWrap w:val="0"/>
            <w:vAlign w:val="center"/>
          </w:tcPr>
          <w:p w14:paraId="05C060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shd w:val="clear" w:color="auto" w:fill="auto"/>
            <w:noWrap w:val="0"/>
            <w:vAlign w:val="center"/>
          </w:tcPr>
          <w:p w14:paraId="7F7DF0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运营期</w:t>
            </w:r>
          </w:p>
        </w:tc>
        <w:tc>
          <w:tcPr>
            <w:tcW w:w="10597" w:type="dxa"/>
            <w:shd w:val="clear" w:color="auto" w:fill="auto"/>
            <w:noWrap w:val="0"/>
            <w:vAlign w:val="center"/>
          </w:tcPr>
          <w:p w14:paraId="3A99607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Cs/>
                <w:color w:val="auto"/>
                <w:sz w:val="21"/>
                <w:szCs w:val="21"/>
                <w:highlight w:val="none"/>
              </w:rPr>
              <w:t>厂房隔声、消声、生产设备基础安装减振垫减振</w:t>
            </w:r>
            <w:r>
              <w:rPr>
                <w:rFonts w:hint="eastAsia" w:ascii="Times New Roman" w:hAnsi="Times New Roman" w:eastAsia="宋体" w:cs="Times New Roman"/>
                <w:bCs/>
                <w:color w:val="auto"/>
                <w:sz w:val="21"/>
                <w:szCs w:val="21"/>
                <w:highlight w:val="none"/>
                <w:lang w:eastAsia="zh-CN"/>
              </w:rPr>
              <w:t>。</w:t>
            </w:r>
          </w:p>
        </w:tc>
      </w:tr>
      <w:tr w14:paraId="7005D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atLeast"/>
          <w:jc w:val="center"/>
        </w:trPr>
        <w:tc>
          <w:tcPr>
            <w:tcW w:w="1491" w:type="dxa"/>
            <w:vMerge w:val="continue"/>
            <w:noWrap w:val="0"/>
            <w:vAlign w:val="center"/>
          </w:tcPr>
          <w:p w14:paraId="124B0F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728" w:type="dxa"/>
            <w:vMerge w:val="continue"/>
            <w:noWrap w:val="0"/>
            <w:vAlign w:val="center"/>
          </w:tcPr>
          <w:p w14:paraId="7DB4B9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noWrap w:val="0"/>
            <w:vAlign w:val="center"/>
          </w:tcPr>
          <w:p w14:paraId="0DC7E5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拆除阶段</w:t>
            </w:r>
          </w:p>
        </w:tc>
        <w:tc>
          <w:tcPr>
            <w:tcW w:w="10597" w:type="dxa"/>
            <w:noWrap w:val="0"/>
            <w:vAlign w:val="center"/>
          </w:tcPr>
          <w:p w14:paraId="1D16D96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rPr>
              <w:t>优先选用低噪声施工机械，合理安排施工时间；施工现场设置禁止鸣笛、慢行标志牌及车辆指引牌</w:t>
            </w:r>
            <w:r>
              <w:rPr>
                <w:rFonts w:hint="eastAsia" w:ascii="Times New Roman" w:hAnsi="Times New Roman" w:eastAsia="宋体" w:cs="Times New Roman"/>
                <w:bCs/>
                <w:color w:val="auto"/>
                <w:sz w:val="21"/>
                <w:szCs w:val="21"/>
                <w:highlight w:val="none"/>
                <w:lang w:val="en-US" w:eastAsia="zh-CN"/>
              </w:rPr>
              <w:t>等措施。</w:t>
            </w:r>
          </w:p>
        </w:tc>
      </w:tr>
      <w:tr w14:paraId="416A6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64" w:hRule="atLeast"/>
          <w:jc w:val="center"/>
        </w:trPr>
        <w:tc>
          <w:tcPr>
            <w:tcW w:w="1491" w:type="dxa"/>
            <w:vMerge w:val="continue"/>
            <w:noWrap w:val="0"/>
            <w:vAlign w:val="center"/>
          </w:tcPr>
          <w:p w14:paraId="39D2BE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728" w:type="dxa"/>
            <w:vMerge w:val="restart"/>
            <w:noWrap w:val="0"/>
            <w:vAlign w:val="center"/>
          </w:tcPr>
          <w:p w14:paraId="046C43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固废防治</w:t>
            </w:r>
          </w:p>
        </w:tc>
        <w:tc>
          <w:tcPr>
            <w:tcW w:w="1175" w:type="dxa"/>
            <w:noWrap w:val="0"/>
            <w:vAlign w:val="center"/>
          </w:tcPr>
          <w:p w14:paraId="4B09C1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施工期</w:t>
            </w:r>
          </w:p>
        </w:tc>
        <w:tc>
          <w:tcPr>
            <w:tcW w:w="10597" w:type="dxa"/>
            <w:noWrap w:val="0"/>
            <w:vAlign w:val="center"/>
          </w:tcPr>
          <w:p w14:paraId="206A6ED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lang w:val="en-US" w:eastAsia="zh-CN"/>
              </w:rPr>
              <w:t>施工期产生的固体废物主要为建筑垃圾、沉淀池沉渣及生活垃圾。建筑垃圾及时清运至中卫市指定的建筑垃圾场，不能及时清运的建筑垃圾用防尘网遮盖；</w:t>
            </w:r>
            <w:r>
              <w:rPr>
                <w:rFonts w:hint="eastAsia" w:cs="Times New Roman"/>
                <w:bCs/>
                <w:color w:val="auto"/>
                <w:sz w:val="21"/>
                <w:szCs w:val="21"/>
                <w:highlight w:val="none"/>
                <w:lang w:val="en-US" w:eastAsia="zh-CN"/>
              </w:rPr>
              <w:t>沉淀池沉渣运营后回用于生产；</w:t>
            </w:r>
            <w:r>
              <w:rPr>
                <w:rFonts w:hint="default" w:ascii="Times New Roman" w:hAnsi="Times New Roman" w:eastAsia="宋体" w:cs="Times New Roman"/>
                <w:bCs/>
                <w:color w:val="auto"/>
                <w:sz w:val="21"/>
                <w:szCs w:val="21"/>
                <w:highlight w:val="none"/>
                <w:lang w:val="en-US" w:eastAsia="zh-CN"/>
              </w:rPr>
              <w:t>设置生活垃圾分类收集箱，垃圾集中收集后交由环卫部门统一处理</w:t>
            </w:r>
            <w:r>
              <w:rPr>
                <w:rFonts w:hint="eastAsia" w:ascii="Times New Roman" w:hAnsi="Times New Roman" w:eastAsia="宋体" w:cs="Times New Roman"/>
                <w:bCs/>
                <w:color w:val="auto"/>
                <w:sz w:val="21"/>
                <w:szCs w:val="21"/>
                <w:highlight w:val="none"/>
                <w:lang w:val="en-US" w:eastAsia="zh-CN"/>
              </w:rPr>
              <w:t>。</w:t>
            </w:r>
          </w:p>
        </w:tc>
      </w:tr>
      <w:tr w14:paraId="4F292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474" w:hRule="atLeast"/>
          <w:jc w:val="center"/>
        </w:trPr>
        <w:tc>
          <w:tcPr>
            <w:tcW w:w="1491" w:type="dxa"/>
            <w:vMerge w:val="continue"/>
            <w:noWrap w:val="0"/>
            <w:vAlign w:val="center"/>
          </w:tcPr>
          <w:p w14:paraId="031E54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highlight w:val="none"/>
              </w:rPr>
            </w:pPr>
          </w:p>
        </w:tc>
        <w:tc>
          <w:tcPr>
            <w:tcW w:w="728" w:type="dxa"/>
            <w:vMerge w:val="continue"/>
            <w:noWrap w:val="0"/>
            <w:vAlign w:val="center"/>
          </w:tcPr>
          <w:p w14:paraId="07C14E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highlight w:val="none"/>
              </w:rPr>
            </w:pPr>
          </w:p>
        </w:tc>
        <w:tc>
          <w:tcPr>
            <w:tcW w:w="1175" w:type="dxa"/>
            <w:noWrap w:val="0"/>
            <w:vAlign w:val="center"/>
          </w:tcPr>
          <w:p w14:paraId="3F5C80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运营期</w:t>
            </w:r>
          </w:p>
        </w:tc>
        <w:tc>
          <w:tcPr>
            <w:tcW w:w="10597" w:type="dxa"/>
            <w:noWrap w:val="0"/>
            <w:vAlign w:val="center"/>
          </w:tcPr>
          <w:p w14:paraId="61373DC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设置生活垃圾收集箱，集中收集后交由当地环卫部门处理；</w:t>
            </w:r>
          </w:p>
          <w:p w14:paraId="23B49BC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沉淀池沉渣、除尘器收尘、废石料、跑冒滴漏</w:t>
            </w:r>
            <w:r>
              <w:rPr>
                <w:rFonts w:hint="eastAsia" w:cs="Times New Roman"/>
                <w:color w:val="auto"/>
                <w:sz w:val="21"/>
                <w:szCs w:val="21"/>
                <w:highlight w:val="none"/>
                <w:lang w:val="en-US" w:eastAsia="zh-CN"/>
              </w:rPr>
              <w:t>拌和</w:t>
            </w:r>
            <w:r>
              <w:rPr>
                <w:rFonts w:hint="default" w:ascii="Times New Roman" w:hAnsi="Times New Roman" w:eastAsia="宋体" w:cs="Times New Roman"/>
                <w:color w:val="auto"/>
                <w:sz w:val="21"/>
                <w:szCs w:val="21"/>
                <w:highlight w:val="none"/>
                <w:lang w:val="en-US" w:eastAsia="zh-CN"/>
              </w:rPr>
              <w:t>残渣属于一般固体废物，定期清理、收集后回用于生产，不在厂区暂存；</w:t>
            </w:r>
          </w:p>
          <w:p w14:paraId="209F032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本项目为临时工程，运营期为1年，车辆检修依托周边维修站，且项目运营期较短，若需进行设备检修，其产生的废机油由厂家更换回收，不在厂区贮存。</w:t>
            </w:r>
          </w:p>
        </w:tc>
      </w:tr>
      <w:tr w14:paraId="35009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20" w:hRule="atLeast"/>
          <w:jc w:val="center"/>
        </w:trPr>
        <w:tc>
          <w:tcPr>
            <w:tcW w:w="1491" w:type="dxa"/>
            <w:vMerge w:val="continue"/>
            <w:noWrap w:val="0"/>
            <w:vAlign w:val="center"/>
          </w:tcPr>
          <w:p w14:paraId="1B2EBB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728" w:type="dxa"/>
            <w:vMerge w:val="continue"/>
            <w:noWrap w:val="0"/>
            <w:vAlign w:val="center"/>
          </w:tcPr>
          <w:p w14:paraId="4FC157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75" w:type="dxa"/>
            <w:noWrap w:val="0"/>
            <w:vAlign w:val="center"/>
          </w:tcPr>
          <w:p w14:paraId="225927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拆除阶段</w:t>
            </w:r>
          </w:p>
        </w:tc>
        <w:tc>
          <w:tcPr>
            <w:tcW w:w="10597" w:type="dxa"/>
            <w:noWrap w:val="0"/>
            <w:vAlign w:val="center"/>
          </w:tcPr>
          <w:p w14:paraId="1C8C0E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运营期结束后，拆除阶段硬化地面及建筑垃圾清运至中卫市政府指定的建筑垃圾填埋场，铺设的混凝土、砂石全部挖装、直接拉运至高泉石料厂，不在厂区进行破碎、筛分，施工现场设置2个垃圾桶收集生活垃圾，集中收集后交由当地环卫部门处理。</w:t>
            </w:r>
          </w:p>
        </w:tc>
      </w:tr>
      <w:tr w14:paraId="41B68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304" w:hRule="atLeast"/>
          <w:jc w:val="center"/>
        </w:trPr>
        <w:tc>
          <w:tcPr>
            <w:tcW w:w="1491" w:type="dxa"/>
            <w:vMerge w:val="restart"/>
            <w:noWrap w:val="0"/>
            <w:vAlign w:val="center"/>
          </w:tcPr>
          <w:p w14:paraId="48161A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环保工程</w:t>
            </w:r>
          </w:p>
        </w:tc>
        <w:tc>
          <w:tcPr>
            <w:tcW w:w="1903" w:type="dxa"/>
            <w:gridSpan w:val="2"/>
            <w:noWrap w:val="0"/>
            <w:vAlign w:val="center"/>
          </w:tcPr>
          <w:p w14:paraId="1D393F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环境风险防控</w:t>
            </w:r>
          </w:p>
        </w:tc>
        <w:tc>
          <w:tcPr>
            <w:tcW w:w="10597" w:type="dxa"/>
            <w:noWrap w:val="0"/>
            <w:vAlign w:val="center"/>
          </w:tcPr>
          <w:p w14:paraId="676DB99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环境风险源、应急措施装置均设置明显标志牌；安装防火警示牌配置消防应急器材；工作人员定期进行消防、安全技术培训、增强安全防范意识；厂区建立、完善安全管理制度、做好防雷工作、加强设备管理和日常巡查、消除静电危害、加强作业现场的安全管理、设立安全标识、规范安全操作、加强日常防火巡查、加大培训力度，提高员工素质，增强安全意识。</w:t>
            </w:r>
          </w:p>
        </w:tc>
      </w:tr>
      <w:tr w14:paraId="0AED6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80" w:hRule="atLeast"/>
          <w:jc w:val="center"/>
        </w:trPr>
        <w:tc>
          <w:tcPr>
            <w:tcW w:w="1491" w:type="dxa"/>
            <w:vMerge w:val="continue"/>
            <w:noWrap w:val="0"/>
            <w:vAlign w:val="center"/>
          </w:tcPr>
          <w:p w14:paraId="467A38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p>
        </w:tc>
        <w:tc>
          <w:tcPr>
            <w:tcW w:w="1903" w:type="dxa"/>
            <w:gridSpan w:val="2"/>
            <w:noWrap w:val="0"/>
            <w:vAlign w:val="center"/>
          </w:tcPr>
          <w:p w14:paraId="26370A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土壤及地下水污染防治措施</w:t>
            </w:r>
          </w:p>
        </w:tc>
        <w:tc>
          <w:tcPr>
            <w:tcW w:w="10597" w:type="dxa"/>
            <w:noWrap w:val="0"/>
            <w:vAlign w:val="center"/>
          </w:tcPr>
          <w:p w14:paraId="05A729B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项目厂区化粪池等</w:t>
            </w:r>
            <w:r>
              <w:rPr>
                <w:rFonts w:hint="default" w:ascii="Times New Roman" w:hAnsi="Times New Roman" w:eastAsia="宋体" w:cs="Times New Roman"/>
                <w:bCs/>
                <w:color w:val="auto"/>
                <w:sz w:val="21"/>
                <w:szCs w:val="21"/>
                <w:highlight w:val="none"/>
                <w:lang w:val="en-US" w:eastAsia="zh-CN"/>
              </w:rPr>
              <w:t>采取一</w:t>
            </w:r>
            <w:r>
              <w:rPr>
                <w:rFonts w:hint="default" w:ascii="Times New Roman" w:hAnsi="Times New Roman" w:eastAsia="宋体" w:cs="Times New Roman"/>
                <w:bCs/>
                <w:color w:val="auto"/>
                <w:sz w:val="21"/>
                <w:szCs w:val="21"/>
                <w:highlight w:val="none"/>
                <w:lang w:eastAsia="zh-CN"/>
              </w:rPr>
              <w:t>般防渗，</w:t>
            </w:r>
            <w:r>
              <w:rPr>
                <w:rFonts w:hint="default" w:ascii="Times New Roman" w:hAnsi="Times New Roman" w:eastAsia="宋体" w:cs="Times New Roman"/>
                <w:color w:val="auto"/>
                <w:sz w:val="21"/>
                <w:szCs w:val="21"/>
                <w:highlight w:val="none"/>
              </w:rPr>
              <w:t>等效黏土防渗层Mb≥</w:t>
            </w:r>
            <w:r>
              <w:rPr>
                <w:rFonts w:hint="default"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m，渗透系数≤1.0×10</w:t>
            </w:r>
            <w:r>
              <w:rPr>
                <w:rFonts w:hint="default" w:ascii="Times New Roman" w:hAnsi="Times New Roman" w:eastAsia="宋体" w:cs="Times New Roman"/>
                <w:color w:val="auto"/>
                <w:sz w:val="21"/>
                <w:szCs w:val="21"/>
                <w:highlight w:val="none"/>
                <w:vertAlign w:val="superscript"/>
              </w:rPr>
              <w:t>-7</w:t>
            </w:r>
            <w:r>
              <w:rPr>
                <w:rFonts w:hint="default" w:ascii="Times New Roman" w:hAnsi="Times New Roman" w:eastAsia="宋体" w:cs="Times New Roman"/>
                <w:color w:val="auto"/>
                <w:sz w:val="21"/>
                <w:szCs w:val="21"/>
                <w:highlight w:val="none"/>
              </w:rPr>
              <w:t>cm/s；</w:t>
            </w:r>
            <w:r>
              <w:rPr>
                <w:rFonts w:hint="default" w:ascii="Times New Roman" w:hAnsi="Times New Roman" w:eastAsia="宋体" w:cs="Times New Roman"/>
                <w:bCs/>
                <w:color w:val="auto"/>
                <w:sz w:val="21"/>
                <w:szCs w:val="21"/>
                <w:highlight w:val="none"/>
                <w:lang w:eastAsia="zh-CN"/>
              </w:rPr>
              <w:t>项目其他区域等作为简单防渗区，作一般硬化处理。</w:t>
            </w:r>
          </w:p>
        </w:tc>
      </w:tr>
      <w:tr w14:paraId="298A1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47" w:hRule="atLeast"/>
          <w:jc w:val="center"/>
        </w:trPr>
        <w:tc>
          <w:tcPr>
            <w:tcW w:w="1491" w:type="dxa"/>
            <w:vMerge w:val="continue"/>
            <w:noWrap w:val="0"/>
            <w:vAlign w:val="center"/>
          </w:tcPr>
          <w:p w14:paraId="338195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eastAsia="zh-CN"/>
              </w:rPr>
            </w:pPr>
          </w:p>
        </w:tc>
        <w:tc>
          <w:tcPr>
            <w:tcW w:w="1903" w:type="dxa"/>
            <w:gridSpan w:val="2"/>
            <w:noWrap w:val="0"/>
            <w:vAlign w:val="center"/>
          </w:tcPr>
          <w:p w14:paraId="6B6A01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pacing w:val="-10"/>
                <w:sz w:val="21"/>
                <w:szCs w:val="21"/>
                <w:highlight w:val="none"/>
              </w:rPr>
              <w:t>运营期满生态恢复</w:t>
            </w:r>
          </w:p>
        </w:tc>
        <w:tc>
          <w:tcPr>
            <w:tcW w:w="10597" w:type="dxa"/>
            <w:noWrap w:val="0"/>
            <w:vAlign w:val="center"/>
          </w:tcPr>
          <w:p w14:paraId="02BCE96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根据临时用地批复，本项目临时用地有效期为</w:t>
            </w:r>
            <w:r>
              <w:rPr>
                <w:rFonts w:hint="eastAsia"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lang w:val="en-US" w:eastAsia="zh-CN"/>
              </w:rPr>
              <w:t>年，自文件发布之日起计算（即2025年</w:t>
            </w:r>
            <w:r>
              <w:rPr>
                <w:rFonts w:hint="eastAsia"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lang w:val="en-US" w:eastAsia="zh-CN"/>
              </w:rPr>
              <w:t>月</w:t>
            </w:r>
            <w:r>
              <w:rPr>
                <w:rFonts w:hint="eastAsia" w:cs="Times New Roman"/>
                <w:bCs/>
                <w:color w:val="auto"/>
                <w:sz w:val="21"/>
                <w:szCs w:val="21"/>
                <w:highlight w:val="none"/>
                <w:lang w:val="en-US" w:eastAsia="zh-CN"/>
              </w:rPr>
              <w:t>11</w:t>
            </w:r>
            <w:r>
              <w:rPr>
                <w:rFonts w:hint="default" w:ascii="Times New Roman" w:hAnsi="Times New Roman" w:eastAsia="宋体" w:cs="Times New Roman"/>
                <w:bCs/>
                <w:color w:val="auto"/>
                <w:sz w:val="21"/>
                <w:szCs w:val="21"/>
                <w:highlight w:val="none"/>
                <w:lang w:val="en-US" w:eastAsia="zh-CN"/>
              </w:rPr>
              <w:t>日），项目服务期满后，若继续延用，则需要办理相关手续，若不再延用，则根据</w:t>
            </w:r>
            <w:r>
              <w:rPr>
                <w:rFonts w:hint="eastAsia" w:cs="Times New Roman"/>
                <w:bCs/>
                <w:color w:val="auto"/>
                <w:sz w:val="21"/>
                <w:szCs w:val="21"/>
                <w:highlight w:val="none"/>
                <w:lang w:val="en-US" w:eastAsia="zh-CN"/>
              </w:rPr>
              <w:t>大唐中卫云基地数据中心绿电供应常乐500WM风电项目第二标段临时用地</w:t>
            </w:r>
            <w:r>
              <w:rPr>
                <w:rFonts w:hint="default" w:ascii="Times New Roman" w:hAnsi="Times New Roman" w:eastAsia="宋体" w:cs="Times New Roman"/>
                <w:bCs/>
                <w:color w:val="auto"/>
                <w:sz w:val="21"/>
                <w:szCs w:val="21"/>
                <w:highlight w:val="none"/>
                <w:lang w:val="en-US" w:eastAsia="zh-CN"/>
              </w:rPr>
              <w:t>土地复垦方案</w:t>
            </w:r>
            <w:r>
              <w:rPr>
                <w:rFonts w:hint="eastAsia" w:cs="Times New Roman"/>
                <w:bCs/>
                <w:color w:val="auto"/>
                <w:sz w:val="21"/>
                <w:szCs w:val="21"/>
                <w:highlight w:val="none"/>
                <w:lang w:val="en-US" w:eastAsia="zh-CN"/>
              </w:rPr>
              <w:t>报告书</w:t>
            </w:r>
            <w:r>
              <w:rPr>
                <w:rFonts w:hint="default" w:ascii="Times New Roman" w:hAnsi="Times New Roman" w:eastAsia="宋体" w:cs="Times New Roman"/>
                <w:bCs/>
                <w:color w:val="auto"/>
                <w:sz w:val="21"/>
                <w:szCs w:val="21"/>
                <w:highlight w:val="none"/>
                <w:lang w:val="en-US" w:eastAsia="zh-CN"/>
              </w:rPr>
              <w:t>进行复垦，并及时恢复为采矿用地，定期开展生态监测及复垦区域管护。</w:t>
            </w:r>
          </w:p>
        </w:tc>
      </w:tr>
    </w:tbl>
    <w:p w14:paraId="0AC4E9B8">
      <w:pPr>
        <w:pStyle w:val="19"/>
        <w:adjustRightInd w:val="0"/>
        <w:snapToGrid w:val="0"/>
        <w:spacing w:before="0" w:beforeAutospacing="0" w:after="0" w:afterAutospacing="0"/>
        <w:jc w:val="center"/>
        <w:rPr>
          <w:rFonts w:hint="eastAsia" w:cs="宋体"/>
          <w:b/>
          <w:bCs/>
          <w:color w:val="auto"/>
          <w:sz w:val="24"/>
          <w:szCs w:val="24"/>
        </w:rPr>
        <w:sectPr>
          <w:pgSz w:w="16838" w:h="11906" w:orient="landscape"/>
          <w:pgMar w:top="1531" w:right="1531" w:bottom="153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8128"/>
      </w:tblGrid>
      <w:tr w14:paraId="72325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49" w:hRule="atLeast"/>
          <w:jc w:val="center"/>
        </w:trPr>
        <w:tc>
          <w:tcPr>
            <w:tcW w:w="856" w:type="dxa"/>
            <w:noWrap w:val="0"/>
            <w:vAlign w:val="center"/>
          </w:tcPr>
          <w:p w14:paraId="0F663551">
            <w:pPr>
              <w:pStyle w:val="19"/>
              <w:adjustRightInd w:val="0"/>
              <w:snapToGrid w:val="0"/>
              <w:spacing w:before="0" w:beforeAutospacing="0" w:after="0" w:afterAutospacing="0"/>
              <w:jc w:val="center"/>
              <w:rPr>
                <w:rFonts w:hint="eastAsia" w:cs="宋体"/>
                <w:b/>
                <w:bCs/>
                <w:color w:val="auto"/>
                <w:sz w:val="24"/>
                <w:szCs w:val="24"/>
              </w:rPr>
            </w:pPr>
            <w:r>
              <w:rPr>
                <w:rFonts w:hint="eastAsia" w:cs="宋体"/>
                <w:b/>
                <w:bCs/>
                <w:color w:val="auto"/>
                <w:sz w:val="24"/>
                <w:szCs w:val="24"/>
              </w:rPr>
              <w:t>建设</w:t>
            </w:r>
          </w:p>
          <w:p w14:paraId="65AAA767">
            <w:pPr>
              <w:pStyle w:val="19"/>
              <w:adjustRightInd w:val="0"/>
              <w:snapToGrid w:val="0"/>
              <w:spacing w:before="0" w:beforeAutospacing="0" w:after="0" w:afterAutospacing="0"/>
              <w:jc w:val="center"/>
              <w:rPr>
                <w:rFonts w:cs="宋体"/>
                <w:color w:val="auto"/>
                <w:sz w:val="21"/>
                <w:szCs w:val="21"/>
              </w:rPr>
            </w:pPr>
            <w:r>
              <w:rPr>
                <w:rFonts w:hint="eastAsia" w:cs="宋体"/>
                <w:b/>
                <w:bCs/>
                <w:color w:val="auto"/>
                <w:sz w:val="24"/>
                <w:szCs w:val="24"/>
              </w:rPr>
              <w:t>内容</w:t>
            </w:r>
          </w:p>
        </w:tc>
        <w:tc>
          <w:tcPr>
            <w:tcW w:w="8128" w:type="dxa"/>
            <w:noWrap w:val="0"/>
            <w:vAlign w:val="top"/>
          </w:tcPr>
          <w:p w14:paraId="779C70B0">
            <w:pPr>
              <w:keepNext w:val="0"/>
              <w:keepLines w:val="0"/>
              <w:pageBreakBefore w:val="0"/>
              <w:widowControl w:val="0"/>
              <w:kinsoku/>
              <w:wordWrap/>
              <w:overflowPunct/>
              <w:topLinePunct w:val="0"/>
              <w:autoSpaceDE/>
              <w:autoSpaceDN/>
              <w:bidi w:val="0"/>
              <w:spacing w:before="156" w:beforeLines="50" w:line="356" w:lineRule="auto"/>
              <w:textAlignment w:val="auto"/>
              <w:rPr>
                <w:rFonts w:hint="eastAsia" w:ascii="Times New Roman" w:hAnsi="Times New Roman" w:eastAsia="仿宋_GB2312" w:cs="Times New Roman"/>
                <w:b/>
                <w:bCs/>
                <w:color w:val="auto"/>
                <w:sz w:val="24"/>
                <w:highlight w:val="none"/>
                <w:lang w:val="en-US" w:eastAsia="zh-CN"/>
              </w:rPr>
            </w:pPr>
            <w:r>
              <w:rPr>
                <w:rFonts w:hint="eastAsia" w:ascii="Times New Roman" w:hAnsi="Times New Roman" w:eastAsia="仿宋_GB2312" w:cs="Times New Roman"/>
                <w:b/>
                <w:bCs/>
                <w:color w:val="auto"/>
                <w:sz w:val="24"/>
                <w:highlight w:val="none"/>
                <w:lang w:val="en-US" w:eastAsia="zh-CN"/>
              </w:rPr>
              <w:t>2.产品设计方案</w:t>
            </w:r>
          </w:p>
          <w:p w14:paraId="0FD1A5B8">
            <w:pPr>
              <w:keepNext w:val="0"/>
              <w:keepLines w:val="0"/>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jc w:val="both"/>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本项目为临时项目，</w:t>
            </w:r>
            <w:r>
              <w:rPr>
                <w:rFonts w:hint="eastAsia" w:eastAsia="仿宋_GB2312" w:cs="Times New Roman"/>
                <w:color w:val="auto"/>
                <w:sz w:val="24"/>
                <w:lang w:val="en-US" w:eastAsia="zh-CN"/>
              </w:rPr>
              <w:t>根据临时用地的批复，本项目临时用地有效期1年，自文件发布之日起计算（即2025年10月11日起），</w:t>
            </w:r>
            <w:r>
              <w:rPr>
                <w:rFonts w:hint="default" w:ascii="Times New Roman" w:hAnsi="Times New Roman" w:eastAsia="仿宋_GB2312" w:cs="Times New Roman"/>
                <w:bCs/>
                <w:color w:val="auto"/>
                <w:sz w:val="24"/>
                <w:szCs w:val="24"/>
                <w:lang w:val="en-US" w:eastAsia="zh-CN"/>
              </w:rPr>
              <w:t>主要产品为</w:t>
            </w:r>
            <w:r>
              <w:rPr>
                <w:rFonts w:hint="eastAsia" w:eastAsia="仿宋_GB2312" w:cs="Times New Roman"/>
                <w:bCs/>
                <w:color w:val="auto"/>
                <w:sz w:val="24"/>
                <w:szCs w:val="24"/>
                <w:lang w:val="en-US" w:eastAsia="zh-CN"/>
              </w:rPr>
              <w:t>水泥</w:t>
            </w:r>
            <w:r>
              <w:rPr>
                <w:rFonts w:hint="default" w:ascii="Times New Roman" w:hAnsi="Times New Roman" w:eastAsia="仿宋_GB2312" w:cs="Times New Roman"/>
                <w:bCs/>
                <w:color w:val="auto"/>
                <w:sz w:val="24"/>
                <w:szCs w:val="24"/>
                <w:lang w:val="en-US" w:eastAsia="zh-CN"/>
              </w:rPr>
              <w:t>混凝土，项目所有产品只用于</w:t>
            </w:r>
            <w:r>
              <w:rPr>
                <w:rFonts w:hint="eastAsia" w:eastAsia="仿宋_GB2312" w:cs="Times New Roman"/>
                <w:bCs/>
                <w:color w:val="auto"/>
                <w:sz w:val="24"/>
                <w:szCs w:val="24"/>
                <w:lang w:val="en-US" w:eastAsia="zh-CN"/>
              </w:rPr>
              <w:t>大唐中卫云基地数据中心绿电供应常乐500WM风电项目第二标段施工区</w:t>
            </w:r>
            <w:r>
              <w:rPr>
                <w:rFonts w:hint="default" w:ascii="Times New Roman" w:hAnsi="Times New Roman" w:eastAsia="仿宋_GB2312" w:cs="Times New Roman"/>
                <w:bCs/>
                <w:color w:val="auto"/>
                <w:sz w:val="24"/>
                <w:szCs w:val="24"/>
                <w:lang w:val="en-US" w:eastAsia="zh-CN"/>
              </w:rPr>
              <w:t>，不外售。本项目产品方案见表2-2。</w:t>
            </w:r>
          </w:p>
          <w:p w14:paraId="10E504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Cs/>
                <w:color w:val="auto"/>
                <w:szCs w:val="21"/>
                <w:lang w:val="en-US" w:eastAsia="zh-CN"/>
              </w:rPr>
              <w:t>表</w:t>
            </w:r>
            <w:r>
              <w:rPr>
                <w:rFonts w:hint="eastAsia" w:ascii="Times New Roman" w:hAnsi="Times New Roman" w:eastAsia="宋体" w:cs="Times New Roman"/>
                <w:bCs/>
                <w:color w:val="auto"/>
                <w:szCs w:val="21"/>
                <w:lang w:val="en-US" w:eastAsia="zh-CN"/>
              </w:rPr>
              <w:t>2-2</w:t>
            </w:r>
            <w:r>
              <w:rPr>
                <w:rFonts w:hint="default" w:ascii="Times New Roman" w:hAnsi="Times New Roman" w:eastAsia="宋体" w:cs="Times New Roman"/>
                <w:bCs/>
                <w:color w:val="auto"/>
                <w:szCs w:val="21"/>
                <w:lang w:val="en-US" w:eastAsia="zh-CN"/>
              </w:rPr>
              <w:t xml:space="preserve"> </w:t>
            </w:r>
            <w:r>
              <w:rPr>
                <w:rFonts w:hint="default" w:ascii="Times New Roman" w:hAnsi="Times New Roman" w:eastAsia="宋体" w:cs="Times New Roman"/>
                <w:b/>
                <w:bCs w:val="0"/>
                <w:color w:val="auto"/>
                <w:sz w:val="24"/>
                <w:szCs w:val="24"/>
                <w:lang w:val="en-US" w:eastAsia="zh-CN"/>
              </w:rPr>
              <w:t xml:space="preserve">               本项目产品一览表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0"/>
              <w:gridCol w:w="1971"/>
              <w:gridCol w:w="1971"/>
            </w:tblGrid>
            <w:tr w14:paraId="50B28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0" w:type="dxa"/>
                  <w:tcBorders>
                    <w:tl2br w:val="nil"/>
                    <w:tr2bl w:val="nil"/>
                  </w:tcBorders>
                  <w:vAlign w:val="center"/>
                </w:tcPr>
                <w:p w14:paraId="29373D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ascii="Times New Roman" w:hAnsi="Times New Roman" w:eastAsia="宋体" w:cs="Times New Roman"/>
                      <w:b/>
                      <w:bCs w:val="0"/>
                      <w:color w:val="auto"/>
                      <w:sz w:val="21"/>
                      <w:szCs w:val="21"/>
                      <w:vertAlign w:val="baseline"/>
                      <w:lang w:val="en-US" w:eastAsia="zh-CN"/>
                    </w:rPr>
                    <w:t>产品名称</w:t>
                  </w:r>
                </w:p>
              </w:tc>
              <w:tc>
                <w:tcPr>
                  <w:tcW w:w="1990" w:type="dxa"/>
                  <w:tcBorders>
                    <w:tl2br w:val="nil"/>
                    <w:tr2bl w:val="nil"/>
                  </w:tcBorders>
                  <w:vAlign w:val="center"/>
                </w:tcPr>
                <w:p w14:paraId="13079AC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产量</w:t>
                  </w:r>
                </w:p>
              </w:tc>
              <w:tc>
                <w:tcPr>
                  <w:tcW w:w="1990" w:type="dxa"/>
                  <w:tcBorders>
                    <w:tl2br w:val="nil"/>
                    <w:tr2bl w:val="nil"/>
                  </w:tcBorders>
                  <w:vAlign w:val="center"/>
                </w:tcPr>
                <w:p w14:paraId="0D6843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ascii="Times New Roman" w:hAnsi="Times New Roman" w:eastAsia="宋体" w:cs="Times New Roman"/>
                      <w:b/>
                      <w:bCs w:val="0"/>
                      <w:color w:val="auto"/>
                      <w:sz w:val="21"/>
                      <w:szCs w:val="21"/>
                      <w:vertAlign w:val="baseline"/>
                      <w:lang w:val="en-US" w:eastAsia="zh-CN"/>
                    </w:rPr>
                    <w:t>单位</w:t>
                  </w:r>
                </w:p>
              </w:tc>
              <w:tc>
                <w:tcPr>
                  <w:tcW w:w="1990" w:type="dxa"/>
                  <w:tcBorders>
                    <w:tl2br w:val="nil"/>
                    <w:tr2bl w:val="nil"/>
                  </w:tcBorders>
                  <w:vAlign w:val="center"/>
                </w:tcPr>
                <w:p w14:paraId="1C2D0D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ascii="Times New Roman" w:hAnsi="Times New Roman" w:eastAsia="宋体" w:cs="Times New Roman"/>
                      <w:b/>
                      <w:bCs w:val="0"/>
                      <w:color w:val="auto"/>
                      <w:sz w:val="21"/>
                      <w:szCs w:val="21"/>
                      <w:vertAlign w:val="baseline"/>
                      <w:lang w:val="en-US" w:eastAsia="zh-CN"/>
                    </w:rPr>
                    <w:t>备注</w:t>
                  </w:r>
                </w:p>
              </w:tc>
            </w:tr>
            <w:tr w14:paraId="5C642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0" w:type="dxa"/>
                  <w:tcBorders>
                    <w:tl2br w:val="nil"/>
                    <w:tr2bl w:val="nil"/>
                  </w:tcBorders>
                  <w:vAlign w:val="center"/>
                </w:tcPr>
                <w:p w14:paraId="11BBED0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水泥</w:t>
                  </w:r>
                  <w:r>
                    <w:rPr>
                      <w:rFonts w:hint="eastAsia" w:ascii="Times New Roman" w:hAnsi="Times New Roman" w:eastAsia="宋体" w:cs="Times New Roman"/>
                      <w:bCs/>
                      <w:color w:val="auto"/>
                      <w:sz w:val="21"/>
                      <w:szCs w:val="21"/>
                      <w:vertAlign w:val="baseline"/>
                      <w:lang w:val="en-US" w:eastAsia="zh-CN"/>
                    </w:rPr>
                    <w:t>混凝土</w:t>
                  </w:r>
                </w:p>
              </w:tc>
              <w:tc>
                <w:tcPr>
                  <w:tcW w:w="1990" w:type="dxa"/>
                  <w:tcBorders>
                    <w:tl2br w:val="nil"/>
                    <w:tr2bl w:val="nil"/>
                  </w:tcBorders>
                  <w:vAlign w:val="center"/>
                </w:tcPr>
                <w:p w14:paraId="4C174E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20万</w:t>
                  </w:r>
                </w:p>
              </w:tc>
              <w:tc>
                <w:tcPr>
                  <w:tcW w:w="1990" w:type="dxa"/>
                  <w:tcBorders>
                    <w:tl2br w:val="nil"/>
                    <w:tr2bl w:val="nil"/>
                  </w:tcBorders>
                  <w:vAlign w:val="center"/>
                </w:tcPr>
                <w:p w14:paraId="75F88A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3</w:t>
                  </w:r>
                  <w:r>
                    <w:rPr>
                      <w:rFonts w:hint="eastAsia" w:ascii="Times New Roman" w:hAnsi="Times New Roman" w:eastAsia="宋体" w:cs="Times New Roman"/>
                      <w:bCs/>
                      <w:color w:val="auto"/>
                      <w:sz w:val="21"/>
                      <w:szCs w:val="21"/>
                      <w:vertAlign w:val="baseline"/>
                      <w:lang w:val="en-US" w:eastAsia="zh-CN"/>
                    </w:rPr>
                    <w:t>/a</w:t>
                  </w:r>
                </w:p>
              </w:tc>
              <w:tc>
                <w:tcPr>
                  <w:tcW w:w="1990" w:type="dxa"/>
                  <w:tcBorders>
                    <w:tl2br w:val="nil"/>
                    <w:tr2bl w:val="nil"/>
                  </w:tcBorders>
                  <w:vAlign w:val="center"/>
                </w:tcPr>
                <w:p w14:paraId="0BAF86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大唐中卫云基地数据中心绿电供应常乐500WM风电项目第二标段施工</w:t>
                  </w:r>
                  <w:r>
                    <w:rPr>
                      <w:rFonts w:hint="eastAsia" w:ascii="Times New Roman" w:hAnsi="Times New Roman" w:eastAsia="宋体" w:cs="Times New Roman"/>
                      <w:bCs/>
                      <w:color w:val="auto"/>
                      <w:sz w:val="21"/>
                      <w:szCs w:val="21"/>
                      <w:vertAlign w:val="baseline"/>
                      <w:lang w:val="en-US" w:eastAsia="zh-CN"/>
                    </w:rPr>
                    <w:t>用</w:t>
                  </w:r>
                </w:p>
              </w:tc>
            </w:tr>
            <w:tr w14:paraId="14DFF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0" w:type="dxa"/>
                  <w:gridSpan w:val="4"/>
                  <w:tcBorders>
                    <w:tl2br w:val="nil"/>
                    <w:tr2bl w:val="nil"/>
                  </w:tcBorders>
                  <w:vAlign w:val="center"/>
                </w:tcPr>
                <w:p w14:paraId="79EFD6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18"/>
                      <w:szCs w:val="18"/>
                      <w:vertAlign w:val="baseline"/>
                      <w:lang w:val="en-US" w:eastAsia="zh-CN"/>
                    </w:rPr>
                    <w:t>注：1立方米水泥混凝土=2.4吨</w:t>
                  </w:r>
                </w:p>
              </w:tc>
            </w:tr>
          </w:tbl>
          <w:p w14:paraId="5FAF2B93">
            <w:pPr>
              <w:keepNext w:val="0"/>
              <w:keepLines w:val="0"/>
              <w:pageBreakBefore w:val="0"/>
              <w:widowControl w:val="0"/>
              <w:numPr>
                <w:ilvl w:val="0"/>
                <w:numId w:val="0"/>
              </w:numPr>
              <w:kinsoku/>
              <w:wordWrap/>
              <w:overflowPunct/>
              <w:topLinePunct w:val="0"/>
              <w:autoSpaceDE/>
              <w:autoSpaceDN/>
              <w:bidi w:val="0"/>
              <w:adjustRightInd w:val="0"/>
              <w:snapToGrid w:val="0"/>
              <w:spacing w:line="356" w:lineRule="auto"/>
              <w:ind w:left="0" w:firstLine="480" w:firstLineChars="200"/>
              <w:jc w:val="both"/>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本项目</w:t>
            </w:r>
            <w:r>
              <w:rPr>
                <w:rFonts w:hint="eastAsia" w:eastAsia="仿宋_GB2312" w:cs="Times New Roman"/>
                <w:bCs/>
                <w:color w:val="auto"/>
                <w:sz w:val="24"/>
                <w:szCs w:val="24"/>
                <w:lang w:val="en-US" w:eastAsia="zh-CN"/>
              </w:rPr>
              <w:t>水泥</w:t>
            </w:r>
            <w:r>
              <w:rPr>
                <w:rFonts w:hint="default" w:ascii="Times New Roman" w:hAnsi="Times New Roman" w:eastAsia="仿宋_GB2312" w:cs="Times New Roman"/>
                <w:bCs/>
                <w:color w:val="auto"/>
                <w:sz w:val="24"/>
                <w:szCs w:val="24"/>
                <w:lang w:val="en-US" w:eastAsia="zh-CN"/>
              </w:rPr>
              <w:t>混凝土产品的质量标准执行中华人民共和国国家标准《混凝土质量控制标准》（GB50164-2011），其产品规格分别为C</w:t>
            </w:r>
            <w:r>
              <w:rPr>
                <w:rFonts w:hint="eastAsia" w:eastAsia="仿宋_GB2312" w:cs="Times New Roman"/>
                <w:bCs/>
                <w:color w:val="auto"/>
                <w:sz w:val="24"/>
                <w:szCs w:val="24"/>
                <w:lang w:val="en-US" w:eastAsia="zh-CN"/>
              </w:rPr>
              <w:t>20</w:t>
            </w:r>
            <w:r>
              <w:rPr>
                <w:rFonts w:hint="default" w:ascii="Times New Roman" w:hAnsi="Times New Roman" w:eastAsia="仿宋_GB2312" w:cs="Times New Roman"/>
                <w:bCs/>
                <w:color w:val="auto"/>
                <w:sz w:val="24"/>
                <w:szCs w:val="24"/>
                <w:lang w:val="en-US" w:eastAsia="zh-CN"/>
              </w:rPr>
              <w:t>~C</w:t>
            </w:r>
            <w:r>
              <w:rPr>
                <w:rFonts w:hint="eastAsia" w:eastAsia="仿宋_GB2312" w:cs="Times New Roman"/>
                <w:bCs/>
                <w:color w:val="auto"/>
                <w:sz w:val="24"/>
                <w:szCs w:val="24"/>
                <w:lang w:val="en-US" w:eastAsia="zh-CN"/>
              </w:rPr>
              <w:t>4</w:t>
            </w:r>
            <w:r>
              <w:rPr>
                <w:rFonts w:hint="default" w:ascii="Times New Roman" w:hAnsi="Times New Roman" w:eastAsia="仿宋_GB2312" w:cs="Times New Roman"/>
                <w:bCs/>
                <w:color w:val="auto"/>
                <w:sz w:val="24"/>
                <w:szCs w:val="24"/>
                <w:lang w:val="en-US" w:eastAsia="zh-CN"/>
              </w:rPr>
              <w:t>0</w:t>
            </w:r>
            <w:r>
              <w:rPr>
                <w:rFonts w:hint="eastAsia" w:eastAsia="仿宋_GB2312" w:cs="Times New Roman"/>
                <w:bCs/>
                <w:color w:val="auto"/>
                <w:sz w:val="24"/>
                <w:szCs w:val="24"/>
                <w:lang w:val="en-US" w:eastAsia="zh-CN"/>
              </w:rPr>
              <w:t>，产品规格见表2-3</w:t>
            </w:r>
            <w:r>
              <w:rPr>
                <w:rFonts w:hint="default" w:ascii="Times New Roman" w:hAnsi="Times New Roman" w:eastAsia="仿宋_GB2312" w:cs="Times New Roman"/>
                <w:bCs/>
                <w:color w:val="auto"/>
                <w:sz w:val="24"/>
                <w:szCs w:val="24"/>
                <w:lang w:val="en-US" w:eastAsia="zh-CN"/>
              </w:rPr>
              <w:t>。</w:t>
            </w:r>
          </w:p>
          <w:p w14:paraId="1CDE22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Cs/>
                <w:color w:val="auto"/>
                <w:szCs w:val="21"/>
                <w:lang w:val="en-US" w:eastAsia="zh-CN"/>
              </w:rPr>
              <w:t>表</w:t>
            </w:r>
            <w:r>
              <w:rPr>
                <w:rFonts w:hint="eastAsia" w:ascii="Times New Roman" w:hAnsi="Times New Roman" w:eastAsia="宋体" w:cs="Times New Roman"/>
                <w:bCs/>
                <w:color w:val="auto"/>
                <w:szCs w:val="21"/>
                <w:lang w:val="en-US" w:eastAsia="zh-CN"/>
              </w:rPr>
              <w:t>2-3</w:t>
            </w:r>
            <w:r>
              <w:rPr>
                <w:rFonts w:hint="default" w:ascii="Times New Roman" w:hAnsi="Times New Roman" w:eastAsia="宋体" w:cs="Times New Roman"/>
                <w:b/>
                <w:bCs w:val="0"/>
                <w:color w:val="auto"/>
                <w:sz w:val="24"/>
                <w:szCs w:val="24"/>
                <w:lang w:val="en-US" w:eastAsia="zh-CN"/>
              </w:rPr>
              <w:t xml:space="preserve">         </w:t>
            </w:r>
            <w:r>
              <w:rPr>
                <w:rFonts w:hint="eastAsia" w:ascii="Times New Roman" w:hAnsi="Times New Roman" w:eastAsia="宋体" w:cs="Times New Roman"/>
                <w:b/>
                <w:bCs w:val="0"/>
                <w:color w:val="auto"/>
                <w:sz w:val="24"/>
                <w:szCs w:val="24"/>
                <w:lang w:val="en-US" w:eastAsia="zh-CN"/>
              </w:rPr>
              <w:t xml:space="preserve">   </w:t>
            </w:r>
            <w:r>
              <w:rPr>
                <w:rFonts w:hint="default" w:ascii="Times New Roman" w:hAnsi="Times New Roman" w:eastAsia="宋体" w:cs="Times New Roman"/>
                <w:b/>
                <w:bCs w:val="0"/>
                <w:color w:val="auto"/>
                <w:sz w:val="24"/>
                <w:szCs w:val="24"/>
                <w:lang w:val="en-US" w:eastAsia="zh-CN"/>
              </w:rPr>
              <w:t xml:space="preserve">    本项目产品</w:t>
            </w:r>
            <w:r>
              <w:rPr>
                <w:rFonts w:hint="eastAsia" w:ascii="Times New Roman" w:hAnsi="Times New Roman" w:eastAsia="宋体" w:cs="Times New Roman"/>
                <w:b/>
                <w:bCs w:val="0"/>
                <w:color w:val="auto"/>
                <w:sz w:val="24"/>
                <w:szCs w:val="24"/>
                <w:lang w:val="en-US" w:eastAsia="zh-CN"/>
              </w:rPr>
              <w:t>规格</w:t>
            </w:r>
            <w:r>
              <w:rPr>
                <w:rFonts w:hint="default" w:ascii="Times New Roman" w:hAnsi="Times New Roman" w:eastAsia="宋体" w:cs="Times New Roman"/>
                <w:b/>
                <w:bCs w:val="0"/>
                <w:color w:val="auto"/>
                <w:sz w:val="24"/>
                <w:szCs w:val="24"/>
                <w:lang w:val="en-US" w:eastAsia="zh-CN"/>
              </w:rPr>
              <w:t>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2627"/>
              <w:gridCol w:w="2628"/>
            </w:tblGrid>
            <w:tr w14:paraId="2AD20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3" w:type="dxa"/>
                  <w:tcBorders>
                    <w:tl2br w:val="nil"/>
                    <w:tr2bl w:val="nil"/>
                  </w:tcBorders>
                  <w:vAlign w:val="center"/>
                </w:tcPr>
                <w:p w14:paraId="3F7FD7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ascii="Times New Roman" w:hAnsi="Times New Roman" w:eastAsia="宋体" w:cs="Times New Roman"/>
                      <w:b/>
                      <w:bCs w:val="0"/>
                      <w:color w:val="auto"/>
                      <w:sz w:val="21"/>
                      <w:szCs w:val="21"/>
                      <w:vertAlign w:val="baseline"/>
                      <w:lang w:val="en-US" w:eastAsia="zh-CN"/>
                    </w:rPr>
                    <w:t>产品规格</w:t>
                  </w:r>
                </w:p>
              </w:tc>
              <w:tc>
                <w:tcPr>
                  <w:tcW w:w="2643" w:type="dxa"/>
                  <w:tcBorders>
                    <w:tl2br w:val="nil"/>
                    <w:tr2bl w:val="nil"/>
                  </w:tcBorders>
                  <w:vAlign w:val="center"/>
                </w:tcPr>
                <w:p w14:paraId="61CD75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产量</w:t>
                  </w:r>
                </w:p>
              </w:tc>
              <w:tc>
                <w:tcPr>
                  <w:tcW w:w="2644" w:type="dxa"/>
                  <w:tcBorders>
                    <w:tl2br w:val="nil"/>
                    <w:tr2bl w:val="nil"/>
                  </w:tcBorders>
                  <w:vAlign w:val="center"/>
                </w:tcPr>
                <w:p w14:paraId="576FEA0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ascii="Times New Roman" w:hAnsi="Times New Roman" w:eastAsia="宋体" w:cs="Times New Roman"/>
                      <w:b/>
                      <w:bCs w:val="0"/>
                      <w:color w:val="auto"/>
                      <w:sz w:val="21"/>
                      <w:szCs w:val="21"/>
                      <w:vertAlign w:val="baseline"/>
                      <w:lang w:val="en-US" w:eastAsia="zh-CN"/>
                    </w:rPr>
                    <w:t>单位</w:t>
                  </w:r>
                </w:p>
              </w:tc>
            </w:tr>
            <w:tr w14:paraId="14EAD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3" w:type="dxa"/>
                  <w:tcBorders>
                    <w:tl2br w:val="nil"/>
                    <w:tr2bl w:val="nil"/>
                  </w:tcBorders>
                  <w:vAlign w:val="center"/>
                </w:tcPr>
                <w:p w14:paraId="4C27E2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C20</w:t>
                  </w:r>
                </w:p>
              </w:tc>
              <w:tc>
                <w:tcPr>
                  <w:tcW w:w="2643" w:type="dxa"/>
                  <w:tcBorders>
                    <w:tl2br w:val="nil"/>
                    <w:tr2bl w:val="nil"/>
                  </w:tcBorders>
                  <w:vAlign w:val="center"/>
                </w:tcPr>
                <w:p w14:paraId="07031D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1万</w:t>
                  </w:r>
                </w:p>
              </w:tc>
              <w:tc>
                <w:tcPr>
                  <w:tcW w:w="2644" w:type="dxa"/>
                  <w:tcBorders>
                    <w:tl2br w:val="nil"/>
                    <w:tr2bl w:val="nil"/>
                  </w:tcBorders>
                  <w:vAlign w:val="center"/>
                </w:tcPr>
                <w:p w14:paraId="239289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3</w:t>
                  </w:r>
                  <w:r>
                    <w:rPr>
                      <w:rFonts w:hint="eastAsia" w:ascii="Times New Roman" w:hAnsi="Times New Roman" w:eastAsia="宋体" w:cs="Times New Roman"/>
                      <w:bCs/>
                      <w:color w:val="auto"/>
                      <w:sz w:val="21"/>
                      <w:szCs w:val="21"/>
                      <w:vertAlign w:val="baseline"/>
                      <w:lang w:val="en-US" w:eastAsia="zh-CN"/>
                    </w:rPr>
                    <w:t>/a</w:t>
                  </w:r>
                </w:p>
              </w:tc>
            </w:tr>
            <w:tr w14:paraId="183A7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3" w:type="dxa"/>
                  <w:tcBorders>
                    <w:tl2br w:val="nil"/>
                    <w:tr2bl w:val="nil"/>
                  </w:tcBorders>
                  <w:vAlign w:val="center"/>
                </w:tcPr>
                <w:p w14:paraId="33FCD6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C25</w:t>
                  </w:r>
                </w:p>
              </w:tc>
              <w:tc>
                <w:tcPr>
                  <w:tcW w:w="2643" w:type="dxa"/>
                  <w:tcBorders>
                    <w:tl2br w:val="nil"/>
                    <w:tr2bl w:val="nil"/>
                  </w:tcBorders>
                  <w:vAlign w:val="center"/>
                </w:tcPr>
                <w:p w14:paraId="51FBC9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1万</w:t>
                  </w:r>
                </w:p>
              </w:tc>
              <w:tc>
                <w:tcPr>
                  <w:tcW w:w="2644" w:type="dxa"/>
                  <w:tcBorders>
                    <w:tl2br w:val="nil"/>
                    <w:tr2bl w:val="nil"/>
                  </w:tcBorders>
                  <w:vAlign w:val="center"/>
                </w:tcPr>
                <w:p w14:paraId="1ECB05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3</w:t>
                  </w:r>
                  <w:r>
                    <w:rPr>
                      <w:rFonts w:hint="eastAsia" w:ascii="Times New Roman" w:hAnsi="Times New Roman" w:eastAsia="宋体" w:cs="Times New Roman"/>
                      <w:bCs/>
                      <w:color w:val="auto"/>
                      <w:sz w:val="21"/>
                      <w:szCs w:val="21"/>
                      <w:vertAlign w:val="baseline"/>
                      <w:lang w:val="en-US" w:eastAsia="zh-CN"/>
                    </w:rPr>
                    <w:t>/a</w:t>
                  </w:r>
                </w:p>
              </w:tc>
            </w:tr>
            <w:tr w14:paraId="2E6F6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3" w:type="dxa"/>
                  <w:tcBorders>
                    <w:tl2br w:val="nil"/>
                    <w:tr2bl w:val="nil"/>
                  </w:tcBorders>
                  <w:vAlign w:val="center"/>
                </w:tcPr>
                <w:p w14:paraId="18E4DF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C30</w:t>
                  </w:r>
                </w:p>
              </w:tc>
              <w:tc>
                <w:tcPr>
                  <w:tcW w:w="2643" w:type="dxa"/>
                  <w:tcBorders>
                    <w:tl2br w:val="nil"/>
                    <w:tr2bl w:val="nil"/>
                  </w:tcBorders>
                  <w:vAlign w:val="center"/>
                </w:tcPr>
                <w:p w14:paraId="3F26EF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2万</w:t>
                  </w:r>
                </w:p>
              </w:tc>
              <w:tc>
                <w:tcPr>
                  <w:tcW w:w="2644" w:type="dxa"/>
                  <w:tcBorders>
                    <w:tl2br w:val="nil"/>
                    <w:tr2bl w:val="nil"/>
                  </w:tcBorders>
                  <w:vAlign w:val="center"/>
                </w:tcPr>
                <w:p w14:paraId="6AA06A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3</w:t>
                  </w:r>
                  <w:r>
                    <w:rPr>
                      <w:rFonts w:hint="eastAsia" w:ascii="Times New Roman" w:hAnsi="Times New Roman" w:eastAsia="宋体" w:cs="Times New Roman"/>
                      <w:bCs/>
                      <w:color w:val="auto"/>
                      <w:sz w:val="21"/>
                      <w:szCs w:val="21"/>
                      <w:vertAlign w:val="baseline"/>
                      <w:lang w:val="en-US" w:eastAsia="zh-CN"/>
                    </w:rPr>
                    <w:t>/a</w:t>
                  </w:r>
                </w:p>
              </w:tc>
            </w:tr>
            <w:tr w14:paraId="064C9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3" w:type="dxa"/>
                  <w:tcBorders>
                    <w:tl2br w:val="nil"/>
                    <w:tr2bl w:val="nil"/>
                  </w:tcBorders>
                  <w:vAlign w:val="center"/>
                </w:tcPr>
                <w:p w14:paraId="491442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C35</w:t>
                  </w:r>
                </w:p>
              </w:tc>
              <w:tc>
                <w:tcPr>
                  <w:tcW w:w="2643" w:type="dxa"/>
                  <w:tcBorders>
                    <w:tl2br w:val="nil"/>
                    <w:tr2bl w:val="nil"/>
                  </w:tcBorders>
                  <w:vAlign w:val="center"/>
                </w:tcPr>
                <w:p w14:paraId="6EC83E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1万</w:t>
                  </w:r>
                </w:p>
              </w:tc>
              <w:tc>
                <w:tcPr>
                  <w:tcW w:w="2644" w:type="dxa"/>
                  <w:tcBorders>
                    <w:tl2br w:val="nil"/>
                    <w:tr2bl w:val="nil"/>
                  </w:tcBorders>
                  <w:vAlign w:val="center"/>
                </w:tcPr>
                <w:p w14:paraId="0638AB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3</w:t>
                  </w:r>
                  <w:r>
                    <w:rPr>
                      <w:rFonts w:hint="eastAsia" w:ascii="Times New Roman" w:hAnsi="Times New Roman" w:eastAsia="宋体" w:cs="Times New Roman"/>
                      <w:bCs/>
                      <w:color w:val="auto"/>
                      <w:sz w:val="21"/>
                      <w:szCs w:val="21"/>
                      <w:vertAlign w:val="baseline"/>
                      <w:lang w:val="en-US" w:eastAsia="zh-CN"/>
                    </w:rPr>
                    <w:t>/a</w:t>
                  </w:r>
                </w:p>
              </w:tc>
            </w:tr>
            <w:tr w14:paraId="4374E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3" w:type="dxa"/>
                  <w:tcBorders>
                    <w:tl2br w:val="nil"/>
                    <w:tr2bl w:val="nil"/>
                  </w:tcBorders>
                  <w:vAlign w:val="center"/>
                </w:tcPr>
                <w:p w14:paraId="74AF1B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C40</w:t>
                  </w:r>
                </w:p>
              </w:tc>
              <w:tc>
                <w:tcPr>
                  <w:tcW w:w="2643" w:type="dxa"/>
                  <w:tcBorders>
                    <w:tl2br w:val="nil"/>
                    <w:tr2bl w:val="nil"/>
                  </w:tcBorders>
                  <w:vAlign w:val="center"/>
                </w:tcPr>
                <w:p w14:paraId="4D258B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15万</w:t>
                  </w:r>
                </w:p>
              </w:tc>
              <w:tc>
                <w:tcPr>
                  <w:tcW w:w="2644" w:type="dxa"/>
                  <w:tcBorders>
                    <w:tl2br w:val="nil"/>
                    <w:tr2bl w:val="nil"/>
                  </w:tcBorders>
                  <w:vAlign w:val="center"/>
                </w:tcPr>
                <w:p w14:paraId="2C7202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m</w:t>
                  </w:r>
                  <w:r>
                    <w:rPr>
                      <w:rFonts w:hint="eastAsia" w:ascii="Times New Roman" w:hAnsi="Times New Roman" w:eastAsia="宋体" w:cs="Times New Roman"/>
                      <w:bCs/>
                      <w:color w:val="auto"/>
                      <w:sz w:val="21"/>
                      <w:szCs w:val="21"/>
                      <w:vertAlign w:val="superscript"/>
                      <w:lang w:val="en-US" w:eastAsia="zh-CN"/>
                    </w:rPr>
                    <w:t>3</w:t>
                  </w:r>
                  <w:r>
                    <w:rPr>
                      <w:rFonts w:hint="eastAsia" w:ascii="Times New Roman" w:hAnsi="Times New Roman" w:eastAsia="宋体" w:cs="Times New Roman"/>
                      <w:bCs/>
                      <w:color w:val="auto"/>
                      <w:sz w:val="21"/>
                      <w:szCs w:val="21"/>
                      <w:vertAlign w:val="baseline"/>
                      <w:lang w:val="en-US" w:eastAsia="zh-CN"/>
                    </w:rPr>
                    <w:t>/a</w:t>
                  </w:r>
                </w:p>
              </w:tc>
            </w:tr>
            <w:tr w14:paraId="651D6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0" w:type="dxa"/>
                  <w:gridSpan w:val="3"/>
                  <w:tcBorders>
                    <w:tl2br w:val="nil"/>
                    <w:tr2bl w:val="nil"/>
                  </w:tcBorders>
                  <w:vAlign w:val="center"/>
                </w:tcPr>
                <w:p w14:paraId="590360F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cs="Times New Roman"/>
                      <w:bCs/>
                      <w:color w:val="auto"/>
                      <w:sz w:val="18"/>
                      <w:szCs w:val="18"/>
                      <w:vertAlign w:val="baseline"/>
                      <w:lang w:val="en-US" w:eastAsia="zh-CN"/>
                    </w:rPr>
                  </w:pPr>
                  <w:r>
                    <w:rPr>
                      <w:rFonts w:hint="eastAsia" w:cs="Times New Roman"/>
                      <w:bCs/>
                      <w:color w:val="auto"/>
                      <w:sz w:val="18"/>
                      <w:szCs w:val="18"/>
                      <w:vertAlign w:val="baseline"/>
                      <w:lang w:val="en-US" w:eastAsia="zh-CN"/>
                    </w:rPr>
                    <w:t>注：1立方米水泥混凝土=2.4吨</w:t>
                  </w:r>
                </w:p>
              </w:tc>
            </w:tr>
          </w:tbl>
          <w:p w14:paraId="1E91E300">
            <w:pPr>
              <w:keepNext w:val="0"/>
              <w:keepLines w:val="0"/>
              <w:pageBreakBefore w:val="0"/>
              <w:widowControl w:val="0"/>
              <w:kinsoku/>
              <w:wordWrap/>
              <w:overflowPunct/>
              <w:topLinePunct w:val="0"/>
              <w:autoSpaceDE/>
              <w:autoSpaceDN/>
              <w:bidi w:val="0"/>
              <w:adjustRightInd/>
              <w:snapToGrid/>
              <w:spacing w:line="356" w:lineRule="auto"/>
              <w:textAlignment w:val="auto"/>
              <w:rPr>
                <w:rFonts w:eastAsia="仿宋_GB2312"/>
                <w:b/>
                <w:bCs/>
                <w:color w:val="auto"/>
                <w:sz w:val="24"/>
                <w:highlight w:val="none"/>
              </w:rPr>
            </w:pPr>
            <w:r>
              <w:rPr>
                <w:rFonts w:hint="eastAsia" w:eastAsia="仿宋_GB2312"/>
                <w:b/>
                <w:bCs/>
                <w:color w:val="auto"/>
                <w:sz w:val="24"/>
                <w:highlight w:val="none"/>
                <w:lang w:val="en-US" w:eastAsia="zh-CN"/>
              </w:rPr>
              <w:t>3</w:t>
            </w:r>
            <w:r>
              <w:rPr>
                <w:rFonts w:eastAsia="仿宋_GB2312"/>
                <w:b/>
                <w:bCs/>
                <w:color w:val="auto"/>
                <w:sz w:val="24"/>
                <w:highlight w:val="none"/>
              </w:rPr>
              <w:t>.主要生产单元、主要工艺</w:t>
            </w:r>
          </w:p>
          <w:p w14:paraId="0C99C579">
            <w:pPr>
              <w:keepNext w:val="0"/>
              <w:keepLines w:val="0"/>
              <w:pageBreakBefore w:val="0"/>
              <w:widowControl w:val="0"/>
              <w:kinsoku/>
              <w:wordWrap/>
              <w:overflowPunct/>
              <w:topLinePunct w:val="0"/>
              <w:autoSpaceDE/>
              <w:autoSpaceDN/>
              <w:bidi w:val="0"/>
              <w:adjustRightInd w:val="0"/>
              <w:spacing w:line="356" w:lineRule="auto"/>
              <w:ind w:firstLine="480" w:firstLineChars="200"/>
              <w:textAlignment w:val="auto"/>
              <w:rPr>
                <w:rFonts w:hint="default" w:eastAsia="仿宋_GB2312"/>
                <w:bCs/>
                <w:snapToGrid w:val="0"/>
                <w:color w:val="auto"/>
                <w:kern w:val="0"/>
                <w:sz w:val="24"/>
                <w:szCs w:val="18"/>
                <w:highlight w:val="none"/>
                <w:lang w:val="en-US" w:eastAsia="zh-CN"/>
              </w:rPr>
            </w:pPr>
            <w:r>
              <w:rPr>
                <w:rFonts w:hint="eastAsia" w:eastAsia="仿宋_GB2312"/>
                <w:bCs/>
                <w:snapToGrid w:val="0"/>
                <w:color w:val="auto"/>
                <w:kern w:val="0"/>
                <w:sz w:val="24"/>
                <w:szCs w:val="18"/>
                <w:highlight w:val="none"/>
                <w:lang w:val="en-US" w:eastAsia="zh-CN"/>
              </w:rPr>
              <w:t>本项目加工工艺主要为配料、搅拌。</w:t>
            </w:r>
          </w:p>
          <w:p w14:paraId="1CDD26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
                <w:bCs w:val="0"/>
                <w:color w:val="auto"/>
                <w:sz w:val="24"/>
                <w:szCs w:val="24"/>
                <w:lang w:eastAsia="zh-CN"/>
              </w:rPr>
            </w:pPr>
            <w:r>
              <w:rPr>
                <w:rFonts w:hint="default" w:ascii="Times New Roman" w:hAnsi="Times New Roman" w:eastAsia="宋体" w:cs="Times New Roman"/>
                <w:bCs/>
                <w:color w:val="auto"/>
                <w:szCs w:val="21"/>
                <w:lang w:eastAsia="zh-CN"/>
              </w:rPr>
              <w:t>表</w:t>
            </w: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4</w:t>
            </w:r>
            <w:r>
              <w:rPr>
                <w:rFonts w:hint="default" w:ascii="Times New Roman" w:hAnsi="Times New Roman" w:eastAsia="宋体" w:cs="Times New Roman"/>
                <w:bCs/>
                <w:color w:val="auto"/>
                <w:szCs w:val="21"/>
                <w:lang w:eastAsia="zh-CN"/>
              </w:rPr>
              <w:t xml:space="preserve">         </w:t>
            </w:r>
            <w:r>
              <w:rPr>
                <w:rFonts w:hint="eastAsia" w:cs="Times New Roman"/>
                <w:bCs/>
                <w:color w:val="auto"/>
                <w:szCs w:val="21"/>
                <w:lang w:val="en-US" w:eastAsia="zh-CN"/>
              </w:rPr>
              <w:t xml:space="preserve">  </w:t>
            </w:r>
            <w:r>
              <w:rPr>
                <w:rFonts w:hint="default" w:ascii="Times New Roman" w:hAnsi="Times New Roman" w:eastAsia="宋体" w:cs="Times New Roman"/>
                <w:bCs/>
                <w:color w:val="auto"/>
                <w:szCs w:val="21"/>
                <w:lang w:eastAsia="zh-CN"/>
              </w:rPr>
              <w:t xml:space="preserve">     </w:t>
            </w:r>
            <w:r>
              <w:rPr>
                <w:rFonts w:hint="eastAsia" w:ascii="Times New Roman" w:hAnsi="Times New Roman" w:eastAsia="宋体" w:cs="Times New Roman"/>
                <w:b/>
                <w:bCs w:val="0"/>
                <w:color w:val="auto"/>
                <w:sz w:val="24"/>
                <w:szCs w:val="24"/>
                <w:lang w:val="en-US" w:eastAsia="zh-CN"/>
              </w:rPr>
              <w:t>主要生产单元及工艺</w:t>
            </w:r>
            <w:r>
              <w:rPr>
                <w:rFonts w:hint="default" w:ascii="Times New Roman" w:hAnsi="Times New Roman" w:eastAsia="宋体" w:cs="Times New Roman"/>
                <w:b/>
                <w:bCs w:val="0"/>
                <w:color w:val="auto"/>
                <w:sz w:val="24"/>
                <w:szCs w:val="24"/>
                <w:lang w:val="en-US" w:eastAsia="zh-CN"/>
              </w:rPr>
              <w:t>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6831"/>
            </w:tblGrid>
            <w:tr w14:paraId="0E73F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1" w:hRule="atLeast"/>
                <w:jc w:val="center"/>
              </w:trPr>
              <w:tc>
                <w:tcPr>
                  <w:tcW w:w="1057" w:type="dxa"/>
                  <w:tcBorders>
                    <w:tl2br w:val="nil"/>
                    <w:tr2bl w:val="nil"/>
                  </w:tcBorders>
                  <w:vAlign w:val="center"/>
                </w:tcPr>
                <w:p w14:paraId="6595CD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ascii="Times New Roman" w:hAnsi="Times New Roman" w:eastAsia="宋体" w:cs="Times New Roman"/>
                      <w:b/>
                      <w:bCs w:val="0"/>
                      <w:color w:val="auto"/>
                      <w:sz w:val="21"/>
                      <w:szCs w:val="21"/>
                      <w:vertAlign w:val="baseline"/>
                      <w:lang w:val="en-US" w:eastAsia="zh-CN"/>
                    </w:rPr>
                    <w:t>主要生产单元</w:t>
                  </w:r>
                </w:p>
              </w:tc>
              <w:tc>
                <w:tcPr>
                  <w:tcW w:w="6873" w:type="dxa"/>
                  <w:tcBorders>
                    <w:tl2br w:val="nil"/>
                    <w:tr2bl w:val="nil"/>
                  </w:tcBorders>
                  <w:vAlign w:val="center"/>
                </w:tcPr>
                <w:p w14:paraId="1BCC63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ascii="Times New Roman" w:hAnsi="Times New Roman" w:eastAsia="宋体" w:cs="Times New Roman"/>
                      <w:b/>
                      <w:bCs w:val="0"/>
                      <w:color w:val="auto"/>
                      <w:sz w:val="21"/>
                      <w:szCs w:val="21"/>
                      <w:vertAlign w:val="baseline"/>
                      <w:lang w:val="en-US" w:eastAsia="zh-CN"/>
                    </w:rPr>
                    <w:t>工艺</w:t>
                  </w:r>
                </w:p>
              </w:tc>
            </w:tr>
            <w:tr w14:paraId="70860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dxa"/>
                  <w:tcBorders>
                    <w:tl2br w:val="nil"/>
                    <w:tr2bl w:val="nil"/>
                  </w:tcBorders>
                  <w:vAlign w:val="center"/>
                </w:tcPr>
                <w:p w14:paraId="507781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eastAsiaTheme="minorEastAsia"/>
                      <w:color w:val="auto"/>
                      <w:kern w:val="0"/>
                      <w:szCs w:val="21"/>
                      <w:lang w:val="en-US" w:eastAsia="zh-CN" w:bidi="ar"/>
                    </w:rPr>
                    <w:t>备料</w:t>
                  </w:r>
                </w:p>
              </w:tc>
              <w:tc>
                <w:tcPr>
                  <w:tcW w:w="6873" w:type="dxa"/>
                  <w:tcBorders>
                    <w:tl2br w:val="nil"/>
                    <w:tr2bl w:val="nil"/>
                  </w:tcBorders>
                  <w:vAlign w:val="center"/>
                </w:tcPr>
                <w:p w14:paraId="526A1B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本项目生产所需要的原料有水泥、粉煤灰、</w:t>
                  </w:r>
                  <w:r>
                    <w:rPr>
                      <w:rFonts w:hint="eastAsia" w:cs="Times New Roman"/>
                      <w:bCs/>
                      <w:color w:val="auto"/>
                      <w:sz w:val="21"/>
                      <w:szCs w:val="21"/>
                      <w:vertAlign w:val="baseline"/>
                      <w:lang w:val="en-US" w:eastAsia="zh-CN"/>
                    </w:rPr>
                    <w:t>碎石</w:t>
                  </w:r>
                  <w:r>
                    <w:rPr>
                      <w:rFonts w:hint="default" w:ascii="Times New Roman" w:hAnsi="Times New Roman" w:eastAsia="宋体" w:cs="Times New Roman"/>
                      <w:bCs/>
                      <w:color w:val="auto"/>
                      <w:sz w:val="21"/>
                      <w:szCs w:val="21"/>
                      <w:vertAlign w:val="baseline"/>
                      <w:lang w:val="en-US" w:eastAsia="zh-CN"/>
                    </w:rPr>
                    <w:t>、</w:t>
                  </w:r>
                  <w:r>
                    <w:rPr>
                      <w:rFonts w:hint="eastAsia" w:cs="Times New Roman"/>
                      <w:bCs/>
                      <w:color w:val="auto"/>
                      <w:sz w:val="21"/>
                      <w:szCs w:val="21"/>
                      <w:vertAlign w:val="baseline"/>
                      <w:lang w:val="en-US" w:eastAsia="zh-CN"/>
                    </w:rPr>
                    <w:t>水洗砂</w:t>
                  </w:r>
                  <w:r>
                    <w:rPr>
                      <w:rFonts w:hint="default" w:ascii="Times New Roman" w:hAnsi="Times New Roman" w:eastAsia="宋体" w:cs="Times New Roman"/>
                      <w:bCs/>
                      <w:color w:val="auto"/>
                      <w:sz w:val="21"/>
                      <w:szCs w:val="21"/>
                      <w:vertAlign w:val="baseline"/>
                      <w:lang w:val="en-US" w:eastAsia="zh-CN"/>
                    </w:rPr>
                    <w:t>、水、外加剂，其中，水泥、粉煤灰送至筒仓内储存；外加剂为液态水剂，运至厂区的外加剂贮罐中储存；</w:t>
                  </w:r>
                  <w:r>
                    <w:rPr>
                      <w:rFonts w:hint="eastAsia" w:cs="Times New Roman"/>
                      <w:bCs/>
                      <w:color w:val="auto"/>
                      <w:sz w:val="21"/>
                      <w:szCs w:val="21"/>
                      <w:vertAlign w:val="baseline"/>
                      <w:lang w:val="en-US" w:eastAsia="zh-CN"/>
                    </w:rPr>
                    <w:t>碎石</w:t>
                  </w:r>
                  <w:r>
                    <w:rPr>
                      <w:rFonts w:hint="default" w:ascii="Times New Roman" w:hAnsi="Times New Roman" w:eastAsia="宋体" w:cs="Times New Roman"/>
                      <w:bCs/>
                      <w:color w:val="auto"/>
                      <w:sz w:val="21"/>
                      <w:szCs w:val="21"/>
                      <w:vertAlign w:val="baseline"/>
                      <w:lang w:val="en-US" w:eastAsia="zh-CN"/>
                    </w:rPr>
                    <w:t>、</w:t>
                  </w:r>
                  <w:r>
                    <w:rPr>
                      <w:rFonts w:hint="eastAsia" w:cs="Times New Roman"/>
                      <w:bCs/>
                      <w:color w:val="auto"/>
                      <w:sz w:val="21"/>
                      <w:szCs w:val="21"/>
                      <w:vertAlign w:val="baseline"/>
                      <w:lang w:val="en-US" w:eastAsia="zh-CN"/>
                    </w:rPr>
                    <w:t>水洗砂</w:t>
                  </w:r>
                  <w:r>
                    <w:rPr>
                      <w:rFonts w:hint="default" w:ascii="Times New Roman" w:hAnsi="Times New Roman" w:eastAsia="宋体" w:cs="Times New Roman"/>
                      <w:bCs/>
                      <w:color w:val="auto"/>
                      <w:sz w:val="21"/>
                      <w:szCs w:val="21"/>
                      <w:highlight w:val="none"/>
                      <w:vertAlign w:val="baseline"/>
                      <w:lang w:val="en-US" w:eastAsia="zh-CN"/>
                    </w:rPr>
                    <w:t>至厂区</w:t>
                  </w:r>
                  <w:r>
                    <w:rPr>
                      <w:rFonts w:hint="eastAsia" w:cs="Times New Roman"/>
                      <w:bCs/>
                      <w:color w:val="auto"/>
                      <w:sz w:val="21"/>
                      <w:szCs w:val="21"/>
                      <w:highlight w:val="none"/>
                      <w:vertAlign w:val="baseline"/>
                      <w:lang w:val="en-US" w:eastAsia="zh-CN"/>
                    </w:rPr>
                    <w:t>半</w:t>
                  </w:r>
                  <w:r>
                    <w:rPr>
                      <w:rFonts w:hint="default" w:ascii="Times New Roman" w:hAnsi="Times New Roman" w:eastAsia="宋体" w:cs="Times New Roman"/>
                      <w:bCs/>
                      <w:color w:val="auto"/>
                      <w:sz w:val="21"/>
                      <w:szCs w:val="21"/>
                      <w:highlight w:val="none"/>
                      <w:vertAlign w:val="baseline"/>
                      <w:lang w:val="en-US" w:eastAsia="zh-CN"/>
                    </w:rPr>
                    <w:t>封闭堆料棚。</w:t>
                  </w:r>
                </w:p>
              </w:tc>
            </w:tr>
            <w:tr w14:paraId="7C183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dxa"/>
                  <w:tcBorders>
                    <w:tl2br w:val="nil"/>
                    <w:tr2bl w:val="nil"/>
                  </w:tcBorders>
                  <w:vAlign w:val="center"/>
                </w:tcPr>
                <w:p w14:paraId="485FA0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配料</w:t>
                  </w:r>
                </w:p>
              </w:tc>
              <w:tc>
                <w:tcPr>
                  <w:tcW w:w="6873" w:type="dxa"/>
                  <w:tcBorders>
                    <w:tl2br w:val="nil"/>
                    <w:tr2bl w:val="nil"/>
                  </w:tcBorders>
                  <w:vAlign w:val="center"/>
                </w:tcPr>
                <w:p w14:paraId="36D302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各物料按照一定的配比，通过各自计量装置计量后投入搅拌机内。</w:t>
                  </w:r>
                </w:p>
              </w:tc>
            </w:tr>
            <w:tr w14:paraId="0D5FC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dxa"/>
                  <w:tcBorders>
                    <w:tl2br w:val="nil"/>
                    <w:tr2bl w:val="nil"/>
                  </w:tcBorders>
                  <w:vAlign w:val="center"/>
                </w:tcPr>
                <w:p w14:paraId="14A990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搅拌</w:t>
                  </w:r>
                </w:p>
              </w:tc>
              <w:tc>
                <w:tcPr>
                  <w:tcW w:w="6873" w:type="dxa"/>
                  <w:tcBorders>
                    <w:tl2br w:val="nil"/>
                    <w:tr2bl w:val="nil"/>
                  </w:tcBorders>
                  <w:vAlign w:val="center"/>
                </w:tcPr>
                <w:p w14:paraId="75332E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各种原料经计量后</w:t>
                  </w:r>
                  <w:r>
                    <w:rPr>
                      <w:rFonts w:hint="eastAsia" w:ascii="Times New Roman" w:hAnsi="Times New Roman" w:eastAsia="宋体" w:cs="Times New Roman"/>
                      <w:bCs/>
                      <w:color w:val="auto"/>
                      <w:sz w:val="21"/>
                      <w:szCs w:val="21"/>
                      <w:vertAlign w:val="baseline"/>
                      <w:lang w:val="en-US" w:eastAsia="zh-CN"/>
                    </w:rPr>
                    <w:t>，</w:t>
                  </w:r>
                  <w:r>
                    <w:rPr>
                      <w:rFonts w:hint="default" w:ascii="Times New Roman" w:hAnsi="Times New Roman" w:eastAsia="宋体" w:cs="Times New Roman"/>
                      <w:bCs/>
                      <w:color w:val="auto"/>
                      <w:sz w:val="21"/>
                      <w:szCs w:val="21"/>
                      <w:vertAlign w:val="baseline"/>
                      <w:lang w:val="en-US" w:eastAsia="zh-CN"/>
                    </w:rPr>
                    <w:t>进入密闭搅拌机内进行强制搅拌。</w:t>
                  </w:r>
                </w:p>
              </w:tc>
            </w:tr>
            <w:tr w14:paraId="6CE6A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dxa"/>
                  <w:tcBorders>
                    <w:tl2br w:val="nil"/>
                    <w:tr2bl w:val="nil"/>
                  </w:tcBorders>
                  <w:vAlign w:val="center"/>
                </w:tcPr>
                <w:p w14:paraId="52C7F6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外运</w:t>
                  </w:r>
                </w:p>
              </w:tc>
              <w:tc>
                <w:tcPr>
                  <w:tcW w:w="6873" w:type="dxa"/>
                  <w:tcBorders>
                    <w:tl2br w:val="nil"/>
                    <w:tr2bl w:val="nil"/>
                  </w:tcBorders>
                  <w:vAlign w:val="center"/>
                </w:tcPr>
                <w:p w14:paraId="231C73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将搅拌好的</w:t>
                  </w:r>
                  <w:r>
                    <w:rPr>
                      <w:rFonts w:hint="eastAsia" w:cs="Times New Roman"/>
                      <w:bCs/>
                      <w:color w:val="auto"/>
                      <w:sz w:val="21"/>
                      <w:szCs w:val="21"/>
                      <w:vertAlign w:val="baseline"/>
                      <w:lang w:val="en-US" w:eastAsia="zh-CN"/>
                    </w:rPr>
                    <w:t>水泥</w:t>
                  </w:r>
                  <w:r>
                    <w:rPr>
                      <w:rFonts w:hint="default" w:ascii="Times New Roman" w:hAnsi="Times New Roman" w:eastAsia="宋体" w:cs="Times New Roman"/>
                      <w:bCs/>
                      <w:color w:val="auto"/>
                      <w:sz w:val="21"/>
                      <w:szCs w:val="21"/>
                      <w:vertAlign w:val="baseline"/>
                      <w:lang w:val="en-US" w:eastAsia="zh-CN"/>
                    </w:rPr>
                    <w:t>混凝土卸入混凝土运输车，外运至</w:t>
                  </w:r>
                  <w:r>
                    <w:rPr>
                      <w:rFonts w:hint="eastAsia" w:ascii="Times New Roman" w:hAnsi="Times New Roman" w:eastAsia="宋体" w:cs="Times New Roman"/>
                      <w:bCs/>
                      <w:color w:val="auto"/>
                      <w:sz w:val="21"/>
                      <w:szCs w:val="21"/>
                      <w:vertAlign w:val="baseline"/>
                      <w:lang w:val="en-US" w:eastAsia="zh-CN"/>
                    </w:rPr>
                    <w:t>施工工地。</w:t>
                  </w:r>
                </w:p>
              </w:tc>
            </w:tr>
            <w:tr w14:paraId="73F64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dxa"/>
                  <w:tcBorders>
                    <w:tl2br w:val="nil"/>
                    <w:tr2bl w:val="nil"/>
                  </w:tcBorders>
                  <w:vAlign w:val="center"/>
                </w:tcPr>
                <w:p w14:paraId="1558E5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冲洗</w:t>
                  </w:r>
                </w:p>
              </w:tc>
              <w:tc>
                <w:tcPr>
                  <w:tcW w:w="6873" w:type="dxa"/>
                  <w:tcBorders>
                    <w:tl2br w:val="nil"/>
                    <w:tr2bl w:val="nil"/>
                  </w:tcBorders>
                  <w:vAlign w:val="center"/>
                </w:tcPr>
                <w:p w14:paraId="4A1232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生产结束后，利用高压水枪等冲洗设施对混凝土罐车及搅拌机等进行冲洗，保持生产车间内清洁。</w:t>
                  </w:r>
                </w:p>
              </w:tc>
            </w:tr>
          </w:tbl>
          <w:p w14:paraId="27D3B07F">
            <w:pPr>
              <w:numPr>
                <w:ilvl w:val="0"/>
                <w:numId w:val="0"/>
              </w:numPr>
              <w:spacing w:before="156" w:beforeLines="50" w:line="360" w:lineRule="auto"/>
              <w:rPr>
                <w:rFonts w:hint="default" w:eastAsia="仿宋_GB2312"/>
                <w:b/>
                <w:bCs/>
                <w:color w:val="auto"/>
                <w:sz w:val="24"/>
                <w:highlight w:val="none"/>
                <w:lang w:val="en-US" w:eastAsia="zh-CN"/>
              </w:rPr>
            </w:pPr>
            <w:r>
              <w:rPr>
                <w:rFonts w:hint="eastAsia" w:eastAsia="仿宋_GB2312"/>
                <w:b/>
                <w:bCs/>
                <w:color w:val="auto"/>
                <w:sz w:val="24"/>
                <w:highlight w:val="none"/>
                <w:lang w:val="en-US" w:eastAsia="zh-CN"/>
              </w:rPr>
              <w:t>4.</w:t>
            </w:r>
            <w:r>
              <w:rPr>
                <w:rFonts w:eastAsia="仿宋_GB2312"/>
                <w:b/>
                <w:bCs/>
                <w:color w:val="auto"/>
                <w:sz w:val="24"/>
                <w:highlight w:val="none"/>
              </w:rPr>
              <w:t>主要生产</w:t>
            </w:r>
            <w:r>
              <w:rPr>
                <w:rFonts w:hint="eastAsia" w:eastAsia="仿宋_GB2312"/>
                <w:b/>
                <w:bCs/>
                <w:color w:val="auto"/>
                <w:sz w:val="24"/>
                <w:highlight w:val="none"/>
                <w:lang w:val="en-US" w:eastAsia="zh-CN"/>
              </w:rPr>
              <w:t>设施及设施参数</w:t>
            </w:r>
          </w:p>
          <w:p w14:paraId="4FCFA6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both"/>
              <w:textAlignment w:val="auto"/>
              <w:rPr>
                <w:color w:val="auto"/>
                <w:sz w:val="21"/>
                <w:szCs w:val="21"/>
                <w:highlight w:val="none"/>
              </w:rPr>
            </w:pPr>
            <w:r>
              <w:rPr>
                <w:rFonts w:eastAsia="仿宋_GB2312"/>
                <w:bCs/>
                <w:color w:val="auto"/>
                <w:kern w:val="0"/>
                <w:sz w:val="24"/>
                <w:szCs w:val="18"/>
                <w:highlight w:val="none"/>
              </w:rPr>
              <w:t>本项目主要生产</w:t>
            </w:r>
            <w:r>
              <w:rPr>
                <w:bCs/>
                <w:color w:val="auto"/>
                <w:kern w:val="0"/>
                <w:sz w:val="24"/>
                <w:szCs w:val="18"/>
                <w:highlight w:val="none"/>
              </w:rPr>
              <w:t>设施及设施参数</w:t>
            </w:r>
            <w:r>
              <w:rPr>
                <w:rFonts w:eastAsia="仿宋_GB2312"/>
                <w:bCs/>
                <w:color w:val="auto"/>
                <w:kern w:val="0"/>
                <w:sz w:val="24"/>
                <w:szCs w:val="18"/>
                <w:highlight w:val="none"/>
              </w:rPr>
              <w:t>详见下表</w:t>
            </w:r>
            <w:r>
              <w:rPr>
                <w:rFonts w:hint="eastAsia" w:eastAsia="仿宋_GB2312"/>
                <w:bCs/>
                <w:color w:val="auto"/>
                <w:kern w:val="0"/>
                <w:sz w:val="24"/>
                <w:szCs w:val="18"/>
                <w:highlight w:val="none"/>
              </w:rPr>
              <w:t>2-</w:t>
            </w:r>
            <w:r>
              <w:rPr>
                <w:rFonts w:hint="eastAsia" w:eastAsia="仿宋_GB2312"/>
                <w:bCs/>
                <w:color w:val="auto"/>
                <w:kern w:val="0"/>
                <w:sz w:val="24"/>
                <w:szCs w:val="18"/>
                <w:highlight w:val="none"/>
                <w:lang w:val="en-US" w:eastAsia="zh-CN"/>
              </w:rPr>
              <w:t>5</w:t>
            </w:r>
            <w:r>
              <w:rPr>
                <w:rFonts w:eastAsia="仿宋_GB2312"/>
                <w:bCs/>
                <w:color w:val="auto"/>
                <w:kern w:val="0"/>
                <w:sz w:val="24"/>
                <w:szCs w:val="18"/>
                <w:highlight w:val="none"/>
              </w:rPr>
              <w:t>。</w:t>
            </w:r>
          </w:p>
          <w:p w14:paraId="0A8288A1">
            <w:pPr>
              <w:pStyle w:val="22"/>
              <w:keepNext w:val="0"/>
              <w:keepLines w:val="0"/>
              <w:pageBreakBefore w:val="0"/>
              <w:widowControl w:val="0"/>
              <w:tabs>
                <w:tab w:val="left" w:pos="1260"/>
              </w:tabs>
              <w:kinsoku/>
              <w:wordWrap/>
              <w:overflowPunct/>
              <w:topLinePunct w:val="0"/>
              <w:autoSpaceDE/>
              <w:autoSpaceDN/>
              <w:bidi w:val="0"/>
              <w:adjustRightInd/>
              <w:snapToGrid/>
              <w:spacing w:after="0"/>
              <w:ind w:left="0" w:leftChars="0" w:firstLine="420" w:firstLineChars="200"/>
              <w:jc w:val="both"/>
              <w:textAlignment w:val="auto"/>
              <w:rPr>
                <w:rFonts w:hint="eastAsia" w:ascii="Times New Roman" w:hAnsi="Times New Roman" w:eastAsia="宋体" w:cs="Times New Roman"/>
                <w:b/>
                <w:bCs w:val="0"/>
                <w:color w:val="auto"/>
                <w:spacing w:val="0"/>
                <w:kern w:val="2"/>
                <w:sz w:val="24"/>
                <w:szCs w:val="24"/>
                <w:highlight w:val="none"/>
                <w:lang w:val="en-US" w:eastAsia="zh-CN" w:bidi="ar-SA"/>
              </w:rPr>
            </w:pPr>
            <w:r>
              <w:rPr>
                <w:color w:val="auto"/>
                <w:sz w:val="21"/>
                <w:szCs w:val="21"/>
                <w:highlight w:val="none"/>
              </w:rPr>
              <w:t>表</w:t>
            </w:r>
            <w:r>
              <w:rPr>
                <w:rFonts w:hint="eastAsia"/>
                <w:color w:val="auto"/>
                <w:sz w:val="21"/>
                <w:szCs w:val="21"/>
                <w:highlight w:val="none"/>
              </w:rPr>
              <w:t>2-</w:t>
            </w:r>
            <w:r>
              <w:rPr>
                <w:rFonts w:hint="eastAsia"/>
                <w:color w:val="auto"/>
                <w:sz w:val="21"/>
                <w:szCs w:val="21"/>
                <w:highlight w:val="none"/>
                <w:lang w:val="en-US" w:eastAsia="zh-CN"/>
              </w:rPr>
              <w:t>5</w:t>
            </w:r>
            <w:r>
              <w:rPr>
                <w:rFonts w:hint="eastAsia"/>
                <w:color w:val="auto"/>
                <w:sz w:val="21"/>
                <w:szCs w:val="21"/>
                <w:highlight w:val="none"/>
              </w:rPr>
              <w:t xml:space="preserve"> </w:t>
            </w:r>
            <w:r>
              <w:rPr>
                <w:rFonts w:hint="eastAsia"/>
                <w:b/>
                <w:bCs/>
                <w:color w:val="auto"/>
                <w:szCs w:val="24"/>
                <w:highlight w:val="none"/>
              </w:rPr>
              <w:t xml:space="preserve">   </w:t>
            </w:r>
            <w:r>
              <w:rPr>
                <w:rFonts w:hint="eastAsia"/>
                <w:b/>
                <w:bCs/>
                <w:color w:val="auto"/>
                <w:szCs w:val="24"/>
                <w:highlight w:val="none"/>
                <w:lang w:val="en-US" w:eastAsia="zh-CN"/>
              </w:rPr>
              <w:t xml:space="preserve">      </w:t>
            </w:r>
            <w:r>
              <w:rPr>
                <w:rFonts w:hint="eastAsia"/>
                <w:b/>
                <w:bCs/>
                <w:color w:val="auto"/>
                <w:szCs w:val="24"/>
                <w:highlight w:val="none"/>
              </w:rPr>
              <w:t xml:space="preserve">   </w:t>
            </w:r>
            <w:r>
              <w:rPr>
                <w:rFonts w:hint="eastAsia" w:ascii="Times New Roman" w:hAnsi="Times New Roman" w:eastAsia="宋体" w:cs="Times New Roman"/>
                <w:b/>
                <w:bCs w:val="0"/>
                <w:color w:val="auto"/>
                <w:spacing w:val="0"/>
                <w:kern w:val="2"/>
                <w:sz w:val="24"/>
                <w:szCs w:val="24"/>
                <w:highlight w:val="none"/>
                <w:lang w:val="en-US" w:eastAsia="zh-CN" w:bidi="ar-SA"/>
              </w:rPr>
              <w:t>本项目生产设施及设施参数一览表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3805"/>
              <w:gridCol w:w="1506"/>
              <w:gridCol w:w="1506"/>
            </w:tblGrid>
            <w:tr w14:paraId="1FD2ABA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2" w:type="dxa"/>
                  <w:noWrap w:val="0"/>
                  <w:vAlign w:val="center"/>
                </w:tcPr>
                <w:p w14:paraId="1D384ADA">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序号</w:t>
                  </w:r>
                </w:p>
              </w:tc>
              <w:tc>
                <w:tcPr>
                  <w:tcW w:w="3828" w:type="dxa"/>
                  <w:noWrap w:val="0"/>
                  <w:vAlign w:val="center"/>
                </w:tcPr>
                <w:p w14:paraId="0ED9C405">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设备名称、型号</w:t>
                  </w:r>
                </w:p>
              </w:tc>
              <w:tc>
                <w:tcPr>
                  <w:tcW w:w="1515" w:type="dxa"/>
                  <w:noWrap w:val="0"/>
                  <w:vAlign w:val="center"/>
                </w:tcPr>
                <w:p w14:paraId="0EE77119">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数量</w:t>
                  </w:r>
                </w:p>
              </w:tc>
              <w:tc>
                <w:tcPr>
                  <w:tcW w:w="1515" w:type="dxa"/>
                  <w:noWrap w:val="0"/>
                  <w:vAlign w:val="center"/>
                </w:tcPr>
                <w:p w14:paraId="085021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
                      <w:bCs/>
                      <w:color w:val="auto"/>
                      <w:highlight w:val="none"/>
                      <w:lang w:val="en-US" w:eastAsia="zh-CN"/>
                    </w:rPr>
                  </w:pPr>
                  <w:r>
                    <w:rPr>
                      <w:rFonts w:hint="eastAsia"/>
                      <w:b/>
                      <w:bCs/>
                      <w:color w:val="auto"/>
                      <w:highlight w:val="none"/>
                      <w:lang w:val="en-US" w:eastAsia="zh-CN"/>
                    </w:rPr>
                    <w:t>备注</w:t>
                  </w:r>
                </w:p>
              </w:tc>
            </w:tr>
            <w:tr w14:paraId="2DB276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2" w:type="dxa"/>
                  <w:noWrap w:val="0"/>
                  <w:vAlign w:val="center"/>
                </w:tcPr>
                <w:p w14:paraId="13851BA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1</w:t>
                  </w:r>
                </w:p>
              </w:tc>
              <w:tc>
                <w:tcPr>
                  <w:tcW w:w="3828" w:type="dxa"/>
                  <w:noWrap w:val="0"/>
                  <w:vAlign w:val="center"/>
                </w:tcPr>
                <w:p w14:paraId="533951E4">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color w:val="auto"/>
                      <w:highlight w:val="none"/>
                      <w:lang w:val="en-US" w:eastAsia="zh-CN"/>
                    </w:rPr>
                    <w:t>中联重科混凝</w:t>
                  </w:r>
                  <w:r>
                    <w:rPr>
                      <w:rFonts w:hint="eastAsia"/>
                      <w:color w:val="auto"/>
                      <w:highlight w:val="none"/>
                    </w:rPr>
                    <w:t>土搅拌站</w:t>
                  </w:r>
                </w:p>
              </w:tc>
              <w:tc>
                <w:tcPr>
                  <w:tcW w:w="1515" w:type="dxa"/>
                  <w:noWrap w:val="0"/>
                  <w:vAlign w:val="center"/>
                </w:tcPr>
                <w:p w14:paraId="12FDF2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2台</w:t>
                  </w:r>
                </w:p>
              </w:tc>
              <w:tc>
                <w:tcPr>
                  <w:tcW w:w="1515" w:type="dxa"/>
                  <w:noWrap w:val="0"/>
                  <w:vAlign w:val="center"/>
                </w:tcPr>
                <w:p w14:paraId="1BBB28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w:t>
                  </w:r>
                </w:p>
              </w:tc>
            </w:tr>
            <w:tr w14:paraId="1F7B02C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2" w:type="dxa"/>
                  <w:noWrap w:val="0"/>
                  <w:vAlign w:val="center"/>
                </w:tcPr>
                <w:p w14:paraId="167B8A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2</w:t>
                  </w:r>
                </w:p>
              </w:tc>
              <w:tc>
                <w:tcPr>
                  <w:tcW w:w="3828" w:type="dxa"/>
                  <w:shd w:val="clear" w:color="auto" w:fill="auto"/>
                  <w:noWrap w:val="0"/>
                  <w:vAlign w:val="center"/>
                </w:tcPr>
                <w:p w14:paraId="618C2EC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水泥筒仓（</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lang w:val="en-US" w:eastAsia="zh-CN"/>
                    </w:rPr>
                    <w:t>200</w:t>
                  </w:r>
                  <w:r>
                    <w:rPr>
                      <w:rFonts w:hint="eastAsia"/>
                      <w:color w:val="auto"/>
                      <w:highlight w:val="none"/>
                      <w:lang w:eastAsia="zh-CN"/>
                    </w:rPr>
                    <w:t>t）</w:t>
                  </w:r>
                </w:p>
              </w:tc>
              <w:tc>
                <w:tcPr>
                  <w:tcW w:w="1515" w:type="dxa"/>
                  <w:shd w:val="clear" w:color="auto" w:fill="auto"/>
                  <w:noWrap w:val="0"/>
                  <w:vAlign w:val="center"/>
                </w:tcPr>
                <w:p w14:paraId="35C012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4座</w:t>
                  </w:r>
                </w:p>
              </w:tc>
              <w:tc>
                <w:tcPr>
                  <w:tcW w:w="1515" w:type="dxa"/>
                  <w:noWrap w:val="0"/>
                  <w:vAlign w:val="center"/>
                </w:tcPr>
                <w:p w14:paraId="46627B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w:t>
                  </w:r>
                </w:p>
              </w:tc>
            </w:tr>
            <w:tr w14:paraId="768515B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2" w:type="dxa"/>
                  <w:shd w:val="clear" w:color="auto" w:fill="auto"/>
                  <w:noWrap w:val="0"/>
                  <w:vAlign w:val="center"/>
                </w:tcPr>
                <w:p w14:paraId="2A6022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w:t>
                  </w:r>
                </w:p>
              </w:tc>
              <w:tc>
                <w:tcPr>
                  <w:tcW w:w="3828" w:type="dxa"/>
                  <w:shd w:val="clear" w:color="auto" w:fill="auto"/>
                  <w:noWrap w:val="0"/>
                  <w:vAlign w:val="center"/>
                </w:tcPr>
                <w:p w14:paraId="6DCFCD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粉煤灰筒仓（</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lang w:val="en-US" w:eastAsia="zh-CN"/>
                    </w:rPr>
                    <w:t>200</w:t>
                  </w:r>
                  <w:r>
                    <w:rPr>
                      <w:rFonts w:hint="eastAsia"/>
                      <w:color w:val="auto"/>
                      <w:highlight w:val="none"/>
                      <w:lang w:eastAsia="zh-CN"/>
                    </w:rPr>
                    <w:t>t）</w:t>
                  </w:r>
                </w:p>
              </w:tc>
              <w:tc>
                <w:tcPr>
                  <w:tcW w:w="1515" w:type="dxa"/>
                  <w:shd w:val="clear" w:color="auto" w:fill="auto"/>
                  <w:noWrap w:val="0"/>
                  <w:vAlign w:val="center"/>
                </w:tcPr>
                <w:p w14:paraId="4F2DE8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4座</w:t>
                  </w:r>
                </w:p>
              </w:tc>
              <w:tc>
                <w:tcPr>
                  <w:tcW w:w="1515" w:type="dxa"/>
                  <w:noWrap w:val="0"/>
                  <w:vAlign w:val="center"/>
                </w:tcPr>
                <w:p w14:paraId="5AAAD6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w:t>
                  </w:r>
                </w:p>
              </w:tc>
            </w:tr>
            <w:tr w14:paraId="67D2082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2" w:type="dxa"/>
                  <w:shd w:val="clear" w:color="auto" w:fill="auto"/>
                  <w:noWrap w:val="0"/>
                  <w:vAlign w:val="center"/>
                </w:tcPr>
                <w:p w14:paraId="76AA69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4</w:t>
                  </w:r>
                </w:p>
              </w:tc>
              <w:tc>
                <w:tcPr>
                  <w:tcW w:w="3828" w:type="dxa"/>
                  <w:noWrap w:val="0"/>
                  <w:vAlign w:val="center"/>
                </w:tcPr>
                <w:p w14:paraId="198CAD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eastAsia="zh-CN"/>
                    </w:rPr>
                  </w:pPr>
                  <w:r>
                    <w:rPr>
                      <w:rFonts w:hint="eastAsia"/>
                      <w:color w:val="auto"/>
                      <w:highlight w:val="none"/>
                      <w:lang w:eastAsia="zh-CN"/>
                    </w:rPr>
                    <w:t>外加剂</w:t>
                  </w:r>
                  <w:r>
                    <w:rPr>
                      <w:rFonts w:hint="eastAsia"/>
                      <w:color w:val="auto"/>
                      <w:highlight w:val="none"/>
                      <w:lang w:val="en-US" w:eastAsia="zh-CN"/>
                    </w:rPr>
                    <w:t>罐</w:t>
                  </w:r>
                  <w:r>
                    <w:rPr>
                      <w:rFonts w:hint="eastAsia"/>
                      <w:color w:val="auto"/>
                      <w:highlight w:val="none"/>
                      <w:lang w:eastAsia="zh-CN"/>
                    </w:rPr>
                    <w:t>（</w:t>
                  </w:r>
                  <w:r>
                    <w:rPr>
                      <w:rFonts w:hint="eastAsia"/>
                      <w:color w:val="auto"/>
                      <w:highlight w:val="none"/>
                      <w:lang w:val="en-US" w:eastAsia="zh-CN"/>
                    </w:rPr>
                    <w:t>10t/个</w:t>
                  </w:r>
                  <w:r>
                    <w:rPr>
                      <w:rFonts w:hint="eastAsia"/>
                      <w:color w:val="auto"/>
                      <w:highlight w:val="none"/>
                      <w:lang w:eastAsia="zh-CN"/>
                    </w:rPr>
                    <w:t>）</w:t>
                  </w:r>
                </w:p>
              </w:tc>
              <w:tc>
                <w:tcPr>
                  <w:tcW w:w="1515" w:type="dxa"/>
                  <w:noWrap w:val="0"/>
                  <w:vAlign w:val="center"/>
                </w:tcPr>
                <w:p w14:paraId="7BDC7D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4座</w:t>
                  </w:r>
                </w:p>
              </w:tc>
              <w:tc>
                <w:tcPr>
                  <w:tcW w:w="1515" w:type="dxa"/>
                  <w:noWrap w:val="0"/>
                  <w:vAlign w:val="center"/>
                </w:tcPr>
                <w:p w14:paraId="3A22E4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w:t>
                  </w:r>
                </w:p>
              </w:tc>
            </w:tr>
            <w:tr w14:paraId="0A71A96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2" w:type="dxa"/>
                  <w:noWrap w:val="0"/>
                  <w:vAlign w:val="center"/>
                </w:tcPr>
                <w:p w14:paraId="424F0A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5</w:t>
                  </w:r>
                </w:p>
              </w:tc>
              <w:tc>
                <w:tcPr>
                  <w:tcW w:w="3828" w:type="dxa"/>
                  <w:noWrap w:val="0"/>
                  <w:vAlign w:val="center"/>
                </w:tcPr>
                <w:p w14:paraId="24C6A7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highlight w:val="none"/>
                      <w:lang w:val="en-US" w:eastAsia="zh-CN"/>
                    </w:rPr>
                  </w:pPr>
                  <w:r>
                    <w:rPr>
                      <w:rFonts w:hint="eastAsia"/>
                      <w:color w:val="auto"/>
                      <w:highlight w:val="none"/>
                      <w:lang w:val="en-US" w:eastAsia="zh-CN"/>
                    </w:rPr>
                    <w:t>混凝土</w:t>
                  </w:r>
                  <w:r>
                    <w:rPr>
                      <w:rFonts w:hint="eastAsia"/>
                      <w:color w:val="auto"/>
                      <w:highlight w:val="none"/>
                    </w:rPr>
                    <w:t>罐车</w:t>
                  </w:r>
                </w:p>
              </w:tc>
              <w:tc>
                <w:tcPr>
                  <w:tcW w:w="1515" w:type="dxa"/>
                  <w:noWrap w:val="0"/>
                  <w:vAlign w:val="center"/>
                </w:tcPr>
                <w:p w14:paraId="08F1B0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40辆</w:t>
                  </w:r>
                </w:p>
              </w:tc>
              <w:tc>
                <w:tcPr>
                  <w:tcW w:w="1515" w:type="dxa"/>
                  <w:noWrap w:val="0"/>
                  <w:vAlign w:val="center"/>
                </w:tcPr>
                <w:p w14:paraId="2E9D15B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lang w:val="en-US" w:eastAsia="zh-CN"/>
                    </w:rPr>
                  </w:pPr>
                  <w:r>
                    <w:rPr>
                      <w:rFonts w:hint="eastAsia"/>
                      <w:color w:val="auto"/>
                      <w:highlight w:val="none"/>
                      <w:lang w:val="en-US" w:eastAsia="zh-CN"/>
                    </w:rPr>
                    <w:t>租用</w:t>
                  </w:r>
                </w:p>
              </w:tc>
            </w:tr>
            <w:tr w14:paraId="1651FA8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2" w:type="dxa"/>
                  <w:noWrap w:val="0"/>
                  <w:vAlign w:val="center"/>
                </w:tcPr>
                <w:p w14:paraId="2C8416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6</w:t>
                  </w:r>
                </w:p>
              </w:tc>
              <w:tc>
                <w:tcPr>
                  <w:tcW w:w="3828" w:type="dxa"/>
                  <w:noWrap w:val="0"/>
                  <w:vAlign w:val="center"/>
                </w:tcPr>
                <w:p w14:paraId="7510BB6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lang w:eastAsia="zh-CN"/>
                    </w:rPr>
                  </w:pPr>
                  <w:r>
                    <w:rPr>
                      <w:rFonts w:hint="eastAsia"/>
                      <w:color w:val="auto"/>
                      <w:highlight w:val="none"/>
                      <w:lang w:val="en-US" w:eastAsia="zh-CN"/>
                    </w:rPr>
                    <w:t>泵车</w:t>
                  </w:r>
                </w:p>
              </w:tc>
              <w:tc>
                <w:tcPr>
                  <w:tcW w:w="1515" w:type="dxa"/>
                  <w:noWrap w:val="0"/>
                  <w:vAlign w:val="center"/>
                </w:tcPr>
                <w:p w14:paraId="6C03C87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lang w:val="en-US" w:eastAsia="zh-CN"/>
                    </w:rPr>
                  </w:pPr>
                  <w:r>
                    <w:rPr>
                      <w:rFonts w:hint="eastAsia"/>
                      <w:color w:val="auto"/>
                      <w:highlight w:val="none"/>
                      <w:lang w:val="en-US" w:eastAsia="zh-CN"/>
                    </w:rPr>
                    <w:t>6辆</w:t>
                  </w:r>
                </w:p>
              </w:tc>
              <w:tc>
                <w:tcPr>
                  <w:tcW w:w="1515" w:type="dxa"/>
                  <w:noWrap w:val="0"/>
                  <w:vAlign w:val="center"/>
                </w:tcPr>
                <w:p w14:paraId="1AAF670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lang w:val="en-US" w:eastAsia="zh-CN"/>
                    </w:rPr>
                  </w:pPr>
                  <w:r>
                    <w:rPr>
                      <w:rFonts w:hint="eastAsia"/>
                      <w:color w:val="auto"/>
                      <w:highlight w:val="none"/>
                      <w:lang w:val="en-US" w:eastAsia="zh-CN"/>
                    </w:rPr>
                    <w:t>租用</w:t>
                  </w:r>
                </w:p>
              </w:tc>
            </w:tr>
            <w:tr w14:paraId="05C55B4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930" w:type="dxa"/>
                  <w:gridSpan w:val="4"/>
                  <w:noWrap w:val="0"/>
                  <w:vAlign w:val="center"/>
                </w:tcPr>
                <w:p w14:paraId="2E58962A">
                  <w:pPr>
                    <w:keepNext w:val="0"/>
                    <w:keepLines w:val="0"/>
                    <w:pageBreakBefore w:val="0"/>
                    <w:widowControl w:val="0"/>
                    <w:kinsoku/>
                    <w:wordWrap/>
                    <w:overflowPunct/>
                    <w:topLinePunct w:val="0"/>
                    <w:autoSpaceDE/>
                    <w:autoSpaceDN/>
                    <w:bidi w:val="0"/>
                    <w:adjustRightInd w:val="0"/>
                    <w:snapToGrid w:val="0"/>
                    <w:ind w:firstLine="422" w:firstLineChars="200"/>
                    <w:jc w:val="both"/>
                    <w:textAlignment w:val="auto"/>
                    <w:rPr>
                      <w:rFonts w:hint="eastAsia"/>
                      <w:b/>
                      <w:bCs/>
                      <w:color w:val="auto"/>
                      <w:highlight w:val="none"/>
                      <w:lang w:val="en-US" w:eastAsia="zh-CN"/>
                    </w:rPr>
                  </w:pPr>
                  <w:r>
                    <w:rPr>
                      <w:rFonts w:hint="eastAsia"/>
                      <w:b/>
                      <w:bCs/>
                      <w:color w:val="auto"/>
                      <w:highlight w:val="none"/>
                      <w:lang w:val="en-US" w:eastAsia="zh-CN"/>
                    </w:rPr>
                    <w:t>匹配性分析：</w:t>
                  </w:r>
                  <w:r>
                    <w:rPr>
                      <w:rFonts w:hint="eastAsia"/>
                      <w:color w:val="auto"/>
                      <w:highlight w:val="none"/>
                      <w:lang w:val="en-US" w:eastAsia="zh-CN"/>
                    </w:rPr>
                    <w:t>拌合站设有中联重科混凝</w:t>
                  </w:r>
                  <w:r>
                    <w:rPr>
                      <w:rFonts w:hint="eastAsia"/>
                      <w:color w:val="auto"/>
                      <w:highlight w:val="none"/>
                    </w:rPr>
                    <w:t>土搅拌站</w:t>
                  </w:r>
                  <w:r>
                    <w:rPr>
                      <w:rFonts w:hint="eastAsia"/>
                      <w:color w:val="auto"/>
                      <w:highlight w:val="none"/>
                      <w:lang w:eastAsia="zh-CN"/>
                    </w:rPr>
                    <w:t>，</w:t>
                  </w:r>
                  <w:r>
                    <w:rPr>
                      <w:rFonts w:hint="eastAsia"/>
                      <w:color w:val="auto"/>
                      <w:highlight w:val="none"/>
                      <w:lang w:val="en-US" w:eastAsia="zh-CN"/>
                    </w:rPr>
                    <w:t>每台设备产能为240m</w:t>
                  </w:r>
                  <w:r>
                    <w:rPr>
                      <w:rFonts w:hint="eastAsia"/>
                      <w:color w:val="auto"/>
                      <w:highlight w:val="none"/>
                      <w:vertAlign w:val="superscript"/>
                      <w:lang w:val="en-US" w:eastAsia="zh-CN"/>
                    </w:rPr>
                    <w:t>3</w:t>
                  </w:r>
                  <w:r>
                    <w:rPr>
                      <w:rFonts w:hint="eastAsia"/>
                      <w:color w:val="auto"/>
                      <w:highlight w:val="none"/>
                      <w:lang w:val="en-US" w:eastAsia="zh-CN"/>
                    </w:rPr>
                    <w:t>/h，则设备年总产量为420.48万m</w:t>
                  </w:r>
                  <w:r>
                    <w:rPr>
                      <w:rFonts w:hint="eastAsia"/>
                      <w:color w:val="auto"/>
                      <w:highlight w:val="none"/>
                      <w:vertAlign w:val="superscript"/>
                      <w:lang w:val="en-US" w:eastAsia="zh-CN"/>
                    </w:rPr>
                    <w:t>3</w:t>
                  </w:r>
                  <w:r>
                    <w:rPr>
                      <w:rFonts w:hint="eastAsia"/>
                      <w:color w:val="auto"/>
                      <w:highlight w:val="none"/>
                      <w:lang w:val="en-US" w:eastAsia="zh-CN"/>
                    </w:rPr>
                    <w:t>（1009.152万t），因此，拌和设备生产能力可满足本项目需求。</w:t>
                  </w:r>
                </w:p>
              </w:tc>
            </w:tr>
          </w:tbl>
          <w:p w14:paraId="39FD4811">
            <w:pPr>
              <w:numPr>
                <w:ilvl w:val="0"/>
                <w:numId w:val="0"/>
              </w:numPr>
              <w:spacing w:before="156" w:beforeLines="50" w:line="360" w:lineRule="auto"/>
              <w:rPr>
                <w:rFonts w:hint="default" w:eastAsia="仿宋_GB2312"/>
                <w:b/>
                <w:bCs/>
                <w:color w:val="auto"/>
                <w:sz w:val="24"/>
                <w:highlight w:val="none"/>
                <w:lang w:val="en-US" w:eastAsia="zh-CN"/>
              </w:rPr>
            </w:pPr>
            <w:r>
              <w:rPr>
                <w:rFonts w:hint="eastAsia" w:eastAsia="仿宋_GB2312"/>
                <w:b/>
                <w:bCs/>
                <w:color w:val="auto"/>
                <w:sz w:val="24"/>
                <w:highlight w:val="none"/>
                <w:lang w:val="en-US" w:eastAsia="zh-CN"/>
              </w:rPr>
              <w:t>5.</w:t>
            </w:r>
            <w:r>
              <w:rPr>
                <w:rFonts w:eastAsia="仿宋_GB2312"/>
                <w:b/>
                <w:bCs/>
                <w:color w:val="auto"/>
                <w:sz w:val="24"/>
                <w:highlight w:val="none"/>
              </w:rPr>
              <w:t>主要</w:t>
            </w:r>
            <w:r>
              <w:rPr>
                <w:rFonts w:hint="eastAsia" w:eastAsia="仿宋_GB2312"/>
                <w:b/>
                <w:bCs/>
                <w:color w:val="auto"/>
                <w:sz w:val="24"/>
                <w:highlight w:val="none"/>
                <w:lang w:val="en-US" w:eastAsia="zh-CN"/>
              </w:rPr>
              <w:t>原辅材料及燃料的种类和用量</w:t>
            </w:r>
          </w:p>
          <w:p w14:paraId="0EDB4EB2">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eastAsia="仿宋_GB2312"/>
                <w:color w:val="auto"/>
                <w:sz w:val="24"/>
                <w:highlight w:val="none"/>
              </w:rPr>
            </w:pPr>
            <w:r>
              <w:rPr>
                <w:rFonts w:eastAsia="仿宋_GB2312"/>
                <w:b/>
                <w:bCs/>
                <w:color w:val="auto"/>
                <w:sz w:val="24"/>
                <w:highlight w:val="none"/>
              </w:rPr>
              <w:t>5.1原辅材料、资源能源消耗量统计</w:t>
            </w:r>
          </w:p>
          <w:p w14:paraId="3B78D09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eastAsia="仿宋_GB2312"/>
                <w:bCs/>
                <w:snapToGrid w:val="0"/>
                <w:color w:val="auto"/>
                <w:kern w:val="0"/>
                <w:sz w:val="24"/>
                <w:szCs w:val="18"/>
                <w:highlight w:val="none"/>
                <w:lang w:val="en-US" w:eastAsia="zh-CN"/>
              </w:rPr>
            </w:pPr>
            <w:r>
              <w:rPr>
                <w:rFonts w:hint="default" w:eastAsia="仿宋_GB2312"/>
                <w:bCs/>
                <w:snapToGrid w:val="0"/>
                <w:color w:val="auto"/>
                <w:kern w:val="0"/>
                <w:sz w:val="24"/>
                <w:szCs w:val="18"/>
                <w:highlight w:val="none"/>
                <w:lang w:val="en-US" w:eastAsia="zh-CN"/>
              </w:rPr>
              <w:t>本项目原材料为</w:t>
            </w:r>
            <w:r>
              <w:rPr>
                <w:rFonts w:hint="eastAsia" w:eastAsia="仿宋_GB2312"/>
                <w:bCs/>
                <w:snapToGrid w:val="0"/>
                <w:color w:val="auto"/>
                <w:kern w:val="0"/>
                <w:sz w:val="24"/>
                <w:szCs w:val="18"/>
                <w:highlight w:val="none"/>
                <w:lang w:val="en-US" w:eastAsia="zh-CN"/>
              </w:rPr>
              <w:t>水泥、粉煤灰、水洗砂（中砂）、碎石、外加剂及水；</w:t>
            </w:r>
            <w:r>
              <w:rPr>
                <w:rFonts w:hint="default" w:eastAsia="仿宋_GB2312"/>
                <w:bCs/>
                <w:snapToGrid w:val="0"/>
                <w:color w:val="auto"/>
                <w:kern w:val="0"/>
                <w:sz w:val="24"/>
                <w:szCs w:val="18"/>
                <w:highlight w:val="none"/>
                <w:lang w:val="en-US" w:eastAsia="zh-CN"/>
              </w:rPr>
              <w:t>本项目原辅材料消耗</w:t>
            </w:r>
            <w:r>
              <w:rPr>
                <w:rFonts w:hint="eastAsia" w:eastAsia="仿宋_GB2312"/>
                <w:bCs/>
                <w:snapToGrid w:val="0"/>
                <w:color w:val="auto"/>
                <w:kern w:val="0"/>
                <w:sz w:val="24"/>
                <w:szCs w:val="18"/>
                <w:highlight w:val="none"/>
                <w:lang w:val="en-US" w:eastAsia="zh-CN"/>
              </w:rPr>
              <w:t>及能源消耗</w:t>
            </w:r>
            <w:r>
              <w:rPr>
                <w:rFonts w:hint="default" w:eastAsia="仿宋_GB2312"/>
                <w:bCs/>
                <w:snapToGrid w:val="0"/>
                <w:color w:val="auto"/>
                <w:kern w:val="0"/>
                <w:sz w:val="24"/>
                <w:szCs w:val="18"/>
                <w:highlight w:val="none"/>
                <w:lang w:val="en-US" w:eastAsia="zh-CN"/>
              </w:rPr>
              <w:t>见表</w:t>
            </w:r>
            <w:r>
              <w:rPr>
                <w:rFonts w:hint="eastAsia" w:eastAsia="仿宋_GB2312"/>
                <w:bCs/>
                <w:snapToGrid w:val="0"/>
                <w:color w:val="auto"/>
                <w:kern w:val="0"/>
                <w:sz w:val="24"/>
                <w:szCs w:val="18"/>
                <w:highlight w:val="none"/>
                <w:lang w:val="en-US" w:eastAsia="zh-CN"/>
              </w:rPr>
              <w:t>2-6</w:t>
            </w:r>
            <w:r>
              <w:rPr>
                <w:rFonts w:hint="default" w:eastAsia="仿宋_GB2312"/>
                <w:bCs/>
                <w:snapToGrid w:val="0"/>
                <w:color w:val="auto"/>
                <w:kern w:val="0"/>
                <w:sz w:val="24"/>
                <w:szCs w:val="18"/>
                <w:highlight w:val="none"/>
                <w:lang w:val="en-US" w:eastAsia="zh-CN"/>
              </w:rPr>
              <w:t>。</w:t>
            </w:r>
          </w:p>
          <w:p w14:paraId="2B8858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b/>
                <w:bCs w:val="0"/>
                <w:color w:val="auto"/>
                <w:sz w:val="24"/>
                <w:szCs w:val="24"/>
                <w:lang w:eastAsia="zh-CN"/>
              </w:rPr>
            </w:pPr>
            <w:r>
              <w:rPr>
                <w:rFonts w:hint="default" w:ascii="Times New Roman" w:hAnsi="Times New Roman" w:eastAsia="宋体" w:cs="Times New Roman"/>
                <w:bCs/>
                <w:color w:val="auto"/>
                <w:szCs w:val="21"/>
                <w:lang w:eastAsia="zh-CN"/>
              </w:rPr>
              <w:t>表</w:t>
            </w:r>
            <w:r>
              <w:rPr>
                <w:rFonts w:hint="eastAsia" w:cs="Times New Roman"/>
                <w:bCs/>
                <w:color w:val="auto"/>
                <w:szCs w:val="21"/>
                <w:lang w:val="en-US" w:eastAsia="zh-CN"/>
              </w:rPr>
              <w:t>2-6</w:t>
            </w:r>
            <w:r>
              <w:rPr>
                <w:rFonts w:hint="default" w:ascii="Times New Roman" w:hAnsi="Times New Roman" w:eastAsia="宋体" w:cs="Times New Roman"/>
                <w:bCs/>
                <w:color w:val="auto"/>
                <w:szCs w:val="21"/>
                <w:lang w:eastAsia="zh-CN"/>
              </w:rPr>
              <w:t xml:space="preserve">                  </w:t>
            </w:r>
            <w:r>
              <w:rPr>
                <w:rFonts w:hint="default" w:ascii="Times New Roman" w:hAnsi="Times New Roman" w:eastAsia="宋体" w:cs="Times New Roman"/>
                <w:b/>
                <w:bCs w:val="0"/>
                <w:color w:val="auto"/>
                <w:sz w:val="24"/>
                <w:szCs w:val="24"/>
                <w:lang w:val="en-US" w:eastAsia="zh-CN"/>
              </w:rPr>
              <w:t>原辅材料及能源消耗情况一览表</w:t>
            </w:r>
          </w:p>
          <w:tbl>
            <w:tblPr>
              <w:tblStyle w:val="23"/>
              <w:tblW w:w="495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55"/>
              <w:gridCol w:w="7"/>
              <w:gridCol w:w="885"/>
              <w:gridCol w:w="16"/>
              <w:gridCol w:w="908"/>
              <w:gridCol w:w="24"/>
              <w:gridCol w:w="871"/>
              <w:gridCol w:w="34"/>
              <w:gridCol w:w="1297"/>
              <w:gridCol w:w="47"/>
              <w:gridCol w:w="1165"/>
              <w:gridCol w:w="953"/>
              <w:gridCol w:w="941"/>
            </w:tblGrid>
            <w:tr w14:paraId="6DB6B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59" w:type="dxa"/>
                  <w:noWrap w:val="0"/>
                  <w:vAlign w:val="center"/>
                </w:tcPr>
                <w:p w14:paraId="591838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897" w:type="dxa"/>
                  <w:gridSpan w:val="2"/>
                  <w:noWrap w:val="0"/>
                  <w:vAlign w:val="center"/>
                </w:tcPr>
                <w:p w14:paraId="54DD3B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930" w:type="dxa"/>
                  <w:gridSpan w:val="2"/>
                  <w:noWrap w:val="0"/>
                  <w:vAlign w:val="center"/>
                </w:tcPr>
                <w:p w14:paraId="1B2B94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用量</w:t>
                  </w:r>
                </w:p>
              </w:tc>
              <w:tc>
                <w:tcPr>
                  <w:tcW w:w="902" w:type="dxa"/>
                  <w:gridSpan w:val="2"/>
                  <w:tcBorders>
                    <w:right w:val="single" w:color="000000" w:sz="4" w:space="0"/>
                  </w:tcBorders>
                  <w:noWrap w:val="0"/>
                  <w:vAlign w:val="center"/>
                </w:tcPr>
                <w:p w14:paraId="07ED21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单位</w:t>
                  </w:r>
                </w:p>
              </w:tc>
              <w:tc>
                <w:tcPr>
                  <w:tcW w:w="1339" w:type="dxa"/>
                  <w:gridSpan w:val="2"/>
                  <w:tcBorders>
                    <w:left w:val="single" w:color="000000" w:sz="4" w:space="0"/>
                    <w:right w:val="single" w:color="000000" w:sz="4" w:space="0"/>
                  </w:tcBorders>
                  <w:noWrap w:val="0"/>
                  <w:vAlign w:val="center"/>
                </w:tcPr>
                <w:p w14:paraId="76FD99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储存方式</w:t>
                  </w:r>
                </w:p>
              </w:tc>
              <w:tc>
                <w:tcPr>
                  <w:tcW w:w="1219" w:type="dxa"/>
                  <w:gridSpan w:val="2"/>
                  <w:tcBorders>
                    <w:left w:val="single" w:color="000000" w:sz="4" w:space="0"/>
                  </w:tcBorders>
                  <w:noWrap w:val="0"/>
                  <w:vAlign w:val="center"/>
                </w:tcPr>
                <w:p w14:paraId="5D7D1A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罐体数量</w:t>
                  </w:r>
                </w:p>
                <w:p w14:paraId="596B19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及容积</w:t>
                  </w:r>
                </w:p>
              </w:tc>
              <w:tc>
                <w:tcPr>
                  <w:tcW w:w="959" w:type="dxa"/>
                  <w:tcBorders>
                    <w:left w:val="single" w:color="000000" w:sz="4" w:space="0"/>
                  </w:tcBorders>
                  <w:noWrap w:val="0"/>
                  <w:vAlign w:val="center"/>
                </w:tcPr>
                <w:p w14:paraId="110843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最大</w:t>
                  </w:r>
                </w:p>
                <w:p w14:paraId="5B3B39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存储量</w:t>
                  </w:r>
                  <w:r>
                    <w:rPr>
                      <w:rFonts w:hint="eastAsia" w:ascii="Times New Roman" w:hAnsi="Times New Roman" w:eastAsia="宋体" w:cs="Times New Roman"/>
                      <w:b/>
                      <w:bCs/>
                      <w:color w:val="auto"/>
                      <w:sz w:val="21"/>
                      <w:szCs w:val="21"/>
                      <w:lang w:val="en-US" w:eastAsia="zh-CN"/>
                    </w:rPr>
                    <w:t>/t</w:t>
                  </w:r>
                </w:p>
              </w:tc>
              <w:tc>
                <w:tcPr>
                  <w:tcW w:w="947" w:type="dxa"/>
                  <w:tcBorders>
                    <w:left w:val="single" w:color="000000" w:sz="4" w:space="0"/>
                  </w:tcBorders>
                  <w:noWrap w:val="0"/>
                  <w:vAlign w:val="center"/>
                </w:tcPr>
                <w:p w14:paraId="77F9FD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来源</w:t>
                  </w:r>
                </w:p>
              </w:tc>
            </w:tr>
            <w:tr w14:paraId="1CC2E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59" w:type="dxa"/>
                  <w:noWrap w:val="0"/>
                  <w:vAlign w:val="center"/>
                </w:tcPr>
                <w:p w14:paraId="3A64D3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897" w:type="dxa"/>
                  <w:gridSpan w:val="2"/>
                  <w:noWrap w:val="0"/>
                  <w:vAlign w:val="center"/>
                </w:tcPr>
                <w:p w14:paraId="470BA1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碎石</w:t>
                  </w:r>
                </w:p>
              </w:tc>
              <w:tc>
                <w:tcPr>
                  <w:tcW w:w="930" w:type="dxa"/>
                  <w:gridSpan w:val="2"/>
                  <w:noWrap w:val="0"/>
                  <w:vAlign w:val="center"/>
                </w:tcPr>
                <w:p w14:paraId="23E564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200000</w:t>
                  </w:r>
                </w:p>
              </w:tc>
              <w:tc>
                <w:tcPr>
                  <w:tcW w:w="902" w:type="dxa"/>
                  <w:gridSpan w:val="2"/>
                  <w:tcBorders>
                    <w:right w:val="single" w:color="000000" w:sz="4" w:space="0"/>
                  </w:tcBorders>
                  <w:noWrap w:val="0"/>
                  <w:vAlign w:val="center"/>
                </w:tcPr>
                <w:p w14:paraId="6EBA6C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1339" w:type="dxa"/>
                  <w:gridSpan w:val="2"/>
                  <w:tcBorders>
                    <w:left w:val="single" w:color="000000" w:sz="4" w:space="0"/>
                    <w:right w:val="single" w:color="000000" w:sz="4" w:space="0"/>
                  </w:tcBorders>
                  <w:noWrap w:val="0"/>
                  <w:vAlign w:val="center"/>
                </w:tcPr>
                <w:p w14:paraId="55BC32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堆料</w:t>
                  </w:r>
                  <w:r>
                    <w:rPr>
                      <w:rFonts w:hint="eastAsia" w:ascii="Times New Roman" w:hAnsi="Times New Roman" w:eastAsia="宋体" w:cs="Times New Roman"/>
                      <w:color w:val="auto"/>
                      <w:sz w:val="21"/>
                      <w:szCs w:val="21"/>
                      <w:lang w:eastAsia="zh-CN"/>
                    </w:rPr>
                    <w:t>棚</w:t>
                  </w:r>
                </w:p>
              </w:tc>
              <w:tc>
                <w:tcPr>
                  <w:tcW w:w="1219" w:type="dxa"/>
                  <w:gridSpan w:val="2"/>
                  <w:tcBorders>
                    <w:left w:val="single" w:color="000000" w:sz="4" w:space="0"/>
                  </w:tcBorders>
                  <w:noWrap w:val="0"/>
                  <w:vAlign w:val="center"/>
                </w:tcPr>
                <w:p w14:paraId="596889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59" w:type="dxa"/>
                  <w:tcBorders>
                    <w:left w:val="single" w:color="000000" w:sz="4" w:space="0"/>
                  </w:tcBorders>
                  <w:noWrap w:val="0"/>
                  <w:vAlign w:val="center"/>
                </w:tcPr>
                <w:p w14:paraId="4521C9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10000</w:t>
                  </w:r>
                </w:p>
              </w:tc>
              <w:tc>
                <w:tcPr>
                  <w:tcW w:w="947" w:type="dxa"/>
                  <w:tcBorders>
                    <w:left w:val="single" w:color="000000" w:sz="4" w:space="0"/>
                  </w:tcBorders>
                  <w:noWrap w:val="0"/>
                  <w:vAlign w:val="center"/>
                </w:tcPr>
                <w:p w14:paraId="7C463F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外购</w:t>
                  </w:r>
                </w:p>
              </w:tc>
            </w:tr>
            <w:tr w14:paraId="51208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59" w:type="dxa"/>
                  <w:noWrap w:val="0"/>
                  <w:vAlign w:val="center"/>
                </w:tcPr>
                <w:p w14:paraId="3FC6A0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897" w:type="dxa"/>
                  <w:gridSpan w:val="2"/>
                  <w:noWrap w:val="0"/>
                  <w:vAlign w:val="center"/>
                </w:tcPr>
                <w:p w14:paraId="56F64FC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水洗砂</w:t>
                  </w:r>
                </w:p>
              </w:tc>
              <w:tc>
                <w:tcPr>
                  <w:tcW w:w="930" w:type="dxa"/>
                  <w:gridSpan w:val="2"/>
                  <w:noWrap w:val="0"/>
                  <w:vAlign w:val="center"/>
                </w:tcPr>
                <w:p w14:paraId="085AD0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160000</w:t>
                  </w:r>
                </w:p>
              </w:tc>
              <w:tc>
                <w:tcPr>
                  <w:tcW w:w="902" w:type="dxa"/>
                  <w:gridSpan w:val="2"/>
                  <w:tcBorders>
                    <w:right w:val="single" w:color="000000" w:sz="4" w:space="0"/>
                  </w:tcBorders>
                  <w:noWrap w:val="0"/>
                  <w:vAlign w:val="center"/>
                </w:tcPr>
                <w:p w14:paraId="750BE8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1339" w:type="dxa"/>
                  <w:gridSpan w:val="2"/>
                  <w:tcBorders>
                    <w:left w:val="single" w:color="000000" w:sz="4" w:space="0"/>
                    <w:right w:val="single" w:color="000000" w:sz="4" w:space="0"/>
                  </w:tcBorders>
                  <w:noWrap w:val="0"/>
                  <w:vAlign w:val="center"/>
                </w:tcPr>
                <w:p w14:paraId="1C50B7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堆料</w:t>
                  </w:r>
                  <w:r>
                    <w:rPr>
                      <w:rFonts w:hint="eastAsia" w:ascii="Times New Roman" w:hAnsi="Times New Roman" w:eastAsia="宋体" w:cs="Times New Roman"/>
                      <w:color w:val="auto"/>
                      <w:sz w:val="21"/>
                      <w:szCs w:val="21"/>
                      <w:lang w:eastAsia="zh-CN"/>
                    </w:rPr>
                    <w:t>棚</w:t>
                  </w:r>
                </w:p>
              </w:tc>
              <w:tc>
                <w:tcPr>
                  <w:tcW w:w="1219" w:type="dxa"/>
                  <w:gridSpan w:val="2"/>
                  <w:tcBorders>
                    <w:left w:val="single" w:color="000000" w:sz="4" w:space="0"/>
                  </w:tcBorders>
                  <w:noWrap w:val="0"/>
                  <w:vAlign w:val="center"/>
                </w:tcPr>
                <w:p w14:paraId="29554E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59" w:type="dxa"/>
                  <w:tcBorders>
                    <w:left w:val="single" w:color="000000" w:sz="4" w:space="0"/>
                  </w:tcBorders>
                  <w:noWrap w:val="0"/>
                  <w:vAlign w:val="center"/>
                </w:tcPr>
                <w:p w14:paraId="0A6985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5000</w:t>
                  </w:r>
                </w:p>
              </w:tc>
              <w:tc>
                <w:tcPr>
                  <w:tcW w:w="947" w:type="dxa"/>
                  <w:tcBorders>
                    <w:left w:val="single" w:color="000000" w:sz="4" w:space="0"/>
                  </w:tcBorders>
                  <w:noWrap w:val="0"/>
                  <w:vAlign w:val="center"/>
                </w:tcPr>
                <w:p w14:paraId="7CFEBC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外购</w:t>
                  </w:r>
                </w:p>
              </w:tc>
            </w:tr>
            <w:tr w14:paraId="55C91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59" w:type="dxa"/>
                  <w:noWrap w:val="0"/>
                  <w:vAlign w:val="center"/>
                </w:tcPr>
                <w:p w14:paraId="33F8B3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897" w:type="dxa"/>
                  <w:gridSpan w:val="2"/>
                  <w:noWrap w:val="0"/>
                  <w:vAlign w:val="center"/>
                </w:tcPr>
                <w:p w14:paraId="4B975A1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水泥</w:t>
                  </w:r>
                </w:p>
              </w:tc>
              <w:tc>
                <w:tcPr>
                  <w:tcW w:w="930" w:type="dxa"/>
                  <w:gridSpan w:val="2"/>
                  <w:noWrap w:val="0"/>
                  <w:vAlign w:val="center"/>
                </w:tcPr>
                <w:p w14:paraId="54F27F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60000</w:t>
                  </w:r>
                </w:p>
              </w:tc>
              <w:tc>
                <w:tcPr>
                  <w:tcW w:w="902" w:type="dxa"/>
                  <w:gridSpan w:val="2"/>
                  <w:tcBorders>
                    <w:right w:val="single" w:color="000000" w:sz="4" w:space="0"/>
                  </w:tcBorders>
                  <w:noWrap w:val="0"/>
                  <w:vAlign w:val="center"/>
                </w:tcPr>
                <w:p w14:paraId="04608A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1339" w:type="dxa"/>
                  <w:gridSpan w:val="2"/>
                  <w:tcBorders>
                    <w:left w:val="single" w:color="000000" w:sz="4" w:space="0"/>
                    <w:right w:val="single" w:color="000000" w:sz="4" w:space="0"/>
                  </w:tcBorders>
                  <w:noWrap w:val="0"/>
                  <w:vAlign w:val="center"/>
                </w:tcPr>
                <w:p w14:paraId="2418DDC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水泥筒仓</w:t>
                  </w:r>
                </w:p>
              </w:tc>
              <w:tc>
                <w:tcPr>
                  <w:tcW w:w="1219" w:type="dxa"/>
                  <w:gridSpan w:val="2"/>
                  <w:tcBorders>
                    <w:left w:val="single" w:color="000000" w:sz="4" w:space="0"/>
                  </w:tcBorders>
                  <w:noWrap w:val="0"/>
                  <w:vAlign w:val="center"/>
                </w:tcPr>
                <w:p w14:paraId="0942B43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r>
                    <w:rPr>
                      <w:rFonts w:hint="eastAsia" w:ascii="Times New Roman" w:hAnsi="Times New Roman" w:eastAsia="宋体" w:cs="Times New Roman"/>
                      <w:color w:val="auto"/>
                      <w:sz w:val="21"/>
                      <w:szCs w:val="21"/>
                      <w:highlight w:val="none"/>
                      <w:lang w:val="en-US" w:eastAsia="zh-CN"/>
                    </w:rPr>
                    <w:t>座</w:t>
                  </w:r>
                </w:p>
                <w:p w14:paraId="45A4B3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4</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200</w:t>
                  </w:r>
                  <w:r>
                    <w:rPr>
                      <w:rFonts w:hint="eastAsia" w:ascii="Times New Roman" w:hAnsi="Times New Roman" w:eastAsia="宋体" w:cs="Times New Roman"/>
                      <w:color w:val="auto"/>
                      <w:sz w:val="21"/>
                      <w:szCs w:val="21"/>
                      <w:lang w:val="en-US" w:eastAsia="zh-CN"/>
                    </w:rPr>
                    <w:t>t）</w:t>
                  </w:r>
                </w:p>
              </w:tc>
              <w:tc>
                <w:tcPr>
                  <w:tcW w:w="959" w:type="dxa"/>
                  <w:tcBorders>
                    <w:left w:val="single" w:color="000000" w:sz="4" w:space="0"/>
                  </w:tcBorders>
                  <w:noWrap w:val="0"/>
                  <w:vAlign w:val="center"/>
                </w:tcPr>
                <w:p w14:paraId="0282DA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800</w:t>
                  </w:r>
                </w:p>
              </w:tc>
              <w:tc>
                <w:tcPr>
                  <w:tcW w:w="947" w:type="dxa"/>
                  <w:tcBorders>
                    <w:left w:val="single" w:color="000000" w:sz="4" w:space="0"/>
                  </w:tcBorders>
                  <w:noWrap w:val="0"/>
                  <w:vAlign w:val="center"/>
                </w:tcPr>
                <w:p w14:paraId="5C0906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外购</w:t>
                  </w:r>
                </w:p>
              </w:tc>
            </w:tr>
            <w:tr w14:paraId="08589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59" w:type="dxa"/>
                  <w:noWrap w:val="0"/>
                  <w:vAlign w:val="center"/>
                </w:tcPr>
                <w:p w14:paraId="2203B1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897" w:type="dxa"/>
                  <w:gridSpan w:val="2"/>
                  <w:noWrap w:val="0"/>
                  <w:vAlign w:val="center"/>
                </w:tcPr>
                <w:p w14:paraId="7D31239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粉煤灰</w:t>
                  </w:r>
                </w:p>
              </w:tc>
              <w:tc>
                <w:tcPr>
                  <w:tcW w:w="930" w:type="dxa"/>
                  <w:gridSpan w:val="2"/>
                  <w:noWrap w:val="0"/>
                  <w:vAlign w:val="center"/>
                </w:tcPr>
                <w:p w14:paraId="4DB7BF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20000</w:t>
                  </w:r>
                </w:p>
              </w:tc>
              <w:tc>
                <w:tcPr>
                  <w:tcW w:w="902" w:type="dxa"/>
                  <w:gridSpan w:val="2"/>
                  <w:tcBorders>
                    <w:right w:val="single" w:color="000000" w:sz="4" w:space="0"/>
                  </w:tcBorders>
                  <w:noWrap w:val="0"/>
                  <w:vAlign w:val="center"/>
                </w:tcPr>
                <w:p w14:paraId="5FFDE6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1339" w:type="dxa"/>
                  <w:gridSpan w:val="2"/>
                  <w:tcBorders>
                    <w:left w:val="single" w:color="000000" w:sz="4" w:space="0"/>
                    <w:right w:val="single" w:color="000000" w:sz="4" w:space="0"/>
                  </w:tcBorders>
                  <w:noWrap w:val="0"/>
                  <w:vAlign w:val="center"/>
                </w:tcPr>
                <w:p w14:paraId="0727933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粉煤灰筒仓</w:t>
                  </w:r>
                </w:p>
              </w:tc>
              <w:tc>
                <w:tcPr>
                  <w:tcW w:w="1219" w:type="dxa"/>
                  <w:gridSpan w:val="2"/>
                  <w:tcBorders>
                    <w:left w:val="single" w:color="000000" w:sz="4" w:space="0"/>
                  </w:tcBorders>
                  <w:noWrap w:val="0"/>
                  <w:vAlign w:val="center"/>
                </w:tcPr>
                <w:p w14:paraId="3B73C9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r>
                    <w:rPr>
                      <w:rFonts w:hint="eastAsia" w:ascii="Times New Roman" w:hAnsi="Times New Roman" w:eastAsia="宋体" w:cs="Times New Roman"/>
                      <w:color w:val="auto"/>
                      <w:sz w:val="21"/>
                      <w:szCs w:val="21"/>
                      <w:highlight w:val="none"/>
                      <w:lang w:val="en-US" w:eastAsia="zh-CN"/>
                    </w:rPr>
                    <w:t>座</w:t>
                  </w:r>
                </w:p>
                <w:p w14:paraId="7F78BA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200</w:t>
                  </w:r>
                  <w:r>
                    <w:rPr>
                      <w:rFonts w:hint="eastAsia" w:ascii="Times New Roman" w:hAnsi="Times New Roman" w:eastAsia="宋体" w:cs="Times New Roman"/>
                      <w:color w:val="auto"/>
                      <w:sz w:val="21"/>
                      <w:szCs w:val="21"/>
                      <w:lang w:val="en-US" w:eastAsia="zh-CN"/>
                    </w:rPr>
                    <w:t>t/</w:t>
                  </w:r>
                  <w:r>
                    <w:rPr>
                      <w:rFonts w:hint="eastAsia" w:ascii="Times New Roman" w:hAnsi="Times New Roman" w:eastAsia="宋体" w:cs="Times New Roman"/>
                      <w:color w:val="auto"/>
                      <w:sz w:val="21"/>
                      <w:szCs w:val="21"/>
                      <w:highlight w:val="none"/>
                      <w:lang w:val="en-US" w:eastAsia="zh-CN"/>
                    </w:rPr>
                    <w:t>座</w:t>
                  </w:r>
                  <w:r>
                    <w:rPr>
                      <w:rFonts w:hint="eastAsia" w:ascii="Times New Roman" w:hAnsi="Times New Roman" w:eastAsia="宋体" w:cs="Times New Roman"/>
                      <w:color w:val="auto"/>
                      <w:sz w:val="21"/>
                      <w:szCs w:val="21"/>
                      <w:lang w:val="en-US" w:eastAsia="zh-CN"/>
                    </w:rPr>
                    <w:t>）</w:t>
                  </w:r>
                </w:p>
              </w:tc>
              <w:tc>
                <w:tcPr>
                  <w:tcW w:w="959" w:type="dxa"/>
                  <w:tcBorders>
                    <w:left w:val="single" w:color="000000" w:sz="4" w:space="0"/>
                  </w:tcBorders>
                  <w:noWrap w:val="0"/>
                  <w:vAlign w:val="center"/>
                </w:tcPr>
                <w:p w14:paraId="6CF38D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800</w:t>
                  </w:r>
                </w:p>
              </w:tc>
              <w:tc>
                <w:tcPr>
                  <w:tcW w:w="947" w:type="dxa"/>
                  <w:tcBorders>
                    <w:left w:val="single" w:color="000000" w:sz="4" w:space="0"/>
                  </w:tcBorders>
                  <w:noWrap w:val="0"/>
                  <w:vAlign w:val="center"/>
                </w:tcPr>
                <w:p w14:paraId="3CEF22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外购</w:t>
                  </w:r>
                </w:p>
              </w:tc>
            </w:tr>
            <w:tr w14:paraId="53DAE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59" w:type="dxa"/>
                  <w:noWrap w:val="0"/>
                  <w:vAlign w:val="center"/>
                </w:tcPr>
                <w:p w14:paraId="7B036C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897" w:type="dxa"/>
                  <w:gridSpan w:val="2"/>
                  <w:noWrap w:val="0"/>
                  <w:vAlign w:val="center"/>
                </w:tcPr>
                <w:p w14:paraId="2D1223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外加剂</w:t>
                  </w:r>
                </w:p>
              </w:tc>
              <w:tc>
                <w:tcPr>
                  <w:tcW w:w="930" w:type="dxa"/>
                  <w:gridSpan w:val="2"/>
                  <w:noWrap w:val="0"/>
                  <w:vAlign w:val="center"/>
                </w:tcPr>
                <w:p w14:paraId="5F9FF9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2000</w:t>
                  </w:r>
                </w:p>
              </w:tc>
              <w:tc>
                <w:tcPr>
                  <w:tcW w:w="902" w:type="dxa"/>
                  <w:gridSpan w:val="2"/>
                  <w:tcBorders>
                    <w:right w:val="single" w:color="000000" w:sz="4" w:space="0"/>
                  </w:tcBorders>
                  <w:noWrap w:val="0"/>
                  <w:vAlign w:val="center"/>
                </w:tcPr>
                <w:p w14:paraId="311D74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1339" w:type="dxa"/>
                  <w:gridSpan w:val="2"/>
                  <w:tcBorders>
                    <w:left w:val="single" w:color="000000" w:sz="4" w:space="0"/>
                    <w:right w:val="single" w:color="000000" w:sz="4" w:space="0"/>
                  </w:tcBorders>
                  <w:noWrap w:val="0"/>
                  <w:vAlign w:val="center"/>
                </w:tcPr>
                <w:p w14:paraId="31FE320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外加剂罐</w:t>
                  </w:r>
                </w:p>
              </w:tc>
              <w:tc>
                <w:tcPr>
                  <w:tcW w:w="1219" w:type="dxa"/>
                  <w:gridSpan w:val="2"/>
                  <w:tcBorders>
                    <w:left w:val="single" w:color="000000" w:sz="4" w:space="0"/>
                  </w:tcBorders>
                  <w:noWrap w:val="0"/>
                  <w:vAlign w:val="center"/>
                </w:tcPr>
                <w:p w14:paraId="78C69CD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r>
                    <w:rPr>
                      <w:rFonts w:hint="eastAsia" w:ascii="Times New Roman" w:hAnsi="Times New Roman" w:eastAsia="宋体" w:cs="Times New Roman"/>
                      <w:color w:val="auto"/>
                      <w:sz w:val="21"/>
                      <w:szCs w:val="21"/>
                      <w:highlight w:val="none"/>
                      <w:lang w:val="en-US" w:eastAsia="zh-CN"/>
                    </w:rPr>
                    <w:t>座</w:t>
                  </w:r>
                </w:p>
                <w:p w14:paraId="361ED5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（10t/</w:t>
                  </w:r>
                  <w:r>
                    <w:rPr>
                      <w:rFonts w:hint="eastAsia" w:ascii="Times New Roman" w:hAnsi="Times New Roman" w:eastAsia="宋体" w:cs="Times New Roman"/>
                      <w:color w:val="auto"/>
                      <w:sz w:val="21"/>
                      <w:szCs w:val="21"/>
                      <w:highlight w:val="none"/>
                      <w:lang w:val="en-US" w:eastAsia="zh-CN"/>
                    </w:rPr>
                    <w:t>座</w:t>
                  </w:r>
                  <w:r>
                    <w:rPr>
                      <w:rFonts w:hint="eastAsia" w:ascii="Times New Roman" w:hAnsi="Times New Roman" w:eastAsia="宋体" w:cs="Times New Roman"/>
                      <w:color w:val="auto"/>
                      <w:sz w:val="21"/>
                      <w:szCs w:val="21"/>
                      <w:lang w:val="en-US" w:eastAsia="zh-CN"/>
                    </w:rPr>
                    <w:t>）</w:t>
                  </w:r>
                </w:p>
              </w:tc>
              <w:tc>
                <w:tcPr>
                  <w:tcW w:w="959" w:type="dxa"/>
                  <w:tcBorders>
                    <w:left w:val="single" w:color="000000" w:sz="4" w:space="0"/>
                  </w:tcBorders>
                  <w:noWrap w:val="0"/>
                  <w:vAlign w:val="center"/>
                </w:tcPr>
                <w:p w14:paraId="378FF6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w:t>
                  </w:r>
                </w:p>
              </w:tc>
              <w:tc>
                <w:tcPr>
                  <w:tcW w:w="947" w:type="dxa"/>
                  <w:tcBorders>
                    <w:left w:val="single" w:color="000000" w:sz="4" w:space="0"/>
                  </w:tcBorders>
                  <w:noWrap w:val="0"/>
                  <w:vAlign w:val="center"/>
                </w:tcPr>
                <w:p w14:paraId="78487D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外购</w:t>
                  </w:r>
                </w:p>
              </w:tc>
            </w:tr>
            <w:tr w14:paraId="59C6A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7852" w:type="dxa"/>
                  <w:gridSpan w:val="13"/>
                  <w:noWrap w:val="0"/>
                  <w:vAlign w:val="center"/>
                </w:tcPr>
                <w:p w14:paraId="5FD352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b/>
                      <w:bCs/>
                      <w:color w:val="auto"/>
                      <w:sz w:val="21"/>
                      <w:szCs w:val="21"/>
                      <w:lang w:eastAsia="zh-CN"/>
                    </w:rPr>
                    <w:t>能源消耗</w:t>
                  </w:r>
                </w:p>
              </w:tc>
            </w:tr>
            <w:tr w14:paraId="28D16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4" w:hRule="atLeast"/>
                <w:jc w:val="center"/>
              </w:trPr>
              <w:tc>
                <w:tcPr>
                  <w:tcW w:w="666" w:type="dxa"/>
                  <w:gridSpan w:val="2"/>
                  <w:noWrap w:val="0"/>
                  <w:vAlign w:val="center"/>
                </w:tcPr>
                <w:p w14:paraId="381E18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06" w:type="dxa"/>
                  <w:gridSpan w:val="2"/>
                  <w:noWrap w:val="0"/>
                  <w:vAlign w:val="center"/>
                </w:tcPr>
                <w:p w14:paraId="35A706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水</w:t>
                  </w:r>
                </w:p>
              </w:tc>
              <w:tc>
                <w:tcPr>
                  <w:tcW w:w="939" w:type="dxa"/>
                  <w:gridSpan w:val="2"/>
                  <w:noWrap w:val="0"/>
                  <w:vAlign w:val="center"/>
                </w:tcPr>
                <w:p w14:paraId="021651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42976</w:t>
                  </w:r>
                </w:p>
              </w:tc>
              <w:tc>
                <w:tcPr>
                  <w:tcW w:w="911" w:type="dxa"/>
                  <w:gridSpan w:val="2"/>
                  <w:tcBorders>
                    <w:right w:val="single" w:color="000000" w:sz="4" w:space="0"/>
                  </w:tcBorders>
                  <w:noWrap w:val="0"/>
                  <w:vAlign w:val="center"/>
                </w:tcPr>
                <w:p w14:paraId="588303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/a</w:t>
                  </w:r>
                </w:p>
              </w:tc>
              <w:tc>
                <w:tcPr>
                  <w:tcW w:w="1352" w:type="dxa"/>
                  <w:gridSpan w:val="2"/>
                  <w:tcBorders>
                    <w:left w:val="single" w:color="000000" w:sz="4" w:space="0"/>
                    <w:right w:val="single" w:color="000000" w:sz="4" w:space="0"/>
                  </w:tcBorders>
                  <w:noWrap w:val="0"/>
                  <w:vAlign w:val="center"/>
                </w:tcPr>
                <w:p w14:paraId="54B054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72" w:type="dxa"/>
                  <w:tcBorders>
                    <w:left w:val="single" w:color="000000" w:sz="4" w:space="0"/>
                  </w:tcBorders>
                  <w:noWrap w:val="0"/>
                  <w:vAlign w:val="center"/>
                </w:tcPr>
                <w:p w14:paraId="034B5C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59" w:type="dxa"/>
                  <w:tcBorders>
                    <w:left w:val="single" w:color="000000" w:sz="4" w:space="0"/>
                  </w:tcBorders>
                  <w:noWrap w:val="0"/>
                  <w:vAlign w:val="center"/>
                </w:tcPr>
                <w:p w14:paraId="2C2893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47" w:type="dxa"/>
                  <w:vMerge w:val="restart"/>
                  <w:tcBorders>
                    <w:left w:val="single" w:color="000000" w:sz="4" w:space="0"/>
                  </w:tcBorders>
                  <w:noWrap w:val="0"/>
                  <w:vAlign w:val="center"/>
                </w:tcPr>
                <w:p w14:paraId="55A461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兴仁</w:t>
                  </w:r>
                  <w:r>
                    <w:rPr>
                      <w:rFonts w:hint="default" w:ascii="Times New Roman" w:hAnsi="Times New Roman" w:eastAsia="宋体" w:cs="Times New Roman"/>
                      <w:color w:val="auto"/>
                      <w:sz w:val="21"/>
                      <w:szCs w:val="21"/>
                      <w:lang w:eastAsia="zh-CN"/>
                    </w:rPr>
                    <w:t>镇供电系统</w:t>
                  </w:r>
                  <w:r>
                    <w:rPr>
                      <w:rFonts w:hint="eastAsia" w:ascii="Times New Roman" w:hAnsi="Times New Roman" w:eastAsia="宋体" w:cs="Times New Roman"/>
                      <w:color w:val="auto"/>
                      <w:sz w:val="21"/>
                      <w:szCs w:val="21"/>
                      <w:lang w:eastAsia="zh-CN"/>
                    </w:rPr>
                    <w:t>、供水管网</w:t>
                  </w:r>
                  <w:r>
                    <w:rPr>
                      <w:rFonts w:hint="default" w:ascii="Times New Roman" w:hAnsi="Times New Roman" w:eastAsia="宋体" w:cs="Times New Roman"/>
                      <w:color w:val="auto"/>
                      <w:sz w:val="21"/>
                      <w:szCs w:val="21"/>
                      <w:lang w:eastAsia="zh-CN"/>
                    </w:rPr>
                    <w:t>统一供应</w:t>
                  </w:r>
                </w:p>
              </w:tc>
            </w:tr>
            <w:tr w14:paraId="6F83E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66" w:type="dxa"/>
                  <w:gridSpan w:val="2"/>
                  <w:noWrap w:val="0"/>
                  <w:vAlign w:val="center"/>
                </w:tcPr>
                <w:p w14:paraId="060F25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906" w:type="dxa"/>
                  <w:gridSpan w:val="2"/>
                  <w:noWrap w:val="0"/>
                  <w:vAlign w:val="center"/>
                </w:tcPr>
                <w:p w14:paraId="1014F8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电</w:t>
                  </w:r>
                </w:p>
              </w:tc>
              <w:tc>
                <w:tcPr>
                  <w:tcW w:w="939" w:type="dxa"/>
                  <w:gridSpan w:val="2"/>
                  <w:noWrap w:val="0"/>
                  <w:vAlign w:val="center"/>
                </w:tcPr>
                <w:p w14:paraId="3D1113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195</w:t>
                  </w:r>
                </w:p>
              </w:tc>
              <w:tc>
                <w:tcPr>
                  <w:tcW w:w="911" w:type="dxa"/>
                  <w:gridSpan w:val="2"/>
                  <w:tcBorders>
                    <w:right w:val="single" w:color="000000" w:sz="4" w:space="0"/>
                  </w:tcBorders>
                  <w:noWrap w:val="0"/>
                  <w:vAlign w:val="center"/>
                </w:tcPr>
                <w:p w14:paraId="0CB1FF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万</w:t>
                  </w:r>
                  <w:r>
                    <w:rPr>
                      <w:rFonts w:hint="default" w:ascii="Times New Roman" w:hAnsi="Times New Roman" w:eastAsia="宋体" w:cs="Times New Roman"/>
                      <w:color w:val="auto"/>
                      <w:sz w:val="21"/>
                      <w:szCs w:val="21"/>
                      <w:lang w:val="en-US" w:eastAsia="zh-CN"/>
                    </w:rPr>
                    <w:t>kW·h</w:t>
                  </w:r>
                </w:p>
              </w:tc>
              <w:tc>
                <w:tcPr>
                  <w:tcW w:w="1352" w:type="dxa"/>
                  <w:gridSpan w:val="2"/>
                  <w:tcBorders>
                    <w:left w:val="single" w:color="000000" w:sz="4" w:space="0"/>
                    <w:right w:val="single" w:color="000000" w:sz="4" w:space="0"/>
                  </w:tcBorders>
                  <w:noWrap w:val="0"/>
                  <w:vAlign w:val="center"/>
                </w:tcPr>
                <w:p w14:paraId="61CCCD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72" w:type="dxa"/>
                  <w:tcBorders>
                    <w:left w:val="single" w:color="000000" w:sz="4" w:space="0"/>
                  </w:tcBorders>
                  <w:noWrap w:val="0"/>
                  <w:vAlign w:val="center"/>
                </w:tcPr>
                <w:p w14:paraId="0D1C94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59" w:type="dxa"/>
                  <w:tcBorders>
                    <w:left w:val="single" w:color="000000" w:sz="4" w:space="0"/>
                  </w:tcBorders>
                  <w:noWrap w:val="0"/>
                  <w:vAlign w:val="center"/>
                </w:tcPr>
                <w:p w14:paraId="2C6964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47" w:type="dxa"/>
                  <w:vMerge w:val="continue"/>
                  <w:tcBorders>
                    <w:left w:val="single" w:color="000000" w:sz="4" w:space="0"/>
                  </w:tcBorders>
                  <w:noWrap w:val="0"/>
                  <w:vAlign w:val="center"/>
                </w:tcPr>
                <w:p w14:paraId="4D33C8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p>
              </w:tc>
            </w:tr>
          </w:tbl>
          <w:p w14:paraId="33EAACD0">
            <w:pPr>
              <w:spacing w:line="360" w:lineRule="auto"/>
              <w:ind w:firstLine="482" w:firstLineChars="200"/>
              <w:rPr>
                <w:rFonts w:hint="default" w:eastAsia="仿宋_GB2312"/>
                <w:color w:val="auto"/>
                <w:sz w:val="24"/>
                <w:highlight w:val="none"/>
                <w:lang w:val="en-US" w:eastAsia="zh-CN"/>
              </w:rPr>
            </w:pPr>
            <w:r>
              <w:rPr>
                <w:rFonts w:eastAsia="仿宋_GB2312"/>
                <w:b/>
                <w:bCs/>
                <w:color w:val="auto"/>
                <w:sz w:val="24"/>
                <w:highlight w:val="none"/>
              </w:rPr>
              <w:t>5.</w:t>
            </w:r>
            <w:r>
              <w:rPr>
                <w:rFonts w:hint="eastAsia" w:eastAsia="仿宋_GB2312"/>
                <w:b/>
                <w:bCs/>
                <w:color w:val="auto"/>
                <w:sz w:val="24"/>
                <w:highlight w:val="none"/>
                <w:lang w:val="en-US" w:eastAsia="zh-CN"/>
              </w:rPr>
              <w:t>2主要</w:t>
            </w:r>
            <w:r>
              <w:rPr>
                <w:rFonts w:eastAsia="仿宋_GB2312"/>
                <w:b/>
                <w:bCs/>
                <w:color w:val="auto"/>
                <w:sz w:val="24"/>
                <w:highlight w:val="none"/>
              </w:rPr>
              <w:t>原辅材料</w:t>
            </w:r>
            <w:r>
              <w:rPr>
                <w:rFonts w:hint="eastAsia" w:eastAsia="仿宋_GB2312"/>
                <w:b/>
                <w:bCs/>
                <w:color w:val="auto"/>
                <w:sz w:val="24"/>
                <w:highlight w:val="none"/>
                <w:lang w:val="en-US" w:eastAsia="zh-CN"/>
              </w:rPr>
              <w:t>理化特性分析</w:t>
            </w:r>
          </w:p>
          <w:p w14:paraId="433D6C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①粉煤灰：</w:t>
            </w:r>
            <w:r>
              <w:rPr>
                <w:rFonts w:hint="default" w:ascii="Times New Roman" w:hAnsi="Times New Roman" w:eastAsia="仿宋_GB2312" w:cs="Times New Roman"/>
                <w:bCs/>
                <w:color w:val="auto"/>
                <w:sz w:val="24"/>
                <w:szCs w:val="24"/>
                <w:lang w:val="en-US" w:eastAsia="zh-CN"/>
              </w:rPr>
              <w:t>粉煤灰的主要成分是SiO</w:t>
            </w:r>
            <w:r>
              <w:rPr>
                <w:rFonts w:hint="default" w:ascii="Times New Roman" w:hAnsi="Times New Roman" w:eastAsia="仿宋_GB2312" w:cs="Times New Roman"/>
                <w:bCs/>
                <w:color w:val="auto"/>
                <w:sz w:val="24"/>
                <w:szCs w:val="24"/>
                <w:vertAlign w:val="subscript"/>
                <w:lang w:val="en-US" w:eastAsia="zh-CN"/>
              </w:rPr>
              <w:t>2</w:t>
            </w:r>
            <w:r>
              <w:rPr>
                <w:rFonts w:hint="default" w:ascii="Times New Roman" w:hAnsi="Times New Roman" w:eastAsia="仿宋_GB2312" w:cs="Times New Roman"/>
                <w:bCs/>
                <w:color w:val="auto"/>
                <w:sz w:val="24"/>
                <w:szCs w:val="24"/>
                <w:lang w:val="en-US" w:eastAsia="zh-CN"/>
              </w:rPr>
              <w:t>、Al</w:t>
            </w:r>
            <w:r>
              <w:rPr>
                <w:rFonts w:hint="default" w:ascii="Times New Roman" w:hAnsi="Times New Roman" w:eastAsia="仿宋_GB2312" w:cs="Times New Roman"/>
                <w:bCs/>
                <w:color w:val="auto"/>
                <w:sz w:val="24"/>
                <w:szCs w:val="24"/>
                <w:vertAlign w:val="subscript"/>
                <w:lang w:val="en-US" w:eastAsia="zh-CN"/>
              </w:rPr>
              <w:t>2</w:t>
            </w:r>
            <w:r>
              <w:rPr>
                <w:rFonts w:hint="default" w:ascii="Times New Roman" w:hAnsi="Times New Roman" w:eastAsia="仿宋_GB2312" w:cs="Times New Roman"/>
                <w:bCs/>
                <w:color w:val="auto"/>
                <w:sz w:val="24"/>
                <w:szCs w:val="24"/>
                <w:lang w:val="en-US" w:eastAsia="zh-CN"/>
              </w:rPr>
              <w:t>O</w:t>
            </w:r>
            <w:r>
              <w:rPr>
                <w:rFonts w:hint="default" w:ascii="Times New Roman" w:hAnsi="Times New Roman" w:eastAsia="仿宋_GB2312" w:cs="Times New Roman"/>
                <w:bCs/>
                <w:color w:val="auto"/>
                <w:sz w:val="24"/>
                <w:szCs w:val="24"/>
                <w:vertAlign w:val="subscript"/>
                <w:lang w:val="en-US" w:eastAsia="zh-CN"/>
              </w:rPr>
              <w:t>3</w:t>
            </w:r>
            <w:r>
              <w:rPr>
                <w:rFonts w:hint="default" w:ascii="Times New Roman" w:hAnsi="Times New Roman" w:eastAsia="仿宋_GB2312" w:cs="Times New Roman"/>
                <w:bCs/>
                <w:color w:val="auto"/>
                <w:sz w:val="24"/>
                <w:szCs w:val="24"/>
                <w:lang w:val="en-US" w:eastAsia="zh-CN"/>
              </w:rPr>
              <w:t>、FeO、Fe</w:t>
            </w:r>
            <w:r>
              <w:rPr>
                <w:rFonts w:hint="default" w:ascii="Times New Roman" w:hAnsi="Times New Roman" w:eastAsia="仿宋_GB2312" w:cs="Times New Roman"/>
                <w:bCs/>
                <w:color w:val="auto"/>
                <w:sz w:val="24"/>
                <w:szCs w:val="24"/>
                <w:vertAlign w:val="subscript"/>
                <w:lang w:val="en-US" w:eastAsia="zh-CN"/>
              </w:rPr>
              <w:t>2</w:t>
            </w:r>
            <w:r>
              <w:rPr>
                <w:rFonts w:hint="default" w:ascii="Times New Roman" w:hAnsi="Times New Roman" w:eastAsia="仿宋_GB2312" w:cs="Times New Roman"/>
                <w:bCs/>
                <w:color w:val="auto"/>
                <w:sz w:val="24"/>
                <w:szCs w:val="24"/>
                <w:lang w:val="en-US" w:eastAsia="zh-CN"/>
              </w:rPr>
              <w:t>O</w:t>
            </w:r>
            <w:r>
              <w:rPr>
                <w:rFonts w:hint="default" w:ascii="Times New Roman" w:hAnsi="Times New Roman" w:eastAsia="仿宋_GB2312" w:cs="Times New Roman"/>
                <w:bCs/>
                <w:color w:val="auto"/>
                <w:sz w:val="24"/>
                <w:szCs w:val="24"/>
                <w:vertAlign w:val="subscript"/>
                <w:lang w:val="en-US" w:eastAsia="zh-CN"/>
              </w:rPr>
              <w:t>3</w:t>
            </w:r>
            <w:r>
              <w:rPr>
                <w:rFonts w:hint="default" w:ascii="Times New Roman" w:hAnsi="Times New Roman" w:eastAsia="仿宋_GB2312" w:cs="Times New Roman"/>
                <w:bCs/>
                <w:color w:val="auto"/>
                <w:sz w:val="24"/>
                <w:szCs w:val="24"/>
                <w:lang w:val="en-US" w:eastAsia="zh-CN"/>
              </w:rPr>
              <w:t>、CaO等，比重在1.95~2.36之间，松干密度在450~700kg/m</w:t>
            </w:r>
            <w:r>
              <w:rPr>
                <w:rFonts w:hint="default" w:ascii="Times New Roman" w:hAnsi="Times New Roman" w:eastAsia="仿宋_GB2312" w:cs="Times New Roman"/>
                <w:bCs/>
                <w:color w:val="auto"/>
                <w:sz w:val="24"/>
                <w:szCs w:val="24"/>
                <w:vertAlign w:val="superscript"/>
                <w:lang w:val="en-US" w:eastAsia="zh-CN"/>
              </w:rPr>
              <w:t>3</w:t>
            </w:r>
            <w:r>
              <w:rPr>
                <w:rFonts w:hint="default" w:ascii="Times New Roman" w:hAnsi="Times New Roman" w:eastAsia="仿宋_GB2312" w:cs="Times New Roman"/>
                <w:bCs/>
                <w:color w:val="auto"/>
                <w:sz w:val="24"/>
                <w:szCs w:val="24"/>
                <w:vertAlign w:val="baseline"/>
                <w:lang w:val="en-US" w:eastAsia="zh-CN"/>
              </w:rPr>
              <w:t>之间</w:t>
            </w:r>
            <w:r>
              <w:rPr>
                <w:rFonts w:hint="default" w:ascii="Times New Roman" w:hAnsi="Times New Roman" w:eastAsia="仿宋_GB2312" w:cs="Times New Roman"/>
                <w:bCs/>
                <w:color w:val="auto"/>
                <w:sz w:val="24"/>
                <w:szCs w:val="24"/>
                <w:lang w:val="en-US" w:eastAsia="zh-CN"/>
              </w:rPr>
              <w:t>，比表面积在220~588m</w:t>
            </w:r>
            <w:r>
              <w:rPr>
                <w:rFonts w:hint="default" w:ascii="Times New Roman" w:hAnsi="Times New Roman" w:eastAsia="仿宋_GB2312" w:cs="Times New Roman"/>
                <w:bCs/>
                <w:color w:val="auto"/>
                <w:sz w:val="24"/>
                <w:szCs w:val="24"/>
                <w:vertAlign w:val="superscript"/>
                <w:lang w:val="en-US" w:eastAsia="zh-CN"/>
              </w:rPr>
              <w:t>2</w:t>
            </w:r>
            <w:r>
              <w:rPr>
                <w:rFonts w:hint="default" w:ascii="Times New Roman" w:hAnsi="Times New Roman" w:eastAsia="仿宋_GB2312" w:cs="Times New Roman"/>
                <w:bCs/>
                <w:color w:val="auto"/>
                <w:sz w:val="24"/>
                <w:szCs w:val="24"/>
                <w:lang w:val="en-US" w:eastAsia="zh-CN"/>
              </w:rPr>
              <w:t>/kg之间。在混凝土中掺加粉煤灰可节约水泥和砂子的用量，能够改善混凝土拌和物的和易性，增强混凝土的可泵性，减少水化热、热能膨胀性，提高混凝土抗渗能力，增加混凝土地修饰性。</w:t>
            </w:r>
          </w:p>
          <w:p w14:paraId="150757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bCs w:val="0"/>
                <w:color w:val="auto"/>
                <w:sz w:val="24"/>
                <w:szCs w:val="24"/>
                <w:lang w:val="en-US" w:eastAsia="zh-CN"/>
              </w:rPr>
              <w:t>②外加剂：</w:t>
            </w:r>
            <w:r>
              <w:rPr>
                <w:rFonts w:hint="default" w:ascii="Times New Roman" w:hAnsi="Times New Roman" w:eastAsia="仿宋_GB2312" w:cs="Times New Roman"/>
                <w:bCs/>
                <w:color w:val="auto"/>
                <w:sz w:val="24"/>
                <w:szCs w:val="24"/>
                <w:lang w:val="en-US" w:eastAsia="zh-CN"/>
              </w:rPr>
              <w:t>外加剂主要作用为增加水泥混凝土的流动性、延迟凝固时间。外加剂是一种在维持混凝土强度不变的条件下，能减少拌和用水量的混凝土外加剂。大多属于阴离子表面活性剂，有木质素磺酸盐、萘磺酸盐甲醛聚合物等。加入混凝土拌和物后对水泥颗粒有分散作用，能改善其工作性，减少单位用水量，改善混凝土拌和物的流动性</w:t>
            </w:r>
            <w:r>
              <w:rPr>
                <w:rFonts w:hint="eastAsia" w:eastAsia="仿宋_GB2312" w:cs="Times New Roman"/>
                <w:bCs/>
                <w:color w:val="auto"/>
                <w:sz w:val="24"/>
                <w:szCs w:val="24"/>
                <w:lang w:val="en-US" w:eastAsia="zh-CN"/>
              </w:rPr>
              <w:t>，</w:t>
            </w:r>
            <w:r>
              <w:rPr>
                <w:rFonts w:hint="default" w:ascii="Times New Roman" w:hAnsi="Times New Roman" w:eastAsia="仿宋_GB2312" w:cs="Times New Roman"/>
                <w:bCs/>
                <w:color w:val="auto"/>
                <w:sz w:val="24"/>
                <w:szCs w:val="24"/>
                <w:lang w:val="en-US" w:eastAsia="zh-CN"/>
              </w:rPr>
              <w:t>或减少单位水泥用量，达到节约水泥的目的。</w:t>
            </w:r>
          </w:p>
          <w:p w14:paraId="3A8DB1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仿宋_GB2312"/>
                <w:b/>
                <w:bCs/>
                <w:color w:val="auto"/>
                <w:sz w:val="24"/>
                <w:highlight w:val="none"/>
                <w:lang w:val="en-US" w:eastAsia="zh-CN"/>
              </w:rPr>
            </w:pPr>
            <w:r>
              <w:rPr>
                <w:rFonts w:hint="eastAsia" w:eastAsia="仿宋_GB2312"/>
                <w:b/>
                <w:bCs/>
                <w:color w:val="auto"/>
                <w:sz w:val="24"/>
                <w:highlight w:val="none"/>
                <w:lang w:val="en-US" w:eastAsia="zh-CN"/>
              </w:rPr>
              <w:t>6.公用工程</w:t>
            </w:r>
          </w:p>
          <w:p w14:paraId="368454B6">
            <w:pPr>
              <w:spacing w:line="360" w:lineRule="auto"/>
              <w:ind w:firstLine="482" w:firstLineChars="200"/>
              <w:rPr>
                <w:rFonts w:hint="default" w:ascii="Times New Roman" w:hAnsi="Times New Roman" w:eastAsia="仿宋" w:cs="Times New Roman"/>
                <w:b/>
                <w:bCs w:val="0"/>
                <w:color w:val="auto"/>
                <w:sz w:val="24"/>
                <w:szCs w:val="24"/>
                <w:lang w:val="en-US" w:eastAsia="zh-CN"/>
              </w:rPr>
            </w:pPr>
            <w:r>
              <w:rPr>
                <w:rFonts w:hint="eastAsia" w:eastAsia="仿宋_GB2312"/>
                <w:b/>
                <w:color w:val="auto"/>
                <w:kern w:val="0"/>
                <w:sz w:val="24"/>
                <w:szCs w:val="18"/>
                <w:highlight w:val="none"/>
              </w:rPr>
              <w:t>6.1给排水工程</w:t>
            </w:r>
          </w:p>
          <w:p w14:paraId="7182DF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highlight w:val="none"/>
                <w:lang w:eastAsia="zh-CN"/>
              </w:rPr>
            </w:pPr>
            <w:r>
              <w:rPr>
                <w:rFonts w:hint="default" w:ascii="Times New Roman" w:hAnsi="Times New Roman" w:eastAsia="仿宋_GB2312" w:cs="Times New Roman"/>
                <w:b/>
                <w:bCs w:val="0"/>
                <w:color w:val="auto"/>
                <w:sz w:val="24"/>
                <w:szCs w:val="24"/>
                <w:highlight w:val="none"/>
                <w:lang w:val="en-US" w:eastAsia="zh-CN"/>
              </w:rPr>
              <w:t>（1）供水</w:t>
            </w:r>
          </w:p>
          <w:p w14:paraId="12B5C6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本项目用水由兴仁镇供水管网统一供应，项目项目运营期用水主要包括生产用水</w:t>
            </w:r>
            <w:r>
              <w:rPr>
                <w:rFonts w:hint="eastAsia" w:eastAsia="仿宋_GB2312" w:cs="Times New Roman"/>
                <w:b w:val="0"/>
                <w:bCs/>
                <w:color w:val="auto"/>
                <w:sz w:val="24"/>
                <w:szCs w:val="24"/>
                <w:highlight w:val="none"/>
                <w:lang w:val="en-US" w:eastAsia="zh-CN"/>
              </w:rPr>
              <w:t>、</w:t>
            </w:r>
            <w:r>
              <w:rPr>
                <w:rFonts w:hint="default" w:ascii="Times New Roman" w:hAnsi="Times New Roman" w:eastAsia="仿宋_GB2312" w:cs="Times New Roman"/>
                <w:b w:val="0"/>
                <w:bCs/>
                <w:color w:val="auto"/>
                <w:sz w:val="24"/>
                <w:szCs w:val="24"/>
                <w:highlight w:val="none"/>
                <w:lang w:val="en-US" w:eastAsia="zh-CN"/>
              </w:rPr>
              <w:t>生活用水</w:t>
            </w:r>
            <w:r>
              <w:rPr>
                <w:rFonts w:hint="eastAsia" w:eastAsia="仿宋_GB2312" w:cs="Times New Roman"/>
                <w:b w:val="0"/>
                <w:bCs/>
                <w:color w:val="auto"/>
                <w:sz w:val="24"/>
                <w:szCs w:val="24"/>
                <w:highlight w:val="none"/>
                <w:lang w:val="en-US" w:eastAsia="zh-CN"/>
              </w:rPr>
              <w:t>及食堂用水</w:t>
            </w:r>
            <w:r>
              <w:rPr>
                <w:rFonts w:hint="default" w:ascii="Times New Roman" w:hAnsi="Times New Roman" w:eastAsia="仿宋_GB2312" w:cs="Times New Roman"/>
                <w:b w:val="0"/>
                <w:bCs/>
                <w:color w:val="auto"/>
                <w:sz w:val="24"/>
                <w:szCs w:val="24"/>
                <w:highlight w:val="none"/>
                <w:lang w:val="en-US" w:eastAsia="zh-CN"/>
              </w:rPr>
              <w:t>，新鲜水总用水量为</w:t>
            </w:r>
            <w:r>
              <w:rPr>
                <w:rFonts w:hint="eastAsia" w:eastAsia="仿宋_GB2312" w:cs="Times New Roman"/>
                <w:b w:val="0"/>
                <w:bCs/>
                <w:color w:val="auto"/>
                <w:sz w:val="24"/>
                <w:szCs w:val="24"/>
                <w:highlight w:val="none"/>
                <w:lang w:val="en-US" w:eastAsia="zh-CN"/>
              </w:rPr>
              <w:t>42976</w:t>
            </w:r>
            <w:r>
              <w:rPr>
                <w:rFonts w:hint="default" w:ascii="Times New Roman" w:hAnsi="Times New Roman" w:eastAsia="仿宋_GB2312" w:cs="Times New Roman"/>
                <w:b w:val="0"/>
                <w:bCs/>
                <w:color w:val="auto"/>
                <w:sz w:val="24"/>
                <w:szCs w:val="24"/>
                <w:highlight w:val="none"/>
                <w:lang w:val="en-US" w:eastAsia="zh-CN"/>
              </w:rPr>
              <w:t>m</w:t>
            </w:r>
            <w:r>
              <w:rPr>
                <w:rFonts w:hint="default" w:ascii="Times New Roman" w:hAnsi="Times New Roman" w:eastAsia="仿宋_GB2312" w:cs="Times New Roman"/>
                <w:b w:val="0"/>
                <w:bCs/>
                <w:color w:val="auto"/>
                <w:sz w:val="24"/>
                <w:szCs w:val="24"/>
                <w:highlight w:val="none"/>
                <w:vertAlign w:val="superscript"/>
                <w:lang w:val="en-US" w:eastAsia="zh-CN"/>
              </w:rPr>
              <w:t>3</w:t>
            </w:r>
            <w:r>
              <w:rPr>
                <w:rFonts w:hint="default" w:ascii="Times New Roman" w:hAnsi="Times New Roman" w:eastAsia="仿宋_GB2312" w:cs="Times New Roman"/>
                <w:b w:val="0"/>
                <w:bCs/>
                <w:color w:val="auto"/>
                <w:sz w:val="24"/>
                <w:szCs w:val="24"/>
                <w:highlight w:val="none"/>
                <w:lang w:val="en-US" w:eastAsia="zh-CN"/>
              </w:rPr>
              <w:t>/a。具体用水情况如下：</w:t>
            </w:r>
          </w:p>
          <w:p w14:paraId="25F6AE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fldChar w:fldCharType="begin"/>
            </w:r>
            <w:r>
              <w:rPr>
                <w:rFonts w:hint="default" w:ascii="Times New Roman" w:hAnsi="Times New Roman" w:eastAsia="仿宋_GB2312" w:cs="Times New Roman"/>
                <w:b/>
                <w:bCs w:val="0"/>
                <w:color w:val="auto"/>
                <w:sz w:val="24"/>
                <w:szCs w:val="24"/>
                <w:highlight w:val="none"/>
                <w:lang w:val="en-US" w:eastAsia="zh-CN"/>
              </w:rPr>
              <w:instrText xml:space="preserve"> = 1 \* GB3 \* MERGEFORMAT </w:instrText>
            </w:r>
            <w:r>
              <w:rPr>
                <w:rFonts w:hint="default" w:ascii="Times New Roman" w:hAnsi="Times New Roman" w:eastAsia="仿宋_GB2312" w:cs="Times New Roman"/>
                <w:b/>
                <w:bCs w:val="0"/>
                <w:color w:val="auto"/>
                <w:sz w:val="24"/>
                <w:szCs w:val="24"/>
                <w:highlight w:val="none"/>
                <w:lang w:val="en-US" w:eastAsia="zh-CN"/>
              </w:rPr>
              <w:fldChar w:fldCharType="separate"/>
            </w:r>
            <w:r>
              <w:rPr>
                <w:rFonts w:hint="default" w:ascii="Times New Roman" w:hAnsi="Times New Roman" w:eastAsia="仿宋_GB2312" w:cs="Times New Roman"/>
                <w:b/>
                <w:bCs w:val="0"/>
                <w:color w:val="auto"/>
                <w:sz w:val="24"/>
                <w:szCs w:val="24"/>
                <w:highlight w:val="none"/>
                <w:lang w:val="en-US" w:eastAsia="zh-CN"/>
              </w:rPr>
              <w:t>①</w:t>
            </w:r>
            <w:r>
              <w:rPr>
                <w:rFonts w:hint="default" w:ascii="Times New Roman" w:hAnsi="Times New Roman" w:eastAsia="仿宋_GB2312" w:cs="Times New Roman"/>
                <w:b/>
                <w:bCs w:val="0"/>
                <w:color w:val="auto"/>
                <w:sz w:val="24"/>
                <w:szCs w:val="24"/>
                <w:highlight w:val="none"/>
                <w:lang w:val="en-US" w:eastAsia="zh-CN"/>
              </w:rPr>
              <w:fldChar w:fldCharType="end"/>
            </w:r>
            <w:r>
              <w:rPr>
                <w:rFonts w:hint="default" w:ascii="Times New Roman" w:hAnsi="Times New Roman" w:eastAsia="仿宋_GB2312" w:cs="Times New Roman"/>
                <w:b/>
                <w:bCs w:val="0"/>
                <w:color w:val="auto"/>
                <w:sz w:val="24"/>
                <w:szCs w:val="24"/>
                <w:highlight w:val="none"/>
                <w:lang w:val="en-US" w:eastAsia="zh-CN"/>
              </w:rPr>
              <w:t>生产用水</w:t>
            </w:r>
          </w:p>
          <w:p w14:paraId="4E3E6C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项目生产用水主要为混凝土生产用水、车辆</w:t>
            </w:r>
            <w:r>
              <w:rPr>
                <w:rFonts w:hint="eastAsia" w:eastAsia="仿宋_GB2312" w:cs="Times New Roman"/>
                <w:b w:val="0"/>
                <w:bCs/>
                <w:color w:val="auto"/>
                <w:sz w:val="24"/>
                <w:szCs w:val="24"/>
                <w:highlight w:val="none"/>
                <w:lang w:val="en-US" w:eastAsia="zh-CN"/>
              </w:rPr>
              <w:t>及地面</w:t>
            </w:r>
            <w:r>
              <w:rPr>
                <w:rFonts w:hint="default" w:ascii="Times New Roman" w:hAnsi="Times New Roman" w:eastAsia="仿宋_GB2312" w:cs="Times New Roman"/>
                <w:b w:val="0"/>
                <w:bCs/>
                <w:color w:val="auto"/>
                <w:sz w:val="24"/>
                <w:szCs w:val="24"/>
                <w:highlight w:val="none"/>
                <w:lang w:val="en-US" w:eastAsia="zh-CN"/>
              </w:rPr>
              <w:t>冲洗用水、</w:t>
            </w:r>
            <w:r>
              <w:rPr>
                <w:rFonts w:hint="eastAsia" w:eastAsia="仿宋_GB2312" w:cs="Times New Roman"/>
                <w:b w:val="0"/>
                <w:bCs/>
                <w:color w:val="auto"/>
                <w:sz w:val="24"/>
                <w:szCs w:val="24"/>
                <w:highlight w:val="none"/>
                <w:lang w:val="en-US" w:eastAsia="zh-CN"/>
              </w:rPr>
              <w:t>搅拌机冲洗用水及</w:t>
            </w:r>
            <w:r>
              <w:rPr>
                <w:rFonts w:hint="default" w:ascii="Times New Roman" w:hAnsi="Times New Roman" w:eastAsia="仿宋_GB2312" w:cs="Times New Roman"/>
                <w:b w:val="0"/>
                <w:bCs/>
                <w:color w:val="auto"/>
                <w:sz w:val="24"/>
                <w:szCs w:val="24"/>
                <w:highlight w:val="none"/>
                <w:lang w:val="en-US" w:eastAsia="zh-CN"/>
              </w:rPr>
              <w:t>洒水抑尘用水。</w:t>
            </w:r>
          </w:p>
          <w:p w14:paraId="3CCB50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混凝土生产用水：</w:t>
            </w:r>
            <w:r>
              <w:rPr>
                <w:rFonts w:hint="default" w:ascii="Times New Roman" w:hAnsi="Times New Roman" w:eastAsia="仿宋_GB2312" w:cs="Times New Roman"/>
                <w:b w:val="0"/>
                <w:bCs/>
                <w:color w:val="auto"/>
                <w:sz w:val="24"/>
                <w:szCs w:val="24"/>
                <w:highlight w:val="none"/>
                <w:lang w:val="en-US" w:eastAsia="zh-CN"/>
              </w:rPr>
              <w:t>本项目混凝土生产用水主要为</w:t>
            </w:r>
            <w:r>
              <w:rPr>
                <w:rFonts w:hint="eastAsia" w:eastAsia="仿宋_GB2312" w:cs="Times New Roman"/>
                <w:b w:val="0"/>
                <w:bCs/>
                <w:color w:val="auto"/>
                <w:sz w:val="24"/>
                <w:szCs w:val="24"/>
                <w:highlight w:val="none"/>
                <w:lang w:val="en-US" w:eastAsia="zh-CN"/>
              </w:rPr>
              <w:t>水泥</w:t>
            </w:r>
            <w:r>
              <w:rPr>
                <w:rFonts w:hint="eastAsia" w:ascii="Times New Roman" w:hAnsi="Times New Roman" w:eastAsia="仿宋_GB2312" w:cs="Times New Roman"/>
                <w:b w:val="0"/>
                <w:bCs/>
                <w:color w:val="auto"/>
                <w:sz w:val="24"/>
                <w:szCs w:val="24"/>
                <w:highlight w:val="none"/>
                <w:lang w:val="en-US" w:eastAsia="zh-CN"/>
              </w:rPr>
              <w:t>混凝土生产过程中混合搅拌用水，项目年产</w:t>
            </w:r>
            <w:r>
              <w:rPr>
                <w:rFonts w:hint="eastAsia" w:eastAsia="仿宋_GB2312" w:cs="Times New Roman"/>
                <w:b w:val="0"/>
                <w:bCs/>
                <w:color w:val="auto"/>
                <w:sz w:val="24"/>
                <w:szCs w:val="24"/>
                <w:highlight w:val="none"/>
                <w:lang w:val="en-US" w:eastAsia="zh-CN"/>
              </w:rPr>
              <w:t>水泥</w:t>
            </w:r>
            <w:r>
              <w:rPr>
                <w:rFonts w:hint="eastAsia" w:ascii="Times New Roman" w:hAnsi="Times New Roman" w:eastAsia="仿宋_GB2312" w:cs="Times New Roman"/>
                <w:b w:val="0"/>
                <w:bCs/>
                <w:color w:val="auto"/>
                <w:sz w:val="24"/>
                <w:szCs w:val="24"/>
                <w:highlight w:val="none"/>
                <w:lang w:val="en-US" w:eastAsia="zh-CN"/>
              </w:rPr>
              <w:t>混凝土</w:t>
            </w:r>
            <w:r>
              <w:rPr>
                <w:rFonts w:hint="eastAsia" w:eastAsia="仿宋_GB2312" w:cs="Times New Roman"/>
                <w:b w:val="0"/>
                <w:bCs/>
                <w:color w:val="auto"/>
                <w:sz w:val="24"/>
                <w:szCs w:val="24"/>
                <w:highlight w:val="none"/>
                <w:lang w:val="en-US" w:eastAsia="zh-CN"/>
              </w:rPr>
              <w:t>20万</w:t>
            </w:r>
            <w:r>
              <w:rPr>
                <w:rFonts w:hint="eastAsia" w:ascii="Times New Roman" w:hAnsi="Times New Roman" w:eastAsia="仿宋_GB2312" w:cs="Times New Roman"/>
                <w:b w:val="0"/>
                <w:bCs/>
                <w:color w:val="auto"/>
                <w:sz w:val="24"/>
                <w:szCs w:val="24"/>
                <w:highlight w:val="none"/>
                <w:lang w:val="en-US" w:eastAsia="zh-CN"/>
              </w:rPr>
              <w:t>m</w:t>
            </w:r>
            <w:r>
              <w:rPr>
                <w:rFonts w:hint="eastAsia" w:ascii="Times New Roman" w:hAnsi="Times New Roman" w:eastAsia="仿宋_GB2312" w:cs="Times New Roman"/>
                <w:b w:val="0"/>
                <w:bCs/>
                <w:color w:val="auto"/>
                <w:sz w:val="24"/>
                <w:szCs w:val="24"/>
                <w:highlight w:val="none"/>
                <w:vertAlign w:val="superscript"/>
                <w:lang w:val="en-US" w:eastAsia="zh-CN"/>
              </w:rPr>
              <w:t>3</w:t>
            </w:r>
            <w:r>
              <w:rPr>
                <w:rFonts w:hint="eastAsia" w:ascii="Times New Roman" w:hAnsi="Times New Roman" w:eastAsia="仿宋_GB2312" w:cs="Times New Roman"/>
                <w:b w:val="0"/>
                <w:bCs/>
                <w:color w:val="auto"/>
                <w:sz w:val="24"/>
                <w:szCs w:val="24"/>
                <w:highlight w:val="none"/>
                <w:lang w:val="en-US" w:eastAsia="zh-CN"/>
              </w:rPr>
              <w:t>，根据《自治区人民政府办公厅关于印发宁夏回族自治区有关行业用水定额（修订）的通知》（宁政办［2020］20号），平均生产每立方米</w:t>
            </w:r>
            <w:r>
              <w:rPr>
                <w:rFonts w:hint="eastAsia" w:eastAsia="仿宋_GB2312" w:cs="Times New Roman"/>
                <w:b w:val="0"/>
                <w:bCs/>
                <w:color w:val="auto"/>
                <w:sz w:val="24"/>
                <w:szCs w:val="24"/>
                <w:highlight w:val="none"/>
                <w:lang w:val="en-US" w:eastAsia="zh-CN"/>
              </w:rPr>
              <w:t>水泥</w:t>
            </w:r>
            <w:r>
              <w:rPr>
                <w:rFonts w:hint="eastAsia" w:ascii="Times New Roman" w:hAnsi="Times New Roman" w:eastAsia="仿宋_GB2312" w:cs="Times New Roman"/>
                <w:b w:val="0"/>
                <w:bCs/>
                <w:color w:val="auto"/>
                <w:sz w:val="24"/>
                <w:szCs w:val="24"/>
                <w:highlight w:val="none"/>
                <w:lang w:val="en-US" w:eastAsia="zh-CN"/>
              </w:rPr>
              <w:t>混凝土用水0.2m</w:t>
            </w:r>
            <w:r>
              <w:rPr>
                <w:rFonts w:hint="eastAsia" w:ascii="Times New Roman" w:hAnsi="Times New Roman" w:eastAsia="仿宋_GB2312" w:cs="Times New Roman"/>
                <w:b w:val="0"/>
                <w:bCs/>
                <w:color w:val="auto"/>
                <w:sz w:val="24"/>
                <w:szCs w:val="24"/>
                <w:highlight w:val="none"/>
                <w:vertAlign w:val="superscript"/>
                <w:lang w:val="en-US" w:eastAsia="zh-CN"/>
              </w:rPr>
              <w:t>3</w:t>
            </w:r>
            <w:r>
              <w:rPr>
                <w:rFonts w:hint="eastAsia" w:ascii="Times New Roman" w:hAnsi="Times New Roman" w:eastAsia="仿宋_GB2312" w:cs="Times New Roman"/>
                <w:b w:val="0"/>
                <w:bCs/>
                <w:color w:val="auto"/>
                <w:sz w:val="24"/>
                <w:szCs w:val="24"/>
                <w:highlight w:val="none"/>
                <w:lang w:val="en-US" w:eastAsia="zh-CN"/>
              </w:rPr>
              <w:t>，则混凝土生产用水量为</w:t>
            </w:r>
            <w:r>
              <w:rPr>
                <w:rFonts w:hint="eastAsia" w:eastAsia="仿宋_GB2312" w:cs="Times New Roman"/>
                <w:b w:val="0"/>
                <w:bCs/>
                <w:color w:val="auto"/>
                <w:sz w:val="24"/>
                <w:szCs w:val="24"/>
                <w:highlight w:val="none"/>
                <w:lang w:val="en-US" w:eastAsia="zh-CN"/>
              </w:rPr>
              <w:t>40000</w:t>
            </w:r>
            <w:r>
              <w:rPr>
                <w:rFonts w:hint="eastAsia" w:ascii="Times New Roman" w:hAnsi="Times New Roman" w:eastAsia="仿宋_GB2312" w:cs="Times New Roman"/>
                <w:b w:val="0"/>
                <w:bCs/>
                <w:color w:val="auto"/>
                <w:sz w:val="24"/>
                <w:szCs w:val="24"/>
                <w:highlight w:val="none"/>
                <w:lang w:val="en-US" w:eastAsia="zh-CN"/>
              </w:rPr>
              <w:t>m</w:t>
            </w:r>
            <w:r>
              <w:rPr>
                <w:rFonts w:hint="eastAsia" w:ascii="Times New Roman" w:hAnsi="Times New Roman" w:eastAsia="仿宋_GB2312" w:cs="Times New Roman"/>
                <w:b w:val="0"/>
                <w:bCs/>
                <w:color w:val="auto"/>
                <w:sz w:val="24"/>
                <w:szCs w:val="24"/>
                <w:highlight w:val="none"/>
                <w:vertAlign w:val="superscript"/>
                <w:lang w:val="en-US" w:eastAsia="zh-CN"/>
              </w:rPr>
              <w:t>3</w:t>
            </w:r>
            <w:r>
              <w:rPr>
                <w:rFonts w:hint="eastAsia" w:ascii="Times New Roman" w:hAnsi="Times New Roman" w:eastAsia="仿宋_GB2312" w:cs="Times New Roman"/>
                <w:b w:val="0"/>
                <w:bCs/>
                <w:color w:val="auto"/>
                <w:sz w:val="24"/>
                <w:szCs w:val="24"/>
                <w:highlight w:val="none"/>
                <w:lang w:val="en-US" w:eastAsia="zh-CN"/>
              </w:rPr>
              <w:t>/a（</w:t>
            </w:r>
            <w:r>
              <w:rPr>
                <w:rFonts w:hint="eastAsia" w:eastAsia="仿宋_GB2312" w:cs="Times New Roman"/>
                <w:b w:val="0"/>
                <w:bCs/>
                <w:color w:val="auto"/>
                <w:sz w:val="24"/>
                <w:szCs w:val="24"/>
                <w:highlight w:val="none"/>
                <w:lang w:val="en-US" w:eastAsia="zh-CN"/>
              </w:rPr>
              <w:t>166.67</w:t>
            </w:r>
            <w:r>
              <w:rPr>
                <w:rFonts w:hint="eastAsia" w:ascii="Times New Roman" w:hAnsi="Times New Roman" w:eastAsia="仿宋_GB2312" w:cs="Times New Roman"/>
                <w:b w:val="0"/>
                <w:bCs/>
                <w:color w:val="auto"/>
                <w:sz w:val="24"/>
                <w:szCs w:val="24"/>
                <w:highlight w:val="none"/>
                <w:lang w:val="en-US" w:eastAsia="zh-CN"/>
              </w:rPr>
              <w:t>m</w:t>
            </w:r>
            <w:r>
              <w:rPr>
                <w:rFonts w:hint="eastAsia" w:ascii="Times New Roman" w:hAnsi="Times New Roman" w:eastAsia="仿宋_GB2312" w:cs="Times New Roman"/>
                <w:b w:val="0"/>
                <w:bCs/>
                <w:color w:val="auto"/>
                <w:sz w:val="24"/>
                <w:szCs w:val="24"/>
                <w:highlight w:val="none"/>
                <w:vertAlign w:val="superscript"/>
                <w:lang w:val="en-US" w:eastAsia="zh-CN"/>
              </w:rPr>
              <w:t>3</w:t>
            </w:r>
            <w:r>
              <w:rPr>
                <w:rFonts w:hint="eastAsia" w:ascii="Times New Roman" w:hAnsi="Times New Roman" w:eastAsia="仿宋_GB2312" w:cs="Times New Roman"/>
                <w:b w:val="0"/>
                <w:bCs/>
                <w:color w:val="auto"/>
                <w:sz w:val="24"/>
                <w:szCs w:val="24"/>
                <w:highlight w:val="none"/>
                <w:lang w:val="en-US" w:eastAsia="zh-CN"/>
              </w:rPr>
              <w:t>/d），生产用水全部消耗。</w:t>
            </w:r>
          </w:p>
          <w:p w14:paraId="5478F564">
            <w:pPr>
              <w:keepNext w:val="0"/>
              <w:keepLines w:val="0"/>
              <w:pageBreakBefore w:val="0"/>
              <w:widowControl w:val="0"/>
              <w:kinsoku/>
              <w:wordWrap/>
              <w:overflowPunct/>
              <w:topLinePunct w:val="0"/>
              <w:autoSpaceDE/>
              <w:autoSpaceDN/>
              <w:bidi w:val="0"/>
              <w:adjustRightInd w:val="0"/>
              <w:snapToGrid w:val="0"/>
              <w:spacing w:line="348" w:lineRule="auto"/>
              <w:ind w:firstLine="482" w:firstLineChars="200"/>
              <w:contextualSpacing/>
              <w:textAlignment w:val="auto"/>
              <w:rPr>
                <w:rFonts w:hint="eastAsia"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
                <w:bCs/>
                <w:color w:val="auto"/>
                <w:sz w:val="24"/>
                <w:highlight w:val="none"/>
                <w:lang w:val="en-US" w:eastAsia="zh-CN"/>
              </w:rPr>
              <w:t>车辆及地面冲洗用水：</w:t>
            </w:r>
            <w:r>
              <w:rPr>
                <w:rFonts w:hint="default" w:ascii="Times New Roman" w:hAnsi="Times New Roman" w:eastAsia="仿宋_GB2312" w:cs="Times New Roman"/>
                <w:color w:val="auto"/>
                <w:sz w:val="24"/>
                <w:highlight w:val="none"/>
              </w:rPr>
              <w:t>本项目</w:t>
            </w:r>
            <w:r>
              <w:rPr>
                <w:rFonts w:hint="eastAsia" w:eastAsia="仿宋_GB2312" w:cs="Times New Roman"/>
                <w:color w:val="auto"/>
                <w:sz w:val="24"/>
                <w:highlight w:val="none"/>
                <w:lang w:eastAsia="zh-CN"/>
              </w:rPr>
              <w:t>场站</w:t>
            </w:r>
            <w:r>
              <w:rPr>
                <w:rFonts w:hint="default" w:ascii="Times New Roman" w:hAnsi="Times New Roman" w:eastAsia="仿宋_GB2312" w:cs="Times New Roman"/>
                <w:color w:val="auto"/>
                <w:sz w:val="24"/>
                <w:highlight w:val="none"/>
              </w:rPr>
              <w:t>设置洗车</w:t>
            </w:r>
            <w:r>
              <w:rPr>
                <w:rFonts w:hint="eastAsia" w:eastAsia="仿宋_GB2312" w:cs="Times New Roman"/>
                <w:color w:val="auto"/>
                <w:sz w:val="24"/>
                <w:highlight w:val="none"/>
                <w:lang w:eastAsia="zh-CN"/>
              </w:rPr>
              <w:t>区</w:t>
            </w:r>
            <w:r>
              <w:rPr>
                <w:rFonts w:hint="default" w:ascii="Times New Roman" w:hAnsi="Times New Roman" w:eastAsia="仿宋_GB2312" w:cs="Times New Roman"/>
                <w:color w:val="auto"/>
                <w:sz w:val="24"/>
                <w:highlight w:val="none"/>
              </w:rPr>
              <w:t>，运输车辆出厂前</w:t>
            </w:r>
            <w:r>
              <w:rPr>
                <w:rFonts w:hint="default" w:ascii="Times New Roman" w:hAnsi="Times New Roman" w:eastAsia="仿宋_GB2312" w:cs="Times New Roman"/>
                <w:color w:val="auto"/>
                <w:sz w:val="24"/>
                <w:highlight w:val="none"/>
                <w:lang w:eastAsia="zh-CN"/>
              </w:rPr>
              <w:t>需</w:t>
            </w:r>
            <w:r>
              <w:rPr>
                <w:rFonts w:hint="default" w:ascii="Times New Roman" w:hAnsi="Times New Roman" w:eastAsia="仿宋_GB2312" w:cs="Times New Roman"/>
                <w:color w:val="auto"/>
                <w:sz w:val="24"/>
                <w:highlight w:val="none"/>
              </w:rPr>
              <w:t>进行冲洗。本项目车辆冲洗用水量按</w:t>
            </w:r>
            <w:r>
              <w:rPr>
                <w:rFonts w:hint="default" w:ascii="Times New Roman" w:hAnsi="Times New Roman" w:cs="Times New Roman"/>
                <w:color w:val="auto"/>
                <w:sz w:val="24"/>
                <w:highlight w:val="none"/>
              </w:rPr>
              <w:t>0.</w:t>
            </w:r>
            <w:r>
              <w:rPr>
                <w:rFonts w:hint="eastAsia" w:cs="Times New Roman"/>
                <w:color w:val="auto"/>
                <w:sz w:val="24"/>
                <w:highlight w:val="none"/>
                <w:lang w:val="en-US" w:eastAsia="zh-CN"/>
              </w:rPr>
              <w:t>25</w:t>
            </w:r>
            <w:r>
              <w:rPr>
                <w:rFonts w:hint="default" w:ascii="Times New Roman" w:hAnsi="Times New Roman" w:cs="Times New Roman"/>
                <w:color w:val="auto"/>
                <w:sz w:val="24"/>
                <w:highlight w:val="none"/>
                <w:lang w:val="en-US" w:eastAsia="zh-CN"/>
              </w:rPr>
              <w:t>m</w:t>
            </w:r>
            <w:r>
              <w:rPr>
                <w:rFonts w:hint="eastAsia" w:cs="Times New Roman"/>
                <w:color w:val="auto"/>
                <w:sz w:val="24"/>
                <w:highlight w:val="none"/>
                <w:vertAlign w:val="superscript"/>
                <w:lang w:val="en-US" w:eastAsia="zh-CN"/>
              </w:rPr>
              <w:t>3</w:t>
            </w:r>
            <w:r>
              <w:rPr>
                <w:rFonts w:hint="default" w:ascii="Times New Roman" w:hAnsi="Times New Roman" w:cs="Times New Roman"/>
                <w:color w:val="auto"/>
                <w:sz w:val="24"/>
                <w:highlight w:val="none"/>
                <w:lang w:val="en-US" w:eastAsia="zh-CN"/>
              </w:rPr>
              <w:t>/</w:t>
            </w:r>
            <w:r>
              <w:rPr>
                <w:rFonts w:hint="default" w:ascii="Times New Roman" w:hAnsi="Times New Roman" w:eastAsia="仿宋_GB2312" w:cs="Times New Roman"/>
                <w:color w:val="auto"/>
                <w:sz w:val="24"/>
                <w:highlight w:val="none"/>
                <w:lang w:val="en-US" w:eastAsia="zh-CN"/>
              </w:rPr>
              <w:t>辆</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highlight w:val="none"/>
                <w:vertAlign w:val="baseline"/>
                <w:lang w:val="en-US" w:eastAsia="zh-CN"/>
              </w:rPr>
              <w:t>d</w:t>
            </w:r>
            <w:r>
              <w:rPr>
                <w:rFonts w:hint="default" w:ascii="Times New Roman" w:hAnsi="Times New Roman" w:eastAsia="仿宋_GB2312" w:cs="Times New Roman"/>
                <w:color w:val="auto"/>
                <w:sz w:val="24"/>
                <w:highlight w:val="none"/>
              </w:rPr>
              <w:t>计</w:t>
            </w:r>
            <w:r>
              <w:rPr>
                <w:rFonts w:hint="default" w:ascii="Times New Roman" w:hAnsi="Times New Roman" w:eastAsia="仿宋_GB2312" w:cs="Times New Roman"/>
                <w:color w:val="auto"/>
                <w:sz w:val="24"/>
                <w:highlight w:val="none"/>
                <w:lang w:eastAsia="zh-CN"/>
              </w:rPr>
              <w:t>，本项目</w:t>
            </w:r>
            <w:r>
              <w:rPr>
                <w:rFonts w:hint="eastAsia" w:eastAsia="仿宋_GB2312" w:cs="Times New Roman"/>
                <w:color w:val="auto"/>
                <w:sz w:val="24"/>
                <w:highlight w:val="none"/>
                <w:lang w:val="en-US" w:eastAsia="zh-CN"/>
              </w:rPr>
              <w:t>租用</w:t>
            </w:r>
            <w:r>
              <w:rPr>
                <w:rFonts w:hint="eastAsia" w:eastAsia="仿宋_GB2312" w:cs="Times New Roman"/>
                <w:color w:val="auto"/>
                <w:sz w:val="24"/>
                <w:highlight w:val="none"/>
                <w:lang w:eastAsia="zh-CN"/>
              </w:rPr>
              <w:t>罐车、</w:t>
            </w:r>
            <w:r>
              <w:rPr>
                <w:rFonts w:hint="eastAsia" w:eastAsia="仿宋_GB2312" w:cs="Times New Roman"/>
                <w:color w:val="auto"/>
                <w:sz w:val="24"/>
                <w:highlight w:val="none"/>
                <w:lang w:val="en-US" w:eastAsia="zh-CN"/>
              </w:rPr>
              <w:t>泵车共46辆，</w:t>
            </w:r>
            <w:r>
              <w:rPr>
                <w:rFonts w:hint="default" w:ascii="Times New Roman" w:hAnsi="Times New Roman" w:eastAsia="仿宋_GB2312" w:cs="Times New Roman"/>
                <w:color w:val="auto"/>
                <w:sz w:val="24"/>
                <w:highlight w:val="none"/>
              </w:rPr>
              <w:t>则项目车辆冲洗用水量为</w:t>
            </w:r>
            <w:r>
              <w:rPr>
                <w:rFonts w:hint="eastAsia" w:eastAsia="仿宋_GB2312" w:cs="Times New Roman"/>
                <w:color w:val="auto"/>
                <w:sz w:val="24"/>
                <w:highlight w:val="none"/>
                <w:lang w:val="en-US" w:eastAsia="zh-CN"/>
              </w:rPr>
              <w:t>11.5</w:t>
            </w:r>
            <w:r>
              <w:rPr>
                <w:rFonts w:hint="default" w:ascii="Times New Roman" w:hAnsi="Times New Roman" w:cs="Times New Roman"/>
                <w:color w:val="auto"/>
                <w:kern w:val="0"/>
                <w:sz w:val="24"/>
                <w:highlight w:val="none"/>
              </w:rPr>
              <w:t>m</w:t>
            </w:r>
            <w:r>
              <w:rPr>
                <w:rFonts w:hint="default" w:ascii="Times New Roman" w:hAnsi="Times New Roman" w:cs="Times New Roman"/>
                <w:color w:val="auto"/>
                <w:kern w:val="0"/>
                <w:sz w:val="24"/>
                <w:highlight w:val="none"/>
                <w:vertAlign w:val="superscript"/>
              </w:rPr>
              <w:t>3</w:t>
            </w:r>
            <w:r>
              <w:rPr>
                <w:rFonts w:hint="default" w:ascii="Times New Roman" w:hAnsi="Times New Roman" w:cs="Times New Roman"/>
                <w:color w:val="auto"/>
                <w:sz w:val="24"/>
                <w:highlight w:val="none"/>
              </w:rPr>
              <w:t>/d</w:t>
            </w:r>
            <w:r>
              <w:rPr>
                <w:rFonts w:hint="eastAsia" w:cs="Times New Roman"/>
                <w:color w:val="auto"/>
                <w:sz w:val="24"/>
                <w:highlight w:val="none"/>
                <w:lang w:eastAsia="zh-CN"/>
              </w:rPr>
              <w:t>；</w:t>
            </w:r>
            <w:r>
              <w:rPr>
                <w:rFonts w:hint="eastAsia" w:eastAsia="仿宋_GB2312"/>
                <w:color w:val="auto"/>
                <w:sz w:val="24"/>
                <w:highlight w:val="none"/>
                <w:lang w:eastAsia="zh-CN"/>
              </w:rPr>
              <w:t>地面</w:t>
            </w:r>
            <w:r>
              <w:rPr>
                <w:rFonts w:hint="default" w:ascii="Times New Roman" w:hAnsi="Times New Roman" w:eastAsia="仿宋_GB2312" w:cs="Times New Roman"/>
                <w:color w:val="auto"/>
                <w:sz w:val="24"/>
                <w:highlight w:val="none"/>
              </w:rPr>
              <w:t>冲洗用水量按</w:t>
            </w:r>
            <w:r>
              <w:rPr>
                <w:rFonts w:hint="default" w:ascii="Times New Roman" w:hAnsi="Times New Roman" w:cs="Times New Roman"/>
                <w:color w:val="auto"/>
                <w:sz w:val="24"/>
                <w:highlight w:val="none"/>
              </w:rPr>
              <w:t>0.</w:t>
            </w:r>
            <w:r>
              <w:rPr>
                <w:rFonts w:hint="eastAsia" w:cs="Times New Roman"/>
                <w:color w:val="auto"/>
                <w:sz w:val="24"/>
                <w:highlight w:val="none"/>
                <w:lang w:val="en-US" w:eastAsia="zh-CN"/>
              </w:rPr>
              <w:t>50</w:t>
            </w:r>
            <w:r>
              <w:rPr>
                <w:rFonts w:hint="default" w:ascii="Times New Roman" w:hAnsi="Times New Roman" w:cs="Times New Roman"/>
                <w:color w:val="auto"/>
                <w:sz w:val="24"/>
                <w:highlight w:val="none"/>
                <w:lang w:val="en-US" w:eastAsia="zh-CN"/>
              </w:rPr>
              <w:t>m</w:t>
            </w:r>
            <w:r>
              <w:rPr>
                <w:rFonts w:hint="eastAsia" w:cs="Times New Roman"/>
                <w:color w:val="auto"/>
                <w:sz w:val="24"/>
                <w:highlight w:val="none"/>
                <w:vertAlign w:val="superscript"/>
                <w:lang w:val="en-US" w:eastAsia="zh-CN"/>
              </w:rPr>
              <w:t>3</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vertAlign w:val="baseline"/>
                <w:lang w:val="en-US" w:eastAsia="zh-CN"/>
              </w:rPr>
              <w:t>d</w:t>
            </w:r>
            <w:r>
              <w:rPr>
                <w:rFonts w:hint="default" w:ascii="Times New Roman" w:hAnsi="Times New Roman" w:eastAsia="仿宋_GB2312" w:cs="Times New Roman"/>
                <w:color w:val="auto"/>
                <w:sz w:val="24"/>
                <w:highlight w:val="none"/>
              </w:rPr>
              <w:t>计</w:t>
            </w:r>
            <w:r>
              <w:rPr>
                <w:rFonts w:hint="eastAsia" w:ascii="Times New Roman" w:hAnsi="Times New Roman" w:eastAsia="仿宋_GB2312" w:cs="Times New Roman"/>
                <w:color w:val="auto"/>
                <w:sz w:val="24"/>
                <w:highlight w:val="none"/>
                <w:lang w:eastAsia="zh-CN"/>
              </w:rPr>
              <w:t>，</w:t>
            </w:r>
            <w:r>
              <w:rPr>
                <w:rFonts w:hint="eastAsia" w:eastAsia="仿宋_GB2312"/>
                <w:color w:val="auto"/>
                <w:sz w:val="24"/>
                <w:highlight w:val="none"/>
                <w:lang w:eastAsia="zh-CN"/>
              </w:rPr>
              <w:t>车辆及地面冲洗</w:t>
            </w:r>
            <w:r>
              <w:rPr>
                <w:rFonts w:ascii="Times New Roman" w:hAnsi="Times New Roman" w:eastAsia="仿宋_GB2312"/>
                <w:color w:val="auto"/>
                <w:sz w:val="24"/>
                <w:highlight w:val="none"/>
              </w:rPr>
              <w:t>用水</w:t>
            </w:r>
            <w:r>
              <w:rPr>
                <w:rFonts w:hint="eastAsia" w:ascii="Times New Roman" w:hAnsi="Times New Roman" w:eastAsia="仿宋_GB2312"/>
                <w:color w:val="auto"/>
                <w:sz w:val="24"/>
                <w:highlight w:val="none"/>
                <w:lang w:eastAsia="zh-CN"/>
              </w:rPr>
              <w:t>共计</w:t>
            </w:r>
            <w:r>
              <w:rPr>
                <w:rFonts w:hint="eastAsia" w:eastAsia="仿宋_GB2312"/>
                <w:color w:val="auto"/>
                <w:sz w:val="24"/>
                <w:highlight w:val="none"/>
                <w:lang w:val="en-US" w:eastAsia="zh-CN"/>
              </w:rPr>
              <w:t>12.0</w:t>
            </w:r>
            <w:r>
              <w:rPr>
                <w:rFonts w:hint="default" w:ascii="Times New Roman" w:hAnsi="Times New Roman" w:eastAsia="仿宋_GB2312" w:cs="Times New Roman"/>
                <w:bCs/>
                <w:color w:val="auto"/>
                <w:sz w:val="24"/>
                <w:highlight w:val="none"/>
              </w:rPr>
              <w:t>m</w:t>
            </w:r>
            <w:r>
              <w:rPr>
                <w:rFonts w:hint="default" w:ascii="Times New Roman" w:hAnsi="Times New Roman" w:eastAsia="仿宋_GB2312" w:cs="Times New Roman"/>
                <w:bCs/>
                <w:color w:val="auto"/>
                <w:sz w:val="24"/>
                <w:highlight w:val="none"/>
                <w:vertAlign w:val="superscript"/>
              </w:rPr>
              <w:t>3</w:t>
            </w:r>
            <w:r>
              <w:rPr>
                <w:rFonts w:hint="default" w:ascii="Times New Roman" w:hAnsi="Times New Roman" w:eastAsia="仿宋_GB2312" w:cs="Times New Roman"/>
                <w:bCs/>
                <w:color w:val="auto"/>
                <w:sz w:val="24"/>
                <w:highlight w:val="none"/>
              </w:rPr>
              <w:t>/d（</w:t>
            </w:r>
            <w:r>
              <w:rPr>
                <w:rFonts w:hint="eastAsia" w:eastAsia="仿宋_GB2312" w:cs="Times New Roman"/>
                <w:bCs/>
                <w:color w:val="auto"/>
                <w:sz w:val="24"/>
                <w:highlight w:val="none"/>
                <w:lang w:val="en-US" w:eastAsia="zh-CN"/>
              </w:rPr>
              <w:t>2880</w:t>
            </w:r>
            <w:r>
              <w:rPr>
                <w:rFonts w:hint="default" w:ascii="Times New Roman" w:hAnsi="Times New Roman" w:eastAsia="仿宋_GB2312" w:cs="Times New Roman"/>
                <w:bCs/>
                <w:color w:val="auto"/>
                <w:sz w:val="24"/>
                <w:highlight w:val="none"/>
              </w:rPr>
              <w:t>m</w:t>
            </w:r>
            <w:r>
              <w:rPr>
                <w:rFonts w:hint="default" w:ascii="Times New Roman" w:hAnsi="Times New Roman" w:eastAsia="仿宋_GB2312" w:cs="Times New Roman"/>
                <w:bCs/>
                <w:color w:val="auto"/>
                <w:sz w:val="24"/>
                <w:highlight w:val="none"/>
                <w:vertAlign w:val="superscript"/>
              </w:rPr>
              <w:t>3</w:t>
            </w:r>
            <w:r>
              <w:rPr>
                <w:rFonts w:hint="default" w:ascii="Times New Roman" w:hAnsi="Times New Roman" w:eastAsia="仿宋_GB2312" w:cs="Times New Roman"/>
                <w:bCs/>
                <w:color w:val="auto"/>
                <w:sz w:val="24"/>
                <w:highlight w:val="none"/>
              </w:rPr>
              <w:t>/a）</w:t>
            </w:r>
            <w:r>
              <w:rPr>
                <w:rFonts w:hint="eastAsia" w:ascii="Times New Roman" w:hAnsi="Times New Roman" w:eastAsia="仿宋_GB2312" w:cs="Times New Roman"/>
                <w:bCs/>
                <w:color w:val="auto"/>
                <w:sz w:val="24"/>
                <w:highlight w:val="none"/>
                <w:lang w:eastAsia="zh-CN"/>
              </w:rPr>
              <w:t>。</w:t>
            </w:r>
            <w:r>
              <w:rPr>
                <w:rFonts w:hint="default" w:ascii="Times New Roman" w:hAnsi="Times New Roman" w:eastAsia="仿宋_GB2312" w:cs="Times New Roman"/>
                <w:bCs/>
                <w:color w:val="auto"/>
                <w:sz w:val="24"/>
                <w:highlight w:val="none"/>
              </w:rPr>
              <w:t>由于</w:t>
            </w:r>
            <w:r>
              <w:rPr>
                <w:rFonts w:hint="default" w:ascii="Times New Roman" w:hAnsi="Times New Roman" w:eastAsia="仿宋_GB2312" w:cs="Times New Roman"/>
                <w:bCs/>
                <w:color w:val="auto"/>
                <w:sz w:val="24"/>
                <w:highlight w:val="none"/>
                <w:lang w:eastAsia="zh-CN"/>
              </w:rPr>
              <w:t>冲洗</w:t>
            </w:r>
            <w:r>
              <w:rPr>
                <w:rFonts w:hint="default" w:ascii="Times New Roman" w:hAnsi="Times New Roman" w:eastAsia="仿宋_GB2312" w:cs="Times New Roman"/>
                <w:bCs/>
                <w:color w:val="auto"/>
                <w:sz w:val="24"/>
                <w:highlight w:val="none"/>
              </w:rPr>
              <w:t>过程中</w:t>
            </w:r>
            <w:r>
              <w:rPr>
                <w:rFonts w:hint="default" w:ascii="Times New Roman" w:hAnsi="Times New Roman" w:eastAsia="仿宋_GB2312" w:cs="Times New Roman"/>
                <w:bCs/>
                <w:color w:val="auto"/>
                <w:sz w:val="24"/>
                <w:highlight w:val="none"/>
                <w:lang w:eastAsia="zh-CN"/>
              </w:rPr>
              <w:t>用水</w:t>
            </w:r>
            <w:r>
              <w:rPr>
                <w:rFonts w:hint="default" w:ascii="Times New Roman" w:hAnsi="Times New Roman" w:eastAsia="仿宋_GB2312" w:cs="Times New Roman"/>
                <w:bCs/>
                <w:color w:val="auto"/>
                <w:sz w:val="24"/>
                <w:highlight w:val="none"/>
              </w:rPr>
              <w:t>损耗（约为用水量</w:t>
            </w:r>
            <w:r>
              <w:rPr>
                <w:rFonts w:hint="eastAsia" w:eastAsia="仿宋_GB2312" w:cs="Times New Roman"/>
                <w:bCs/>
                <w:color w:val="auto"/>
                <w:sz w:val="24"/>
                <w:highlight w:val="none"/>
                <w:lang w:val="en-US" w:eastAsia="zh-CN"/>
              </w:rPr>
              <w:t>4</w:t>
            </w:r>
            <w:r>
              <w:rPr>
                <w:rFonts w:hint="default" w:ascii="Times New Roman" w:hAnsi="Times New Roman" w:eastAsia="仿宋_GB2312" w:cs="Times New Roman"/>
                <w:bCs/>
                <w:color w:val="auto"/>
                <w:sz w:val="24"/>
                <w:highlight w:val="none"/>
                <w:lang w:val="en-US" w:eastAsia="zh-CN"/>
              </w:rPr>
              <w:t>0</w:t>
            </w:r>
            <w:r>
              <w:rPr>
                <w:rFonts w:hint="default" w:ascii="Times New Roman" w:hAnsi="Times New Roman" w:eastAsia="仿宋_GB2312" w:cs="Times New Roman"/>
                <w:bCs/>
                <w:color w:val="auto"/>
                <w:sz w:val="24"/>
                <w:highlight w:val="none"/>
              </w:rPr>
              <w:t>%），需定期补充新鲜水。</w:t>
            </w:r>
            <w:r>
              <w:rPr>
                <w:rFonts w:hint="default" w:ascii="Times New Roman" w:hAnsi="Times New Roman" w:eastAsia="仿宋_GB2312" w:cs="Times New Roman"/>
                <w:bCs/>
                <w:color w:val="auto"/>
                <w:sz w:val="24"/>
                <w:highlight w:val="none"/>
                <w:lang w:eastAsia="zh-CN"/>
              </w:rPr>
              <w:t>其中</w:t>
            </w:r>
            <w:r>
              <w:rPr>
                <w:rFonts w:hint="eastAsia" w:eastAsia="仿宋_GB2312" w:cs="Times New Roman"/>
                <w:bCs/>
                <w:color w:val="auto"/>
                <w:sz w:val="24"/>
                <w:highlight w:val="none"/>
                <w:lang w:eastAsia="zh-CN"/>
              </w:rPr>
              <w:t>新增新鲜水</w:t>
            </w:r>
            <w:r>
              <w:rPr>
                <w:rFonts w:hint="default" w:ascii="Times New Roman" w:hAnsi="Times New Roman" w:eastAsia="仿宋_GB2312" w:cs="Times New Roman"/>
                <w:bCs/>
                <w:color w:val="auto"/>
                <w:sz w:val="24"/>
                <w:highlight w:val="none"/>
              </w:rPr>
              <w:t>补水量为</w:t>
            </w:r>
            <w:r>
              <w:rPr>
                <w:rFonts w:hint="eastAsia" w:eastAsia="仿宋_GB2312" w:cs="Times New Roman"/>
                <w:bCs/>
                <w:color w:val="auto"/>
                <w:sz w:val="24"/>
                <w:highlight w:val="none"/>
                <w:lang w:val="en-US" w:eastAsia="zh-CN"/>
              </w:rPr>
              <w:t>4.8</w:t>
            </w:r>
            <w:r>
              <w:rPr>
                <w:rFonts w:hint="default" w:ascii="Times New Roman" w:hAnsi="Times New Roman" w:eastAsia="仿宋_GB2312" w:cs="Times New Roman"/>
                <w:bCs/>
                <w:color w:val="auto"/>
                <w:sz w:val="24"/>
                <w:highlight w:val="none"/>
              </w:rPr>
              <w:t>m</w:t>
            </w:r>
            <w:r>
              <w:rPr>
                <w:rFonts w:hint="default" w:ascii="Times New Roman" w:hAnsi="Times New Roman" w:eastAsia="仿宋_GB2312" w:cs="Times New Roman"/>
                <w:bCs/>
                <w:color w:val="auto"/>
                <w:sz w:val="24"/>
                <w:highlight w:val="none"/>
                <w:vertAlign w:val="superscript"/>
              </w:rPr>
              <w:t>3</w:t>
            </w:r>
            <w:r>
              <w:rPr>
                <w:rFonts w:hint="default" w:ascii="Times New Roman" w:hAnsi="Times New Roman" w:eastAsia="仿宋_GB2312" w:cs="Times New Roman"/>
                <w:bCs/>
                <w:color w:val="auto"/>
                <w:sz w:val="24"/>
                <w:highlight w:val="none"/>
              </w:rPr>
              <w:t>/d（</w:t>
            </w:r>
            <w:r>
              <w:rPr>
                <w:rFonts w:hint="eastAsia" w:eastAsia="仿宋_GB2312" w:cs="Times New Roman"/>
                <w:bCs/>
                <w:color w:val="auto"/>
                <w:sz w:val="24"/>
                <w:highlight w:val="none"/>
                <w:lang w:val="en-US" w:eastAsia="zh-CN"/>
              </w:rPr>
              <w:t>1152</w:t>
            </w:r>
            <w:r>
              <w:rPr>
                <w:rFonts w:hint="default" w:ascii="Times New Roman" w:hAnsi="Times New Roman" w:eastAsia="仿宋_GB2312" w:cs="Times New Roman"/>
                <w:bCs/>
                <w:color w:val="auto"/>
                <w:sz w:val="24"/>
                <w:highlight w:val="none"/>
              </w:rPr>
              <w:t>m</w:t>
            </w:r>
            <w:r>
              <w:rPr>
                <w:rFonts w:hint="default" w:ascii="Times New Roman" w:hAnsi="Times New Roman" w:eastAsia="仿宋_GB2312" w:cs="Times New Roman"/>
                <w:bCs/>
                <w:color w:val="auto"/>
                <w:sz w:val="24"/>
                <w:highlight w:val="none"/>
                <w:vertAlign w:val="superscript"/>
              </w:rPr>
              <w:t>3</w:t>
            </w:r>
            <w:r>
              <w:rPr>
                <w:rFonts w:hint="default" w:ascii="Times New Roman" w:hAnsi="Times New Roman" w:eastAsia="仿宋_GB2312" w:cs="Times New Roman"/>
                <w:bCs/>
                <w:color w:val="auto"/>
                <w:sz w:val="24"/>
                <w:highlight w:val="none"/>
              </w:rPr>
              <w:t>/a），循环水量为</w:t>
            </w:r>
            <w:r>
              <w:rPr>
                <w:rFonts w:hint="eastAsia" w:eastAsia="仿宋_GB2312" w:cs="Times New Roman"/>
                <w:bCs/>
                <w:color w:val="auto"/>
                <w:sz w:val="24"/>
                <w:highlight w:val="none"/>
                <w:lang w:val="en-US" w:eastAsia="zh-CN"/>
              </w:rPr>
              <w:t>7.2</w:t>
            </w:r>
            <w:r>
              <w:rPr>
                <w:rFonts w:hint="default" w:ascii="Times New Roman" w:hAnsi="Times New Roman" w:eastAsia="仿宋_GB2312" w:cs="Times New Roman"/>
                <w:bCs/>
                <w:color w:val="auto"/>
                <w:sz w:val="24"/>
                <w:highlight w:val="none"/>
              </w:rPr>
              <w:t>m</w:t>
            </w:r>
            <w:r>
              <w:rPr>
                <w:rFonts w:hint="default" w:ascii="Times New Roman" w:hAnsi="Times New Roman" w:eastAsia="仿宋_GB2312" w:cs="Times New Roman"/>
                <w:bCs/>
                <w:color w:val="auto"/>
                <w:sz w:val="24"/>
                <w:highlight w:val="none"/>
                <w:vertAlign w:val="superscript"/>
              </w:rPr>
              <w:t>3</w:t>
            </w:r>
            <w:r>
              <w:rPr>
                <w:rFonts w:hint="default" w:ascii="Times New Roman" w:hAnsi="Times New Roman" w:eastAsia="仿宋_GB2312" w:cs="Times New Roman"/>
                <w:bCs/>
                <w:color w:val="auto"/>
                <w:sz w:val="24"/>
                <w:highlight w:val="none"/>
              </w:rPr>
              <w:t>/d（</w:t>
            </w:r>
            <w:r>
              <w:rPr>
                <w:rFonts w:hint="eastAsia" w:eastAsia="仿宋_GB2312" w:cs="Times New Roman"/>
                <w:bCs/>
                <w:color w:val="auto"/>
                <w:sz w:val="24"/>
                <w:highlight w:val="none"/>
                <w:lang w:val="en-US" w:eastAsia="zh-CN"/>
              </w:rPr>
              <w:t>1728</w:t>
            </w:r>
            <w:r>
              <w:rPr>
                <w:rFonts w:hint="default" w:ascii="Times New Roman" w:hAnsi="Times New Roman" w:eastAsia="仿宋_GB2312" w:cs="Times New Roman"/>
                <w:bCs/>
                <w:color w:val="auto"/>
                <w:sz w:val="24"/>
                <w:highlight w:val="none"/>
              </w:rPr>
              <w:t>m</w:t>
            </w:r>
            <w:r>
              <w:rPr>
                <w:rFonts w:hint="default" w:ascii="Times New Roman" w:hAnsi="Times New Roman" w:eastAsia="仿宋_GB2312" w:cs="Times New Roman"/>
                <w:bCs/>
                <w:color w:val="auto"/>
                <w:sz w:val="24"/>
                <w:highlight w:val="none"/>
                <w:vertAlign w:val="superscript"/>
              </w:rPr>
              <w:t>3</w:t>
            </w:r>
            <w:r>
              <w:rPr>
                <w:rFonts w:hint="default" w:ascii="Times New Roman" w:hAnsi="Times New Roman" w:eastAsia="仿宋_GB2312" w:cs="Times New Roman"/>
                <w:bCs/>
                <w:color w:val="auto"/>
                <w:sz w:val="24"/>
                <w:highlight w:val="none"/>
              </w:rPr>
              <w:t>/a）</w:t>
            </w:r>
            <w:r>
              <w:rPr>
                <w:rFonts w:hint="eastAsia" w:eastAsia="仿宋_GB2312" w:cs="Times New Roman"/>
                <w:bCs/>
                <w:color w:val="auto"/>
                <w:sz w:val="24"/>
                <w:highlight w:val="none"/>
                <w:lang w:eastAsia="zh-CN"/>
              </w:rPr>
              <w:t>。</w:t>
            </w:r>
          </w:p>
          <w:p w14:paraId="5D1883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jc w:val="both"/>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搅拌</w:t>
            </w:r>
            <w:r>
              <w:rPr>
                <w:rFonts w:hint="eastAsia" w:ascii="Times New Roman" w:hAnsi="Times New Roman" w:eastAsia="仿宋_GB2312" w:cs="Times New Roman"/>
                <w:b/>
                <w:bCs w:val="0"/>
                <w:color w:val="auto"/>
                <w:sz w:val="24"/>
                <w:szCs w:val="24"/>
                <w:highlight w:val="none"/>
                <w:lang w:val="en-US" w:eastAsia="zh-CN"/>
              </w:rPr>
              <w:t>机</w:t>
            </w:r>
            <w:r>
              <w:rPr>
                <w:rFonts w:hint="default" w:ascii="Times New Roman" w:hAnsi="Times New Roman" w:eastAsia="仿宋_GB2312" w:cs="Times New Roman"/>
                <w:b/>
                <w:bCs w:val="0"/>
                <w:color w:val="auto"/>
                <w:sz w:val="24"/>
                <w:szCs w:val="24"/>
                <w:highlight w:val="none"/>
                <w:lang w:val="en-US" w:eastAsia="zh-CN"/>
              </w:rPr>
              <w:t>冲洗用水：</w:t>
            </w:r>
            <w:r>
              <w:rPr>
                <w:rFonts w:hint="default" w:ascii="Times New Roman" w:hAnsi="Times New Roman" w:eastAsia="仿宋_GB2312" w:cs="Times New Roman"/>
                <w:b w:val="0"/>
                <w:bCs/>
                <w:color w:val="auto"/>
                <w:sz w:val="24"/>
                <w:szCs w:val="24"/>
                <w:highlight w:val="none"/>
                <w:lang w:val="en-US" w:eastAsia="zh-CN"/>
              </w:rPr>
              <w:t>项目</w:t>
            </w:r>
            <w:r>
              <w:rPr>
                <w:rFonts w:hint="eastAsia" w:eastAsia="仿宋_GB2312" w:cs="Times New Roman"/>
                <w:b w:val="0"/>
                <w:bCs/>
                <w:color w:val="auto"/>
                <w:sz w:val="24"/>
                <w:szCs w:val="24"/>
                <w:highlight w:val="none"/>
                <w:lang w:val="en-US" w:eastAsia="zh-CN"/>
              </w:rPr>
              <w:t>运营期对</w:t>
            </w:r>
            <w:r>
              <w:rPr>
                <w:rFonts w:hint="default" w:ascii="Times New Roman" w:hAnsi="Times New Roman" w:eastAsia="仿宋_GB2312" w:cs="Times New Roman"/>
                <w:b w:val="0"/>
                <w:bCs/>
                <w:color w:val="auto"/>
                <w:sz w:val="24"/>
                <w:szCs w:val="24"/>
                <w:highlight w:val="none"/>
                <w:lang w:val="en-US" w:eastAsia="zh-CN"/>
              </w:rPr>
              <w:t>搅拌机进行冲洗，</w:t>
            </w:r>
            <w:r>
              <w:rPr>
                <w:rFonts w:hint="eastAsia" w:eastAsia="仿宋_GB2312" w:cs="Times New Roman"/>
                <w:b w:val="0"/>
                <w:bCs/>
                <w:color w:val="auto"/>
                <w:sz w:val="24"/>
                <w:szCs w:val="24"/>
                <w:highlight w:val="none"/>
                <w:lang w:val="en-US" w:eastAsia="zh-CN"/>
              </w:rPr>
              <w:t>水泥</w:t>
            </w:r>
            <w:r>
              <w:rPr>
                <w:rFonts w:hint="default" w:ascii="Times New Roman" w:hAnsi="Times New Roman" w:eastAsia="仿宋_GB2312" w:cs="Times New Roman"/>
                <w:b w:val="0"/>
                <w:bCs/>
                <w:color w:val="auto"/>
                <w:sz w:val="24"/>
                <w:szCs w:val="24"/>
                <w:highlight w:val="none"/>
                <w:lang w:val="en-US" w:eastAsia="zh-CN"/>
              </w:rPr>
              <w:t>混凝土搅拌机共</w:t>
            </w:r>
            <w:r>
              <w:rPr>
                <w:rFonts w:hint="eastAsia" w:eastAsia="仿宋_GB2312" w:cs="Times New Roman"/>
                <w:b w:val="0"/>
                <w:bCs/>
                <w:color w:val="auto"/>
                <w:sz w:val="24"/>
                <w:szCs w:val="24"/>
                <w:highlight w:val="none"/>
                <w:lang w:val="en-US" w:eastAsia="zh-CN"/>
              </w:rPr>
              <w:t>2</w:t>
            </w:r>
            <w:r>
              <w:rPr>
                <w:rFonts w:hint="default" w:ascii="Times New Roman" w:hAnsi="Times New Roman" w:eastAsia="仿宋_GB2312" w:cs="Times New Roman"/>
                <w:b w:val="0"/>
                <w:bCs/>
                <w:color w:val="auto"/>
                <w:sz w:val="24"/>
                <w:szCs w:val="24"/>
                <w:highlight w:val="none"/>
                <w:lang w:val="en-US" w:eastAsia="zh-CN"/>
              </w:rPr>
              <w:t>座，根据建设单位生产管理规定，每天冲洗</w:t>
            </w:r>
            <w:r>
              <w:rPr>
                <w:rFonts w:hint="eastAsia" w:eastAsia="仿宋_GB2312" w:cs="Times New Roman"/>
                <w:b w:val="0"/>
                <w:bCs/>
                <w:color w:val="auto"/>
                <w:sz w:val="24"/>
                <w:szCs w:val="24"/>
                <w:highlight w:val="none"/>
                <w:lang w:val="en-US" w:eastAsia="zh-CN"/>
              </w:rPr>
              <w:t>4</w:t>
            </w:r>
            <w:r>
              <w:rPr>
                <w:rFonts w:hint="default" w:ascii="Times New Roman" w:hAnsi="Times New Roman" w:eastAsia="仿宋_GB2312" w:cs="Times New Roman"/>
                <w:b w:val="0"/>
                <w:bCs/>
                <w:color w:val="auto"/>
                <w:sz w:val="24"/>
                <w:szCs w:val="24"/>
                <w:highlight w:val="none"/>
                <w:lang w:val="en-US" w:eastAsia="zh-CN"/>
              </w:rPr>
              <w:t>次，每冲洗一次需水</w:t>
            </w:r>
            <w:r>
              <w:rPr>
                <w:rFonts w:hint="eastAsia" w:eastAsia="仿宋_GB2312" w:cs="Times New Roman"/>
                <w:b w:val="0"/>
                <w:bCs/>
                <w:color w:val="auto"/>
                <w:sz w:val="24"/>
                <w:szCs w:val="24"/>
                <w:highlight w:val="none"/>
                <w:lang w:val="en-US" w:eastAsia="zh-CN"/>
              </w:rPr>
              <w:t>1</w:t>
            </w:r>
            <w:r>
              <w:rPr>
                <w:rFonts w:hint="default" w:ascii="Times New Roman" w:hAnsi="Times New Roman" w:eastAsia="仿宋_GB2312" w:cs="Times New Roman"/>
                <w:b w:val="0"/>
                <w:bCs/>
                <w:color w:val="auto"/>
                <w:sz w:val="24"/>
                <w:szCs w:val="24"/>
                <w:highlight w:val="none"/>
                <w:lang w:val="en-US" w:eastAsia="zh-CN"/>
              </w:rPr>
              <w:t>m</w:t>
            </w:r>
            <w:r>
              <w:rPr>
                <w:rFonts w:hint="default" w:ascii="Times New Roman" w:hAnsi="Times New Roman" w:eastAsia="仿宋_GB2312" w:cs="Times New Roman"/>
                <w:b w:val="0"/>
                <w:bCs/>
                <w:color w:val="auto"/>
                <w:sz w:val="24"/>
                <w:szCs w:val="24"/>
                <w:highlight w:val="none"/>
                <w:vertAlign w:val="superscript"/>
                <w:lang w:val="en-US" w:eastAsia="zh-CN"/>
              </w:rPr>
              <w:t>3</w:t>
            </w:r>
            <w:r>
              <w:rPr>
                <w:rFonts w:hint="default" w:ascii="Times New Roman" w:hAnsi="Times New Roman" w:eastAsia="仿宋_GB2312" w:cs="Times New Roman"/>
                <w:b w:val="0"/>
                <w:bCs/>
                <w:color w:val="auto"/>
                <w:sz w:val="24"/>
                <w:szCs w:val="24"/>
                <w:highlight w:val="none"/>
                <w:lang w:val="en-US" w:eastAsia="zh-CN"/>
              </w:rPr>
              <w:t>，年冲洗</w:t>
            </w:r>
            <w:r>
              <w:rPr>
                <w:rFonts w:hint="eastAsia" w:eastAsia="仿宋_GB2312" w:cs="Times New Roman"/>
                <w:b w:val="0"/>
                <w:bCs/>
                <w:color w:val="auto"/>
                <w:sz w:val="24"/>
                <w:szCs w:val="24"/>
                <w:highlight w:val="none"/>
                <w:lang w:val="en-US" w:eastAsia="zh-CN"/>
              </w:rPr>
              <w:t>960</w:t>
            </w:r>
            <w:r>
              <w:rPr>
                <w:rFonts w:hint="default" w:ascii="Times New Roman" w:hAnsi="Times New Roman" w:eastAsia="仿宋_GB2312" w:cs="Times New Roman"/>
                <w:b w:val="0"/>
                <w:bCs/>
                <w:color w:val="auto"/>
                <w:sz w:val="24"/>
                <w:szCs w:val="24"/>
                <w:highlight w:val="none"/>
                <w:lang w:val="en-US" w:eastAsia="zh-CN"/>
              </w:rPr>
              <w:t>次，则用水量为</w:t>
            </w:r>
            <w:r>
              <w:rPr>
                <w:rFonts w:hint="eastAsia" w:eastAsia="仿宋_GB2312" w:cs="Times New Roman"/>
                <w:b w:val="0"/>
                <w:bCs/>
                <w:color w:val="auto"/>
                <w:sz w:val="24"/>
                <w:szCs w:val="24"/>
                <w:highlight w:val="none"/>
                <w:lang w:val="en-US" w:eastAsia="zh-CN"/>
              </w:rPr>
              <w:t>960</w:t>
            </w:r>
            <w:r>
              <w:rPr>
                <w:rFonts w:hint="default" w:ascii="Times New Roman" w:hAnsi="Times New Roman" w:eastAsia="仿宋_GB2312" w:cs="Times New Roman"/>
                <w:b w:val="0"/>
                <w:bCs/>
                <w:color w:val="auto"/>
                <w:sz w:val="24"/>
                <w:szCs w:val="24"/>
                <w:highlight w:val="none"/>
                <w:lang w:val="en-US" w:eastAsia="zh-CN"/>
              </w:rPr>
              <w:t>m</w:t>
            </w:r>
            <w:r>
              <w:rPr>
                <w:rFonts w:hint="default" w:ascii="Times New Roman" w:hAnsi="Times New Roman" w:eastAsia="仿宋_GB2312" w:cs="Times New Roman"/>
                <w:b w:val="0"/>
                <w:bCs/>
                <w:color w:val="auto"/>
                <w:sz w:val="24"/>
                <w:szCs w:val="24"/>
                <w:highlight w:val="none"/>
                <w:vertAlign w:val="superscript"/>
                <w:lang w:val="en-US" w:eastAsia="zh-CN"/>
              </w:rPr>
              <w:t>3</w:t>
            </w:r>
            <w:r>
              <w:rPr>
                <w:rFonts w:hint="default" w:ascii="Times New Roman" w:hAnsi="Times New Roman" w:eastAsia="仿宋_GB2312" w:cs="Times New Roman"/>
                <w:b w:val="0"/>
                <w:bCs/>
                <w:color w:val="auto"/>
                <w:sz w:val="24"/>
                <w:szCs w:val="24"/>
                <w:highlight w:val="none"/>
                <w:lang w:val="en-US" w:eastAsia="zh-CN"/>
              </w:rPr>
              <w:t>/a（</w:t>
            </w:r>
            <w:r>
              <w:rPr>
                <w:rFonts w:hint="eastAsia" w:eastAsia="仿宋_GB2312" w:cs="Times New Roman"/>
                <w:b w:val="0"/>
                <w:bCs/>
                <w:color w:val="auto"/>
                <w:sz w:val="24"/>
                <w:szCs w:val="24"/>
                <w:highlight w:val="none"/>
                <w:lang w:val="en-US" w:eastAsia="zh-CN"/>
              </w:rPr>
              <w:t>4</w:t>
            </w:r>
            <w:r>
              <w:rPr>
                <w:rFonts w:hint="default" w:ascii="Times New Roman" w:hAnsi="Times New Roman" w:eastAsia="仿宋_GB2312" w:cs="Times New Roman"/>
                <w:b w:val="0"/>
                <w:bCs/>
                <w:color w:val="auto"/>
                <w:sz w:val="24"/>
                <w:szCs w:val="24"/>
                <w:highlight w:val="none"/>
                <w:lang w:val="en-US" w:eastAsia="zh-CN"/>
              </w:rPr>
              <w:t>m</w:t>
            </w:r>
            <w:r>
              <w:rPr>
                <w:rFonts w:hint="default" w:ascii="Times New Roman" w:hAnsi="Times New Roman" w:eastAsia="仿宋_GB2312" w:cs="Times New Roman"/>
                <w:b w:val="0"/>
                <w:bCs/>
                <w:color w:val="auto"/>
                <w:sz w:val="24"/>
                <w:szCs w:val="24"/>
                <w:highlight w:val="none"/>
                <w:vertAlign w:val="superscript"/>
                <w:lang w:val="en-US" w:eastAsia="zh-CN"/>
              </w:rPr>
              <w:t>3</w:t>
            </w:r>
            <w:r>
              <w:rPr>
                <w:rFonts w:hint="default" w:ascii="Times New Roman" w:hAnsi="Times New Roman" w:eastAsia="仿宋_GB2312" w:cs="Times New Roman"/>
                <w:b w:val="0"/>
                <w:bCs/>
                <w:color w:val="auto"/>
                <w:sz w:val="24"/>
                <w:szCs w:val="24"/>
                <w:highlight w:val="none"/>
                <w:lang w:val="en-US" w:eastAsia="zh-CN"/>
              </w:rPr>
              <w:t>/d）。</w:t>
            </w:r>
            <w:r>
              <w:rPr>
                <w:rFonts w:hint="eastAsia" w:eastAsia="仿宋_GB2312" w:cs="Times New Roman"/>
                <w:color w:val="auto"/>
                <w:kern w:val="2"/>
                <w:sz w:val="24"/>
                <w:szCs w:val="20"/>
                <w:highlight w:val="none"/>
                <w:vertAlign w:val="baseline"/>
                <w:lang w:val="en-US" w:eastAsia="zh-CN" w:bidi="ar-SA"/>
              </w:rPr>
              <w:t>由于冲洗过程中用水损耗为40%，需要定期补充新鲜水1.6</w:t>
            </w:r>
            <w:r>
              <w:rPr>
                <w:rFonts w:hint="default" w:ascii="Times New Roman" w:hAnsi="Times New Roman" w:eastAsia="仿宋_GB2312" w:cs="Times New Roman"/>
                <w:bCs/>
                <w:color w:val="auto"/>
                <w:sz w:val="24"/>
                <w:highlight w:val="none"/>
              </w:rPr>
              <w:t>m</w:t>
            </w:r>
            <w:r>
              <w:rPr>
                <w:rFonts w:hint="default" w:ascii="Times New Roman" w:hAnsi="Times New Roman" w:eastAsia="仿宋_GB2312" w:cs="Times New Roman"/>
                <w:bCs/>
                <w:color w:val="auto"/>
                <w:sz w:val="24"/>
                <w:highlight w:val="none"/>
                <w:vertAlign w:val="superscript"/>
              </w:rPr>
              <w:t>3</w:t>
            </w:r>
            <w:r>
              <w:rPr>
                <w:rFonts w:hint="default" w:ascii="Times New Roman" w:hAnsi="Times New Roman" w:eastAsia="仿宋_GB2312" w:cs="Times New Roman"/>
                <w:bCs/>
                <w:color w:val="auto"/>
                <w:sz w:val="24"/>
                <w:highlight w:val="none"/>
              </w:rPr>
              <w:t>/d</w:t>
            </w:r>
            <w:r>
              <w:rPr>
                <w:rFonts w:hint="default" w:eastAsia="仿宋_GB2312" w:cs="Times New Roman"/>
                <w:color w:val="auto"/>
                <w:kern w:val="2"/>
                <w:sz w:val="24"/>
                <w:szCs w:val="20"/>
                <w:highlight w:val="none"/>
                <w:lang w:val="en-US" w:eastAsia="zh-CN" w:bidi="ar-SA"/>
              </w:rPr>
              <w:t>（</w:t>
            </w:r>
            <w:r>
              <w:rPr>
                <w:rFonts w:hint="eastAsia" w:eastAsia="仿宋_GB2312" w:cs="Times New Roman"/>
                <w:color w:val="auto"/>
                <w:kern w:val="2"/>
                <w:sz w:val="24"/>
                <w:szCs w:val="20"/>
                <w:highlight w:val="none"/>
                <w:lang w:val="en-US" w:eastAsia="zh-CN" w:bidi="ar-SA"/>
              </w:rPr>
              <w:t>384</w:t>
            </w:r>
            <w:r>
              <w:rPr>
                <w:rFonts w:hint="default" w:eastAsia="仿宋_GB2312" w:cs="Times New Roman"/>
                <w:color w:val="auto"/>
                <w:kern w:val="2"/>
                <w:sz w:val="24"/>
                <w:szCs w:val="20"/>
                <w:highlight w:val="none"/>
                <w:lang w:val="en-US" w:eastAsia="zh-CN" w:bidi="ar-SA"/>
              </w:rPr>
              <w:t>m</w:t>
            </w:r>
            <w:r>
              <w:rPr>
                <w:rFonts w:hint="default" w:eastAsia="仿宋_GB2312" w:cs="Times New Roman"/>
                <w:color w:val="auto"/>
                <w:kern w:val="2"/>
                <w:sz w:val="24"/>
                <w:szCs w:val="20"/>
                <w:highlight w:val="none"/>
                <w:vertAlign w:val="superscript"/>
                <w:lang w:val="en-US" w:eastAsia="zh-CN" w:bidi="ar-SA"/>
              </w:rPr>
              <w:t>3</w:t>
            </w:r>
            <w:r>
              <w:rPr>
                <w:rFonts w:hint="default" w:eastAsia="仿宋_GB2312" w:cs="Times New Roman"/>
                <w:color w:val="auto"/>
                <w:kern w:val="2"/>
                <w:sz w:val="24"/>
                <w:szCs w:val="20"/>
                <w:highlight w:val="none"/>
                <w:lang w:val="en-US" w:eastAsia="zh-CN" w:bidi="ar-SA"/>
              </w:rPr>
              <w:t>/a）</w:t>
            </w:r>
            <w:r>
              <w:rPr>
                <w:rFonts w:hint="eastAsia" w:eastAsia="仿宋_GB2312" w:cs="Times New Roman"/>
                <w:bCs/>
                <w:color w:val="auto"/>
                <w:sz w:val="24"/>
                <w:highlight w:val="none"/>
                <w:lang w:eastAsia="zh-CN"/>
              </w:rPr>
              <w:t>。</w:t>
            </w:r>
          </w:p>
          <w:p w14:paraId="6B1811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b/>
                <w:bCs w:val="0"/>
                <w:color w:val="auto"/>
                <w:sz w:val="24"/>
                <w:szCs w:val="24"/>
                <w:highlight w:val="none"/>
                <w:lang w:val="en-US" w:eastAsia="zh-CN"/>
              </w:rPr>
              <w:t>洒水抑尘</w:t>
            </w:r>
            <w:r>
              <w:rPr>
                <w:rFonts w:hint="default" w:ascii="Times New Roman" w:hAnsi="Times New Roman" w:eastAsia="仿宋_GB2312" w:cs="Times New Roman"/>
                <w:b/>
                <w:bCs w:val="0"/>
                <w:color w:val="auto"/>
                <w:sz w:val="24"/>
                <w:szCs w:val="24"/>
                <w:highlight w:val="none"/>
                <w:lang w:val="en-US" w:eastAsia="zh-CN"/>
              </w:rPr>
              <w:t>用水：</w:t>
            </w:r>
            <w:r>
              <w:rPr>
                <w:rFonts w:hint="default" w:ascii="Times New Roman" w:hAnsi="Times New Roman" w:eastAsia="仿宋_GB2312" w:cs="Times New Roman"/>
                <w:bCs/>
                <w:color w:val="auto"/>
                <w:sz w:val="24"/>
                <w:szCs w:val="24"/>
                <w:highlight w:val="none"/>
                <w:lang w:val="en-US" w:eastAsia="zh-CN"/>
              </w:rPr>
              <w:t>本项目在生产车间、厂区内会进行适量的喷水以此来降尘。洒水抑尘用水量按1.5m</w:t>
            </w:r>
            <w:r>
              <w:rPr>
                <w:rFonts w:hint="default" w:ascii="Times New Roman" w:hAnsi="Times New Roman" w:eastAsia="仿宋_GB2312" w:cs="Times New Roman"/>
                <w:bCs/>
                <w:color w:val="auto"/>
                <w:sz w:val="24"/>
                <w:szCs w:val="24"/>
                <w:highlight w:val="none"/>
                <w:vertAlign w:val="superscript"/>
                <w:lang w:val="en-US" w:eastAsia="zh-CN"/>
              </w:rPr>
              <w:t>3</w:t>
            </w:r>
            <w:r>
              <w:rPr>
                <w:rFonts w:hint="default" w:ascii="Times New Roman" w:hAnsi="Times New Roman" w:eastAsia="仿宋_GB2312" w:cs="Times New Roman"/>
                <w:bCs/>
                <w:color w:val="auto"/>
                <w:sz w:val="24"/>
                <w:szCs w:val="24"/>
                <w:highlight w:val="none"/>
                <w:lang w:val="en-US" w:eastAsia="zh-CN"/>
              </w:rPr>
              <w:t>/d，则洒水抑尘用水量为</w:t>
            </w:r>
            <w:r>
              <w:rPr>
                <w:rFonts w:hint="eastAsia" w:eastAsia="仿宋_GB2312" w:cs="Times New Roman"/>
                <w:bCs/>
                <w:color w:val="auto"/>
                <w:sz w:val="24"/>
                <w:szCs w:val="24"/>
                <w:highlight w:val="none"/>
                <w:lang w:val="en-US" w:eastAsia="zh-CN"/>
              </w:rPr>
              <w:t>360</w:t>
            </w:r>
            <w:r>
              <w:rPr>
                <w:rFonts w:hint="default" w:ascii="Times New Roman" w:hAnsi="Times New Roman" w:eastAsia="仿宋_GB2312" w:cs="Times New Roman"/>
                <w:bCs/>
                <w:color w:val="auto"/>
                <w:sz w:val="24"/>
                <w:szCs w:val="24"/>
                <w:highlight w:val="none"/>
                <w:lang w:val="en-US" w:eastAsia="zh-CN"/>
              </w:rPr>
              <w:t>m</w:t>
            </w:r>
            <w:r>
              <w:rPr>
                <w:rFonts w:hint="default" w:ascii="Times New Roman" w:hAnsi="Times New Roman" w:eastAsia="仿宋_GB2312" w:cs="Times New Roman"/>
                <w:bCs/>
                <w:color w:val="auto"/>
                <w:sz w:val="24"/>
                <w:szCs w:val="24"/>
                <w:highlight w:val="none"/>
                <w:vertAlign w:val="superscript"/>
                <w:lang w:val="en-US" w:eastAsia="zh-CN"/>
              </w:rPr>
              <w:t>3</w:t>
            </w:r>
            <w:r>
              <w:rPr>
                <w:rFonts w:hint="default" w:ascii="Times New Roman" w:hAnsi="Times New Roman" w:eastAsia="仿宋_GB2312" w:cs="Times New Roman"/>
                <w:bCs/>
                <w:color w:val="auto"/>
                <w:sz w:val="24"/>
                <w:szCs w:val="24"/>
                <w:highlight w:val="none"/>
                <w:lang w:val="en-US" w:eastAsia="zh-CN"/>
              </w:rPr>
              <w:t>/a（1.5m</w:t>
            </w:r>
            <w:r>
              <w:rPr>
                <w:rFonts w:hint="default" w:ascii="Times New Roman" w:hAnsi="Times New Roman" w:eastAsia="仿宋_GB2312" w:cs="Times New Roman"/>
                <w:bCs/>
                <w:color w:val="auto"/>
                <w:sz w:val="24"/>
                <w:szCs w:val="24"/>
                <w:highlight w:val="none"/>
                <w:vertAlign w:val="superscript"/>
                <w:lang w:val="en-US" w:eastAsia="zh-CN"/>
              </w:rPr>
              <w:t>3</w:t>
            </w:r>
            <w:r>
              <w:rPr>
                <w:rFonts w:hint="default" w:ascii="Times New Roman" w:hAnsi="Times New Roman" w:eastAsia="仿宋_GB2312" w:cs="Times New Roman"/>
                <w:bCs/>
                <w:color w:val="auto"/>
                <w:sz w:val="24"/>
                <w:szCs w:val="24"/>
                <w:highlight w:val="none"/>
                <w:lang w:val="en-US" w:eastAsia="zh-CN"/>
              </w:rPr>
              <w:t>/d），全部消耗。</w:t>
            </w:r>
          </w:p>
          <w:p w14:paraId="2D5143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②生活用水</w:t>
            </w:r>
          </w:p>
          <w:p w14:paraId="04453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eastAsia="仿宋_GB2312"/>
                <w:color w:val="auto"/>
                <w:sz w:val="24"/>
                <w:highlight w:val="none"/>
                <w:lang w:val="en-US" w:eastAsia="zh-CN"/>
              </w:rPr>
            </w:pPr>
            <w:r>
              <w:rPr>
                <w:rFonts w:hint="eastAsia" w:eastAsia="仿宋_GB2312"/>
                <w:color w:val="auto"/>
                <w:sz w:val="24"/>
                <w:highlight w:val="none"/>
                <w:lang w:val="en-US" w:eastAsia="zh-CN"/>
              </w:rPr>
              <w:t>厂区不设置淋浴设施，</w:t>
            </w:r>
            <w:r>
              <w:rPr>
                <w:rFonts w:ascii="Times New Roman" w:hAnsi="Times New Roman" w:eastAsia="仿宋_GB2312"/>
                <w:color w:val="auto"/>
                <w:sz w:val="24"/>
                <w:highlight w:val="none"/>
              </w:rPr>
              <w:t>本项目</w:t>
            </w:r>
            <w:r>
              <w:rPr>
                <w:rFonts w:hint="eastAsia" w:eastAsia="仿宋_GB2312"/>
                <w:color w:val="auto"/>
                <w:sz w:val="24"/>
                <w:highlight w:val="none"/>
                <w:lang w:val="en-US" w:eastAsia="zh-CN"/>
              </w:rPr>
              <w:t>生活</w:t>
            </w:r>
            <w:r>
              <w:rPr>
                <w:rFonts w:ascii="Times New Roman" w:hAnsi="Times New Roman" w:eastAsia="仿宋_GB2312"/>
                <w:color w:val="auto"/>
                <w:sz w:val="24"/>
                <w:highlight w:val="none"/>
              </w:rPr>
              <w:t>用水</w:t>
            </w:r>
            <w:r>
              <w:rPr>
                <w:rFonts w:hint="eastAsia" w:eastAsia="仿宋_GB2312"/>
                <w:color w:val="auto"/>
                <w:sz w:val="24"/>
                <w:highlight w:val="none"/>
                <w:lang w:val="en-US" w:eastAsia="zh-CN"/>
              </w:rPr>
              <w:t>主要为项目</w:t>
            </w:r>
            <w:r>
              <w:rPr>
                <w:rFonts w:hint="eastAsia" w:eastAsia="仿宋_GB2312"/>
                <w:color w:val="auto"/>
                <w:sz w:val="24"/>
                <w:highlight w:val="none"/>
                <w:lang w:eastAsia="zh-CN"/>
              </w:rPr>
              <w:t>驻地职工</w:t>
            </w:r>
            <w:r>
              <w:rPr>
                <w:rFonts w:hint="eastAsia" w:eastAsia="仿宋_GB2312"/>
                <w:color w:val="auto"/>
                <w:sz w:val="24"/>
                <w:highlight w:val="none"/>
                <w:lang w:val="en-US" w:eastAsia="zh-CN"/>
              </w:rPr>
              <w:t>洗漱</w:t>
            </w:r>
            <w:r>
              <w:rPr>
                <w:rFonts w:hint="eastAsia" w:eastAsia="仿宋_GB2312"/>
                <w:color w:val="auto"/>
                <w:sz w:val="24"/>
                <w:highlight w:val="none"/>
                <w:lang w:eastAsia="zh-CN"/>
              </w:rPr>
              <w:t>用水，本项目拌合站常驻人员</w:t>
            </w:r>
            <w:r>
              <w:rPr>
                <w:rFonts w:hint="eastAsia" w:eastAsia="仿宋_GB2312"/>
                <w:color w:val="auto"/>
                <w:sz w:val="24"/>
                <w:highlight w:val="none"/>
                <w:lang w:val="en-US" w:eastAsia="zh-CN"/>
              </w:rPr>
              <w:t>共50</w:t>
            </w:r>
            <w:r>
              <w:rPr>
                <w:rFonts w:hint="eastAsia" w:eastAsia="仿宋_GB2312"/>
                <w:color w:val="auto"/>
                <w:sz w:val="24"/>
                <w:highlight w:val="none"/>
                <w:lang w:eastAsia="zh-CN"/>
              </w:rPr>
              <w:t>人</w:t>
            </w:r>
            <w:r>
              <w:rPr>
                <w:rFonts w:hint="eastAsia" w:ascii="Times New Roman" w:hAnsi="Times New Roman" w:eastAsia="仿宋_GB2312"/>
                <w:color w:val="auto"/>
                <w:sz w:val="24"/>
                <w:highlight w:val="none"/>
              </w:rPr>
              <w:t>，</w:t>
            </w:r>
            <w:r>
              <w:rPr>
                <w:rFonts w:ascii="Times New Roman" w:hAnsi="Times New Roman" w:eastAsia="仿宋_GB2312"/>
                <w:color w:val="auto"/>
                <w:sz w:val="24"/>
                <w:highlight w:val="none"/>
              </w:rPr>
              <w:t>年工作</w:t>
            </w:r>
            <w:r>
              <w:rPr>
                <w:rFonts w:hint="eastAsia" w:eastAsia="仿宋_GB2312"/>
                <w:color w:val="auto"/>
                <w:sz w:val="24"/>
                <w:highlight w:val="none"/>
                <w:lang w:val="en-US" w:eastAsia="zh-CN"/>
              </w:rPr>
              <w:t>240d</w:t>
            </w:r>
            <w:r>
              <w:rPr>
                <w:rFonts w:hint="eastAsia" w:ascii="Times New Roman" w:hAnsi="Times New Roman" w:eastAsia="仿宋_GB2312"/>
                <w:color w:val="auto"/>
                <w:sz w:val="24"/>
                <w:highlight w:val="none"/>
              </w:rPr>
              <w:t>，</w:t>
            </w:r>
            <w:r>
              <w:rPr>
                <w:rFonts w:hint="default" w:ascii="Times New Roman" w:hAnsi="Times New Roman" w:eastAsia="仿宋_GB2312" w:cs="Times New Roman"/>
                <w:color w:val="auto"/>
                <w:sz w:val="24"/>
                <w:highlight w:val="none"/>
              </w:rPr>
              <w:t>结合</w:t>
            </w:r>
            <w:r>
              <w:rPr>
                <w:rFonts w:hint="default" w:ascii="Times New Roman" w:hAnsi="Times New Roman" w:eastAsia="仿宋_GB2312" w:cs="Times New Roman"/>
                <w:color w:val="auto"/>
                <w:sz w:val="24"/>
                <w:highlight w:val="none"/>
                <w:lang w:eastAsia="zh-CN"/>
              </w:rPr>
              <w:t>自治区人民政府办公厅《关于印发宁夏回族自治区有关行业用水定额（修订）的通知》（宁政办规发［</w:t>
            </w:r>
            <w:r>
              <w:rPr>
                <w:rFonts w:hint="default" w:ascii="Times New Roman" w:hAnsi="Times New Roman" w:eastAsia="仿宋_GB2312" w:cs="Times New Roman"/>
                <w:color w:val="auto"/>
                <w:sz w:val="24"/>
                <w:highlight w:val="none"/>
                <w:lang w:val="en-US" w:eastAsia="zh-CN"/>
              </w:rPr>
              <w:t>2020</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20号</w:t>
            </w:r>
            <w:r>
              <w:rPr>
                <w:rFonts w:hint="default" w:ascii="Times New Roman" w:hAnsi="Times New Roman" w:eastAsia="仿宋_GB2312" w:cs="Times New Roman"/>
                <w:color w:val="auto"/>
                <w:sz w:val="24"/>
                <w:highlight w:val="none"/>
                <w:lang w:eastAsia="zh-CN"/>
              </w:rPr>
              <w:t>）及</w:t>
            </w:r>
            <w:r>
              <w:rPr>
                <w:rFonts w:hint="eastAsia" w:ascii="Times New Roman" w:hAnsi="Times New Roman" w:eastAsia="仿宋_GB2312" w:cs="Times New Roman"/>
                <w:color w:val="auto"/>
                <w:sz w:val="24"/>
                <w:highlight w:val="none"/>
                <w:lang w:eastAsia="zh-CN"/>
              </w:rPr>
              <w:t>项目</w:t>
            </w:r>
            <w:r>
              <w:rPr>
                <w:rFonts w:hint="default" w:ascii="Times New Roman" w:hAnsi="Times New Roman" w:eastAsia="仿宋_GB2312" w:cs="Times New Roman"/>
                <w:color w:val="auto"/>
                <w:sz w:val="24"/>
                <w:highlight w:val="none"/>
                <w:lang w:eastAsia="zh-CN"/>
              </w:rPr>
              <w:t>实际情况</w:t>
            </w:r>
            <w:r>
              <w:rPr>
                <w:rFonts w:hint="eastAsia" w:ascii="Times New Roman" w:hAnsi="Times New Roman" w:eastAsia="仿宋_GB2312" w:cs="Times New Roman"/>
                <w:color w:val="auto"/>
                <w:sz w:val="24"/>
                <w:highlight w:val="none"/>
                <w:lang w:eastAsia="zh-CN"/>
              </w:rPr>
              <w:t>，</w:t>
            </w:r>
            <w:r>
              <w:rPr>
                <w:rFonts w:ascii="Times New Roman" w:hAnsi="Times New Roman" w:eastAsia="仿宋_GB2312"/>
                <w:color w:val="auto"/>
                <w:sz w:val="24"/>
                <w:highlight w:val="none"/>
              </w:rPr>
              <w:t>用水</w:t>
            </w:r>
            <w:r>
              <w:rPr>
                <w:rFonts w:hint="eastAsia" w:ascii="Times New Roman" w:hAnsi="Times New Roman" w:eastAsia="仿宋_GB2312"/>
                <w:color w:val="auto"/>
                <w:sz w:val="24"/>
                <w:highlight w:val="none"/>
              </w:rPr>
              <w:t>标准</w:t>
            </w:r>
            <w:r>
              <w:rPr>
                <w:rFonts w:ascii="Times New Roman" w:hAnsi="Times New Roman" w:eastAsia="仿宋_GB2312"/>
                <w:color w:val="auto"/>
                <w:sz w:val="24"/>
                <w:highlight w:val="none"/>
              </w:rPr>
              <w:t>按</w:t>
            </w:r>
            <w:r>
              <w:rPr>
                <w:rFonts w:hint="eastAsia" w:eastAsia="仿宋_GB2312"/>
                <w:color w:val="auto"/>
                <w:sz w:val="24"/>
                <w:highlight w:val="none"/>
                <w:lang w:val="en-US" w:eastAsia="zh-CN"/>
              </w:rPr>
              <w:t>70</w:t>
            </w:r>
            <w:r>
              <w:rPr>
                <w:rFonts w:ascii="Times New Roman" w:hAnsi="Times New Roman" w:eastAsia="仿宋_GB2312"/>
                <w:color w:val="auto"/>
                <w:sz w:val="24"/>
                <w:highlight w:val="none"/>
              </w:rPr>
              <w:t>L/人·d计</w:t>
            </w:r>
            <w:r>
              <w:rPr>
                <w:rFonts w:hint="eastAsia" w:ascii="Times New Roman" w:hAnsi="Times New Roman" w:eastAsia="仿宋_GB2312"/>
                <w:color w:val="auto"/>
                <w:sz w:val="24"/>
                <w:highlight w:val="none"/>
              </w:rPr>
              <w:t>，</w:t>
            </w:r>
            <w:r>
              <w:rPr>
                <w:rFonts w:ascii="Times New Roman" w:hAnsi="Times New Roman" w:eastAsia="仿宋_GB2312"/>
                <w:color w:val="auto"/>
                <w:sz w:val="24"/>
                <w:highlight w:val="none"/>
              </w:rPr>
              <w:t>则生活用水量</w:t>
            </w:r>
            <w:r>
              <w:rPr>
                <w:rFonts w:hint="eastAsia" w:eastAsia="仿宋_GB2312"/>
                <w:color w:val="auto"/>
                <w:kern w:val="0"/>
                <w:sz w:val="24"/>
                <w:highlight w:val="none"/>
                <w:lang w:val="en-US" w:eastAsia="zh-CN"/>
              </w:rPr>
              <w:t>3.5</w:t>
            </w:r>
            <w:r>
              <w:rPr>
                <w:rFonts w:ascii="Times New Roman" w:hAnsi="Times New Roman"/>
                <w:color w:val="auto"/>
                <w:kern w:val="0"/>
                <w:sz w:val="24"/>
                <w:highlight w:val="none"/>
              </w:rPr>
              <w:t>m</w:t>
            </w:r>
            <w:r>
              <w:rPr>
                <w:rFonts w:ascii="Times New Roman" w:hAnsi="Times New Roman"/>
                <w:color w:val="auto"/>
                <w:kern w:val="0"/>
                <w:sz w:val="24"/>
                <w:highlight w:val="none"/>
                <w:vertAlign w:val="superscript"/>
              </w:rPr>
              <w:t>3</w:t>
            </w:r>
            <w:r>
              <w:rPr>
                <w:rFonts w:ascii="Times New Roman" w:hAnsi="Times New Roman"/>
                <w:color w:val="auto"/>
                <w:kern w:val="0"/>
                <w:sz w:val="24"/>
                <w:highlight w:val="none"/>
              </w:rPr>
              <w:t>/d（</w:t>
            </w:r>
            <w:r>
              <w:rPr>
                <w:rFonts w:hint="eastAsia"/>
                <w:color w:val="auto"/>
                <w:kern w:val="0"/>
                <w:sz w:val="24"/>
                <w:highlight w:val="none"/>
                <w:lang w:val="en-US" w:eastAsia="zh-CN"/>
              </w:rPr>
              <w:t>840</w:t>
            </w:r>
            <w:r>
              <w:rPr>
                <w:rFonts w:ascii="Times New Roman" w:hAnsi="Times New Roman"/>
                <w:color w:val="auto"/>
                <w:kern w:val="0"/>
                <w:sz w:val="24"/>
                <w:highlight w:val="none"/>
              </w:rPr>
              <w:t>m</w:t>
            </w:r>
            <w:r>
              <w:rPr>
                <w:rFonts w:ascii="Times New Roman" w:hAnsi="Times New Roman"/>
                <w:color w:val="auto"/>
                <w:kern w:val="0"/>
                <w:sz w:val="24"/>
                <w:highlight w:val="none"/>
                <w:vertAlign w:val="superscript"/>
              </w:rPr>
              <w:t>3</w:t>
            </w:r>
            <w:r>
              <w:rPr>
                <w:rFonts w:ascii="Times New Roman" w:hAnsi="Times New Roman"/>
                <w:color w:val="auto"/>
                <w:kern w:val="0"/>
                <w:sz w:val="24"/>
                <w:highlight w:val="none"/>
              </w:rPr>
              <w:t>/a）</w:t>
            </w:r>
            <w:r>
              <w:rPr>
                <w:rFonts w:hint="eastAsia" w:eastAsia="仿宋_GB2312"/>
                <w:color w:val="auto"/>
                <w:sz w:val="24"/>
                <w:highlight w:val="none"/>
                <w:lang w:val="en-US" w:eastAsia="zh-CN"/>
              </w:rPr>
              <w:t>。</w:t>
            </w:r>
          </w:p>
          <w:p w14:paraId="72F36D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仿宋_GB2312" w:cs="Times New Roman"/>
                <w:b/>
                <w:bCs w:val="0"/>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fldChar w:fldCharType="begin"/>
            </w:r>
            <w:r>
              <w:rPr>
                <w:rFonts w:hint="default" w:ascii="Times New Roman" w:hAnsi="Times New Roman" w:eastAsia="仿宋_GB2312" w:cs="Times New Roman"/>
                <w:b/>
                <w:bCs w:val="0"/>
                <w:color w:val="auto"/>
                <w:sz w:val="24"/>
                <w:szCs w:val="24"/>
                <w:highlight w:val="none"/>
                <w:lang w:val="en-US" w:eastAsia="zh-CN"/>
              </w:rPr>
              <w:instrText xml:space="preserve"> = 3 \* GB3 \* MERGEFORMAT </w:instrText>
            </w:r>
            <w:r>
              <w:rPr>
                <w:rFonts w:hint="default" w:ascii="Times New Roman" w:hAnsi="Times New Roman" w:eastAsia="仿宋_GB2312" w:cs="Times New Roman"/>
                <w:b/>
                <w:bCs w:val="0"/>
                <w:color w:val="auto"/>
                <w:sz w:val="24"/>
                <w:szCs w:val="24"/>
                <w:highlight w:val="none"/>
                <w:lang w:val="en-US" w:eastAsia="zh-CN"/>
              </w:rPr>
              <w:fldChar w:fldCharType="separate"/>
            </w:r>
            <w:r>
              <w:rPr>
                <w:rFonts w:hint="default" w:ascii="Times New Roman" w:hAnsi="Times New Roman" w:eastAsia="仿宋_GB2312" w:cs="Times New Roman"/>
                <w:b/>
                <w:bCs w:val="0"/>
                <w:color w:val="auto"/>
                <w:sz w:val="24"/>
                <w:szCs w:val="24"/>
                <w:highlight w:val="none"/>
                <w:lang w:val="en-US" w:eastAsia="zh-CN"/>
              </w:rPr>
              <w:t>③</w:t>
            </w:r>
            <w:r>
              <w:rPr>
                <w:rFonts w:hint="default" w:ascii="Times New Roman" w:hAnsi="Times New Roman" w:eastAsia="仿宋_GB2312" w:cs="Times New Roman"/>
                <w:b/>
                <w:bCs w:val="0"/>
                <w:color w:val="auto"/>
                <w:sz w:val="24"/>
                <w:szCs w:val="24"/>
                <w:highlight w:val="none"/>
                <w:lang w:val="en-US" w:eastAsia="zh-CN"/>
              </w:rPr>
              <w:fldChar w:fldCharType="end"/>
            </w:r>
            <w:r>
              <w:rPr>
                <w:rFonts w:hint="default" w:ascii="Times New Roman" w:hAnsi="Times New Roman" w:eastAsia="仿宋_GB2312" w:cs="Times New Roman"/>
                <w:b/>
                <w:bCs w:val="0"/>
                <w:color w:val="auto"/>
                <w:sz w:val="24"/>
                <w:szCs w:val="24"/>
                <w:highlight w:val="none"/>
                <w:lang w:val="en-US" w:eastAsia="zh-CN"/>
              </w:rPr>
              <w:t>食堂</w:t>
            </w:r>
            <w:r>
              <w:rPr>
                <w:rFonts w:hint="eastAsia" w:ascii="Times New Roman" w:hAnsi="Times New Roman" w:eastAsia="仿宋_GB2312" w:cs="Times New Roman"/>
                <w:b/>
                <w:bCs w:val="0"/>
                <w:color w:val="auto"/>
                <w:sz w:val="24"/>
                <w:szCs w:val="24"/>
                <w:highlight w:val="none"/>
                <w:lang w:val="en-US" w:eastAsia="zh-CN"/>
              </w:rPr>
              <w:t>用水</w:t>
            </w:r>
          </w:p>
          <w:p w14:paraId="656FD7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default"/>
                <w:color w:val="auto"/>
                <w:lang w:val="en-US" w:eastAsia="zh-CN"/>
              </w:rPr>
            </w:pPr>
            <w:r>
              <w:rPr>
                <w:rFonts w:hint="default" w:ascii="Times New Roman" w:hAnsi="Times New Roman" w:eastAsia="仿宋_GB2312" w:cs="Times New Roman"/>
                <w:snapToGrid w:val="0"/>
                <w:color w:val="auto"/>
                <w:kern w:val="0"/>
                <w:sz w:val="24"/>
                <w:highlight w:val="none"/>
              </w:rPr>
              <w:t>本项目食堂用水定额按</w:t>
            </w:r>
            <w:r>
              <w:rPr>
                <w:rFonts w:hint="default" w:ascii="Times New Roman" w:hAnsi="Times New Roman" w:eastAsia="仿宋_GB2312" w:cs="Times New Roman"/>
                <w:snapToGrid w:val="0"/>
                <w:color w:val="auto"/>
                <w:kern w:val="0"/>
                <w:sz w:val="24"/>
                <w:highlight w:val="none"/>
                <w:lang w:val="en-US" w:eastAsia="zh-CN"/>
              </w:rPr>
              <w:t>2</w:t>
            </w:r>
            <w:r>
              <w:rPr>
                <w:rFonts w:hint="default" w:ascii="Times New Roman" w:hAnsi="Times New Roman" w:eastAsia="仿宋_GB2312" w:cs="Times New Roman"/>
                <w:snapToGrid w:val="0"/>
                <w:color w:val="auto"/>
                <w:kern w:val="0"/>
                <w:sz w:val="24"/>
                <w:highlight w:val="none"/>
              </w:rPr>
              <w:t>0L/人·d计算，厂区内用餐人员</w:t>
            </w:r>
            <w:r>
              <w:rPr>
                <w:rFonts w:hint="eastAsia" w:eastAsia="仿宋_GB2312" w:cs="Times New Roman"/>
                <w:snapToGrid w:val="0"/>
                <w:color w:val="auto"/>
                <w:kern w:val="0"/>
                <w:sz w:val="24"/>
                <w:highlight w:val="none"/>
                <w:lang w:val="en-US" w:eastAsia="zh-CN"/>
              </w:rPr>
              <w:t>50</w:t>
            </w:r>
            <w:r>
              <w:rPr>
                <w:rFonts w:hint="default" w:ascii="Times New Roman" w:hAnsi="Times New Roman" w:eastAsia="仿宋_GB2312" w:cs="Times New Roman"/>
                <w:snapToGrid w:val="0"/>
                <w:color w:val="auto"/>
                <w:kern w:val="0"/>
                <w:sz w:val="24"/>
                <w:highlight w:val="none"/>
              </w:rPr>
              <w:t>人，年工作</w:t>
            </w:r>
            <w:r>
              <w:rPr>
                <w:rFonts w:hint="eastAsia" w:eastAsia="仿宋_GB2312" w:cs="Times New Roman"/>
                <w:snapToGrid w:val="0"/>
                <w:color w:val="auto"/>
                <w:kern w:val="0"/>
                <w:sz w:val="24"/>
                <w:highlight w:val="none"/>
                <w:lang w:val="en-US" w:eastAsia="zh-CN"/>
              </w:rPr>
              <w:t>240</w:t>
            </w:r>
            <w:r>
              <w:rPr>
                <w:rFonts w:hint="eastAsia" w:ascii="Times New Roman" w:hAnsi="Times New Roman" w:eastAsia="仿宋_GB2312" w:cs="Times New Roman"/>
                <w:snapToGrid w:val="0"/>
                <w:color w:val="auto"/>
                <w:kern w:val="0"/>
                <w:sz w:val="24"/>
                <w:highlight w:val="none"/>
                <w:lang w:val="en-US" w:eastAsia="zh-CN"/>
              </w:rPr>
              <w:t>天</w:t>
            </w:r>
            <w:r>
              <w:rPr>
                <w:rFonts w:hint="default" w:ascii="Times New Roman" w:hAnsi="Times New Roman" w:eastAsia="仿宋_GB2312" w:cs="Times New Roman"/>
                <w:snapToGrid w:val="0"/>
                <w:color w:val="auto"/>
                <w:kern w:val="0"/>
                <w:sz w:val="24"/>
                <w:highlight w:val="none"/>
              </w:rPr>
              <w:t>，因此本项目食堂用水量为</w:t>
            </w:r>
            <w:r>
              <w:rPr>
                <w:rFonts w:hint="eastAsia" w:eastAsia="仿宋_GB2312" w:cs="Times New Roman"/>
                <w:snapToGrid w:val="0"/>
                <w:color w:val="auto"/>
                <w:kern w:val="0"/>
                <w:sz w:val="24"/>
                <w:highlight w:val="none"/>
                <w:lang w:val="en-US" w:eastAsia="zh-CN"/>
              </w:rPr>
              <w:t>1</w:t>
            </w:r>
            <w:r>
              <w:rPr>
                <w:rFonts w:hint="default" w:ascii="Times New Roman" w:hAnsi="Times New Roman" w:eastAsia="仿宋_GB2312" w:cs="Times New Roman"/>
                <w:snapToGrid w:val="0"/>
                <w:color w:val="auto"/>
                <w:kern w:val="0"/>
                <w:sz w:val="24"/>
                <w:highlight w:val="none"/>
                <w:lang w:val="en-US" w:eastAsia="zh-CN"/>
              </w:rPr>
              <w:t>m</w:t>
            </w:r>
            <w:r>
              <w:rPr>
                <w:rFonts w:hint="default" w:ascii="Times New Roman" w:hAnsi="Times New Roman" w:eastAsia="仿宋_GB2312" w:cs="Times New Roman"/>
                <w:snapToGrid w:val="0"/>
                <w:color w:val="auto"/>
                <w:kern w:val="0"/>
                <w:sz w:val="24"/>
                <w:highlight w:val="none"/>
                <w:vertAlign w:val="superscript"/>
                <w:lang w:val="en-US" w:eastAsia="zh-CN"/>
              </w:rPr>
              <w:t>3</w:t>
            </w:r>
            <w:r>
              <w:rPr>
                <w:rFonts w:hint="default" w:ascii="Times New Roman" w:hAnsi="Times New Roman" w:eastAsia="仿宋_GB2312" w:cs="Times New Roman"/>
                <w:snapToGrid w:val="0"/>
                <w:color w:val="auto"/>
                <w:kern w:val="0"/>
                <w:sz w:val="24"/>
                <w:highlight w:val="none"/>
                <w:vertAlign w:val="baseline"/>
                <w:lang w:val="en-US" w:eastAsia="zh-CN"/>
              </w:rPr>
              <w:t>/d</w:t>
            </w:r>
            <w:r>
              <w:rPr>
                <w:rFonts w:hint="default" w:ascii="Times New Roman" w:hAnsi="Times New Roman" w:eastAsia="仿宋_GB2312" w:cs="Times New Roman"/>
                <w:snapToGrid w:val="0"/>
                <w:color w:val="auto"/>
                <w:kern w:val="0"/>
                <w:sz w:val="24"/>
                <w:highlight w:val="none"/>
                <w:lang w:eastAsia="zh-CN"/>
              </w:rPr>
              <w:t>（</w:t>
            </w:r>
            <w:r>
              <w:rPr>
                <w:rFonts w:hint="eastAsia" w:eastAsia="仿宋_GB2312" w:cs="Times New Roman"/>
                <w:snapToGrid w:val="0"/>
                <w:color w:val="auto"/>
                <w:kern w:val="0"/>
                <w:sz w:val="24"/>
                <w:highlight w:val="none"/>
                <w:lang w:val="en-US" w:eastAsia="zh-CN"/>
              </w:rPr>
              <w:t>240</w:t>
            </w:r>
            <w:r>
              <w:rPr>
                <w:rFonts w:hint="default" w:ascii="Times New Roman" w:hAnsi="Times New Roman" w:eastAsia="仿宋_GB2312" w:cs="Times New Roman"/>
                <w:snapToGrid w:val="0"/>
                <w:color w:val="auto"/>
                <w:kern w:val="0"/>
                <w:sz w:val="24"/>
                <w:highlight w:val="none"/>
              </w:rPr>
              <w:t>m</w:t>
            </w:r>
            <w:r>
              <w:rPr>
                <w:rFonts w:hint="default" w:ascii="Times New Roman" w:hAnsi="Times New Roman" w:eastAsia="仿宋_GB2312" w:cs="Times New Roman"/>
                <w:snapToGrid w:val="0"/>
                <w:color w:val="auto"/>
                <w:kern w:val="0"/>
                <w:sz w:val="24"/>
                <w:highlight w:val="none"/>
                <w:vertAlign w:val="superscript"/>
              </w:rPr>
              <w:t>3</w:t>
            </w:r>
            <w:r>
              <w:rPr>
                <w:rFonts w:hint="default" w:ascii="Times New Roman" w:hAnsi="Times New Roman" w:eastAsia="仿宋_GB2312" w:cs="Times New Roman"/>
                <w:snapToGrid w:val="0"/>
                <w:color w:val="auto"/>
                <w:kern w:val="0"/>
                <w:sz w:val="24"/>
                <w:highlight w:val="none"/>
              </w:rPr>
              <w:t>/a</w:t>
            </w:r>
            <w:r>
              <w:rPr>
                <w:rFonts w:hint="default" w:ascii="Times New Roman" w:hAnsi="Times New Roman" w:eastAsia="仿宋_GB2312" w:cs="Times New Roman"/>
                <w:snapToGrid w:val="0"/>
                <w:color w:val="auto"/>
                <w:kern w:val="0"/>
                <w:sz w:val="24"/>
                <w:highlight w:val="none"/>
                <w:lang w:eastAsia="zh-CN"/>
              </w:rPr>
              <w:t>）</w:t>
            </w:r>
            <w:r>
              <w:rPr>
                <w:rFonts w:hint="default" w:ascii="Times New Roman" w:hAnsi="Times New Roman" w:eastAsia="仿宋_GB2312" w:cs="Times New Roman"/>
                <w:snapToGrid w:val="0"/>
                <w:color w:val="auto"/>
                <w:kern w:val="0"/>
                <w:sz w:val="24"/>
                <w:highlight w:val="none"/>
              </w:rPr>
              <w:t>。</w:t>
            </w:r>
          </w:p>
          <w:p w14:paraId="6264F6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 w:cs="Times New Roman"/>
                <w:b/>
                <w:bCs w:val="0"/>
                <w:color w:val="auto"/>
                <w:sz w:val="24"/>
                <w:szCs w:val="24"/>
                <w:highlight w:val="none"/>
                <w:lang w:eastAsia="zh-CN"/>
              </w:rPr>
            </w:pPr>
            <w:r>
              <w:rPr>
                <w:rFonts w:hint="eastAsia" w:eastAsia="仿宋" w:cs="Times New Roman"/>
                <w:b/>
                <w:bCs w:val="0"/>
                <w:color w:val="auto"/>
                <w:sz w:val="24"/>
                <w:szCs w:val="24"/>
                <w:highlight w:val="none"/>
                <w:lang w:val="en-US" w:eastAsia="zh-CN"/>
              </w:rPr>
              <w:t>（2）</w:t>
            </w:r>
            <w:r>
              <w:rPr>
                <w:rFonts w:hint="default" w:ascii="Times New Roman" w:hAnsi="Times New Roman" w:eastAsia="仿宋" w:cs="Times New Roman"/>
                <w:b/>
                <w:bCs w:val="0"/>
                <w:color w:val="auto"/>
                <w:sz w:val="24"/>
                <w:szCs w:val="24"/>
                <w:highlight w:val="none"/>
                <w:lang w:val="en-US" w:eastAsia="zh-CN"/>
              </w:rPr>
              <w:t>排水</w:t>
            </w:r>
          </w:p>
          <w:p w14:paraId="2F3816C4">
            <w:pPr>
              <w:keepNext w:val="0"/>
              <w:keepLines w:val="0"/>
              <w:pageBreakBefore w:val="0"/>
              <w:widowControl w:val="0"/>
              <w:kinsoku/>
              <w:wordWrap/>
              <w:overflowPunct/>
              <w:topLinePunct w:val="0"/>
              <w:autoSpaceDE w:val="0"/>
              <w:autoSpaceDN w:val="0"/>
              <w:bidi w:val="0"/>
              <w:adjustRightInd w:val="0"/>
              <w:snapToGrid w:val="0"/>
              <w:spacing w:line="336" w:lineRule="auto"/>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bCs/>
                <w:color w:val="auto"/>
                <w:sz w:val="24"/>
                <w:szCs w:val="24"/>
                <w:highlight w:val="none"/>
                <w:lang w:val="en-US" w:eastAsia="zh-CN"/>
              </w:rPr>
              <w:t>本项目废水主要为车辆及地面冲洗废水、搅拌机冲洗废水、生活污水和厂区</w:t>
            </w:r>
            <w:r>
              <w:rPr>
                <w:rFonts w:hint="default" w:ascii="Times New Roman" w:hAnsi="Times New Roman" w:eastAsia="仿宋_GB2312" w:cs="Times New Roman"/>
                <w:b w:val="0"/>
                <w:bCs/>
                <w:color w:val="auto"/>
                <w:sz w:val="24"/>
                <w:szCs w:val="24"/>
                <w:highlight w:val="none"/>
                <w:lang w:val="en-US" w:eastAsia="zh-CN"/>
              </w:rPr>
              <w:t>食堂</w:t>
            </w:r>
            <w:r>
              <w:rPr>
                <w:rFonts w:hint="default" w:ascii="Times New Roman" w:hAnsi="Times New Roman" w:eastAsia="仿宋_GB2312" w:cs="Times New Roman"/>
                <w:bCs/>
                <w:color w:val="auto"/>
                <w:sz w:val="24"/>
                <w:szCs w:val="24"/>
                <w:highlight w:val="none"/>
                <w:lang w:val="en-US" w:eastAsia="zh-CN"/>
              </w:rPr>
              <w:t>用水，</w:t>
            </w:r>
            <w:r>
              <w:rPr>
                <w:rFonts w:hint="default" w:ascii="Times New Roman" w:hAnsi="Times New Roman" w:eastAsia="仿宋_GB2312" w:cs="Times New Roman"/>
                <w:color w:val="auto"/>
                <w:sz w:val="24"/>
                <w:highlight w:val="none"/>
                <w:lang w:eastAsia="zh-CN"/>
              </w:rPr>
              <w:t>其中车辆及地面冲洗废水、</w:t>
            </w:r>
            <w:r>
              <w:rPr>
                <w:rFonts w:hint="default" w:ascii="Times New Roman" w:hAnsi="Times New Roman" w:eastAsia="仿宋_GB2312" w:cs="Times New Roman"/>
                <w:bCs/>
                <w:color w:val="auto"/>
                <w:sz w:val="24"/>
                <w:szCs w:val="24"/>
                <w:highlight w:val="none"/>
                <w:lang w:val="en-US" w:eastAsia="zh-CN"/>
              </w:rPr>
              <w:t>搅拌机冲洗废水</w:t>
            </w:r>
            <w:r>
              <w:rPr>
                <w:rFonts w:hint="default" w:ascii="Times New Roman" w:hAnsi="Times New Roman" w:eastAsia="仿宋_GB2312" w:cs="Times New Roman"/>
                <w:color w:val="auto"/>
                <w:kern w:val="2"/>
                <w:sz w:val="24"/>
                <w:szCs w:val="20"/>
                <w:highlight w:val="none"/>
                <w:vertAlign w:val="baseline"/>
                <w:lang w:val="en-US" w:eastAsia="zh-CN" w:bidi="ar-SA"/>
              </w:rPr>
              <w:t>经沉淀池沉淀后回用，不外排。</w:t>
            </w:r>
          </w:p>
          <w:p w14:paraId="58310210">
            <w:pPr>
              <w:keepNext w:val="0"/>
              <w:keepLines w:val="0"/>
              <w:pageBreakBefore w:val="0"/>
              <w:widowControl w:val="0"/>
              <w:kinsoku/>
              <w:wordWrap/>
              <w:overflowPunct/>
              <w:topLinePunct w:val="0"/>
              <w:autoSpaceDE w:val="0"/>
              <w:autoSpaceDN w:val="0"/>
              <w:bidi w:val="0"/>
              <w:adjustRightInd w:val="0"/>
              <w:snapToGrid w:val="0"/>
              <w:spacing w:line="336" w:lineRule="auto"/>
              <w:ind w:firstLine="482"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b/>
                <w:bCs/>
                <w:color w:val="auto"/>
                <w:sz w:val="24"/>
                <w:highlight w:val="none"/>
                <w:lang w:val="en-US" w:eastAsia="zh-CN"/>
              </w:rPr>
              <w:t>生活污水：</w:t>
            </w:r>
            <w:r>
              <w:rPr>
                <w:rFonts w:hint="default" w:ascii="Times New Roman" w:hAnsi="Times New Roman" w:eastAsia="仿宋_GB2312" w:cs="Times New Roman"/>
                <w:bCs/>
                <w:color w:val="auto"/>
                <w:sz w:val="24"/>
                <w:highlight w:val="none"/>
              </w:rPr>
              <w:t>本项目生活用水量</w:t>
            </w:r>
            <w:r>
              <w:rPr>
                <w:rFonts w:hint="default" w:ascii="Times New Roman" w:hAnsi="Times New Roman" w:eastAsia="仿宋_GB2312" w:cs="Times New Roman"/>
                <w:bCs/>
                <w:color w:val="auto"/>
                <w:sz w:val="24"/>
                <w:highlight w:val="none"/>
                <w:lang w:val="en-US" w:eastAsia="zh-CN"/>
              </w:rPr>
              <w:t>共计</w:t>
            </w:r>
            <w:r>
              <w:rPr>
                <w:rFonts w:hint="default" w:ascii="Times New Roman" w:hAnsi="Times New Roman" w:eastAsia="仿宋_GB2312" w:cs="Times New Roman"/>
                <w:bCs/>
                <w:color w:val="auto"/>
                <w:sz w:val="24"/>
                <w:highlight w:val="none"/>
              </w:rPr>
              <w:t>为</w:t>
            </w:r>
            <w:r>
              <w:rPr>
                <w:rFonts w:hint="eastAsia" w:eastAsia="仿宋_GB2312" w:cs="Times New Roman"/>
                <w:bCs/>
                <w:color w:val="auto"/>
                <w:sz w:val="24"/>
                <w:highlight w:val="none"/>
                <w:lang w:val="en-US" w:eastAsia="zh-CN"/>
              </w:rPr>
              <w:t>840</w:t>
            </w:r>
            <w:r>
              <w:rPr>
                <w:rFonts w:hint="default" w:ascii="Times New Roman" w:hAnsi="Times New Roman" w:eastAsia="仿宋_GB2312" w:cs="Times New Roman"/>
                <w:bCs/>
                <w:color w:val="auto"/>
                <w:sz w:val="24"/>
                <w:highlight w:val="none"/>
              </w:rPr>
              <w:t>m</w:t>
            </w:r>
            <w:r>
              <w:rPr>
                <w:rFonts w:hint="default" w:ascii="Times New Roman" w:hAnsi="Times New Roman" w:eastAsia="仿宋_GB2312" w:cs="Times New Roman"/>
                <w:bCs/>
                <w:color w:val="auto"/>
                <w:sz w:val="24"/>
                <w:highlight w:val="none"/>
                <w:vertAlign w:val="superscript"/>
              </w:rPr>
              <w:t>3</w:t>
            </w:r>
            <w:r>
              <w:rPr>
                <w:rFonts w:hint="default" w:ascii="Times New Roman" w:hAnsi="Times New Roman" w:eastAsia="仿宋_GB2312" w:cs="Times New Roman"/>
                <w:bCs/>
                <w:color w:val="auto"/>
                <w:sz w:val="24"/>
                <w:highlight w:val="none"/>
              </w:rPr>
              <w:t>/a，</w:t>
            </w:r>
            <w:r>
              <w:rPr>
                <w:rFonts w:hint="default" w:ascii="Times New Roman" w:hAnsi="Times New Roman" w:eastAsia="仿宋_GB2312" w:cs="Times New Roman"/>
                <w:bCs/>
                <w:color w:val="auto"/>
                <w:sz w:val="24"/>
                <w:highlight w:val="none"/>
                <w:lang w:val="en-US" w:eastAsia="zh-CN"/>
              </w:rPr>
              <w:t>生活</w:t>
            </w:r>
            <w:r>
              <w:rPr>
                <w:rFonts w:hint="default" w:ascii="Times New Roman" w:hAnsi="Times New Roman" w:eastAsia="仿宋_GB2312" w:cs="Times New Roman"/>
                <w:bCs/>
                <w:color w:val="auto"/>
                <w:sz w:val="24"/>
                <w:highlight w:val="none"/>
                <w:lang w:eastAsia="zh-CN"/>
              </w:rPr>
              <w:t>污水</w:t>
            </w:r>
            <w:r>
              <w:rPr>
                <w:rFonts w:hint="default" w:ascii="Times New Roman" w:hAnsi="Times New Roman" w:eastAsia="仿宋_GB2312" w:cs="Times New Roman"/>
                <w:bCs/>
                <w:color w:val="auto"/>
                <w:sz w:val="24"/>
                <w:highlight w:val="none"/>
              </w:rPr>
              <w:t>量</w:t>
            </w:r>
            <w:r>
              <w:rPr>
                <w:rFonts w:hint="default" w:ascii="Times New Roman" w:hAnsi="Times New Roman" w:eastAsia="仿宋_GB2312" w:cs="Times New Roman"/>
                <w:color w:val="auto"/>
                <w:sz w:val="24"/>
                <w:highlight w:val="none"/>
              </w:rPr>
              <w:t>按用水量的80%计，</w:t>
            </w:r>
            <w:r>
              <w:rPr>
                <w:rFonts w:hint="default" w:ascii="Times New Roman" w:hAnsi="Times New Roman" w:eastAsia="仿宋_GB2312" w:cs="Times New Roman"/>
                <w:color w:val="auto"/>
                <w:sz w:val="24"/>
                <w:highlight w:val="none"/>
                <w:lang w:eastAsia="zh-CN"/>
              </w:rPr>
              <w:t>生活污水产生量为</w:t>
            </w:r>
            <w:r>
              <w:rPr>
                <w:rFonts w:hint="eastAsia" w:eastAsia="仿宋_GB2312" w:cs="Times New Roman"/>
                <w:color w:val="auto"/>
                <w:sz w:val="24"/>
                <w:highlight w:val="none"/>
                <w:lang w:val="en-US" w:eastAsia="zh-CN"/>
              </w:rPr>
              <w:t>2.8</w:t>
            </w:r>
            <w:r>
              <w:rPr>
                <w:rFonts w:hint="default" w:ascii="Times New Roman" w:hAnsi="Times New Roman" w:eastAsia="仿宋_GB2312" w:cs="Times New Roman"/>
                <w:color w:val="auto"/>
                <w:sz w:val="24"/>
                <w:highlight w:val="none"/>
              </w:rPr>
              <w:t>m</w:t>
            </w:r>
            <w:r>
              <w:rPr>
                <w:rFonts w:hint="default" w:ascii="Times New Roman" w:hAnsi="Times New Roman" w:eastAsia="仿宋_GB2312" w:cs="Times New Roman"/>
                <w:color w:val="auto"/>
                <w:sz w:val="24"/>
                <w:highlight w:val="none"/>
                <w:vertAlign w:val="superscript"/>
              </w:rPr>
              <w:t>3</w:t>
            </w:r>
            <w:r>
              <w:rPr>
                <w:rFonts w:hint="default" w:ascii="Times New Roman" w:hAnsi="Times New Roman" w:eastAsia="仿宋_GB2312" w:cs="Times New Roman"/>
                <w:color w:val="auto"/>
                <w:sz w:val="24"/>
                <w:highlight w:val="none"/>
              </w:rPr>
              <w:t>/d（</w:t>
            </w:r>
            <w:r>
              <w:rPr>
                <w:rFonts w:hint="eastAsia" w:eastAsia="仿宋_GB2312" w:cs="Times New Roman"/>
                <w:color w:val="auto"/>
                <w:sz w:val="24"/>
                <w:highlight w:val="none"/>
                <w:lang w:val="en-US" w:eastAsia="zh-CN"/>
              </w:rPr>
              <w:t>672</w:t>
            </w:r>
            <w:r>
              <w:rPr>
                <w:rFonts w:hint="default" w:ascii="Times New Roman" w:hAnsi="Times New Roman" w:eastAsia="仿宋_GB2312" w:cs="Times New Roman"/>
                <w:color w:val="auto"/>
                <w:sz w:val="24"/>
                <w:highlight w:val="none"/>
              </w:rPr>
              <w:t>m</w:t>
            </w:r>
            <w:r>
              <w:rPr>
                <w:rFonts w:hint="default" w:ascii="Times New Roman" w:hAnsi="Times New Roman" w:eastAsia="仿宋_GB2312" w:cs="Times New Roman"/>
                <w:color w:val="auto"/>
                <w:sz w:val="24"/>
                <w:highlight w:val="none"/>
                <w:vertAlign w:val="superscript"/>
              </w:rPr>
              <w:t>3</w:t>
            </w:r>
            <w:r>
              <w:rPr>
                <w:rFonts w:hint="default" w:ascii="Times New Roman" w:hAnsi="Times New Roman" w:eastAsia="仿宋_GB2312" w:cs="Times New Roman"/>
                <w:color w:val="auto"/>
                <w:sz w:val="24"/>
                <w:highlight w:val="none"/>
              </w:rPr>
              <w:t>/a）</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bCs/>
                <w:color w:val="auto"/>
                <w:sz w:val="24"/>
                <w:highlight w:val="none"/>
                <w:lang w:val="en-US" w:eastAsia="zh-CN"/>
              </w:rPr>
              <w:t>项目部</w:t>
            </w:r>
            <w:r>
              <w:rPr>
                <w:rFonts w:hint="default" w:ascii="Times New Roman" w:hAnsi="Times New Roman" w:eastAsia="仿宋_GB2312" w:cs="Times New Roman"/>
                <w:color w:val="auto"/>
                <w:sz w:val="24"/>
                <w:highlight w:val="none"/>
                <w:lang w:eastAsia="zh-CN"/>
              </w:rPr>
              <w:t>设置</w:t>
            </w:r>
            <w:r>
              <w:rPr>
                <w:rFonts w:hint="default" w:ascii="Times New Roman" w:hAnsi="Times New Roman" w:eastAsia="仿宋_GB2312" w:cs="Times New Roman"/>
                <w:bCs/>
                <w:color w:val="auto"/>
                <w:sz w:val="24"/>
                <w:highlight w:val="none"/>
                <w:lang w:eastAsia="zh-CN"/>
              </w:rPr>
              <w:t>化粪池，生活污水</w:t>
            </w:r>
            <w:r>
              <w:rPr>
                <w:rFonts w:hint="eastAsia" w:eastAsia="仿宋_GB2312" w:cs="Times New Roman"/>
                <w:bCs/>
                <w:color w:val="auto"/>
                <w:sz w:val="24"/>
                <w:highlight w:val="none"/>
                <w:lang w:val="en-US" w:eastAsia="zh-CN"/>
              </w:rPr>
              <w:t>经</w:t>
            </w:r>
            <w:r>
              <w:rPr>
                <w:rFonts w:hint="default" w:ascii="Times New Roman" w:hAnsi="Times New Roman" w:eastAsia="仿宋_GB2312" w:cs="Times New Roman"/>
                <w:color w:val="auto"/>
                <w:sz w:val="24"/>
                <w:highlight w:val="none"/>
              </w:rPr>
              <w:t>化粪池处理后定期</w:t>
            </w:r>
            <w:r>
              <w:rPr>
                <w:rFonts w:hint="default" w:ascii="Times New Roman" w:hAnsi="Times New Roman" w:eastAsia="仿宋_GB2312" w:cs="Times New Roman"/>
                <w:color w:val="auto"/>
                <w:sz w:val="24"/>
                <w:highlight w:val="none"/>
                <w:lang w:eastAsia="zh-CN"/>
              </w:rPr>
              <w:t>拉运</w:t>
            </w:r>
            <w:r>
              <w:rPr>
                <w:rFonts w:hint="default" w:ascii="Times New Roman" w:hAnsi="Times New Roman" w:eastAsia="仿宋_GB2312" w:cs="Times New Roman"/>
                <w:color w:val="auto"/>
                <w:sz w:val="24"/>
                <w:highlight w:val="none"/>
              </w:rPr>
              <w:t>至</w:t>
            </w:r>
            <w:r>
              <w:rPr>
                <w:rFonts w:hint="default" w:ascii="Times New Roman" w:hAnsi="Times New Roman" w:eastAsia="仿宋_GB2312" w:cs="Times New Roman"/>
                <w:b w:val="0"/>
                <w:bCs w:val="0"/>
                <w:color w:val="auto"/>
                <w:kern w:val="2"/>
                <w:sz w:val="24"/>
                <w:szCs w:val="24"/>
                <w:highlight w:val="none"/>
                <w:lang w:val="en-US" w:eastAsia="zh-CN" w:bidi="ar-SA"/>
              </w:rPr>
              <w:t>中卫市沙坡头区兴仁镇污水处理厂</w:t>
            </w:r>
            <w:r>
              <w:rPr>
                <w:rFonts w:hint="default" w:ascii="Times New Roman" w:hAnsi="Times New Roman" w:eastAsia="仿宋_GB2312" w:cs="Times New Roman"/>
                <w:color w:val="auto"/>
                <w:sz w:val="24"/>
                <w:highlight w:val="none"/>
              </w:rPr>
              <w:t>处置</w:t>
            </w:r>
            <w:r>
              <w:rPr>
                <w:rFonts w:hint="default" w:ascii="Times New Roman" w:hAnsi="Times New Roman" w:eastAsia="仿宋_GB2312" w:cs="Times New Roman"/>
                <w:color w:val="auto"/>
                <w:sz w:val="24"/>
                <w:highlight w:val="none"/>
                <w:lang w:eastAsia="zh-CN"/>
              </w:rPr>
              <w:t>。</w:t>
            </w:r>
          </w:p>
          <w:p w14:paraId="35B8E48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食堂废水：</w:t>
            </w:r>
            <w:r>
              <w:rPr>
                <w:rFonts w:hint="default" w:ascii="Times New Roman" w:hAnsi="Times New Roman" w:eastAsia="仿宋_GB2312" w:cs="Times New Roman"/>
                <w:color w:val="auto"/>
                <w:sz w:val="24"/>
                <w:szCs w:val="24"/>
                <w:highlight w:val="none"/>
                <w:lang w:val="en-US" w:eastAsia="zh-CN"/>
              </w:rPr>
              <w:t>本项目</w:t>
            </w:r>
            <w:r>
              <w:rPr>
                <w:rFonts w:hint="default" w:ascii="Times New Roman" w:hAnsi="Times New Roman" w:eastAsia="仿宋_GB2312" w:cs="Times New Roman"/>
                <w:b w:val="0"/>
                <w:bCs/>
                <w:color w:val="auto"/>
                <w:sz w:val="24"/>
                <w:szCs w:val="24"/>
                <w:highlight w:val="none"/>
                <w:lang w:val="en-US" w:eastAsia="zh-CN"/>
              </w:rPr>
              <w:t>食堂</w:t>
            </w:r>
            <w:r>
              <w:rPr>
                <w:rFonts w:hint="default" w:ascii="Times New Roman" w:hAnsi="Times New Roman" w:eastAsia="仿宋_GB2312" w:cs="Times New Roman"/>
                <w:color w:val="auto"/>
                <w:sz w:val="24"/>
                <w:szCs w:val="24"/>
                <w:highlight w:val="none"/>
                <w:lang w:val="en-US" w:eastAsia="zh-CN"/>
              </w:rPr>
              <w:t>用水量共计为</w:t>
            </w:r>
            <w:r>
              <w:rPr>
                <w:rFonts w:hint="eastAsia" w:eastAsia="仿宋_GB2312" w:cs="Times New Roman"/>
                <w:color w:val="auto"/>
                <w:sz w:val="24"/>
                <w:szCs w:val="24"/>
                <w:highlight w:val="none"/>
                <w:lang w:val="en-US" w:eastAsia="zh-CN"/>
              </w:rPr>
              <w:t>240</w:t>
            </w:r>
            <w:r>
              <w:rPr>
                <w:rFonts w:hint="default" w:ascii="Times New Roman" w:hAnsi="Times New Roman" w:eastAsia="仿宋_GB2312" w:cs="Times New Roman"/>
                <w:color w:val="auto"/>
                <w:sz w:val="24"/>
                <w:szCs w:val="24"/>
                <w:highlight w:val="none"/>
                <w:lang w:val="en-US" w:eastAsia="zh-CN"/>
              </w:rPr>
              <w:t>m</w:t>
            </w:r>
            <w:r>
              <w:rPr>
                <w:rFonts w:hint="default" w:ascii="Times New Roman" w:hAnsi="Times New Roman" w:eastAsia="仿宋_GB2312" w:cs="Times New Roman"/>
                <w:color w:val="auto"/>
                <w:sz w:val="24"/>
                <w:szCs w:val="24"/>
                <w:highlight w:val="none"/>
                <w:vertAlign w:val="superscript"/>
                <w:lang w:val="en-US" w:eastAsia="zh-CN"/>
              </w:rPr>
              <w:t>3</w:t>
            </w:r>
            <w:r>
              <w:rPr>
                <w:rFonts w:hint="default" w:ascii="Times New Roman" w:hAnsi="Times New Roman" w:eastAsia="仿宋_GB2312" w:cs="Times New Roman"/>
                <w:color w:val="auto"/>
                <w:sz w:val="24"/>
                <w:szCs w:val="24"/>
                <w:highlight w:val="none"/>
                <w:lang w:val="en-US" w:eastAsia="zh-CN"/>
              </w:rPr>
              <w:t>/a，废水量按用水量的80%计，废水产生量为0.</w:t>
            </w:r>
            <w:r>
              <w:rPr>
                <w:rFonts w:hint="eastAsia"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lang w:val="en-US" w:eastAsia="zh-CN"/>
              </w:rPr>
              <w:t>m</w:t>
            </w:r>
            <w:r>
              <w:rPr>
                <w:rFonts w:hint="default" w:ascii="Times New Roman" w:hAnsi="Times New Roman" w:eastAsia="仿宋_GB2312" w:cs="Times New Roman"/>
                <w:color w:val="auto"/>
                <w:sz w:val="24"/>
                <w:szCs w:val="24"/>
                <w:highlight w:val="none"/>
                <w:vertAlign w:val="superscript"/>
                <w:lang w:val="en-US" w:eastAsia="zh-CN"/>
              </w:rPr>
              <w:t>3</w:t>
            </w:r>
            <w:r>
              <w:rPr>
                <w:rFonts w:hint="default" w:ascii="Times New Roman" w:hAnsi="Times New Roman" w:eastAsia="仿宋_GB2312" w:cs="Times New Roman"/>
                <w:color w:val="auto"/>
                <w:sz w:val="24"/>
                <w:szCs w:val="24"/>
                <w:highlight w:val="none"/>
                <w:lang w:val="en-US" w:eastAsia="zh-CN"/>
              </w:rPr>
              <w:t>/d（</w:t>
            </w:r>
            <w:r>
              <w:rPr>
                <w:rFonts w:hint="eastAsia" w:eastAsia="仿宋_GB2312" w:cs="Times New Roman"/>
                <w:color w:val="auto"/>
                <w:sz w:val="24"/>
                <w:szCs w:val="24"/>
                <w:highlight w:val="none"/>
                <w:lang w:val="en-US" w:eastAsia="zh-CN"/>
              </w:rPr>
              <w:t>192</w:t>
            </w:r>
            <w:r>
              <w:rPr>
                <w:rFonts w:hint="default" w:ascii="Times New Roman" w:hAnsi="Times New Roman" w:eastAsia="仿宋_GB2312" w:cs="Times New Roman"/>
                <w:color w:val="auto"/>
                <w:sz w:val="24"/>
                <w:szCs w:val="24"/>
                <w:highlight w:val="none"/>
                <w:lang w:val="en-US" w:eastAsia="zh-CN"/>
              </w:rPr>
              <w:t>m</w:t>
            </w:r>
            <w:r>
              <w:rPr>
                <w:rFonts w:hint="default" w:ascii="Times New Roman" w:hAnsi="Times New Roman" w:eastAsia="仿宋_GB2312" w:cs="Times New Roman"/>
                <w:color w:val="auto"/>
                <w:sz w:val="24"/>
                <w:szCs w:val="24"/>
                <w:highlight w:val="none"/>
                <w:vertAlign w:val="superscript"/>
                <w:lang w:val="en-US" w:eastAsia="zh-CN"/>
              </w:rPr>
              <w:t>3</w:t>
            </w:r>
            <w:r>
              <w:rPr>
                <w:rFonts w:hint="default" w:ascii="Times New Roman" w:hAnsi="Times New Roman" w:eastAsia="仿宋_GB2312" w:cs="Times New Roman"/>
                <w:color w:val="auto"/>
                <w:sz w:val="24"/>
                <w:szCs w:val="24"/>
                <w:highlight w:val="none"/>
                <w:lang w:val="en-US" w:eastAsia="zh-CN"/>
              </w:rPr>
              <w:t>/a），产生的食堂废水经隔油设施隔油后与生活污水</w:t>
            </w:r>
            <w:r>
              <w:rPr>
                <w:rFonts w:hint="eastAsia" w:eastAsia="仿宋_GB2312" w:cs="Times New Roman"/>
                <w:color w:val="auto"/>
                <w:sz w:val="24"/>
                <w:szCs w:val="24"/>
                <w:highlight w:val="none"/>
                <w:lang w:val="en-US" w:eastAsia="zh-CN"/>
              </w:rPr>
              <w:t>经</w:t>
            </w:r>
            <w:r>
              <w:rPr>
                <w:rFonts w:hint="default" w:ascii="Times New Roman" w:hAnsi="Times New Roman" w:eastAsia="仿宋_GB2312" w:cs="Times New Roman"/>
                <w:color w:val="auto"/>
                <w:sz w:val="24"/>
                <w:szCs w:val="24"/>
                <w:highlight w:val="none"/>
                <w:lang w:val="en-US" w:eastAsia="zh-CN"/>
              </w:rPr>
              <w:t>化粪池处理后定期拉运至中卫市沙坡头区兴仁镇污水处理厂处置。</w:t>
            </w:r>
          </w:p>
          <w:p w14:paraId="27FF54EA">
            <w:pPr>
              <w:adjustRightInd w:val="0"/>
              <w:snapToGrid w:val="0"/>
              <w:spacing w:line="360" w:lineRule="auto"/>
              <w:ind w:firstLine="480" w:firstLineChars="200"/>
              <w:rPr>
                <w:rFonts w:hint="default" w:ascii="Times New Roman" w:hAnsi="Times New Roman" w:cs="Times New Roman"/>
                <w:bCs/>
                <w:color w:val="auto"/>
                <w:szCs w:val="18"/>
                <w:highlight w:val="none"/>
              </w:rPr>
            </w:pPr>
            <w:r>
              <w:rPr>
                <w:rFonts w:hint="default" w:ascii="Times New Roman" w:hAnsi="Times New Roman" w:eastAsia="仿宋_GB2312" w:cs="Times New Roman"/>
                <w:color w:val="auto"/>
                <w:sz w:val="24"/>
                <w:highlight w:val="none"/>
              </w:rPr>
              <w:t>本项目具体用水及排水情况详见表</w:t>
            </w:r>
            <w:r>
              <w:rPr>
                <w:rFonts w:hint="default" w:ascii="Times New Roman" w:hAnsi="Times New Roman" w:eastAsia="仿宋_GB2312" w:cs="Times New Roman"/>
                <w:color w:val="auto"/>
                <w:sz w:val="24"/>
                <w:highlight w:val="none"/>
                <w:lang w:val="en-US" w:eastAsia="zh-CN"/>
              </w:rPr>
              <w:t>2-</w:t>
            </w:r>
            <w:r>
              <w:rPr>
                <w:rFonts w:hint="eastAsia"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rPr>
              <w:t>，项目水平衡见图</w:t>
            </w:r>
            <w:r>
              <w:rPr>
                <w:rFonts w:hint="default" w:ascii="Times New Roman" w:hAnsi="Times New Roman" w:eastAsia="仿宋_GB2312" w:cs="Times New Roman"/>
                <w:color w:val="auto"/>
                <w:sz w:val="24"/>
                <w:highlight w:val="none"/>
                <w:lang w:val="en-US" w:eastAsia="zh-CN"/>
              </w:rPr>
              <w:t>2-2。</w:t>
            </w:r>
          </w:p>
          <w:p w14:paraId="681F1E0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Cs/>
                <w:color w:val="auto"/>
                <w:szCs w:val="18"/>
                <w:highlight w:val="none"/>
              </w:rPr>
            </w:pPr>
          </w:p>
          <w:p w14:paraId="29D6728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Cs/>
                <w:color w:val="auto"/>
                <w:szCs w:val="18"/>
                <w:highlight w:val="none"/>
              </w:rPr>
            </w:pPr>
          </w:p>
          <w:p w14:paraId="540E0D7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Cs/>
                <w:color w:val="auto"/>
                <w:szCs w:val="18"/>
                <w:highlight w:val="none"/>
              </w:rPr>
            </w:pPr>
          </w:p>
          <w:p w14:paraId="2664EB5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Cs/>
                <w:color w:val="auto"/>
                <w:szCs w:val="18"/>
                <w:highlight w:val="none"/>
              </w:rPr>
            </w:pPr>
          </w:p>
          <w:p w14:paraId="3DD468F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Cs/>
                <w:color w:val="auto"/>
                <w:szCs w:val="18"/>
                <w:highlight w:val="none"/>
              </w:rPr>
            </w:pPr>
          </w:p>
          <w:p w14:paraId="315A74C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Cs/>
                <w:color w:val="auto"/>
                <w:szCs w:val="18"/>
                <w:highlight w:val="none"/>
              </w:rPr>
            </w:pPr>
          </w:p>
          <w:p w14:paraId="62B0892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Cs/>
                <w:color w:val="auto"/>
                <w:szCs w:val="18"/>
                <w:highlight w:val="none"/>
              </w:rPr>
            </w:pPr>
          </w:p>
          <w:p w14:paraId="4806DED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Cs/>
                <w:color w:val="auto"/>
                <w:szCs w:val="18"/>
                <w:highlight w:val="none"/>
              </w:rPr>
            </w:pPr>
          </w:p>
          <w:p w14:paraId="2397B58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color w:val="auto"/>
                <w:sz w:val="24"/>
                <w:szCs w:val="21"/>
                <w:highlight w:val="none"/>
              </w:rPr>
            </w:pPr>
            <w:r>
              <w:rPr>
                <w:rFonts w:hint="default" w:ascii="Times New Roman" w:hAnsi="Times New Roman" w:cs="Times New Roman"/>
                <w:bCs/>
                <w:color w:val="auto"/>
                <w:szCs w:val="18"/>
                <w:highlight w:val="none"/>
              </w:rPr>
              <w:t>表</w:t>
            </w:r>
            <w:r>
              <w:rPr>
                <w:rFonts w:hint="eastAsia" w:cs="Times New Roman"/>
                <w:bCs/>
                <w:color w:val="auto"/>
                <w:szCs w:val="18"/>
                <w:highlight w:val="none"/>
                <w:lang w:val="en-US" w:eastAsia="zh-CN"/>
              </w:rPr>
              <w:t>2-7</w:t>
            </w:r>
            <w:r>
              <w:rPr>
                <w:rFonts w:hint="default" w:ascii="Times New Roman" w:hAnsi="Times New Roman" w:cs="Times New Roman"/>
                <w:b/>
                <w:color w:val="auto"/>
                <w:sz w:val="24"/>
                <w:szCs w:val="21"/>
                <w:highlight w:val="none"/>
              </w:rPr>
              <w:t xml:space="preserve">    项目用水量及</w:t>
            </w:r>
            <w:r>
              <w:rPr>
                <w:rFonts w:hint="eastAsia" w:cs="Times New Roman"/>
                <w:b/>
                <w:color w:val="auto"/>
                <w:sz w:val="24"/>
                <w:szCs w:val="21"/>
                <w:highlight w:val="none"/>
                <w:lang w:eastAsia="zh-CN"/>
              </w:rPr>
              <w:t>废</w:t>
            </w:r>
            <w:r>
              <w:rPr>
                <w:rFonts w:hint="default" w:ascii="Times New Roman" w:hAnsi="Times New Roman" w:cs="Times New Roman"/>
                <w:b/>
                <w:color w:val="auto"/>
                <w:sz w:val="24"/>
                <w:szCs w:val="21"/>
                <w:highlight w:val="none"/>
              </w:rPr>
              <w:t>水产生情况统计一览表</w:t>
            </w:r>
            <w:r>
              <w:rPr>
                <w:rFonts w:hint="eastAsia" w:cs="Times New Roman"/>
                <w:b/>
                <w:color w:val="auto"/>
                <w:sz w:val="24"/>
                <w:szCs w:val="21"/>
                <w:highlight w:val="none"/>
                <w:lang w:val="en-US" w:eastAsia="zh-CN"/>
              </w:rPr>
              <w:t xml:space="preserve">      </w:t>
            </w:r>
            <w:r>
              <w:rPr>
                <w:rFonts w:hint="eastAsia" w:cs="Times New Roman"/>
                <w:b w:val="0"/>
                <w:bCs/>
                <w:color w:val="auto"/>
                <w:sz w:val="21"/>
                <w:szCs w:val="21"/>
                <w:highlight w:val="none"/>
                <w:lang w:eastAsia="zh-CN"/>
              </w:rPr>
              <w:t>单位：</w:t>
            </w:r>
            <w:r>
              <w:rPr>
                <w:rFonts w:hint="default" w:ascii="Times New Roman" w:hAnsi="Times New Roman" w:cs="Times New Roman"/>
                <w:b w:val="0"/>
                <w:bCs/>
                <w:color w:val="auto"/>
                <w:sz w:val="21"/>
                <w:szCs w:val="21"/>
                <w:highlight w:val="none"/>
              </w:rPr>
              <w:t>m</w:t>
            </w:r>
            <w:r>
              <w:rPr>
                <w:rFonts w:hint="default" w:ascii="Times New Roman" w:hAnsi="Times New Roman" w:cs="Times New Roman"/>
                <w:b w:val="0"/>
                <w:bCs/>
                <w:color w:val="auto"/>
                <w:sz w:val="21"/>
                <w:szCs w:val="21"/>
                <w:highlight w:val="none"/>
                <w:vertAlign w:val="superscript"/>
              </w:rPr>
              <w:t>3</w:t>
            </w:r>
            <w:r>
              <w:rPr>
                <w:rFonts w:hint="default" w:ascii="Times New Roman" w:hAnsi="Times New Roman" w:cs="Times New Roman"/>
                <w:b w:val="0"/>
                <w:bCs/>
                <w:color w:val="auto"/>
                <w:sz w:val="21"/>
                <w:szCs w:val="21"/>
                <w:highlight w:val="none"/>
              </w:rPr>
              <w:t>/d</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930"/>
              <w:gridCol w:w="919"/>
              <w:gridCol w:w="762"/>
              <w:gridCol w:w="638"/>
              <w:gridCol w:w="761"/>
              <w:gridCol w:w="497"/>
              <w:gridCol w:w="515"/>
              <w:gridCol w:w="1525"/>
            </w:tblGrid>
            <w:tr w14:paraId="10B6C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restart"/>
                  <w:tcBorders>
                    <w:tl2br w:val="nil"/>
                    <w:tr2bl w:val="nil"/>
                  </w:tcBorders>
                  <w:noWrap w:val="0"/>
                  <w:vAlign w:val="center"/>
                </w:tcPr>
                <w:p w14:paraId="1CB2D196">
                  <w:pPr>
                    <w:spacing w:line="280" w:lineRule="exact"/>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用水项目</w:t>
                  </w:r>
                </w:p>
              </w:tc>
              <w:tc>
                <w:tcPr>
                  <w:tcW w:w="930" w:type="dxa"/>
                  <w:vMerge w:val="restart"/>
                  <w:tcBorders>
                    <w:tl2br w:val="nil"/>
                    <w:tr2bl w:val="nil"/>
                  </w:tcBorders>
                  <w:noWrap w:val="0"/>
                  <w:vAlign w:val="center"/>
                </w:tcPr>
                <w:p w14:paraId="7B0688EA">
                  <w:pPr>
                    <w:spacing w:line="280" w:lineRule="exact"/>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kern w:val="0"/>
                      <w:sz w:val="21"/>
                      <w:szCs w:val="21"/>
                      <w:highlight w:val="none"/>
                    </w:rPr>
                    <w:t>数量</w:t>
                  </w:r>
                </w:p>
              </w:tc>
              <w:tc>
                <w:tcPr>
                  <w:tcW w:w="919" w:type="dxa"/>
                  <w:vMerge w:val="restart"/>
                  <w:tcBorders>
                    <w:tl2br w:val="nil"/>
                    <w:tr2bl w:val="nil"/>
                  </w:tcBorders>
                  <w:noWrap w:val="0"/>
                  <w:vAlign w:val="center"/>
                </w:tcPr>
                <w:p w14:paraId="7838375A">
                  <w:pPr>
                    <w:spacing w:line="280" w:lineRule="exact"/>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kern w:val="0"/>
                      <w:sz w:val="21"/>
                      <w:szCs w:val="21"/>
                      <w:highlight w:val="none"/>
                    </w:rPr>
                    <w:t>定额</w:t>
                  </w:r>
                </w:p>
              </w:tc>
              <w:tc>
                <w:tcPr>
                  <w:tcW w:w="1400" w:type="dxa"/>
                  <w:gridSpan w:val="2"/>
                  <w:tcBorders>
                    <w:tl2br w:val="nil"/>
                    <w:tr2bl w:val="nil"/>
                  </w:tcBorders>
                  <w:noWrap w:val="0"/>
                  <w:vAlign w:val="center"/>
                </w:tcPr>
                <w:p w14:paraId="04A60DCA">
                  <w:pPr>
                    <w:spacing w:line="280" w:lineRule="exact"/>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用水</w:t>
                  </w:r>
                </w:p>
              </w:tc>
              <w:tc>
                <w:tcPr>
                  <w:tcW w:w="1773" w:type="dxa"/>
                  <w:gridSpan w:val="3"/>
                  <w:tcBorders>
                    <w:tl2br w:val="nil"/>
                    <w:tr2bl w:val="nil"/>
                  </w:tcBorders>
                  <w:noWrap w:val="0"/>
                  <w:vAlign w:val="center"/>
                </w:tcPr>
                <w:p w14:paraId="5A2199C5">
                  <w:pPr>
                    <w:spacing w:line="280" w:lineRule="exact"/>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排水</w:t>
                  </w:r>
                </w:p>
              </w:tc>
              <w:tc>
                <w:tcPr>
                  <w:tcW w:w="1525" w:type="dxa"/>
                  <w:vMerge w:val="restart"/>
                  <w:tcBorders>
                    <w:tl2br w:val="nil"/>
                    <w:tr2bl w:val="nil"/>
                  </w:tcBorders>
                  <w:noWrap w:val="0"/>
                  <w:vAlign w:val="center"/>
                </w:tcPr>
                <w:p w14:paraId="29FA9D97">
                  <w:pPr>
                    <w:spacing w:line="280" w:lineRule="exact"/>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备注</w:t>
                  </w:r>
                </w:p>
              </w:tc>
            </w:tr>
            <w:tr w14:paraId="7A46C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tcBorders>
                    <w:tl2br w:val="nil"/>
                    <w:tr2bl w:val="nil"/>
                  </w:tcBorders>
                  <w:noWrap w:val="0"/>
                  <w:vAlign w:val="center"/>
                </w:tcPr>
                <w:p w14:paraId="67267C28">
                  <w:pPr>
                    <w:spacing w:line="280" w:lineRule="exact"/>
                    <w:jc w:val="center"/>
                    <w:rPr>
                      <w:rFonts w:hint="default" w:ascii="Times New Roman" w:hAnsi="Times New Roman" w:cs="Times New Roman" w:eastAsiaTheme="minorEastAsia"/>
                      <w:b/>
                      <w:color w:val="auto"/>
                      <w:sz w:val="21"/>
                      <w:szCs w:val="21"/>
                      <w:highlight w:val="none"/>
                    </w:rPr>
                  </w:pPr>
                </w:p>
              </w:tc>
              <w:tc>
                <w:tcPr>
                  <w:tcW w:w="930" w:type="dxa"/>
                  <w:vMerge w:val="continue"/>
                  <w:tcBorders>
                    <w:tl2br w:val="nil"/>
                    <w:tr2bl w:val="nil"/>
                  </w:tcBorders>
                  <w:noWrap w:val="0"/>
                  <w:vAlign w:val="center"/>
                </w:tcPr>
                <w:p w14:paraId="14624B2B">
                  <w:pPr>
                    <w:spacing w:line="280" w:lineRule="exact"/>
                    <w:jc w:val="center"/>
                    <w:rPr>
                      <w:rFonts w:hint="default" w:ascii="Times New Roman" w:hAnsi="Times New Roman" w:cs="Times New Roman" w:eastAsiaTheme="minorEastAsia"/>
                      <w:b/>
                      <w:color w:val="auto"/>
                      <w:sz w:val="21"/>
                      <w:szCs w:val="21"/>
                      <w:highlight w:val="none"/>
                    </w:rPr>
                  </w:pPr>
                </w:p>
              </w:tc>
              <w:tc>
                <w:tcPr>
                  <w:tcW w:w="919" w:type="dxa"/>
                  <w:vMerge w:val="continue"/>
                  <w:tcBorders>
                    <w:tl2br w:val="nil"/>
                    <w:tr2bl w:val="nil"/>
                  </w:tcBorders>
                  <w:noWrap w:val="0"/>
                  <w:vAlign w:val="center"/>
                </w:tcPr>
                <w:p w14:paraId="4296A81F">
                  <w:pPr>
                    <w:widowControl/>
                    <w:spacing w:line="280" w:lineRule="exact"/>
                    <w:jc w:val="center"/>
                    <w:rPr>
                      <w:rFonts w:hint="default" w:ascii="Times New Roman" w:hAnsi="Times New Roman" w:cs="Times New Roman" w:eastAsiaTheme="minorEastAsia"/>
                      <w:b/>
                      <w:color w:val="auto"/>
                      <w:kern w:val="0"/>
                      <w:sz w:val="21"/>
                      <w:szCs w:val="21"/>
                      <w:highlight w:val="none"/>
                    </w:rPr>
                  </w:pPr>
                </w:p>
              </w:tc>
              <w:tc>
                <w:tcPr>
                  <w:tcW w:w="762" w:type="dxa"/>
                  <w:tcBorders>
                    <w:tl2br w:val="nil"/>
                    <w:tr2bl w:val="nil"/>
                  </w:tcBorders>
                  <w:noWrap w:val="0"/>
                  <w:vAlign w:val="center"/>
                </w:tcPr>
                <w:p w14:paraId="52923E0E">
                  <w:pPr>
                    <w:snapToGrid w:val="0"/>
                    <w:ind w:left="-105" w:leftChars="-50" w:right="-105" w:rightChars="-50"/>
                    <w:contextualSpacing/>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新鲜水</w:t>
                  </w:r>
                </w:p>
              </w:tc>
              <w:tc>
                <w:tcPr>
                  <w:tcW w:w="638" w:type="dxa"/>
                  <w:tcBorders>
                    <w:tl2br w:val="nil"/>
                    <w:tr2bl w:val="nil"/>
                  </w:tcBorders>
                  <w:noWrap w:val="0"/>
                  <w:vAlign w:val="center"/>
                </w:tcPr>
                <w:p w14:paraId="0AA4FCFA">
                  <w:pPr>
                    <w:snapToGrid w:val="0"/>
                    <w:ind w:left="-105" w:leftChars="-50" w:right="-105" w:rightChars="-50"/>
                    <w:contextualSpacing/>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sz w:val="21"/>
                      <w:szCs w:val="21"/>
                      <w:highlight w:val="none"/>
                    </w:rPr>
                    <w:t>回用水</w:t>
                  </w:r>
                </w:p>
              </w:tc>
              <w:tc>
                <w:tcPr>
                  <w:tcW w:w="761" w:type="dxa"/>
                  <w:tcBorders>
                    <w:tl2br w:val="nil"/>
                    <w:tr2bl w:val="nil"/>
                  </w:tcBorders>
                  <w:noWrap w:val="0"/>
                  <w:vAlign w:val="center"/>
                </w:tcPr>
                <w:p w14:paraId="70A605CB">
                  <w:pPr>
                    <w:snapToGrid w:val="0"/>
                    <w:ind w:left="-105" w:leftChars="-50" w:right="-105" w:rightChars="-50"/>
                    <w:contextualSpacing/>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sz w:val="21"/>
                      <w:szCs w:val="21"/>
                      <w:highlight w:val="none"/>
                    </w:rPr>
                    <w:t>损耗</w:t>
                  </w:r>
                </w:p>
              </w:tc>
              <w:tc>
                <w:tcPr>
                  <w:tcW w:w="497" w:type="dxa"/>
                  <w:tcBorders>
                    <w:tl2br w:val="nil"/>
                    <w:tr2bl w:val="nil"/>
                  </w:tcBorders>
                  <w:noWrap w:val="0"/>
                  <w:vAlign w:val="center"/>
                </w:tcPr>
                <w:p w14:paraId="7C9E21C7">
                  <w:pPr>
                    <w:snapToGrid w:val="0"/>
                    <w:ind w:left="-105" w:leftChars="-50" w:right="-105" w:rightChars="-50"/>
                    <w:contextualSpacing/>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sz w:val="21"/>
                      <w:szCs w:val="21"/>
                      <w:highlight w:val="none"/>
                      <w:lang w:eastAsia="zh-CN"/>
                    </w:rPr>
                    <w:t>回用</w:t>
                  </w:r>
                </w:p>
              </w:tc>
              <w:tc>
                <w:tcPr>
                  <w:tcW w:w="515" w:type="dxa"/>
                  <w:tcBorders>
                    <w:tl2br w:val="nil"/>
                    <w:tr2bl w:val="nil"/>
                  </w:tcBorders>
                  <w:noWrap w:val="0"/>
                  <w:vAlign w:val="center"/>
                </w:tcPr>
                <w:p w14:paraId="0C4C24DD">
                  <w:pPr>
                    <w:snapToGrid w:val="0"/>
                    <w:ind w:left="-105" w:leftChars="-50" w:right="-105" w:rightChars="-50"/>
                    <w:contextualSpacing/>
                    <w:jc w:val="center"/>
                    <w:rPr>
                      <w:rFonts w:hint="default" w:ascii="Times New Roman" w:hAnsi="Times New Roman" w:cs="Times New Roman" w:eastAsiaTheme="minorEastAsia"/>
                      <w:b/>
                      <w:color w:val="auto"/>
                      <w:sz w:val="21"/>
                      <w:szCs w:val="21"/>
                      <w:highlight w:val="none"/>
                      <w:lang w:eastAsia="zh-CN"/>
                    </w:rPr>
                  </w:pPr>
                  <w:r>
                    <w:rPr>
                      <w:rFonts w:hint="default" w:ascii="Times New Roman" w:hAnsi="Times New Roman" w:cs="Times New Roman" w:eastAsiaTheme="minorEastAsia"/>
                      <w:b/>
                      <w:color w:val="auto"/>
                      <w:sz w:val="21"/>
                      <w:szCs w:val="21"/>
                      <w:highlight w:val="none"/>
                      <w:lang w:eastAsia="zh-CN"/>
                    </w:rPr>
                    <w:t>排水</w:t>
                  </w:r>
                </w:p>
              </w:tc>
              <w:tc>
                <w:tcPr>
                  <w:tcW w:w="1525" w:type="dxa"/>
                  <w:vMerge w:val="continue"/>
                  <w:tcBorders>
                    <w:tl2br w:val="nil"/>
                    <w:tr2bl w:val="nil"/>
                  </w:tcBorders>
                  <w:noWrap w:val="0"/>
                  <w:vAlign w:val="center"/>
                </w:tcPr>
                <w:p w14:paraId="08011EDA">
                  <w:pPr>
                    <w:widowControl/>
                    <w:spacing w:line="280" w:lineRule="exact"/>
                    <w:jc w:val="center"/>
                    <w:rPr>
                      <w:rFonts w:hint="default" w:ascii="Times New Roman" w:hAnsi="Times New Roman" w:cs="Times New Roman" w:eastAsiaTheme="minorEastAsia"/>
                      <w:b/>
                      <w:color w:val="auto"/>
                      <w:kern w:val="0"/>
                      <w:sz w:val="21"/>
                      <w:szCs w:val="21"/>
                      <w:highlight w:val="none"/>
                    </w:rPr>
                  </w:pPr>
                </w:p>
              </w:tc>
            </w:tr>
            <w:tr w14:paraId="75A1E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tcBorders>
                    <w:tl2br w:val="nil"/>
                    <w:tr2bl w:val="nil"/>
                  </w:tcBorders>
                  <w:noWrap w:val="0"/>
                  <w:vAlign w:val="center"/>
                </w:tcPr>
                <w:p w14:paraId="68D7A418">
                  <w:pPr>
                    <w:adjustRightInd w:val="0"/>
                    <w:snapToGrid w:val="0"/>
                    <w:spacing w:line="280" w:lineRule="exact"/>
                    <w:jc w:val="center"/>
                    <w:rPr>
                      <w:rFonts w:hint="default" w:ascii="Times New Roman" w:hAnsi="Times New Roman" w:cs="Times New Roman" w:eastAsiaTheme="minorEastAsia"/>
                      <w:b/>
                      <w:bCs w:val="0"/>
                      <w:color w:val="auto"/>
                      <w:sz w:val="21"/>
                      <w:szCs w:val="21"/>
                      <w:highlight w:val="none"/>
                    </w:rPr>
                  </w:pPr>
                  <w:r>
                    <w:rPr>
                      <w:rFonts w:hint="default" w:ascii="Times New Roman" w:hAnsi="Times New Roman" w:cs="Times New Roman" w:eastAsiaTheme="minorEastAsia"/>
                      <w:b/>
                      <w:bCs w:val="0"/>
                      <w:color w:val="auto"/>
                      <w:spacing w:val="-20"/>
                      <w:sz w:val="21"/>
                      <w:szCs w:val="21"/>
                      <w:highlight w:val="none"/>
                      <w:lang w:eastAsia="zh-CN"/>
                    </w:rPr>
                    <w:t>混凝土生产</w:t>
                  </w:r>
                  <w:r>
                    <w:rPr>
                      <w:rFonts w:hint="default" w:ascii="Times New Roman" w:hAnsi="Times New Roman" w:cs="Times New Roman" w:eastAsiaTheme="minorEastAsia"/>
                      <w:b/>
                      <w:bCs w:val="0"/>
                      <w:color w:val="auto"/>
                      <w:spacing w:val="-20"/>
                      <w:sz w:val="21"/>
                      <w:szCs w:val="21"/>
                      <w:highlight w:val="none"/>
                    </w:rPr>
                    <w:t>用水</w:t>
                  </w:r>
                </w:p>
              </w:tc>
              <w:tc>
                <w:tcPr>
                  <w:tcW w:w="930" w:type="dxa"/>
                  <w:tcBorders>
                    <w:tl2br w:val="nil"/>
                    <w:tr2bl w:val="nil"/>
                  </w:tcBorders>
                  <w:noWrap w:val="0"/>
                  <w:vAlign w:val="center"/>
                </w:tcPr>
                <w:p w14:paraId="02820846">
                  <w:pPr>
                    <w:adjustRightInd w:val="0"/>
                    <w:snapToGrid w:val="0"/>
                    <w:spacing w:line="280" w:lineRule="exact"/>
                    <w:jc w:val="center"/>
                    <w:rPr>
                      <w:rFonts w:hint="default" w:ascii="Times New Roman" w:hAnsi="Times New Roman" w:cs="Times New Roman" w:eastAsiaTheme="minorEastAsia"/>
                      <w:b/>
                      <w:color w:val="auto"/>
                      <w:spacing w:val="-11"/>
                      <w:sz w:val="21"/>
                      <w:szCs w:val="21"/>
                      <w:highlight w:val="none"/>
                    </w:rPr>
                  </w:pPr>
                  <w:r>
                    <w:rPr>
                      <w:rFonts w:hint="eastAsia" w:ascii="Times New Roman" w:hAnsi="Times New Roman" w:cs="Times New Roman" w:eastAsiaTheme="minorEastAsia"/>
                      <w:color w:val="auto"/>
                      <w:spacing w:val="-11"/>
                      <w:sz w:val="21"/>
                      <w:szCs w:val="21"/>
                      <w:highlight w:val="none"/>
                      <w:lang w:val="en-US" w:eastAsia="zh-CN"/>
                    </w:rPr>
                    <w:t>年产量</w:t>
                  </w:r>
                  <w:r>
                    <w:rPr>
                      <w:rFonts w:hint="eastAsia" w:cs="Times New Roman" w:eastAsiaTheme="minorEastAsia"/>
                      <w:color w:val="auto"/>
                      <w:spacing w:val="-11"/>
                      <w:sz w:val="21"/>
                      <w:szCs w:val="21"/>
                      <w:highlight w:val="none"/>
                      <w:lang w:val="en-US" w:eastAsia="zh-CN"/>
                    </w:rPr>
                    <w:t>20万m</w:t>
                  </w:r>
                  <w:r>
                    <w:rPr>
                      <w:rFonts w:hint="eastAsia" w:cs="Times New Roman" w:eastAsiaTheme="minorEastAsia"/>
                      <w:color w:val="auto"/>
                      <w:spacing w:val="-11"/>
                      <w:sz w:val="21"/>
                      <w:szCs w:val="21"/>
                      <w:highlight w:val="none"/>
                      <w:vertAlign w:val="superscript"/>
                      <w:lang w:val="en-US" w:eastAsia="zh-CN"/>
                    </w:rPr>
                    <w:t>3</w:t>
                  </w:r>
                  <w:r>
                    <w:rPr>
                      <w:rFonts w:hint="default" w:ascii="Times New Roman" w:hAnsi="Times New Roman" w:cs="Times New Roman" w:eastAsiaTheme="minorEastAsia"/>
                      <w:color w:val="auto"/>
                      <w:spacing w:val="-11"/>
                      <w:sz w:val="21"/>
                      <w:szCs w:val="21"/>
                      <w:highlight w:val="none"/>
                      <w:lang w:eastAsia="zh-CN"/>
                    </w:rPr>
                    <w:t>/a</w:t>
                  </w:r>
                </w:p>
              </w:tc>
              <w:tc>
                <w:tcPr>
                  <w:tcW w:w="919" w:type="dxa"/>
                  <w:tcBorders>
                    <w:tl2br w:val="nil"/>
                    <w:tr2bl w:val="nil"/>
                  </w:tcBorders>
                  <w:noWrap w:val="0"/>
                  <w:vAlign w:val="center"/>
                </w:tcPr>
                <w:p w14:paraId="3DDC091B">
                  <w:pPr>
                    <w:adjustRightInd w:val="0"/>
                    <w:snapToGrid w:val="0"/>
                    <w:spacing w:line="280" w:lineRule="exact"/>
                    <w:jc w:val="center"/>
                    <w:rPr>
                      <w:rFonts w:hint="default" w:ascii="Times New Roman" w:hAnsi="Times New Roman" w:cs="Times New Roman" w:eastAsiaTheme="minorEastAsia"/>
                      <w:b/>
                      <w:color w:val="auto"/>
                      <w:spacing w:val="-11"/>
                      <w:kern w:val="0"/>
                      <w:sz w:val="21"/>
                      <w:szCs w:val="21"/>
                      <w:highlight w:val="none"/>
                      <w:lang w:val="en-US" w:eastAsia="zh-CN"/>
                    </w:rPr>
                  </w:pPr>
                  <w:r>
                    <w:rPr>
                      <w:rFonts w:hint="eastAsia" w:ascii="Times New Roman" w:hAnsi="Times New Roman" w:cs="Times New Roman" w:eastAsiaTheme="minorEastAsia"/>
                      <w:color w:val="auto"/>
                      <w:spacing w:val="-11"/>
                      <w:sz w:val="21"/>
                      <w:szCs w:val="21"/>
                      <w:highlight w:val="none"/>
                      <w:lang w:val="en-US" w:eastAsia="zh-CN"/>
                    </w:rPr>
                    <w:t>0.2</w:t>
                  </w:r>
                  <w:r>
                    <w:rPr>
                      <w:rFonts w:hint="default" w:ascii="Times New Roman" w:hAnsi="Times New Roman" w:cs="Times New Roman" w:eastAsiaTheme="minorEastAsia"/>
                      <w:color w:val="auto"/>
                      <w:spacing w:val="-11"/>
                      <w:sz w:val="21"/>
                      <w:szCs w:val="21"/>
                      <w:highlight w:val="none"/>
                    </w:rPr>
                    <w:t>m</w:t>
                  </w:r>
                  <w:r>
                    <w:rPr>
                      <w:rFonts w:hint="default" w:ascii="Times New Roman" w:hAnsi="Times New Roman" w:cs="Times New Roman" w:eastAsiaTheme="minorEastAsia"/>
                      <w:color w:val="auto"/>
                      <w:spacing w:val="-11"/>
                      <w:sz w:val="21"/>
                      <w:szCs w:val="21"/>
                      <w:highlight w:val="none"/>
                      <w:vertAlign w:val="superscript"/>
                    </w:rPr>
                    <w:t>3</w:t>
                  </w:r>
                  <w:r>
                    <w:rPr>
                      <w:rFonts w:hint="default" w:ascii="Times New Roman" w:hAnsi="Times New Roman" w:cs="Times New Roman" w:eastAsiaTheme="minorEastAsia"/>
                      <w:color w:val="auto"/>
                      <w:spacing w:val="-11"/>
                      <w:sz w:val="21"/>
                      <w:szCs w:val="21"/>
                      <w:highlight w:val="none"/>
                      <w:lang w:val="en-US" w:eastAsia="zh-CN"/>
                    </w:rPr>
                    <w:t>-</w:t>
                  </w:r>
                  <w:r>
                    <w:rPr>
                      <w:rFonts w:hint="default" w:ascii="Times New Roman" w:hAnsi="Times New Roman" w:cs="Times New Roman" w:eastAsiaTheme="minorEastAsia"/>
                      <w:color w:val="auto"/>
                      <w:spacing w:val="-11"/>
                      <w:sz w:val="21"/>
                      <w:szCs w:val="21"/>
                      <w:highlight w:val="none"/>
                    </w:rPr>
                    <w:t>m</w:t>
                  </w:r>
                  <w:r>
                    <w:rPr>
                      <w:rFonts w:hint="default" w:ascii="Times New Roman" w:hAnsi="Times New Roman" w:cs="Times New Roman" w:eastAsiaTheme="minorEastAsia"/>
                      <w:color w:val="auto"/>
                      <w:spacing w:val="-11"/>
                      <w:sz w:val="21"/>
                      <w:szCs w:val="21"/>
                      <w:highlight w:val="none"/>
                      <w:vertAlign w:val="superscript"/>
                    </w:rPr>
                    <w:t>3</w:t>
                  </w:r>
                </w:p>
              </w:tc>
              <w:tc>
                <w:tcPr>
                  <w:tcW w:w="762" w:type="dxa"/>
                  <w:tcBorders>
                    <w:tl2br w:val="nil"/>
                    <w:tr2bl w:val="nil"/>
                  </w:tcBorders>
                  <w:noWrap w:val="0"/>
                  <w:vAlign w:val="center"/>
                </w:tcPr>
                <w:p w14:paraId="43BF8B1C">
                  <w:pPr>
                    <w:snapToGrid w:val="0"/>
                    <w:ind w:left="-105" w:leftChars="-50" w:right="-105" w:rightChars="-50"/>
                    <w:contextualSpacing/>
                    <w:jc w:val="center"/>
                    <w:rPr>
                      <w:rFonts w:hint="default" w:ascii="Times New Roman" w:hAnsi="Times New Roman" w:cs="Times New Roman" w:eastAsiaTheme="minorEastAsia"/>
                      <w:b/>
                      <w:color w:val="auto"/>
                      <w:spacing w:val="-11"/>
                      <w:kern w:val="0"/>
                      <w:sz w:val="21"/>
                      <w:szCs w:val="21"/>
                      <w:highlight w:val="none"/>
                      <w:lang w:val="en-US"/>
                    </w:rPr>
                  </w:pPr>
                  <w:r>
                    <w:rPr>
                      <w:rFonts w:hint="eastAsia" w:eastAsia="仿宋_GB2312"/>
                      <w:color w:val="auto"/>
                      <w:spacing w:val="-11"/>
                      <w:sz w:val="21"/>
                      <w:szCs w:val="21"/>
                      <w:highlight w:val="none"/>
                      <w:lang w:val="en-US" w:eastAsia="zh-CN"/>
                    </w:rPr>
                    <w:t>166.67</w:t>
                  </w:r>
                </w:p>
              </w:tc>
              <w:tc>
                <w:tcPr>
                  <w:tcW w:w="638" w:type="dxa"/>
                  <w:tcBorders>
                    <w:tl2br w:val="nil"/>
                    <w:tr2bl w:val="nil"/>
                  </w:tcBorders>
                  <w:noWrap w:val="0"/>
                  <w:vAlign w:val="center"/>
                </w:tcPr>
                <w:p w14:paraId="674D43E4">
                  <w:pPr>
                    <w:snapToGrid w:val="0"/>
                    <w:ind w:left="-105" w:leftChars="-50" w:right="-105" w:rightChars="-50"/>
                    <w:contextualSpacing/>
                    <w:jc w:val="center"/>
                    <w:rPr>
                      <w:rFonts w:hint="eastAsia" w:ascii="Times New Roman" w:hAnsi="Times New Roman" w:cs="Times New Roman" w:eastAsiaTheme="minorEastAsia"/>
                      <w:b/>
                      <w:color w:val="auto"/>
                      <w:spacing w:val="-11"/>
                      <w:sz w:val="21"/>
                      <w:szCs w:val="21"/>
                      <w:highlight w:val="none"/>
                      <w:lang w:val="en-US" w:eastAsia="zh-CN"/>
                    </w:rPr>
                  </w:pPr>
                  <w:r>
                    <w:rPr>
                      <w:rFonts w:hint="eastAsia" w:ascii="Times New Roman" w:hAnsi="Times New Roman" w:cs="Times New Roman" w:eastAsiaTheme="minorEastAsia"/>
                      <w:b/>
                      <w:color w:val="auto"/>
                      <w:spacing w:val="-11"/>
                      <w:sz w:val="21"/>
                      <w:szCs w:val="21"/>
                      <w:highlight w:val="none"/>
                      <w:lang w:val="en-US" w:eastAsia="zh-CN"/>
                    </w:rPr>
                    <w:t>/</w:t>
                  </w:r>
                </w:p>
              </w:tc>
              <w:tc>
                <w:tcPr>
                  <w:tcW w:w="761" w:type="dxa"/>
                  <w:tcBorders>
                    <w:tl2br w:val="nil"/>
                    <w:tr2bl w:val="nil"/>
                  </w:tcBorders>
                  <w:noWrap w:val="0"/>
                  <w:vAlign w:val="center"/>
                </w:tcPr>
                <w:p w14:paraId="1DF5C328">
                  <w:pPr>
                    <w:snapToGrid w:val="0"/>
                    <w:ind w:left="-105" w:leftChars="-50" w:right="-105" w:rightChars="-50"/>
                    <w:contextualSpacing/>
                    <w:jc w:val="center"/>
                    <w:rPr>
                      <w:rFonts w:hint="default" w:ascii="Times New Roman" w:hAnsi="Times New Roman" w:cs="Times New Roman" w:eastAsiaTheme="minorEastAsia"/>
                      <w:b/>
                      <w:color w:val="auto"/>
                      <w:spacing w:val="-11"/>
                      <w:sz w:val="21"/>
                      <w:szCs w:val="21"/>
                      <w:highlight w:val="none"/>
                      <w:lang w:val="en-US"/>
                    </w:rPr>
                  </w:pPr>
                  <w:r>
                    <w:rPr>
                      <w:rFonts w:hint="eastAsia" w:eastAsia="仿宋_GB2312"/>
                      <w:color w:val="auto"/>
                      <w:spacing w:val="-11"/>
                      <w:sz w:val="21"/>
                      <w:szCs w:val="21"/>
                      <w:highlight w:val="none"/>
                      <w:lang w:val="en-US" w:eastAsia="zh-CN"/>
                    </w:rPr>
                    <w:t>166.67</w:t>
                  </w:r>
                </w:p>
              </w:tc>
              <w:tc>
                <w:tcPr>
                  <w:tcW w:w="497" w:type="dxa"/>
                  <w:tcBorders>
                    <w:tl2br w:val="nil"/>
                    <w:tr2bl w:val="nil"/>
                  </w:tcBorders>
                  <w:noWrap w:val="0"/>
                  <w:vAlign w:val="center"/>
                </w:tcPr>
                <w:p w14:paraId="330909C6">
                  <w:pPr>
                    <w:snapToGrid w:val="0"/>
                    <w:ind w:left="-105" w:leftChars="-50" w:right="-105" w:rightChars="-50"/>
                    <w:contextualSpacing/>
                    <w:jc w:val="center"/>
                    <w:rPr>
                      <w:rFonts w:hint="default" w:ascii="Times New Roman" w:hAnsi="Times New Roman" w:cs="Times New Roman" w:eastAsiaTheme="minorEastAsia"/>
                      <w:b/>
                      <w:color w:val="auto"/>
                      <w:spacing w:val="-11"/>
                      <w:sz w:val="21"/>
                      <w:szCs w:val="21"/>
                      <w:highlight w:val="none"/>
                      <w:lang w:val="en-US" w:eastAsia="zh-CN"/>
                    </w:rPr>
                  </w:pPr>
                  <w:r>
                    <w:rPr>
                      <w:rFonts w:hint="eastAsia" w:ascii="Times New Roman" w:hAnsi="Times New Roman" w:cs="Times New Roman" w:eastAsiaTheme="minorEastAsia"/>
                      <w:b/>
                      <w:color w:val="auto"/>
                      <w:spacing w:val="-11"/>
                      <w:sz w:val="21"/>
                      <w:szCs w:val="21"/>
                      <w:highlight w:val="none"/>
                      <w:lang w:val="en-US" w:eastAsia="zh-CN"/>
                    </w:rPr>
                    <w:t>/</w:t>
                  </w:r>
                </w:p>
              </w:tc>
              <w:tc>
                <w:tcPr>
                  <w:tcW w:w="515" w:type="dxa"/>
                  <w:tcBorders>
                    <w:tl2br w:val="nil"/>
                    <w:tr2bl w:val="nil"/>
                  </w:tcBorders>
                  <w:noWrap w:val="0"/>
                  <w:vAlign w:val="center"/>
                </w:tcPr>
                <w:p w14:paraId="2E8C88DC">
                  <w:pPr>
                    <w:snapToGrid w:val="0"/>
                    <w:ind w:left="-105" w:leftChars="-50" w:right="-105" w:rightChars="-50"/>
                    <w:contextualSpacing/>
                    <w:jc w:val="center"/>
                    <w:rPr>
                      <w:rFonts w:hint="default" w:ascii="Times New Roman" w:hAnsi="Times New Roman" w:cs="Times New Roman" w:eastAsiaTheme="minorEastAsia"/>
                      <w:b/>
                      <w:color w:val="auto"/>
                      <w:spacing w:val="-11"/>
                      <w:sz w:val="21"/>
                      <w:szCs w:val="21"/>
                      <w:highlight w:val="none"/>
                      <w:lang w:val="en-US" w:eastAsia="zh-CN"/>
                    </w:rPr>
                  </w:pPr>
                  <w:r>
                    <w:rPr>
                      <w:rFonts w:hint="eastAsia" w:ascii="Times New Roman" w:hAnsi="Times New Roman" w:cs="Times New Roman" w:eastAsiaTheme="minorEastAsia"/>
                      <w:b/>
                      <w:color w:val="auto"/>
                      <w:spacing w:val="-11"/>
                      <w:sz w:val="21"/>
                      <w:szCs w:val="21"/>
                      <w:highlight w:val="none"/>
                      <w:lang w:val="en-US" w:eastAsia="zh-CN"/>
                    </w:rPr>
                    <w:t>/</w:t>
                  </w:r>
                </w:p>
              </w:tc>
              <w:tc>
                <w:tcPr>
                  <w:tcW w:w="1525" w:type="dxa"/>
                  <w:tcBorders>
                    <w:tl2br w:val="nil"/>
                    <w:tr2bl w:val="nil"/>
                  </w:tcBorders>
                  <w:noWrap w:val="0"/>
                  <w:vAlign w:val="center"/>
                </w:tcPr>
                <w:p w14:paraId="728F93FD">
                  <w:pPr>
                    <w:widowControl/>
                    <w:spacing w:line="280" w:lineRule="exact"/>
                    <w:jc w:val="center"/>
                    <w:rPr>
                      <w:rFonts w:hint="eastAsia" w:ascii="Times New Roman" w:hAnsi="Times New Roman" w:cs="Times New Roman" w:eastAsiaTheme="minorEastAsia"/>
                      <w:b/>
                      <w:color w:val="auto"/>
                      <w:kern w:val="0"/>
                      <w:sz w:val="21"/>
                      <w:szCs w:val="21"/>
                      <w:highlight w:val="none"/>
                      <w:lang w:eastAsia="zh-CN"/>
                    </w:rPr>
                  </w:pPr>
                  <w:r>
                    <w:rPr>
                      <w:rFonts w:hint="eastAsia" w:cs="Times New Roman" w:eastAsiaTheme="minorEastAsia"/>
                      <w:b w:val="0"/>
                      <w:bCs/>
                      <w:color w:val="auto"/>
                      <w:kern w:val="0"/>
                      <w:sz w:val="21"/>
                      <w:szCs w:val="21"/>
                      <w:highlight w:val="none"/>
                      <w:lang w:eastAsia="zh-CN"/>
                    </w:rPr>
                    <w:t>产品</w:t>
                  </w:r>
                </w:p>
              </w:tc>
            </w:tr>
            <w:tr w14:paraId="24AE1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tcBorders>
                    <w:tl2br w:val="nil"/>
                    <w:tr2bl w:val="nil"/>
                  </w:tcBorders>
                  <w:noWrap w:val="0"/>
                  <w:vAlign w:val="center"/>
                </w:tcPr>
                <w:p w14:paraId="27470CD2">
                  <w:pPr>
                    <w:adjustRightInd w:val="0"/>
                    <w:snapToGrid w:val="0"/>
                    <w:spacing w:line="280" w:lineRule="exact"/>
                    <w:jc w:val="center"/>
                    <w:rPr>
                      <w:rFonts w:hint="default" w:ascii="Times New Roman" w:hAnsi="Times New Roman" w:cs="Times New Roman" w:eastAsiaTheme="minorEastAsia"/>
                      <w:b/>
                      <w:bCs w:val="0"/>
                      <w:color w:val="auto"/>
                      <w:sz w:val="21"/>
                      <w:szCs w:val="21"/>
                      <w:highlight w:val="none"/>
                    </w:rPr>
                  </w:pPr>
                  <w:r>
                    <w:rPr>
                      <w:rFonts w:hint="default" w:ascii="Times New Roman" w:hAnsi="Times New Roman" w:cs="Times New Roman" w:eastAsiaTheme="minorEastAsia"/>
                      <w:b/>
                      <w:bCs w:val="0"/>
                      <w:color w:val="auto"/>
                      <w:kern w:val="0"/>
                      <w:sz w:val="21"/>
                      <w:szCs w:val="21"/>
                      <w:highlight w:val="none"/>
                    </w:rPr>
                    <w:t>车辆</w:t>
                  </w:r>
                  <w:r>
                    <w:rPr>
                      <w:rFonts w:hint="eastAsia" w:cs="Times New Roman" w:eastAsiaTheme="minorEastAsia"/>
                      <w:b/>
                      <w:bCs w:val="0"/>
                      <w:color w:val="auto"/>
                      <w:kern w:val="0"/>
                      <w:sz w:val="21"/>
                      <w:szCs w:val="21"/>
                      <w:highlight w:val="none"/>
                      <w:lang w:eastAsia="zh-CN"/>
                    </w:rPr>
                    <w:t>及地面</w:t>
                  </w:r>
                  <w:r>
                    <w:rPr>
                      <w:rFonts w:hint="default" w:ascii="Times New Roman" w:hAnsi="Times New Roman" w:cs="Times New Roman" w:eastAsiaTheme="minorEastAsia"/>
                      <w:b/>
                      <w:bCs w:val="0"/>
                      <w:color w:val="auto"/>
                      <w:kern w:val="0"/>
                      <w:sz w:val="21"/>
                      <w:szCs w:val="21"/>
                      <w:highlight w:val="none"/>
                    </w:rPr>
                    <w:t>冲洗用水</w:t>
                  </w:r>
                </w:p>
              </w:tc>
              <w:tc>
                <w:tcPr>
                  <w:tcW w:w="930" w:type="dxa"/>
                  <w:tcBorders>
                    <w:tl2br w:val="nil"/>
                    <w:tr2bl w:val="nil"/>
                  </w:tcBorders>
                  <w:noWrap w:val="0"/>
                  <w:vAlign w:val="center"/>
                </w:tcPr>
                <w:p w14:paraId="6AF9BE04">
                  <w:pPr>
                    <w:adjustRightInd w:val="0"/>
                    <w:snapToGrid w:val="0"/>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240</w:t>
                  </w:r>
                  <w:r>
                    <w:rPr>
                      <w:rFonts w:hint="default" w:ascii="Times New Roman" w:hAnsi="Times New Roman" w:cs="Times New Roman" w:eastAsiaTheme="minorEastAsia"/>
                      <w:color w:val="auto"/>
                      <w:spacing w:val="-11"/>
                      <w:sz w:val="21"/>
                      <w:szCs w:val="21"/>
                      <w:highlight w:val="none"/>
                      <w:lang w:val="en-US" w:eastAsia="zh-CN"/>
                    </w:rPr>
                    <w:t>d</w:t>
                  </w:r>
                </w:p>
              </w:tc>
              <w:tc>
                <w:tcPr>
                  <w:tcW w:w="919" w:type="dxa"/>
                  <w:tcBorders>
                    <w:tl2br w:val="nil"/>
                    <w:tr2bl w:val="nil"/>
                  </w:tcBorders>
                  <w:noWrap w:val="0"/>
                  <w:vAlign w:val="center"/>
                </w:tcPr>
                <w:p w14:paraId="0AD413B8">
                  <w:pPr>
                    <w:adjustRightInd w:val="0"/>
                    <w:snapToGrid w:val="0"/>
                    <w:spacing w:line="280" w:lineRule="exact"/>
                    <w:jc w:val="center"/>
                    <w:rPr>
                      <w:rFonts w:hint="default" w:ascii="Times New Roman" w:hAnsi="Times New Roman" w:cs="Times New Roman" w:eastAsiaTheme="minorEastAsia"/>
                      <w:color w:val="auto"/>
                      <w:spacing w:val="-11"/>
                      <w:sz w:val="21"/>
                      <w:szCs w:val="21"/>
                      <w:highlight w:val="none"/>
                    </w:rPr>
                  </w:pPr>
                  <w:r>
                    <w:rPr>
                      <w:rFonts w:hint="eastAsia" w:cs="Times New Roman" w:eastAsiaTheme="minorEastAsia"/>
                      <w:color w:val="auto"/>
                      <w:spacing w:val="-11"/>
                      <w:sz w:val="21"/>
                      <w:szCs w:val="21"/>
                      <w:highlight w:val="none"/>
                      <w:lang w:val="en-US" w:eastAsia="zh-CN"/>
                    </w:rPr>
                    <w:t>12</w:t>
                  </w:r>
                  <w:r>
                    <w:rPr>
                      <w:rFonts w:hint="default" w:ascii="Times New Roman" w:hAnsi="Times New Roman" w:cs="Times New Roman" w:eastAsiaTheme="minorEastAsia"/>
                      <w:color w:val="auto"/>
                      <w:spacing w:val="-11"/>
                      <w:sz w:val="21"/>
                      <w:szCs w:val="21"/>
                      <w:highlight w:val="none"/>
                    </w:rPr>
                    <w:t>m</w:t>
                  </w:r>
                  <w:r>
                    <w:rPr>
                      <w:rFonts w:hint="eastAsia" w:ascii="Times New Roman" w:hAnsi="Times New Roman" w:cs="Times New Roman" w:eastAsiaTheme="minorEastAsia"/>
                      <w:color w:val="auto"/>
                      <w:spacing w:val="-11"/>
                      <w:sz w:val="21"/>
                      <w:szCs w:val="21"/>
                      <w:highlight w:val="none"/>
                      <w:vertAlign w:val="superscript"/>
                      <w:lang w:val="en-US" w:eastAsia="zh-CN"/>
                    </w:rPr>
                    <w:t>3</w:t>
                  </w:r>
                  <w:r>
                    <w:rPr>
                      <w:rFonts w:hint="default" w:ascii="Times New Roman" w:hAnsi="Times New Roman" w:cs="Times New Roman" w:eastAsiaTheme="minorEastAsia"/>
                      <w:color w:val="auto"/>
                      <w:spacing w:val="-11"/>
                      <w:sz w:val="21"/>
                      <w:szCs w:val="21"/>
                      <w:highlight w:val="none"/>
                    </w:rPr>
                    <w:t>/d</w:t>
                  </w:r>
                </w:p>
              </w:tc>
              <w:tc>
                <w:tcPr>
                  <w:tcW w:w="762" w:type="dxa"/>
                  <w:tcBorders>
                    <w:tl2br w:val="nil"/>
                    <w:tr2bl w:val="nil"/>
                  </w:tcBorders>
                  <w:noWrap w:val="0"/>
                  <w:vAlign w:val="center"/>
                </w:tcPr>
                <w:p w14:paraId="0546C062">
                  <w:pPr>
                    <w:adjustRightInd w:val="0"/>
                    <w:snapToGrid w:val="0"/>
                    <w:spacing w:line="280" w:lineRule="exact"/>
                    <w:jc w:val="center"/>
                    <w:rPr>
                      <w:rFonts w:hint="default"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4.8</w:t>
                  </w:r>
                </w:p>
              </w:tc>
              <w:tc>
                <w:tcPr>
                  <w:tcW w:w="638" w:type="dxa"/>
                  <w:tcBorders>
                    <w:tl2br w:val="nil"/>
                    <w:tr2bl w:val="nil"/>
                  </w:tcBorders>
                  <w:noWrap w:val="0"/>
                  <w:vAlign w:val="center"/>
                </w:tcPr>
                <w:p w14:paraId="4F8AF368">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7.2</w:t>
                  </w:r>
                </w:p>
              </w:tc>
              <w:tc>
                <w:tcPr>
                  <w:tcW w:w="761" w:type="dxa"/>
                  <w:tcBorders>
                    <w:tl2br w:val="nil"/>
                    <w:tr2bl w:val="nil"/>
                  </w:tcBorders>
                  <w:noWrap w:val="0"/>
                  <w:vAlign w:val="center"/>
                </w:tcPr>
                <w:p w14:paraId="664B7363">
                  <w:pPr>
                    <w:adjustRightInd w:val="0"/>
                    <w:snapToGrid w:val="0"/>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4.8</w:t>
                  </w:r>
                </w:p>
              </w:tc>
              <w:tc>
                <w:tcPr>
                  <w:tcW w:w="497" w:type="dxa"/>
                  <w:tcBorders>
                    <w:tl2br w:val="nil"/>
                    <w:tr2bl w:val="nil"/>
                  </w:tcBorders>
                  <w:noWrap w:val="0"/>
                  <w:vAlign w:val="center"/>
                </w:tcPr>
                <w:p w14:paraId="09A716E2">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7.2</w:t>
                  </w:r>
                </w:p>
              </w:tc>
              <w:tc>
                <w:tcPr>
                  <w:tcW w:w="515" w:type="dxa"/>
                  <w:tcBorders>
                    <w:tl2br w:val="nil"/>
                    <w:tr2bl w:val="nil"/>
                  </w:tcBorders>
                  <w:noWrap w:val="0"/>
                  <w:vAlign w:val="center"/>
                </w:tcPr>
                <w:p w14:paraId="4BF96274">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ascii="Times New Roman" w:hAnsi="Times New Roman" w:cs="Times New Roman" w:eastAsiaTheme="minorEastAsia"/>
                      <w:color w:val="auto"/>
                      <w:spacing w:val="-11"/>
                      <w:sz w:val="21"/>
                      <w:szCs w:val="21"/>
                      <w:highlight w:val="none"/>
                      <w:lang w:val="en-US" w:eastAsia="zh-CN"/>
                    </w:rPr>
                    <w:t>/</w:t>
                  </w:r>
                </w:p>
              </w:tc>
              <w:tc>
                <w:tcPr>
                  <w:tcW w:w="1525" w:type="dxa"/>
                  <w:vMerge w:val="restart"/>
                  <w:tcBorders>
                    <w:tl2br w:val="nil"/>
                    <w:tr2bl w:val="nil"/>
                  </w:tcBorders>
                  <w:noWrap w:val="0"/>
                  <w:vAlign w:val="center"/>
                </w:tcPr>
                <w:p w14:paraId="6E7C65E0">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经</w:t>
                  </w:r>
                  <w:r>
                    <w:rPr>
                      <w:rFonts w:hint="eastAsia" w:cs="Times New Roman" w:eastAsiaTheme="minorEastAsia"/>
                      <w:color w:val="auto"/>
                      <w:spacing w:val="-11"/>
                      <w:sz w:val="21"/>
                      <w:szCs w:val="21"/>
                      <w:highlight w:val="none"/>
                      <w:lang w:eastAsia="zh-CN"/>
                    </w:rPr>
                    <w:t>沉淀后回用</w:t>
                  </w:r>
                </w:p>
              </w:tc>
            </w:tr>
            <w:tr w14:paraId="1E90E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tcBorders>
                    <w:tl2br w:val="nil"/>
                    <w:tr2bl w:val="nil"/>
                  </w:tcBorders>
                  <w:noWrap w:val="0"/>
                  <w:vAlign w:val="center"/>
                </w:tcPr>
                <w:p w14:paraId="75ECA272">
                  <w:pPr>
                    <w:adjustRightInd w:val="0"/>
                    <w:snapToGrid w:val="0"/>
                    <w:spacing w:line="280" w:lineRule="exact"/>
                    <w:jc w:val="center"/>
                    <w:rPr>
                      <w:rFonts w:hint="default" w:ascii="Times New Roman" w:hAnsi="Times New Roman" w:cs="Times New Roman" w:eastAsiaTheme="minorEastAsia"/>
                      <w:b/>
                      <w:bCs w:val="0"/>
                      <w:color w:val="auto"/>
                      <w:kern w:val="0"/>
                      <w:sz w:val="21"/>
                      <w:szCs w:val="21"/>
                      <w:highlight w:val="none"/>
                    </w:rPr>
                  </w:pPr>
                  <w:r>
                    <w:rPr>
                      <w:rFonts w:hint="eastAsia" w:cs="Times New Roman" w:eastAsiaTheme="minorEastAsia"/>
                      <w:b/>
                      <w:bCs w:val="0"/>
                      <w:color w:val="auto"/>
                      <w:kern w:val="0"/>
                      <w:sz w:val="21"/>
                      <w:szCs w:val="21"/>
                      <w:highlight w:val="none"/>
                      <w:lang w:val="en-US" w:eastAsia="zh-CN"/>
                    </w:rPr>
                    <w:t>清洗搅拌机用水</w:t>
                  </w:r>
                </w:p>
              </w:tc>
              <w:tc>
                <w:tcPr>
                  <w:tcW w:w="930" w:type="dxa"/>
                  <w:tcBorders>
                    <w:tl2br w:val="nil"/>
                    <w:tr2bl w:val="nil"/>
                  </w:tcBorders>
                  <w:noWrap w:val="0"/>
                  <w:vAlign w:val="center"/>
                </w:tcPr>
                <w:p w14:paraId="139DEFD7">
                  <w:pPr>
                    <w:adjustRightInd w:val="0"/>
                    <w:snapToGrid w:val="0"/>
                    <w:spacing w:line="280" w:lineRule="exact"/>
                    <w:jc w:val="center"/>
                    <w:rPr>
                      <w:rFonts w:hint="default"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4次/d</w:t>
                  </w:r>
                </w:p>
              </w:tc>
              <w:tc>
                <w:tcPr>
                  <w:tcW w:w="919" w:type="dxa"/>
                  <w:tcBorders>
                    <w:tl2br w:val="nil"/>
                    <w:tr2bl w:val="nil"/>
                  </w:tcBorders>
                  <w:noWrap w:val="0"/>
                  <w:vAlign w:val="center"/>
                </w:tcPr>
                <w:p w14:paraId="4BDC2964">
                  <w:pPr>
                    <w:adjustRightInd w:val="0"/>
                    <w:snapToGrid w:val="0"/>
                    <w:spacing w:line="280" w:lineRule="exact"/>
                    <w:jc w:val="center"/>
                    <w:rPr>
                      <w:rFonts w:hint="default"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1m</w:t>
                  </w:r>
                  <w:r>
                    <w:rPr>
                      <w:rFonts w:hint="eastAsia" w:cs="Times New Roman" w:eastAsiaTheme="minorEastAsia"/>
                      <w:color w:val="auto"/>
                      <w:spacing w:val="-11"/>
                      <w:sz w:val="21"/>
                      <w:szCs w:val="21"/>
                      <w:highlight w:val="none"/>
                      <w:vertAlign w:val="superscript"/>
                      <w:lang w:val="en-US" w:eastAsia="zh-CN"/>
                    </w:rPr>
                    <w:t>3</w:t>
                  </w:r>
                  <w:r>
                    <w:rPr>
                      <w:rFonts w:hint="eastAsia" w:cs="Times New Roman" w:eastAsiaTheme="minorEastAsia"/>
                      <w:color w:val="auto"/>
                      <w:spacing w:val="-11"/>
                      <w:sz w:val="21"/>
                      <w:szCs w:val="21"/>
                      <w:highlight w:val="none"/>
                      <w:vertAlign w:val="baseline"/>
                      <w:lang w:val="en-US" w:eastAsia="zh-CN"/>
                    </w:rPr>
                    <w:t>/次</w:t>
                  </w:r>
                </w:p>
              </w:tc>
              <w:tc>
                <w:tcPr>
                  <w:tcW w:w="762" w:type="dxa"/>
                  <w:tcBorders>
                    <w:tl2br w:val="nil"/>
                    <w:tr2bl w:val="nil"/>
                  </w:tcBorders>
                  <w:noWrap w:val="0"/>
                  <w:vAlign w:val="center"/>
                </w:tcPr>
                <w:p w14:paraId="0A348EBA">
                  <w:pPr>
                    <w:adjustRightInd w:val="0"/>
                    <w:snapToGrid w:val="0"/>
                    <w:spacing w:line="280" w:lineRule="exact"/>
                    <w:jc w:val="center"/>
                    <w:rPr>
                      <w:rFonts w:hint="default" w:eastAsia="仿宋_GB2312"/>
                      <w:color w:val="auto"/>
                      <w:spacing w:val="-11"/>
                      <w:kern w:val="0"/>
                      <w:sz w:val="21"/>
                      <w:szCs w:val="21"/>
                      <w:highlight w:val="none"/>
                      <w:lang w:val="en-US" w:eastAsia="zh-CN"/>
                    </w:rPr>
                  </w:pPr>
                  <w:r>
                    <w:rPr>
                      <w:rFonts w:hint="eastAsia" w:eastAsia="仿宋_GB2312"/>
                      <w:color w:val="auto"/>
                      <w:spacing w:val="-11"/>
                      <w:kern w:val="0"/>
                      <w:sz w:val="21"/>
                      <w:szCs w:val="21"/>
                      <w:highlight w:val="none"/>
                      <w:lang w:val="en-US" w:eastAsia="zh-CN"/>
                    </w:rPr>
                    <w:t>1.6</w:t>
                  </w:r>
                </w:p>
              </w:tc>
              <w:tc>
                <w:tcPr>
                  <w:tcW w:w="638" w:type="dxa"/>
                  <w:tcBorders>
                    <w:tl2br w:val="nil"/>
                    <w:tr2bl w:val="nil"/>
                  </w:tcBorders>
                  <w:noWrap w:val="0"/>
                  <w:vAlign w:val="center"/>
                </w:tcPr>
                <w:p w14:paraId="0C4F50BE">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2.4</w:t>
                  </w:r>
                </w:p>
              </w:tc>
              <w:tc>
                <w:tcPr>
                  <w:tcW w:w="761" w:type="dxa"/>
                  <w:tcBorders>
                    <w:tl2br w:val="nil"/>
                    <w:tr2bl w:val="nil"/>
                  </w:tcBorders>
                  <w:noWrap w:val="0"/>
                  <w:vAlign w:val="center"/>
                </w:tcPr>
                <w:p w14:paraId="17C5720A">
                  <w:pPr>
                    <w:adjustRightInd w:val="0"/>
                    <w:snapToGrid w:val="0"/>
                    <w:spacing w:line="280" w:lineRule="exact"/>
                    <w:jc w:val="center"/>
                    <w:rPr>
                      <w:rFonts w:hint="default" w:cs="Times New Roman" w:eastAsiaTheme="minorEastAsia"/>
                      <w:color w:val="auto"/>
                      <w:spacing w:val="-11"/>
                      <w:sz w:val="21"/>
                      <w:szCs w:val="21"/>
                      <w:highlight w:val="none"/>
                      <w:lang w:val="en-US" w:eastAsia="zh-CN"/>
                    </w:rPr>
                  </w:pPr>
                  <w:r>
                    <w:rPr>
                      <w:rFonts w:hint="eastAsia" w:eastAsia="仿宋_GB2312"/>
                      <w:color w:val="auto"/>
                      <w:spacing w:val="-11"/>
                      <w:kern w:val="0"/>
                      <w:sz w:val="21"/>
                      <w:szCs w:val="21"/>
                      <w:highlight w:val="none"/>
                      <w:lang w:val="en-US" w:eastAsia="zh-CN"/>
                    </w:rPr>
                    <w:t>1.6</w:t>
                  </w:r>
                </w:p>
              </w:tc>
              <w:tc>
                <w:tcPr>
                  <w:tcW w:w="497" w:type="dxa"/>
                  <w:tcBorders>
                    <w:tl2br w:val="nil"/>
                    <w:tr2bl w:val="nil"/>
                  </w:tcBorders>
                  <w:noWrap w:val="0"/>
                  <w:vAlign w:val="center"/>
                </w:tcPr>
                <w:p w14:paraId="17F8B901">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2.4</w:t>
                  </w:r>
                </w:p>
              </w:tc>
              <w:tc>
                <w:tcPr>
                  <w:tcW w:w="515" w:type="dxa"/>
                  <w:tcBorders>
                    <w:tl2br w:val="nil"/>
                    <w:tr2bl w:val="nil"/>
                  </w:tcBorders>
                  <w:noWrap w:val="0"/>
                  <w:vAlign w:val="center"/>
                </w:tcPr>
                <w:p w14:paraId="1C5AE736">
                  <w:pPr>
                    <w:spacing w:line="280" w:lineRule="exact"/>
                    <w:jc w:val="center"/>
                    <w:rPr>
                      <w:rFonts w:hint="default" w:eastAsia="仿宋_GB2312" w:cs="Times New Roman"/>
                      <w:color w:val="auto"/>
                      <w:spacing w:val="-11"/>
                      <w:sz w:val="21"/>
                      <w:szCs w:val="21"/>
                      <w:highlight w:val="none"/>
                      <w:lang w:val="en-US" w:eastAsia="zh-CN"/>
                    </w:rPr>
                  </w:pPr>
                  <w:r>
                    <w:rPr>
                      <w:rFonts w:hint="eastAsia" w:eastAsia="仿宋_GB2312" w:cs="Times New Roman"/>
                      <w:color w:val="auto"/>
                      <w:spacing w:val="-11"/>
                      <w:sz w:val="21"/>
                      <w:szCs w:val="21"/>
                      <w:highlight w:val="none"/>
                      <w:lang w:val="en-US" w:eastAsia="zh-CN"/>
                    </w:rPr>
                    <w:t>/</w:t>
                  </w:r>
                </w:p>
              </w:tc>
              <w:tc>
                <w:tcPr>
                  <w:tcW w:w="1525" w:type="dxa"/>
                  <w:vMerge w:val="continue"/>
                  <w:tcBorders>
                    <w:tl2br w:val="nil"/>
                    <w:tr2bl w:val="nil"/>
                  </w:tcBorders>
                  <w:noWrap w:val="0"/>
                  <w:vAlign w:val="center"/>
                </w:tcPr>
                <w:p w14:paraId="266A4CDA">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p>
              </w:tc>
            </w:tr>
            <w:tr w14:paraId="32A4E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tcBorders>
                    <w:tl2br w:val="nil"/>
                    <w:tr2bl w:val="nil"/>
                  </w:tcBorders>
                  <w:shd w:val="clear" w:color="auto" w:fill="auto"/>
                  <w:noWrap w:val="0"/>
                  <w:vAlign w:val="center"/>
                </w:tcPr>
                <w:p w14:paraId="628A2C23">
                  <w:pPr>
                    <w:adjustRightInd w:val="0"/>
                    <w:snapToGrid w:val="0"/>
                    <w:spacing w:line="280" w:lineRule="exact"/>
                    <w:jc w:val="center"/>
                    <w:rPr>
                      <w:rFonts w:hint="eastAsia" w:ascii="Times New Roman" w:hAnsi="Times New Roman" w:cs="Times New Roman" w:eastAsiaTheme="minorEastAsia"/>
                      <w:b/>
                      <w:bCs w:val="0"/>
                      <w:color w:val="auto"/>
                      <w:kern w:val="0"/>
                      <w:sz w:val="21"/>
                      <w:szCs w:val="21"/>
                      <w:highlight w:val="none"/>
                      <w:lang w:val="en-US" w:eastAsia="zh-CN" w:bidi="ar-SA"/>
                    </w:rPr>
                  </w:pPr>
                  <w:r>
                    <w:rPr>
                      <w:rFonts w:hint="eastAsia" w:cs="Times New Roman" w:eastAsiaTheme="minorEastAsia"/>
                      <w:b/>
                      <w:bCs w:val="0"/>
                      <w:color w:val="auto"/>
                      <w:kern w:val="0"/>
                      <w:sz w:val="21"/>
                      <w:szCs w:val="21"/>
                      <w:highlight w:val="none"/>
                      <w:lang w:eastAsia="zh-CN"/>
                    </w:rPr>
                    <w:t>洒水抑尘</w:t>
                  </w:r>
                </w:p>
              </w:tc>
              <w:tc>
                <w:tcPr>
                  <w:tcW w:w="930" w:type="dxa"/>
                  <w:tcBorders>
                    <w:tl2br w:val="nil"/>
                    <w:tr2bl w:val="nil"/>
                  </w:tcBorders>
                  <w:shd w:val="clear" w:color="auto" w:fill="auto"/>
                  <w:noWrap w:val="0"/>
                  <w:vAlign w:val="center"/>
                </w:tcPr>
                <w:p w14:paraId="4246289F">
                  <w:pPr>
                    <w:adjustRightInd w:val="0"/>
                    <w:snapToGrid w:val="0"/>
                    <w:spacing w:line="280" w:lineRule="exact"/>
                    <w:jc w:val="center"/>
                    <w:rPr>
                      <w:rFonts w:hint="default" w:ascii="Times New Roman" w:hAnsi="Times New Roman" w:cs="Times New Roman" w:eastAsiaTheme="minorEastAsia"/>
                      <w:color w:val="auto"/>
                      <w:spacing w:val="-11"/>
                      <w:kern w:val="2"/>
                      <w:sz w:val="21"/>
                      <w:szCs w:val="21"/>
                      <w:highlight w:val="none"/>
                      <w:lang w:val="en-US" w:eastAsia="zh-CN" w:bidi="ar-SA"/>
                    </w:rPr>
                  </w:pPr>
                  <w:r>
                    <w:rPr>
                      <w:rFonts w:hint="eastAsia" w:cs="Times New Roman" w:eastAsiaTheme="minorEastAsia"/>
                      <w:color w:val="auto"/>
                      <w:spacing w:val="-11"/>
                      <w:sz w:val="21"/>
                      <w:szCs w:val="21"/>
                      <w:highlight w:val="none"/>
                      <w:lang w:val="en-US" w:eastAsia="zh-CN"/>
                    </w:rPr>
                    <w:t>240</w:t>
                  </w:r>
                  <w:r>
                    <w:rPr>
                      <w:rFonts w:hint="default" w:ascii="Times New Roman" w:hAnsi="Times New Roman" w:cs="Times New Roman" w:eastAsiaTheme="minorEastAsia"/>
                      <w:color w:val="auto"/>
                      <w:spacing w:val="-11"/>
                      <w:sz w:val="21"/>
                      <w:szCs w:val="21"/>
                      <w:highlight w:val="none"/>
                      <w:lang w:val="en-US" w:eastAsia="zh-CN"/>
                    </w:rPr>
                    <w:t>d</w:t>
                  </w:r>
                </w:p>
              </w:tc>
              <w:tc>
                <w:tcPr>
                  <w:tcW w:w="919" w:type="dxa"/>
                  <w:tcBorders>
                    <w:tl2br w:val="nil"/>
                    <w:tr2bl w:val="nil"/>
                  </w:tcBorders>
                  <w:shd w:val="clear" w:color="auto" w:fill="auto"/>
                  <w:noWrap w:val="0"/>
                  <w:vAlign w:val="center"/>
                </w:tcPr>
                <w:p w14:paraId="63DA69FD">
                  <w:pPr>
                    <w:adjustRightInd w:val="0"/>
                    <w:snapToGrid w:val="0"/>
                    <w:spacing w:line="280" w:lineRule="exact"/>
                    <w:jc w:val="center"/>
                    <w:rPr>
                      <w:rFonts w:hint="default" w:ascii="Times New Roman" w:hAnsi="Times New Roman" w:cs="Times New Roman" w:eastAsiaTheme="minorEastAsia"/>
                      <w:color w:val="auto"/>
                      <w:spacing w:val="-11"/>
                      <w:kern w:val="2"/>
                      <w:sz w:val="21"/>
                      <w:szCs w:val="21"/>
                      <w:highlight w:val="none"/>
                      <w:lang w:val="en-US" w:eastAsia="zh-CN" w:bidi="ar-SA"/>
                    </w:rPr>
                  </w:pPr>
                  <w:r>
                    <w:rPr>
                      <w:rFonts w:hint="default" w:ascii="Times New Roman" w:hAnsi="Times New Roman" w:cs="Times New Roman" w:eastAsiaTheme="minorEastAsia"/>
                      <w:color w:val="auto"/>
                      <w:spacing w:val="-11"/>
                      <w:sz w:val="21"/>
                      <w:szCs w:val="21"/>
                      <w:highlight w:val="none"/>
                    </w:rPr>
                    <w:t>1.</w:t>
                  </w:r>
                  <w:r>
                    <w:rPr>
                      <w:rFonts w:hint="eastAsia" w:cs="Times New Roman" w:eastAsiaTheme="minorEastAsia"/>
                      <w:color w:val="auto"/>
                      <w:spacing w:val="-11"/>
                      <w:sz w:val="21"/>
                      <w:szCs w:val="21"/>
                      <w:highlight w:val="none"/>
                      <w:lang w:val="en-US" w:eastAsia="zh-CN"/>
                    </w:rPr>
                    <w:t>5</w:t>
                  </w:r>
                  <w:r>
                    <w:rPr>
                      <w:rFonts w:hint="default" w:ascii="Times New Roman" w:hAnsi="Times New Roman" w:cs="Times New Roman" w:eastAsiaTheme="minorEastAsia"/>
                      <w:color w:val="auto"/>
                      <w:spacing w:val="-11"/>
                      <w:sz w:val="21"/>
                      <w:szCs w:val="21"/>
                      <w:highlight w:val="none"/>
                    </w:rPr>
                    <w:t>m</w:t>
                  </w:r>
                  <w:r>
                    <w:rPr>
                      <w:rFonts w:hint="default" w:ascii="Times New Roman" w:hAnsi="Times New Roman" w:cs="Times New Roman" w:eastAsiaTheme="minorEastAsia"/>
                      <w:color w:val="auto"/>
                      <w:spacing w:val="-11"/>
                      <w:sz w:val="21"/>
                      <w:szCs w:val="21"/>
                      <w:highlight w:val="none"/>
                      <w:vertAlign w:val="superscript"/>
                    </w:rPr>
                    <w:t>3</w:t>
                  </w:r>
                  <w:r>
                    <w:rPr>
                      <w:rFonts w:hint="default" w:ascii="Times New Roman" w:hAnsi="Times New Roman" w:cs="Times New Roman" w:eastAsiaTheme="minorEastAsia"/>
                      <w:color w:val="auto"/>
                      <w:spacing w:val="-11"/>
                      <w:sz w:val="21"/>
                      <w:szCs w:val="21"/>
                      <w:highlight w:val="none"/>
                    </w:rPr>
                    <w:t>/d</w:t>
                  </w:r>
                </w:p>
              </w:tc>
              <w:tc>
                <w:tcPr>
                  <w:tcW w:w="762" w:type="dxa"/>
                  <w:tcBorders>
                    <w:tl2br w:val="nil"/>
                    <w:tr2bl w:val="nil"/>
                  </w:tcBorders>
                  <w:shd w:val="clear" w:color="auto" w:fill="auto"/>
                  <w:noWrap w:val="0"/>
                  <w:vAlign w:val="center"/>
                </w:tcPr>
                <w:p w14:paraId="79D60459">
                  <w:pPr>
                    <w:adjustRightInd w:val="0"/>
                    <w:snapToGrid w:val="0"/>
                    <w:spacing w:line="280" w:lineRule="exact"/>
                    <w:jc w:val="center"/>
                    <w:rPr>
                      <w:rFonts w:hint="default" w:ascii="Times New Roman" w:hAnsi="Times New Roman" w:cs="Times New Roman" w:eastAsiaTheme="minorEastAsia"/>
                      <w:color w:val="auto"/>
                      <w:spacing w:val="-11"/>
                      <w:kern w:val="2"/>
                      <w:sz w:val="21"/>
                      <w:szCs w:val="21"/>
                      <w:highlight w:val="none"/>
                      <w:lang w:val="en-US" w:eastAsia="zh-CN" w:bidi="ar-SA"/>
                    </w:rPr>
                  </w:pPr>
                  <w:r>
                    <w:rPr>
                      <w:rFonts w:hint="eastAsia" w:cs="Times New Roman" w:eastAsiaTheme="minorEastAsia"/>
                      <w:color w:val="auto"/>
                      <w:spacing w:val="-11"/>
                      <w:sz w:val="21"/>
                      <w:szCs w:val="21"/>
                      <w:highlight w:val="none"/>
                      <w:lang w:val="en-US" w:eastAsia="zh-CN"/>
                    </w:rPr>
                    <w:t>1.5</w:t>
                  </w:r>
                </w:p>
              </w:tc>
              <w:tc>
                <w:tcPr>
                  <w:tcW w:w="638" w:type="dxa"/>
                  <w:tcBorders>
                    <w:tl2br w:val="nil"/>
                    <w:tr2bl w:val="nil"/>
                  </w:tcBorders>
                  <w:shd w:val="clear" w:color="auto" w:fill="auto"/>
                  <w:noWrap w:val="0"/>
                  <w:vAlign w:val="center"/>
                </w:tcPr>
                <w:p w14:paraId="7BEC7765">
                  <w:pPr>
                    <w:spacing w:line="280" w:lineRule="exact"/>
                    <w:jc w:val="center"/>
                    <w:rPr>
                      <w:rFonts w:hint="eastAsia" w:ascii="Times New Roman" w:hAnsi="Times New Roman" w:cs="Times New Roman" w:eastAsiaTheme="minorEastAsia"/>
                      <w:color w:val="auto"/>
                      <w:spacing w:val="-11"/>
                      <w:kern w:val="2"/>
                      <w:sz w:val="21"/>
                      <w:szCs w:val="21"/>
                      <w:highlight w:val="none"/>
                      <w:lang w:val="en-US" w:eastAsia="zh-CN" w:bidi="ar-SA"/>
                    </w:rPr>
                  </w:pPr>
                  <w:r>
                    <w:rPr>
                      <w:rFonts w:hint="eastAsia" w:ascii="Times New Roman" w:hAnsi="Times New Roman" w:cs="Times New Roman" w:eastAsiaTheme="minorEastAsia"/>
                      <w:color w:val="auto"/>
                      <w:spacing w:val="-11"/>
                      <w:sz w:val="21"/>
                      <w:szCs w:val="21"/>
                      <w:highlight w:val="none"/>
                      <w:lang w:val="en-US" w:eastAsia="zh-CN"/>
                    </w:rPr>
                    <w:t>/</w:t>
                  </w:r>
                </w:p>
              </w:tc>
              <w:tc>
                <w:tcPr>
                  <w:tcW w:w="761" w:type="dxa"/>
                  <w:tcBorders>
                    <w:tl2br w:val="nil"/>
                    <w:tr2bl w:val="nil"/>
                  </w:tcBorders>
                  <w:shd w:val="clear" w:color="auto" w:fill="auto"/>
                  <w:noWrap w:val="0"/>
                  <w:vAlign w:val="center"/>
                </w:tcPr>
                <w:p w14:paraId="0BA0226A">
                  <w:pPr>
                    <w:adjustRightInd w:val="0"/>
                    <w:snapToGrid w:val="0"/>
                    <w:spacing w:line="280" w:lineRule="exact"/>
                    <w:jc w:val="center"/>
                    <w:rPr>
                      <w:rFonts w:hint="default" w:ascii="Times New Roman" w:hAnsi="Times New Roman" w:cs="Times New Roman" w:eastAsiaTheme="minorEastAsia"/>
                      <w:color w:val="auto"/>
                      <w:spacing w:val="-11"/>
                      <w:kern w:val="2"/>
                      <w:sz w:val="21"/>
                      <w:szCs w:val="21"/>
                      <w:highlight w:val="none"/>
                      <w:lang w:val="en-US" w:eastAsia="zh-CN" w:bidi="ar-SA"/>
                    </w:rPr>
                  </w:pPr>
                  <w:r>
                    <w:rPr>
                      <w:rFonts w:hint="eastAsia" w:cs="Times New Roman" w:eastAsiaTheme="minorEastAsia"/>
                      <w:color w:val="auto"/>
                      <w:spacing w:val="-11"/>
                      <w:sz w:val="21"/>
                      <w:szCs w:val="21"/>
                      <w:highlight w:val="none"/>
                      <w:lang w:val="en-US" w:eastAsia="zh-CN"/>
                    </w:rPr>
                    <w:t>1.5</w:t>
                  </w:r>
                </w:p>
              </w:tc>
              <w:tc>
                <w:tcPr>
                  <w:tcW w:w="497" w:type="dxa"/>
                  <w:tcBorders>
                    <w:tl2br w:val="nil"/>
                    <w:tr2bl w:val="nil"/>
                  </w:tcBorders>
                  <w:shd w:val="clear" w:color="auto" w:fill="auto"/>
                  <w:noWrap w:val="0"/>
                  <w:vAlign w:val="center"/>
                </w:tcPr>
                <w:p w14:paraId="7629682C">
                  <w:pPr>
                    <w:spacing w:line="280" w:lineRule="exact"/>
                    <w:jc w:val="center"/>
                    <w:rPr>
                      <w:rFonts w:hint="eastAsia" w:ascii="Times New Roman" w:hAnsi="Times New Roman" w:cs="Times New Roman" w:eastAsiaTheme="minorEastAsia"/>
                      <w:color w:val="auto"/>
                      <w:spacing w:val="-11"/>
                      <w:kern w:val="2"/>
                      <w:sz w:val="21"/>
                      <w:szCs w:val="21"/>
                      <w:highlight w:val="none"/>
                      <w:lang w:val="en-US" w:eastAsia="zh-CN" w:bidi="ar-SA"/>
                    </w:rPr>
                  </w:pPr>
                  <w:r>
                    <w:rPr>
                      <w:rFonts w:hint="eastAsia" w:ascii="Times New Roman" w:hAnsi="Times New Roman" w:cs="Times New Roman" w:eastAsiaTheme="minorEastAsia"/>
                      <w:color w:val="auto"/>
                      <w:spacing w:val="-11"/>
                      <w:sz w:val="21"/>
                      <w:szCs w:val="21"/>
                      <w:highlight w:val="none"/>
                      <w:lang w:val="en-US" w:eastAsia="zh-CN"/>
                    </w:rPr>
                    <w:t>/</w:t>
                  </w:r>
                </w:p>
              </w:tc>
              <w:tc>
                <w:tcPr>
                  <w:tcW w:w="515" w:type="dxa"/>
                  <w:tcBorders>
                    <w:tl2br w:val="nil"/>
                    <w:tr2bl w:val="nil"/>
                  </w:tcBorders>
                  <w:shd w:val="clear" w:color="auto" w:fill="auto"/>
                  <w:noWrap w:val="0"/>
                  <w:vAlign w:val="center"/>
                </w:tcPr>
                <w:p w14:paraId="2DAC8A3D">
                  <w:pPr>
                    <w:spacing w:line="280" w:lineRule="exact"/>
                    <w:jc w:val="center"/>
                    <w:rPr>
                      <w:rFonts w:hint="eastAsia" w:ascii="Times New Roman" w:hAnsi="Times New Roman" w:cs="Times New Roman" w:eastAsiaTheme="minorEastAsia"/>
                      <w:color w:val="auto"/>
                      <w:spacing w:val="-11"/>
                      <w:kern w:val="2"/>
                      <w:sz w:val="21"/>
                      <w:szCs w:val="21"/>
                      <w:highlight w:val="none"/>
                      <w:lang w:val="en-US" w:eastAsia="zh-CN" w:bidi="ar-SA"/>
                    </w:rPr>
                  </w:pPr>
                  <w:r>
                    <w:rPr>
                      <w:rFonts w:hint="eastAsia" w:ascii="Times New Roman" w:hAnsi="Times New Roman" w:cs="Times New Roman" w:eastAsiaTheme="minorEastAsia"/>
                      <w:color w:val="auto"/>
                      <w:spacing w:val="-11"/>
                      <w:sz w:val="21"/>
                      <w:szCs w:val="21"/>
                      <w:highlight w:val="none"/>
                      <w:lang w:val="en-US" w:eastAsia="zh-CN"/>
                    </w:rPr>
                    <w:t>/</w:t>
                  </w:r>
                </w:p>
              </w:tc>
              <w:tc>
                <w:tcPr>
                  <w:tcW w:w="1525" w:type="dxa"/>
                  <w:tcBorders>
                    <w:tl2br w:val="nil"/>
                    <w:tr2bl w:val="nil"/>
                  </w:tcBorders>
                  <w:shd w:val="clear" w:color="auto" w:fill="auto"/>
                  <w:noWrap w:val="0"/>
                  <w:vAlign w:val="center"/>
                </w:tcPr>
                <w:p w14:paraId="570A62D4">
                  <w:pPr>
                    <w:spacing w:line="280" w:lineRule="exact"/>
                    <w:jc w:val="center"/>
                    <w:rPr>
                      <w:rFonts w:hint="default" w:ascii="Times New Roman" w:hAnsi="Times New Roman" w:cs="Times New Roman" w:eastAsiaTheme="minorEastAsia"/>
                      <w:color w:val="auto"/>
                      <w:spacing w:val="-11"/>
                      <w:kern w:val="2"/>
                      <w:sz w:val="21"/>
                      <w:szCs w:val="21"/>
                      <w:highlight w:val="none"/>
                      <w:lang w:val="en-US" w:eastAsia="zh-CN" w:bidi="ar-SA"/>
                    </w:rPr>
                  </w:pPr>
                  <w:r>
                    <w:rPr>
                      <w:rFonts w:hint="eastAsia" w:cs="Times New Roman" w:eastAsiaTheme="minorEastAsia"/>
                      <w:color w:val="auto"/>
                      <w:spacing w:val="-11"/>
                      <w:sz w:val="21"/>
                      <w:szCs w:val="21"/>
                      <w:highlight w:val="none"/>
                      <w:lang w:eastAsia="zh-CN"/>
                    </w:rPr>
                    <w:t>全部损耗</w:t>
                  </w:r>
                </w:p>
              </w:tc>
            </w:tr>
            <w:tr w14:paraId="10A6B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tcBorders>
                    <w:tl2br w:val="nil"/>
                    <w:tr2bl w:val="nil"/>
                  </w:tcBorders>
                  <w:shd w:val="clear" w:color="auto" w:fill="auto"/>
                  <w:noWrap w:val="0"/>
                  <w:vAlign w:val="center"/>
                </w:tcPr>
                <w:p w14:paraId="2AA80755">
                  <w:pPr>
                    <w:adjustRightInd w:val="0"/>
                    <w:snapToGrid w:val="0"/>
                    <w:spacing w:line="280" w:lineRule="exact"/>
                    <w:jc w:val="center"/>
                    <w:rPr>
                      <w:rFonts w:hint="eastAsia" w:ascii="Times New Roman" w:hAnsi="Times New Roman" w:cs="Times New Roman" w:eastAsiaTheme="minorEastAsia"/>
                      <w:b/>
                      <w:bCs w:val="0"/>
                      <w:color w:val="auto"/>
                      <w:kern w:val="2"/>
                      <w:sz w:val="21"/>
                      <w:szCs w:val="21"/>
                      <w:highlight w:val="none"/>
                      <w:lang w:val="en-US" w:eastAsia="zh-CN" w:bidi="ar-SA"/>
                    </w:rPr>
                  </w:pPr>
                  <w:r>
                    <w:rPr>
                      <w:rFonts w:hint="default" w:ascii="Times New Roman" w:hAnsi="Times New Roman" w:cs="Times New Roman" w:eastAsiaTheme="minorEastAsia"/>
                      <w:b/>
                      <w:bCs w:val="0"/>
                      <w:color w:val="auto"/>
                      <w:kern w:val="0"/>
                      <w:sz w:val="21"/>
                      <w:szCs w:val="21"/>
                      <w:highlight w:val="none"/>
                    </w:rPr>
                    <w:t>生活用水</w:t>
                  </w:r>
                </w:p>
              </w:tc>
              <w:tc>
                <w:tcPr>
                  <w:tcW w:w="930" w:type="dxa"/>
                  <w:tcBorders>
                    <w:tl2br w:val="nil"/>
                    <w:tr2bl w:val="nil"/>
                  </w:tcBorders>
                  <w:shd w:val="clear" w:color="auto" w:fill="auto"/>
                  <w:noWrap w:val="0"/>
                  <w:vAlign w:val="center"/>
                </w:tcPr>
                <w:p w14:paraId="3CB7DE80">
                  <w:pPr>
                    <w:adjustRightInd w:val="0"/>
                    <w:snapToGrid w:val="0"/>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50</w:t>
                  </w:r>
                  <w:r>
                    <w:rPr>
                      <w:rFonts w:hint="default" w:ascii="Times New Roman" w:hAnsi="Times New Roman" w:cs="Times New Roman" w:eastAsiaTheme="minorEastAsia"/>
                      <w:color w:val="auto"/>
                      <w:spacing w:val="-11"/>
                      <w:sz w:val="21"/>
                      <w:szCs w:val="21"/>
                      <w:highlight w:val="none"/>
                      <w:lang w:val="en-US" w:eastAsia="zh-CN"/>
                    </w:rPr>
                    <w:t>人</w:t>
                  </w:r>
                </w:p>
                <w:p w14:paraId="720D9AD7">
                  <w:pPr>
                    <w:adjustRightInd w:val="0"/>
                    <w:snapToGrid w:val="0"/>
                    <w:spacing w:line="280" w:lineRule="exact"/>
                    <w:jc w:val="center"/>
                    <w:rPr>
                      <w:rFonts w:hint="eastAsia" w:ascii="Times New Roman" w:hAnsi="Times New Roman" w:cs="Times New Roman" w:eastAsiaTheme="minorEastAsia"/>
                      <w:color w:val="auto"/>
                      <w:spacing w:val="-11"/>
                      <w:kern w:val="2"/>
                      <w:sz w:val="21"/>
                      <w:szCs w:val="21"/>
                      <w:highlight w:val="none"/>
                      <w:lang w:val="en-US" w:eastAsia="zh-CN" w:bidi="ar-SA"/>
                    </w:rPr>
                  </w:pPr>
                  <w:r>
                    <w:rPr>
                      <w:rFonts w:hint="eastAsia" w:cs="Times New Roman" w:eastAsiaTheme="minorEastAsia"/>
                      <w:color w:val="auto"/>
                      <w:spacing w:val="-11"/>
                      <w:sz w:val="21"/>
                      <w:szCs w:val="21"/>
                      <w:highlight w:val="none"/>
                      <w:lang w:val="en-US" w:eastAsia="zh-CN"/>
                    </w:rPr>
                    <w:t>240</w:t>
                  </w:r>
                  <w:r>
                    <w:rPr>
                      <w:rFonts w:hint="default" w:ascii="Times New Roman" w:hAnsi="Times New Roman" w:cs="Times New Roman" w:eastAsiaTheme="minorEastAsia"/>
                      <w:color w:val="auto"/>
                      <w:spacing w:val="-11"/>
                      <w:sz w:val="21"/>
                      <w:szCs w:val="21"/>
                      <w:highlight w:val="none"/>
                      <w:lang w:val="en-US" w:eastAsia="zh-CN"/>
                    </w:rPr>
                    <w:t>d</w:t>
                  </w:r>
                </w:p>
              </w:tc>
              <w:tc>
                <w:tcPr>
                  <w:tcW w:w="919" w:type="dxa"/>
                  <w:tcBorders>
                    <w:tl2br w:val="nil"/>
                    <w:tr2bl w:val="nil"/>
                  </w:tcBorders>
                  <w:shd w:val="clear" w:color="auto" w:fill="auto"/>
                  <w:noWrap w:val="0"/>
                  <w:vAlign w:val="center"/>
                </w:tcPr>
                <w:p w14:paraId="45F78F1F">
                  <w:pPr>
                    <w:adjustRightInd w:val="0"/>
                    <w:snapToGrid w:val="0"/>
                    <w:spacing w:line="280" w:lineRule="exact"/>
                    <w:jc w:val="center"/>
                    <w:rPr>
                      <w:rFonts w:hint="eastAsia" w:ascii="Times New Roman" w:hAnsi="Times New Roman" w:cs="Times New Roman" w:eastAsiaTheme="minorEastAsia"/>
                      <w:color w:val="auto"/>
                      <w:spacing w:val="-11"/>
                      <w:kern w:val="2"/>
                      <w:sz w:val="21"/>
                      <w:szCs w:val="21"/>
                      <w:highlight w:val="none"/>
                      <w:lang w:val="en-US" w:eastAsia="zh-CN" w:bidi="ar-SA"/>
                    </w:rPr>
                  </w:pPr>
                  <w:r>
                    <w:rPr>
                      <w:rFonts w:hint="eastAsia" w:cs="Times New Roman" w:eastAsiaTheme="minorEastAsia"/>
                      <w:color w:val="auto"/>
                      <w:spacing w:val="-11"/>
                      <w:sz w:val="21"/>
                      <w:szCs w:val="21"/>
                      <w:highlight w:val="none"/>
                      <w:lang w:val="en-US" w:eastAsia="zh-CN"/>
                    </w:rPr>
                    <w:t>7</w:t>
                  </w:r>
                  <w:r>
                    <w:rPr>
                      <w:rFonts w:hint="default" w:ascii="Times New Roman" w:hAnsi="Times New Roman" w:cs="Times New Roman" w:eastAsiaTheme="minorEastAsia"/>
                      <w:color w:val="auto"/>
                      <w:spacing w:val="-11"/>
                      <w:sz w:val="21"/>
                      <w:szCs w:val="21"/>
                      <w:highlight w:val="none"/>
                      <w:lang w:val="en-US" w:eastAsia="zh-CN"/>
                    </w:rPr>
                    <w:t>0</w:t>
                  </w:r>
                  <w:r>
                    <w:rPr>
                      <w:rFonts w:hint="default" w:ascii="Times New Roman" w:hAnsi="Times New Roman" w:cs="Times New Roman" w:eastAsiaTheme="minorEastAsia"/>
                      <w:color w:val="auto"/>
                      <w:spacing w:val="-11"/>
                      <w:sz w:val="21"/>
                      <w:szCs w:val="21"/>
                      <w:highlight w:val="none"/>
                    </w:rPr>
                    <w:t>L/人·d</w:t>
                  </w:r>
                </w:p>
              </w:tc>
              <w:tc>
                <w:tcPr>
                  <w:tcW w:w="762" w:type="dxa"/>
                  <w:tcBorders>
                    <w:tl2br w:val="nil"/>
                    <w:tr2bl w:val="nil"/>
                  </w:tcBorders>
                  <w:shd w:val="clear" w:color="auto" w:fill="auto"/>
                  <w:noWrap w:val="0"/>
                  <w:vAlign w:val="center"/>
                </w:tcPr>
                <w:p w14:paraId="7BCA5E38">
                  <w:pPr>
                    <w:adjustRightInd w:val="0"/>
                    <w:snapToGrid w:val="0"/>
                    <w:spacing w:line="280" w:lineRule="exact"/>
                    <w:jc w:val="center"/>
                    <w:rPr>
                      <w:rFonts w:hint="default" w:ascii="Times New Roman" w:hAnsi="Times New Roman" w:cs="Times New Roman" w:eastAsiaTheme="minorEastAsia"/>
                      <w:color w:val="auto"/>
                      <w:spacing w:val="-11"/>
                      <w:kern w:val="2"/>
                      <w:sz w:val="21"/>
                      <w:szCs w:val="21"/>
                      <w:highlight w:val="none"/>
                      <w:lang w:val="en-US" w:eastAsia="zh-CN" w:bidi="ar-SA"/>
                    </w:rPr>
                  </w:pPr>
                  <w:r>
                    <w:rPr>
                      <w:rFonts w:hint="eastAsia" w:eastAsia="仿宋_GB2312"/>
                      <w:color w:val="auto"/>
                      <w:spacing w:val="-11"/>
                      <w:kern w:val="0"/>
                      <w:sz w:val="21"/>
                      <w:szCs w:val="21"/>
                      <w:highlight w:val="none"/>
                      <w:lang w:val="en-US" w:eastAsia="zh-CN"/>
                    </w:rPr>
                    <w:t>3.5</w:t>
                  </w:r>
                </w:p>
              </w:tc>
              <w:tc>
                <w:tcPr>
                  <w:tcW w:w="638" w:type="dxa"/>
                  <w:tcBorders>
                    <w:tl2br w:val="nil"/>
                    <w:tr2bl w:val="nil"/>
                  </w:tcBorders>
                  <w:shd w:val="clear" w:color="auto" w:fill="auto"/>
                  <w:noWrap w:val="0"/>
                  <w:vAlign w:val="center"/>
                </w:tcPr>
                <w:p w14:paraId="33CEBC6C">
                  <w:pPr>
                    <w:spacing w:line="280" w:lineRule="exact"/>
                    <w:jc w:val="center"/>
                    <w:rPr>
                      <w:rFonts w:hint="eastAsia" w:ascii="Times New Roman" w:hAnsi="Times New Roman" w:cs="Times New Roman" w:eastAsiaTheme="minorEastAsia"/>
                      <w:color w:val="auto"/>
                      <w:spacing w:val="-11"/>
                      <w:kern w:val="2"/>
                      <w:sz w:val="21"/>
                      <w:szCs w:val="21"/>
                      <w:highlight w:val="none"/>
                      <w:lang w:val="en-US" w:eastAsia="zh-CN" w:bidi="ar-SA"/>
                    </w:rPr>
                  </w:pPr>
                  <w:r>
                    <w:rPr>
                      <w:rFonts w:hint="eastAsia" w:ascii="Times New Roman" w:hAnsi="Times New Roman" w:cs="Times New Roman" w:eastAsiaTheme="minorEastAsia"/>
                      <w:color w:val="auto"/>
                      <w:spacing w:val="-11"/>
                      <w:sz w:val="21"/>
                      <w:szCs w:val="21"/>
                      <w:highlight w:val="none"/>
                      <w:lang w:val="en-US" w:eastAsia="zh-CN"/>
                    </w:rPr>
                    <w:t>/</w:t>
                  </w:r>
                </w:p>
              </w:tc>
              <w:tc>
                <w:tcPr>
                  <w:tcW w:w="761" w:type="dxa"/>
                  <w:tcBorders>
                    <w:tl2br w:val="nil"/>
                    <w:tr2bl w:val="nil"/>
                  </w:tcBorders>
                  <w:shd w:val="clear" w:color="auto" w:fill="auto"/>
                  <w:noWrap w:val="0"/>
                  <w:vAlign w:val="center"/>
                </w:tcPr>
                <w:p w14:paraId="278C2E3C">
                  <w:pPr>
                    <w:spacing w:line="280" w:lineRule="exact"/>
                    <w:jc w:val="center"/>
                    <w:rPr>
                      <w:rFonts w:hint="default" w:ascii="Times New Roman" w:hAnsi="Times New Roman" w:cs="Times New Roman" w:eastAsiaTheme="minorEastAsia"/>
                      <w:color w:val="auto"/>
                      <w:spacing w:val="-11"/>
                      <w:kern w:val="2"/>
                      <w:sz w:val="21"/>
                      <w:szCs w:val="21"/>
                      <w:highlight w:val="none"/>
                      <w:lang w:val="en-US" w:eastAsia="zh-CN" w:bidi="ar-SA"/>
                    </w:rPr>
                  </w:pPr>
                  <w:r>
                    <w:rPr>
                      <w:rFonts w:hint="eastAsia" w:cs="Times New Roman" w:eastAsiaTheme="minorEastAsia"/>
                      <w:color w:val="auto"/>
                      <w:spacing w:val="-11"/>
                      <w:sz w:val="21"/>
                      <w:szCs w:val="21"/>
                      <w:highlight w:val="none"/>
                      <w:lang w:val="en-US" w:eastAsia="zh-CN"/>
                    </w:rPr>
                    <w:t>0.7</w:t>
                  </w:r>
                </w:p>
              </w:tc>
              <w:tc>
                <w:tcPr>
                  <w:tcW w:w="497" w:type="dxa"/>
                  <w:tcBorders>
                    <w:tl2br w:val="nil"/>
                    <w:tr2bl w:val="nil"/>
                  </w:tcBorders>
                  <w:shd w:val="clear" w:color="auto" w:fill="auto"/>
                  <w:noWrap w:val="0"/>
                  <w:vAlign w:val="center"/>
                </w:tcPr>
                <w:p w14:paraId="2EE9BF5C">
                  <w:pPr>
                    <w:spacing w:line="280" w:lineRule="exact"/>
                    <w:jc w:val="center"/>
                    <w:rPr>
                      <w:rFonts w:hint="eastAsia" w:ascii="Times New Roman" w:hAnsi="Times New Roman" w:cs="Times New Roman" w:eastAsiaTheme="minorEastAsia"/>
                      <w:color w:val="auto"/>
                      <w:spacing w:val="-11"/>
                      <w:kern w:val="2"/>
                      <w:sz w:val="21"/>
                      <w:szCs w:val="21"/>
                      <w:highlight w:val="none"/>
                      <w:lang w:val="en-US" w:eastAsia="zh-CN" w:bidi="ar-SA"/>
                    </w:rPr>
                  </w:pPr>
                  <w:r>
                    <w:rPr>
                      <w:rFonts w:hint="eastAsia" w:ascii="Times New Roman" w:hAnsi="Times New Roman" w:cs="Times New Roman" w:eastAsiaTheme="minorEastAsia"/>
                      <w:color w:val="auto"/>
                      <w:spacing w:val="-11"/>
                      <w:sz w:val="21"/>
                      <w:szCs w:val="21"/>
                      <w:highlight w:val="none"/>
                      <w:lang w:val="en-US" w:eastAsia="zh-CN"/>
                    </w:rPr>
                    <w:t>/</w:t>
                  </w:r>
                </w:p>
              </w:tc>
              <w:tc>
                <w:tcPr>
                  <w:tcW w:w="515" w:type="dxa"/>
                  <w:tcBorders>
                    <w:tl2br w:val="nil"/>
                    <w:tr2bl w:val="nil"/>
                  </w:tcBorders>
                  <w:shd w:val="clear" w:color="auto" w:fill="auto"/>
                  <w:noWrap w:val="0"/>
                  <w:vAlign w:val="center"/>
                </w:tcPr>
                <w:p w14:paraId="5B5C01B9">
                  <w:pPr>
                    <w:spacing w:line="280" w:lineRule="exact"/>
                    <w:jc w:val="center"/>
                    <w:rPr>
                      <w:rFonts w:hint="default" w:ascii="Times New Roman" w:hAnsi="Times New Roman" w:cs="Times New Roman" w:eastAsiaTheme="minorEastAsia"/>
                      <w:color w:val="auto"/>
                      <w:spacing w:val="-11"/>
                      <w:kern w:val="2"/>
                      <w:sz w:val="21"/>
                      <w:szCs w:val="21"/>
                      <w:highlight w:val="none"/>
                      <w:lang w:val="en-US" w:eastAsia="zh-CN" w:bidi="ar-SA"/>
                    </w:rPr>
                  </w:pPr>
                  <w:r>
                    <w:rPr>
                      <w:rFonts w:hint="eastAsia" w:eastAsia="仿宋_GB2312" w:cs="Times New Roman"/>
                      <w:color w:val="auto"/>
                      <w:spacing w:val="-11"/>
                      <w:sz w:val="21"/>
                      <w:szCs w:val="21"/>
                      <w:highlight w:val="none"/>
                      <w:lang w:val="en-US" w:eastAsia="zh-CN"/>
                    </w:rPr>
                    <w:t>2.8</w:t>
                  </w:r>
                </w:p>
              </w:tc>
              <w:tc>
                <w:tcPr>
                  <w:tcW w:w="1525" w:type="dxa"/>
                  <w:vMerge w:val="restart"/>
                  <w:tcBorders>
                    <w:tl2br w:val="nil"/>
                    <w:tr2bl w:val="nil"/>
                  </w:tcBorders>
                  <w:shd w:val="clear" w:color="auto" w:fill="auto"/>
                  <w:noWrap w:val="0"/>
                  <w:vAlign w:val="center"/>
                </w:tcPr>
                <w:p w14:paraId="69FD3A4A">
                  <w:pPr>
                    <w:spacing w:line="280" w:lineRule="exact"/>
                    <w:jc w:val="center"/>
                    <w:rPr>
                      <w:rFonts w:hint="eastAsia" w:ascii="Times New Roman" w:hAnsi="Times New Roman" w:cs="Times New Roman" w:eastAsiaTheme="minorEastAsia"/>
                      <w:color w:val="auto"/>
                      <w:spacing w:val="-11"/>
                      <w:kern w:val="2"/>
                      <w:sz w:val="21"/>
                      <w:szCs w:val="21"/>
                      <w:highlight w:val="none"/>
                      <w:lang w:val="en-US" w:eastAsia="zh-CN" w:bidi="ar-SA"/>
                    </w:rPr>
                  </w:pPr>
                  <w:r>
                    <w:rPr>
                      <w:rFonts w:hint="eastAsia" w:ascii="Times New Roman" w:hAnsi="Times New Roman" w:cs="Times New Roman" w:eastAsiaTheme="minorEastAsia"/>
                      <w:color w:val="auto"/>
                      <w:spacing w:val="-11"/>
                      <w:kern w:val="2"/>
                      <w:sz w:val="21"/>
                      <w:szCs w:val="21"/>
                      <w:highlight w:val="none"/>
                      <w:lang w:val="en-US" w:eastAsia="zh-CN" w:bidi="ar-SA"/>
                    </w:rPr>
                    <w:t>食堂废水经隔油设施隔油后与生活污水一</w:t>
                  </w:r>
                  <w:r>
                    <w:rPr>
                      <w:rFonts w:hint="eastAsia" w:cs="Times New Roman" w:eastAsiaTheme="minorEastAsia"/>
                      <w:color w:val="auto"/>
                      <w:spacing w:val="-11"/>
                      <w:kern w:val="2"/>
                      <w:sz w:val="21"/>
                      <w:szCs w:val="21"/>
                      <w:highlight w:val="none"/>
                      <w:lang w:val="en-US" w:eastAsia="zh-CN" w:bidi="ar-SA"/>
                    </w:rPr>
                    <w:t>同</w:t>
                  </w:r>
                  <w:r>
                    <w:rPr>
                      <w:rFonts w:hint="eastAsia" w:ascii="Times New Roman" w:hAnsi="Times New Roman" w:cs="Times New Roman" w:eastAsiaTheme="minorEastAsia"/>
                      <w:color w:val="auto"/>
                      <w:spacing w:val="-11"/>
                      <w:kern w:val="2"/>
                      <w:sz w:val="21"/>
                      <w:szCs w:val="21"/>
                      <w:highlight w:val="none"/>
                      <w:lang w:val="en-US" w:eastAsia="zh-CN" w:bidi="ar-SA"/>
                    </w:rPr>
                    <w:t>进入化粪池处理后定期拉运至中卫市沙坡头区兴仁镇污水处理厂处置。</w:t>
                  </w:r>
                </w:p>
              </w:tc>
            </w:tr>
            <w:tr w14:paraId="20517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tcBorders>
                    <w:tl2br w:val="nil"/>
                    <w:tr2bl w:val="nil"/>
                  </w:tcBorders>
                  <w:noWrap w:val="0"/>
                  <w:vAlign w:val="center"/>
                </w:tcPr>
                <w:p w14:paraId="1D8B7CBB">
                  <w:pPr>
                    <w:adjustRightInd w:val="0"/>
                    <w:snapToGrid w:val="0"/>
                    <w:spacing w:line="280" w:lineRule="exact"/>
                    <w:jc w:val="center"/>
                    <w:rPr>
                      <w:rFonts w:hint="default" w:ascii="Times New Roman" w:hAnsi="Times New Roman" w:cs="Times New Roman" w:eastAsiaTheme="minorEastAsia"/>
                      <w:b/>
                      <w:bCs w:val="0"/>
                      <w:color w:val="auto"/>
                      <w:sz w:val="21"/>
                      <w:szCs w:val="21"/>
                      <w:highlight w:val="none"/>
                      <w:lang w:val="en-US" w:eastAsia="zh-CN"/>
                    </w:rPr>
                  </w:pPr>
                  <w:r>
                    <w:rPr>
                      <w:rFonts w:hint="eastAsia" w:cs="Times New Roman" w:eastAsiaTheme="minorEastAsia"/>
                      <w:b/>
                      <w:bCs w:val="0"/>
                      <w:color w:val="auto"/>
                      <w:sz w:val="21"/>
                      <w:szCs w:val="21"/>
                      <w:highlight w:val="none"/>
                      <w:lang w:val="en-US" w:eastAsia="zh-CN"/>
                    </w:rPr>
                    <w:t>食堂用水</w:t>
                  </w:r>
                </w:p>
              </w:tc>
              <w:tc>
                <w:tcPr>
                  <w:tcW w:w="930" w:type="dxa"/>
                  <w:tcBorders>
                    <w:tl2br w:val="nil"/>
                    <w:tr2bl w:val="nil"/>
                  </w:tcBorders>
                  <w:noWrap w:val="0"/>
                  <w:vAlign w:val="center"/>
                </w:tcPr>
                <w:p w14:paraId="084C4CAC">
                  <w:pPr>
                    <w:adjustRightInd w:val="0"/>
                    <w:snapToGrid w:val="0"/>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50</w:t>
                  </w:r>
                  <w:r>
                    <w:rPr>
                      <w:rFonts w:hint="default" w:ascii="Times New Roman" w:hAnsi="Times New Roman" w:cs="Times New Roman" w:eastAsiaTheme="minorEastAsia"/>
                      <w:color w:val="auto"/>
                      <w:spacing w:val="-11"/>
                      <w:sz w:val="21"/>
                      <w:szCs w:val="21"/>
                      <w:highlight w:val="none"/>
                      <w:lang w:val="en-US" w:eastAsia="zh-CN"/>
                    </w:rPr>
                    <w:t>人</w:t>
                  </w:r>
                </w:p>
                <w:p w14:paraId="1B76D961">
                  <w:pPr>
                    <w:adjustRightInd w:val="0"/>
                    <w:snapToGrid w:val="0"/>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240</w:t>
                  </w:r>
                  <w:r>
                    <w:rPr>
                      <w:rFonts w:hint="default" w:ascii="Times New Roman" w:hAnsi="Times New Roman" w:cs="Times New Roman" w:eastAsiaTheme="minorEastAsia"/>
                      <w:color w:val="auto"/>
                      <w:spacing w:val="-11"/>
                      <w:sz w:val="21"/>
                      <w:szCs w:val="21"/>
                      <w:highlight w:val="none"/>
                      <w:lang w:val="en-US" w:eastAsia="zh-CN"/>
                    </w:rPr>
                    <w:t>d</w:t>
                  </w:r>
                </w:p>
              </w:tc>
              <w:tc>
                <w:tcPr>
                  <w:tcW w:w="919" w:type="dxa"/>
                  <w:tcBorders>
                    <w:tl2br w:val="nil"/>
                    <w:tr2bl w:val="nil"/>
                  </w:tcBorders>
                  <w:noWrap w:val="0"/>
                  <w:vAlign w:val="center"/>
                </w:tcPr>
                <w:p w14:paraId="31E718D9">
                  <w:pPr>
                    <w:adjustRightInd w:val="0"/>
                    <w:snapToGrid w:val="0"/>
                    <w:spacing w:line="280" w:lineRule="exact"/>
                    <w:jc w:val="center"/>
                    <w:rPr>
                      <w:rFonts w:hint="default" w:ascii="Times New Roman" w:hAnsi="Times New Roman" w:cs="Times New Roman" w:eastAsiaTheme="minorEastAsia"/>
                      <w:color w:val="auto"/>
                      <w:spacing w:val="-11"/>
                      <w:sz w:val="21"/>
                      <w:szCs w:val="21"/>
                      <w:highlight w:val="none"/>
                    </w:rPr>
                  </w:pPr>
                  <w:r>
                    <w:rPr>
                      <w:rFonts w:hint="default" w:ascii="Times New Roman" w:hAnsi="Times New Roman" w:cs="Times New Roman" w:eastAsiaTheme="minorEastAsia"/>
                      <w:color w:val="auto"/>
                      <w:spacing w:val="-11"/>
                      <w:sz w:val="21"/>
                      <w:szCs w:val="21"/>
                      <w:highlight w:val="none"/>
                      <w:lang w:val="en-US" w:eastAsia="zh-CN"/>
                    </w:rPr>
                    <w:t>20</w:t>
                  </w:r>
                  <w:r>
                    <w:rPr>
                      <w:rFonts w:hint="default" w:ascii="Times New Roman" w:hAnsi="Times New Roman" w:cs="Times New Roman" w:eastAsiaTheme="minorEastAsia"/>
                      <w:color w:val="auto"/>
                      <w:spacing w:val="-11"/>
                      <w:sz w:val="21"/>
                      <w:szCs w:val="21"/>
                      <w:highlight w:val="none"/>
                    </w:rPr>
                    <w:t>L/人·d</w:t>
                  </w:r>
                </w:p>
              </w:tc>
              <w:tc>
                <w:tcPr>
                  <w:tcW w:w="762" w:type="dxa"/>
                  <w:tcBorders>
                    <w:tl2br w:val="nil"/>
                    <w:tr2bl w:val="nil"/>
                  </w:tcBorders>
                  <w:noWrap w:val="0"/>
                  <w:vAlign w:val="center"/>
                </w:tcPr>
                <w:p w14:paraId="5B396464">
                  <w:pPr>
                    <w:adjustRightInd w:val="0"/>
                    <w:snapToGrid w:val="0"/>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1</w:t>
                  </w:r>
                </w:p>
              </w:tc>
              <w:tc>
                <w:tcPr>
                  <w:tcW w:w="638" w:type="dxa"/>
                  <w:tcBorders>
                    <w:tl2br w:val="nil"/>
                    <w:tr2bl w:val="nil"/>
                  </w:tcBorders>
                  <w:noWrap w:val="0"/>
                  <w:vAlign w:val="center"/>
                </w:tcPr>
                <w:p w14:paraId="7A6E2369">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w:t>
                  </w:r>
                </w:p>
              </w:tc>
              <w:tc>
                <w:tcPr>
                  <w:tcW w:w="761" w:type="dxa"/>
                  <w:tcBorders>
                    <w:tl2br w:val="nil"/>
                    <w:tr2bl w:val="nil"/>
                  </w:tcBorders>
                  <w:noWrap w:val="0"/>
                  <w:vAlign w:val="center"/>
                </w:tcPr>
                <w:p w14:paraId="3EC7CE6F">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0.2</w:t>
                  </w:r>
                </w:p>
              </w:tc>
              <w:tc>
                <w:tcPr>
                  <w:tcW w:w="497" w:type="dxa"/>
                  <w:tcBorders>
                    <w:tl2br w:val="nil"/>
                    <w:tr2bl w:val="nil"/>
                  </w:tcBorders>
                  <w:noWrap w:val="0"/>
                  <w:vAlign w:val="center"/>
                </w:tcPr>
                <w:p w14:paraId="4F0FF19B">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w:t>
                  </w:r>
                </w:p>
              </w:tc>
              <w:tc>
                <w:tcPr>
                  <w:tcW w:w="515" w:type="dxa"/>
                  <w:tcBorders>
                    <w:tl2br w:val="nil"/>
                    <w:tr2bl w:val="nil"/>
                  </w:tcBorders>
                  <w:noWrap w:val="0"/>
                  <w:vAlign w:val="center"/>
                </w:tcPr>
                <w:p w14:paraId="6D090471">
                  <w:pPr>
                    <w:spacing w:line="280" w:lineRule="exact"/>
                    <w:jc w:val="center"/>
                    <w:rPr>
                      <w:rFonts w:hint="default" w:ascii="Times New Roman" w:hAnsi="Times New Roman" w:cs="Times New Roman" w:eastAsiaTheme="minorEastAsia"/>
                      <w:color w:val="auto"/>
                      <w:spacing w:val="-11"/>
                      <w:sz w:val="21"/>
                      <w:szCs w:val="21"/>
                      <w:highlight w:val="none"/>
                      <w:lang w:val="en-US" w:eastAsia="zh-CN"/>
                    </w:rPr>
                  </w:pPr>
                  <w:r>
                    <w:rPr>
                      <w:rFonts w:hint="eastAsia" w:cs="Times New Roman" w:eastAsiaTheme="minorEastAsia"/>
                      <w:color w:val="auto"/>
                      <w:spacing w:val="-11"/>
                      <w:sz w:val="21"/>
                      <w:szCs w:val="21"/>
                      <w:highlight w:val="none"/>
                      <w:lang w:val="en-US" w:eastAsia="zh-CN"/>
                    </w:rPr>
                    <w:t>0.8</w:t>
                  </w:r>
                </w:p>
              </w:tc>
              <w:tc>
                <w:tcPr>
                  <w:tcW w:w="1525" w:type="dxa"/>
                  <w:vMerge w:val="continue"/>
                  <w:tcBorders>
                    <w:tl2br w:val="nil"/>
                    <w:tr2bl w:val="nil"/>
                  </w:tcBorders>
                  <w:noWrap w:val="0"/>
                  <w:vAlign w:val="center"/>
                </w:tcPr>
                <w:p w14:paraId="782EFB1A">
                  <w:pPr>
                    <w:spacing w:line="280" w:lineRule="exact"/>
                    <w:jc w:val="center"/>
                    <w:rPr>
                      <w:rFonts w:hint="default" w:ascii="Times New Roman" w:hAnsi="Times New Roman" w:cs="Times New Roman" w:eastAsiaTheme="minorEastAsia"/>
                      <w:color w:val="auto"/>
                      <w:spacing w:val="-11"/>
                      <w:sz w:val="21"/>
                      <w:szCs w:val="21"/>
                      <w:highlight w:val="none"/>
                      <w:lang w:eastAsia="zh-CN"/>
                    </w:rPr>
                  </w:pPr>
                </w:p>
              </w:tc>
            </w:tr>
            <w:tr w14:paraId="6C2A9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5" w:type="dxa"/>
                  <w:gridSpan w:val="3"/>
                  <w:tcBorders>
                    <w:tl2br w:val="nil"/>
                    <w:tr2bl w:val="nil"/>
                  </w:tcBorders>
                  <w:noWrap w:val="0"/>
                  <w:vAlign w:val="center"/>
                </w:tcPr>
                <w:p w14:paraId="762143C1">
                  <w:pPr>
                    <w:adjustRightInd w:val="0"/>
                    <w:snapToGrid w:val="0"/>
                    <w:spacing w:line="280" w:lineRule="exact"/>
                    <w:jc w:val="center"/>
                    <w:rPr>
                      <w:rFonts w:hint="default" w:ascii="Times New Roman" w:hAnsi="Times New Roman" w:cs="Times New Roman" w:eastAsiaTheme="minorEastAsia"/>
                      <w:b/>
                      <w:bCs/>
                      <w:color w:val="auto"/>
                      <w:spacing w:val="-11"/>
                      <w:kern w:val="0"/>
                      <w:sz w:val="21"/>
                      <w:szCs w:val="21"/>
                      <w:highlight w:val="none"/>
                    </w:rPr>
                  </w:pPr>
                  <w:r>
                    <w:rPr>
                      <w:rFonts w:hint="default" w:ascii="Times New Roman" w:hAnsi="Times New Roman" w:cs="Times New Roman" w:eastAsiaTheme="minorEastAsia"/>
                      <w:b/>
                      <w:bCs/>
                      <w:color w:val="auto"/>
                      <w:spacing w:val="-11"/>
                      <w:kern w:val="0"/>
                      <w:sz w:val="21"/>
                      <w:szCs w:val="21"/>
                      <w:highlight w:val="none"/>
                    </w:rPr>
                    <w:t>总计</w:t>
                  </w:r>
                </w:p>
              </w:tc>
              <w:tc>
                <w:tcPr>
                  <w:tcW w:w="762" w:type="dxa"/>
                  <w:tcBorders>
                    <w:tl2br w:val="nil"/>
                    <w:tr2bl w:val="nil"/>
                  </w:tcBorders>
                  <w:noWrap w:val="0"/>
                  <w:vAlign w:val="center"/>
                </w:tcPr>
                <w:p w14:paraId="24F1ECF4">
                  <w:pPr>
                    <w:keepNext w:val="0"/>
                    <w:keepLines w:val="0"/>
                    <w:widowControl/>
                    <w:suppressLineNumbers w:val="0"/>
                    <w:jc w:val="center"/>
                    <w:textAlignment w:val="center"/>
                    <w:rPr>
                      <w:rFonts w:hint="default" w:ascii="Times New Roman" w:hAnsi="Times New Roman" w:cs="Times New Roman" w:eastAsiaTheme="minorEastAsia"/>
                      <w:b/>
                      <w:bCs/>
                      <w:color w:val="auto"/>
                      <w:spacing w:val="-11"/>
                      <w:sz w:val="21"/>
                      <w:szCs w:val="21"/>
                      <w:highlight w:val="none"/>
                      <w:lang w:val="en-US" w:eastAsia="zh-CN"/>
                    </w:rPr>
                  </w:pPr>
                  <w:r>
                    <w:rPr>
                      <w:rFonts w:hint="eastAsia" w:cs="Times New Roman" w:eastAsiaTheme="minorEastAsia"/>
                      <w:b/>
                      <w:bCs/>
                      <w:color w:val="auto"/>
                      <w:spacing w:val="-11"/>
                      <w:sz w:val="21"/>
                      <w:szCs w:val="21"/>
                      <w:highlight w:val="none"/>
                      <w:lang w:val="en-US" w:eastAsia="zh-CN"/>
                    </w:rPr>
                    <w:t>179.07</w:t>
                  </w:r>
                </w:p>
              </w:tc>
              <w:tc>
                <w:tcPr>
                  <w:tcW w:w="638" w:type="dxa"/>
                  <w:tcBorders>
                    <w:tl2br w:val="nil"/>
                    <w:tr2bl w:val="nil"/>
                  </w:tcBorders>
                  <w:noWrap w:val="0"/>
                  <w:vAlign w:val="center"/>
                </w:tcPr>
                <w:p w14:paraId="7BB685EA">
                  <w:pPr>
                    <w:keepNext w:val="0"/>
                    <w:keepLines w:val="0"/>
                    <w:widowControl/>
                    <w:suppressLineNumbers w:val="0"/>
                    <w:jc w:val="center"/>
                    <w:textAlignment w:val="center"/>
                    <w:rPr>
                      <w:rFonts w:hint="default" w:ascii="Times New Roman" w:hAnsi="Times New Roman" w:cs="Times New Roman" w:eastAsiaTheme="minorEastAsia"/>
                      <w:b/>
                      <w:bCs/>
                      <w:color w:val="auto"/>
                      <w:spacing w:val="-11"/>
                      <w:sz w:val="21"/>
                      <w:szCs w:val="21"/>
                      <w:highlight w:val="none"/>
                      <w:lang w:val="en-US" w:eastAsia="zh-CN"/>
                    </w:rPr>
                  </w:pPr>
                  <w:r>
                    <w:rPr>
                      <w:rFonts w:hint="eastAsia" w:cs="Times New Roman" w:eastAsiaTheme="minorEastAsia"/>
                      <w:b/>
                      <w:bCs/>
                      <w:color w:val="auto"/>
                      <w:spacing w:val="-11"/>
                      <w:sz w:val="21"/>
                      <w:szCs w:val="21"/>
                      <w:highlight w:val="none"/>
                      <w:lang w:val="en-US" w:eastAsia="zh-CN"/>
                    </w:rPr>
                    <w:t>9.6</w:t>
                  </w:r>
                </w:p>
              </w:tc>
              <w:tc>
                <w:tcPr>
                  <w:tcW w:w="761" w:type="dxa"/>
                  <w:tcBorders>
                    <w:tl2br w:val="nil"/>
                    <w:tr2bl w:val="nil"/>
                  </w:tcBorders>
                  <w:noWrap w:val="0"/>
                  <w:vAlign w:val="center"/>
                </w:tcPr>
                <w:p w14:paraId="0A1C2818">
                  <w:pPr>
                    <w:keepNext w:val="0"/>
                    <w:keepLines w:val="0"/>
                    <w:widowControl/>
                    <w:suppressLineNumbers w:val="0"/>
                    <w:jc w:val="center"/>
                    <w:textAlignment w:val="center"/>
                    <w:rPr>
                      <w:rFonts w:hint="default" w:ascii="Times New Roman" w:hAnsi="Times New Roman" w:cs="Times New Roman" w:eastAsiaTheme="minorEastAsia"/>
                      <w:b/>
                      <w:bCs/>
                      <w:color w:val="auto"/>
                      <w:spacing w:val="-11"/>
                      <w:sz w:val="21"/>
                      <w:szCs w:val="21"/>
                      <w:highlight w:val="none"/>
                      <w:lang w:val="en-US" w:eastAsia="zh-CN"/>
                    </w:rPr>
                  </w:pPr>
                  <w:r>
                    <w:rPr>
                      <w:rFonts w:hint="eastAsia" w:cs="Times New Roman" w:eastAsiaTheme="minorEastAsia"/>
                      <w:b/>
                      <w:bCs/>
                      <w:color w:val="auto"/>
                      <w:spacing w:val="-11"/>
                      <w:sz w:val="21"/>
                      <w:szCs w:val="21"/>
                      <w:highlight w:val="none"/>
                      <w:lang w:val="en-US" w:eastAsia="zh-CN"/>
                    </w:rPr>
                    <w:t>175.47</w:t>
                  </w:r>
                </w:p>
              </w:tc>
              <w:tc>
                <w:tcPr>
                  <w:tcW w:w="497" w:type="dxa"/>
                  <w:tcBorders>
                    <w:tl2br w:val="nil"/>
                    <w:tr2bl w:val="nil"/>
                  </w:tcBorders>
                  <w:noWrap w:val="0"/>
                  <w:vAlign w:val="center"/>
                </w:tcPr>
                <w:p w14:paraId="4F5BFCB2">
                  <w:pPr>
                    <w:keepNext w:val="0"/>
                    <w:keepLines w:val="0"/>
                    <w:widowControl/>
                    <w:suppressLineNumbers w:val="0"/>
                    <w:jc w:val="center"/>
                    <w:textAlignment w:val="center"/>
                    <w:rPr>
                      <w:rFonts w:hint="default" w:ascii="Times New Roman" w:hAnsi="Times New Roman" w:cs="Times New Roman" w:eastAsiaTheme="minorEastAsia"/>
                      <w:b/>
                      <w:bCs/>
                      <w:color w:val="auto"/>
                      <w:spacing w:val="-11"/>
                      <w:sz w:val="21"/>
                      <w:szCs w:val="21"/>
                      <w:highlight w:val="none"/>
                      <w:lang w:val="en-US" w:eastAsia="zh-CN"/>
                    </w:rPr>
                  </w:pPr>
                  <w:r>
                    <w:rPr>
                      <w:rFonts w:hint="eastAsia" w:cs="Times New Roman" w:eastAsiaTheme="minorEastAsia"/>
                      <w:b/>
                      <w:bCs/>
                      <w:color w:val="auto"/>
                      <w:spacing w:val="-11"/>
                      <w:sz w:val="21"/>
                      <w:szCs w:val="21"/>
                      <w:highlight w:val="none"/>
                      <w:lang w:val="en-US" w:eastAsia="zh-CN"/>
                    </w:rPr>
                    <w:t>9.6</w:t>
                  </w:r>
                </w:p>
              </w:tc>
              <w:tc>
                <w:tcPr>
                  <w:tcW w:w="515" w:type="dxa"/>
                  <w:tcBorders>
                    <w:tl2br w:val="nil"/>
                    <w:tr2bl w:val="nil"/>
                  </w:tcBorders>
                  <w:noWrap w:val="0"/>
                  <w:vAlign w:val="center"/>
                </w:tcPr>
                <w:p w14:paraId="369757E4">
                  <w:pPr>
                    <w:keepNext w:val="0"/>
                    <w:keepLines w:val="0"/>
                    <w:widowControl/>
                    <w:suppressLineNumbers w:val="0"/>
                    <w:jc w:val="center"/>
                    <w:textAlignment w:val="center"/>
                    <w:rPr>
                      <w:rFonts w:hint="default" w:ascii="Times New Roman" w:hAnsi="Times New Roman" w:cs="Times New Roman" w:eastAsiaTheme="minorEastAsia"/>
                      <w:b/>
                      <w:bCs/>
                      <w:color w:val="auto"/>
                      <w:spacing w:val="-11"/>
                      <w:sz w:val="21"/>
                      <w:szCs w:val="21"/>
                      <w:highlight w:val="none"/>
                      <w:lang w:val="en-US" w:eastAsia="zh-CN"/>
                    </w:rPr>
                  </w:pPr>
                  <w:r>
                    <w:rPr>
                      <w:rFonts w:hint="eastAsia" w:cs="Times New Roman" w:eastAsiaTheme="minorEastAsia"/>
                      <w:b/>
                      <w:bCs/>
                      <w:color w:val="auto"/>
                      <w:spacing w:val="-11"/>
                      <w:sz w:val="21"/>
                      <w:szCs w:val="21"/>
                      <w:highlight w:val="none"/>
                      <w:lang w:val="en-US" w:eastAsia="zh-CN"/>
                    </w:rPr>
                    <w:t>3.6</w:t>
                  </w:r>
                </w:p>
              </w:tc>
              <w:tc>
                <w:tcPr>
                  <w:tcW w:w="1525" w:type="dxa"/>
                  <w:tcBorders>
                    <w:tl2br w:val="nil"/>
                    <w:tr2bl w:val="nil"/>
                  </w:tcBorders>
                  <w:noWrap w:val="0"/>
                  <w:vAlign w:val="center"/>
                </w:tcPr>
                <w:p w14:paraId="3FE1A133">
                  <w:pPr>
                    <w:widowControl/>
                    <w:jc w:val="center"/>
                    <w:rPr>
                      <w:rFonts w:hint="default" w:ascii="Times New Roman" w:hAnsi="Times New Roman" w:cs="Times New Roman" w:eastAsiaTheme="minorEastAsia"/>
                      <w:color w:val="auto"/>
                      <w:spacing w:val="-10"/>
                      <w:sz w:val="21"/>
                      <w:szCs w:val="21"/>
                      <w:highlight w:val="none"/>
                    </w:rPr>
                  </w:pPr>
                  <w:r>
                    <w:rPr>
                      <w:rFonts w:hint="default" w:ascii="Times New Roman" w:hAnsi="Times New Roman" w:cs="Times New Roman" w:eastAsiaTheme="minorEastAsia"/>
                      <w:color w:val="auto"/>
                      <w:spacing w:val="-10"/>
                      <w:sz w:val="21"/>
                      <w:szCs w:val="21"/>
                      <w:highlight w:val="none"/>
                    </w:rPr>
                    <w:t>/</w:t>
                  </w:r>
                </w:p>
              </w:tc>
            </w:tr>
          </w:tbl>
          <w:p w14:paraId="1CF11FDE">
            <w:pPr>
              <w:pStyle w:val="30"/>
              <w:keepNext w:val="0"/>
              <w:keepLines w:val="0"/>
              <w:pageBreakBefore w:val="0"/>
              <w:widowControl w:val="0"/>
              <w:kinsoku/>
              <w:wordWrap/>
              <w:overflowPunct/>
              <w:topLinePunct w:val="0"/>
              <w:autoSpaceDE/>
              <w:autoSpaceDN/>
              <w:bidi w:val="0"/>
              <w:adjustRightInd w:val="0"/>
              <w:snapToGrid w:val="0"/>
              <w:spacing w:before="17" w:beforeLines="5" w:afterLines="0" w:line="240" w:lineRule="auto"/>
              <w:ind w:firstLine="0"/>
              <w:textAlignment w:val="auto"/>
              <w:rPr>
                <w:rFonts w:hint="default"/>
                <w:color w:val="auto"/>
                <w:lang w:val="en-US" w:eastAsia="zh-CN"/>
              </w:rPr>
            </w:pPr>
            <w:r>
              <w:rPr>
                <w:rFonts w:hint="default"/>
                <w:color w:val="auto"/>
                <w:lang w:val="en-US" w:eastAsia="zh-CN"/>
              </w:rPr>
              <w:object>
                <v:shape id="_x0000_i1025" o:spt="75" type="#_x0000_t75" style="height:326.35pt;width:299.2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14:paraId="47493A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1"/>
                <w:szCs w:val="21"/>
                <w:highlight w:val="none"/>
                <w:lang w:val="en-US" w:eastAsia="zh-CN"/>
              </w:rPr>
              <w:t>图</w:t>
            </w:r>
            <w:r>
              <w:rPr>
                <w:rFonts w:hint="eastAsia" w:cs="Times New Roman"/>
                <w:b/>
                <w:bCs w:val="0"/>
                <w:color w:val="auto"/>
                <w:sz w:val="21"/>
                <w:szCs w:val="21"/>
                <w:highlight w:val="none"/>
                <w:lang w:val="en-US" w:eastAsia="zh-CN"/>
              </w:rPr>
              <w:t>2-2</w:t>
            </w:r>
            <w:r>
              <w:rPr>
                <w:rFonts w:hint="default" w:ascii="Times New Roman" w:hAnsi="Times New Roman" w:eastAsia="宋体"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 xml:space="preserve">   </w:t>
            </w:r>
            <w:r>
              <w:rPr>
                <w:rFonts w:hint="default" w:ascii="Times New Roman" w:hAnsi="Times New Roman" w:eastAsia="宋体" w:cs="Times New Roman"/>
                <w:b/>
                <w:bCs w:val="0"/>
                <w:color w:val="auto"/>
                <w:sz w:val="24"/>
                <w:szCs w:val="24"/>
                <w:highlight w:val="none"/>
                <w:lang w:val="en-US" w:eastAsia="zh-CN"/>
              </w:rPr>
              <w:t>本项目水平衡示意图     m</w:t>
            </w:r>
            <w:r>
              <w:rPr>
                <w:rFonts w:hint="default" w:ascii="Times New Roman" w:hAnsi="Times New Roman" w:eastAsia="宋体" w:cs="Times New Roman"/>
                <w:b/>
                <w:bCs w:val="0"/>
                <w:color w:val="auto"/>
                <w:sz w:val="24"/>
                <w:szCs w:val="24"/>
                <w:highlight w:val="none"/>
                <w:vertAlign w:val="superscript"/>
                <w:lang w:val="en-US" w:eastAsia="zh-CN"/>
              </w:rPr>
              <w:t>3</w:t>
            </w:r>
            <w:r>
              <w:rPr>
                <w:rFonts w:hint="default" w:ascii="Times New Roman" w:hAnsi="Times New Roman" w:eastAsia="宋体" w:cs="Times New Roman"/>
                <w:b/>
                <w:bCs w:val="0"/>
                <w:color w:val="auto"/>
                <w:sz w:val="24"/>
                <w:szCs w:val="24"/>
                <w:highlight w:val="none"/>
                <w:lang w:val="en-US" w:eastAsia="zh-CN"/>
              </w:rPr>
              <w:t>/</w:t>
            </w:r>
            <w:r>
              <w:rPr>
                <w:rFonts w:hint="eastAsia" w:cs="Times New Roman"/>
                <w:b/>
                <w:bCs w:val="0"/>
                <w:color w:val="auto"/>
                <w:sz w:val="24"/>
                <w:szCs w:val="24"/>
                <w:highlight w:val="none"/>
                <w:lang w:val="en-US" w:eastAsia="zh-CN"/>
              </w:rPr>
              <w:t>d</w:t>
            </w:r>
          </w:p>
          <w:p w14:paraId="603908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6.2供电工程</w:t>
            </w:r>
          </w:p>
          <w:p w14:paraId="21774F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本项目年用电</w:t>
            </w:r>
            <w:r>
              <w:rPr>
                <w:rFonts w:hint="eastAsia" w:eastAsia="仿宋_GB2312" w:cs="Times New Roman"/>
                <w:bCs/>
                <w:color w:val="auto"/>
                <w:sz w:val="24"/>
                <w:szCs w:val="24"/>
                <w:lang w:val="en-US" w:eastAsia="zh-CN"/>
              </w:rPr>
              <w:t>195</w:t>
            </w:r>
            <w:r>
              <w:rPr>
                <w:rFonts w:hint="default" w:ascii="Times New Roman" w:hAnsi="Times New Roman" w:eastAsia="仿宋_GB2312" w:cs="Times New Roman"/>
                <w:bCs/>
                <w:color w:val="auto"/>
                <w:sz w:val="24"/>
                <w:szCs w:val="24"/>
                <w:lang w:val="en-US" w:eastAsia="zh-CN"/>
              </w:rPr>
              <w:t>万kW·h，用电由兴仁镇供电系统统一供应。</w:t>
            </w:r>
          </w:p>
          <w:p w14:paraId="40D0BE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6.3供热工程</w:t>
            </w:r>
          </w:p>
          <w:p w14:paraId="52C240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本项目冬季</w:t>
            </w:r>
            <w:r>
              <w:rPr>
                <w:rFonts w:hint="eastAsia" w:eastAsia="仿宋_GB2312" w:cs="Times New Roman"/>
                <w:bCs/>
                <w:color w:val="auto"/>
                <w:sz w:val="24"/>
                <w:szCs w:val="24"/>
                <w:lang w:val="en-US" w:eastAsia="zh-CN"/>
              </w:rPr>
              <w:t>采用空调</w:t>
            </w:r>
            <w:r>
              <w:rPr>
                <w:rFonts w:hint="default" w:ascii="Times New Roman" w:hAnsi="Times New Roman" w:eastAsia="仿宋_GB2312" w:cs="Times New Roman"/>
                <w:bCs/>
                <w:color w:val="auto"/>
                <w:sz w:val="24"/>
                <w:szCs w:val="24"/>
                <w:lang w:val="en-US" w:eastAsia="zh-CN"/>
              </w:rPr>
              <w:t>供热。</w:t>
            </w:r>
          </w:p>
          <w:p w14:paraId="2D931F2E">
            <w:pPr>
              <w:pStyle w:val="59"/>
              <w:adjustRightInd/>
              <w:snapToGrid/>
              <w:spacing w:before="0" w:beforeLines="0" w:after="0" w:afterLines="0" w:line="360" w:lineRule="auto"/>
              <w:rPr>
                <w:rFonts w:eastAsia="仿宋_GB2312"/>
                <w:bCs/>
                <w:color w:val="auto"/>
                <w:highlight w:val="none"/>
              </w:rPr>
            </w:pPr>
            <w:r>
              <w:rPr>
                <w:rFonts w:hint="eastAsia" w:eastAsia="仿宋_GB2312"/>
                <w:bCs/>
                <w:color w:val="auto"/>
                <w:highlight w:val="none"/>
              </w:rPr>
              <w:t>7</w:t>
            </w:r>
            <w:r>
              <w:rPr>
                <w:rFonts w:eastAsia="仿宋_GB2312"/>
                <w:bCs/>
                <w:color w:val="auto"/>
                <w:highlight w:val="none"/>
              </w:rPr>
              <w:t>.劳动定员及工作制度</w:t>
            </w:r>
          </w:p>
          <w:p w14:paraId="5C1233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仿宋_GB2312" w:cs="Times New Roman"/>
                <w:bCs/>
                <w:color w:val="auto"/>
                <w:sz w:val="24"/>
                <w:szCs w:val="24"/>
                <w:lang w:val="en-US" w:eastAsia="zh-CN"/>
              </w:rPr>
            </w:pPr>
            <w:r>
              <w:rPr>
                <w:rFonts w:hint="eastAsia" w:ascii="Times New Roman" w:hAnsi="Times New Roman" w:eastAsia="仿宋_GB2312" w:cs="Times New Roman"/>
                <w:bCs/>
                <w:color w:val="auto"/>
                <w:sz w:val="24"/>
                <w:szCs w:val="24"/>
                <w:lang w:val="en-US" w:eastAsia="zh-CN"/>
              </w:rPr>
              <w:t>本项目拌合站常驻人员共</w:t>
            </w:r>
            <w:r>
              <w:rPr>
                <w:rFonts w:hint="eastAsia" w:eastAsia="仿宋_GB2312" w:cs="Times New Roman"/>
                <w:bCs/>
                <w:color w:val="auto"/>
                <w:sz w:val="24"/>
                <w:szCs w:val="24"/>
                <w:lang w:val="en-US" w:eastAsia="zh-CN"/>
              </w:rPr>
              <w:t>50</w:t>
            </w:r>
            <w:r>
              <w:rPr>
                <w:rFonts w:hint="eastAsia" w:ascii="Times New Roman" w:hAnsi="Times New Roman" w:eastAsia="仿宋_GB2312" w:cs="Times New Roman"/>
                <w:bCs/>
                <w:color w:val="auto"/>
                <w:sz w:val="24"/>
                <w:szCs w:val="24"/>
                <w:lang w:val="en-US" w:eastAsia="zh-CN"/>
              </w:rPr>
              <w:t>人，</w:t>
            </w:r>
            <w:r>
              <w:rPr>
                <w:rFonts w:hint="default" w:ascii="Times New Roman" w:hAnsi="Times New Roman" w:eastAsia="仿宋_GB2312" w:cs="Times New Roman"/>
                <w:bCs/>
                <w:color w:val="auto"/>
                <w:sz w:val="24"/>
                <w:szCs w:val="24"/>
                <w:lang w:val="en-US" w:eastAsia="zh-CN"/>
              </w:rPr>
              <w:t>年工作日</w:t>
            </w:r>
            <w:r>
              <w:rPr>
                <w:rFonts w:hint="eastAsia" w:eastAsia="仿宋_GB2312" w:cs="Times New Roman"/>
                <w:bCs/>
                <w:color w:val="auto"/>
                <w:sz w:val="24"/>
                <w:szCs w:val="24"/>
                <w:lang w:val="en-US" w:eastAsia="zh-CN"/>
              </w:rPr>
              <w:t>240d</w:t>
            </w:r>
            <w:r>
              <w:rPr>
                <w:rFonts w:hint="eastAsia" w:ascii="Times New Roman" w:hAnsi="Times New Roman" w:eastAsia="仿宋_GB2312" w:cs="Times New Roman"/>
                <w:bCs/>
                <w:color w:val="auto"/>
                <w:sz w:val="24"/>
                <w:szCs w:val="24"/>
                <w:lang w:val="en-US" w:eastAsia="zh-CN"/>
              </w:rPr>
              <w:t>，实行一班工作制，每天工作8h。</w:t>
            </w:r>
          </w:p>
          <w:p w14:paraId="607F3D98">
            <w:pPr>
              <w:pStyle w:val="59"/>
              <w:adjustRightInd/>
              <w:snapToGrid/>
              <w:spacing w:before="0" w:beforeLines="0" w:after="0" w:afterLines="0" w:line="360" w:lineRule="auto"/>
              <w:rPr>
                <w:rFonts w:hint="default" w:eastAsia="仿宋_GB2312"/>
                <w:bCs/>
                <w:color w:val="auto"/>
                <w:highlight w:val="none"/>
                <w:lang w:val="en-US" w:eastAsia="zh-CN"/>
              </w:rPr>
            </w:pPr>
            <w:r>
              <w:rPr>
                <w:rFonts w:hint="eastAsia" w:eastAsia="仿宋_GB2312"/>
                <w:bCs/>
                <w:color w:val="auto"/>
                <w:highlight w:val="none"/>
                <w:lang w:val="en-US" w:eastAsia="zh-CN"/>
              </w:rPr>
              <w:t>8</w:t>
            </w:r>
            <w:r>
              <w:rPr>
                <w:rFonts w:eastAsia="仿宋_GB2312"/>
                <w:bCs/>
                <w:color w:val="auto"/>
                <w:highlight w:val="none"/>
              </w:rPr>
              <w:t>.</w:t>
            </w:r>
            <w:r>
              <w:rPr>
                <w:rFonts w:hint="eastAsia" w:eastAsia="仿宋_GB2312"/>
                <w:bCs/>
                <w:color w:val="auto"/>
                <w:highlight w:val="none"/>
                <w:lang w:val="en-US" w:eastAsia="zh-CN"/>
              </w:rPr>
              <w:t>项目平面布置简述</w:t>
            </w:r>
          </w:p>
          <w:p w14:paraId="7A2716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highlight w:val="yellow"/>
                <w:lang w:val="en-US" w:eastAsia="zh-CN"/>
              </w:rPr>
            </w:pPr>
            <w:r>
              <w:rPr>
                <w:rFonts w:hint="default" w:ascii="Times New Roman" w:hAnsi="Times New Roman" w:eastAsia="仿宋_GB2312" w:cs="Times New Roman"/>
                <w:bCs/>
                <w:color w:val="auto"/>
                <w:sz w:val="24"/>
                <w:szCs w:val="24"/>
                <w:highlight w:val="none"/>
                <w:lang w:val="en-US" w:eastAsia="zh-CN"/>
              </w:rPr>
              <w:t>本项目为临时工程，</w:t>
            </w:r>
            <w:r>
              <w:rPr>
                <w:rFonts w:hint="eastAsia" w:eastAsia="仿宋_GB2312" w:cs="Times New Roman"/>
                <w:color w:val="auto"/>
                <w:sz w:val="24"/>
                <w:lang w:val="en-US" w:eastAsia="zh-CN"/>
              </w:rPr>
              <w:t>根据本项目临时用地的批复，临时用地有效期1年，自文件发布之日起计算（即2025年10月11日起），</w:t>
            </w:r>
            <w:r>
              <w:rPr>
                <w:rFonts w:hint="default" w:ascii="Times New Roman" w:hAnsi="Times New Roman" w:eastAsia="仿宋_GB2312" w:cs="Times New Roman"/>
                <w:bCs/>
                <w:color w:val="auto"/>
                <w:sz w:val="24"/>
                <w:szCs w:val="24"/>
                <w:highlight w:val="none"/>
                <w:lang w:val="en-US" w:eastAsia="zh-CN"/>
              </w:rPr>
              <w:t>建设地点位于宁夏中卫市沙坡头区</w:t>
            </w:r>
            <w:r>
              <w:rPr>
                <w:rFonts w:hint="eastAsia" w:eastAsia="仿宋_GB2312" w:cs="Times New Roman"/>
                <w:bCs/>
                <w:color w:val="auto"/>
                <w:sz w:val="24"/>
                <w:szCs w:val="24"/>
                <w:highlight w:val="none"/>
                <w:lang w:val="en-US" w:eastAsia="zh-CN"/>
              </w:rPr>
              <w:t>兴仁</w:t>
            </w:r>
            <w:r>
              <w:rPr>
                <w:rFonts w:hint="default" w:ascii="Times New Roman" w:hAnsi="Times New Roman" w:eastAsia="仿宋_GB2312" w:cs="Times New Roman"/>
                <w:bCs/>
                <w:color w:val="auto"/>
                <w:sz w:val="24"/>
                <w:szCs w:val="24"/>
                <w:highlight w:val="none"/>
                <w:lang w:val="en-US" w:eastAsia="zh-CN"/>
              </w:rPr>
              <w:t>镇。本项目由</w:t>
            </w:r>
            <w:r>
              <w:rPr>
                <w:rFonts w:hint="eastAsia" w:eastAsia="仿宋_GB2312" w:cs="Times New Roman"/>
                <w:bCs/>
                <w:color w:val="auto"/>
                <w:sz w:val="24"/>
                <w:szCs w:val="24"/>
                <w:highlight w:val="none"/>
                <w:lang w:val="en-US" w:eastAsia="zh-CN"/>
              </w:rPr>
              <w:t>生产区和办公生活区</w:t>
            </w:r>
            <w:r>
              <w:rPr>
                <w:rFonts w:hint="default" w:ascii="Times New Roman" w:hAnsi="Times New Roman" w:eastAsia="仿宋_GB2312" w:cs="Times New Roman"/>
                <w:bCs/>
                <w:color w:val="auto"/>
                <w:sz w:val="24"/>
                <w:szCs w:val="24"/>
                <w:highlight w:val="none"/>
                <w:lang w:val="en-US" w:eastAsia="zh-CN"/>
              </w:rPr>
              <w:t>组成。</w:t>
            </w:r>
          </w:p>
          <w:p w14:paraId="25E51B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拌合站整体位于</w:t>
            </w:r>
            <w:r>
              <w:rPr>
                <w:rFonts w:hint="eastAsia" w:eastAsia="仿宋_GB2312" w:cs="Times New Roman"/>
                <w:bCs/>
                <w:color w:val="auto"/>
                <w:sz w:val="24"/>
                <w:szCs w:val="24"/>
                <w:highlight w:val="none"/>
                <w:lang w:val="en-US" w:eastAsia="zh-CN"/>
              </w:rPr>
              <w:t>厂区北侧</w:t>
            </w:r>
            <w:r>
              <w:rPr>
                <w:rFonts w:hint="default" w:ascii="Times New Roman" w:hAnsi="Times New Roman" w:eastAsia="仿宋_GB2312" w:cs="Times New Roman"/>
                <w:bCs/>
                <w:color w:val="auto"/>
                <w:sz w:val="24"/>
                <w:szCs w:val="24"/>
                <w:highlight w:val="none"/>
                <w:lang w:val="en-US" w:eastAsia="zh-CN"/>
              </w:rPr>
              <w:t>，</w:t>
            </w:r>
            <w:r>
              <w:rPr>
                <w:rFonts w:hint="eastAsia" w:eastAsia="仿宋_GB2312" w:cs="Times New Roman"/>
                <w:bCs/>
                <w:color w:val="auto"/>
                <w:sz w:val="24"/>
                <w:szCs w:val="24"/>
                <w:highlight w:val="none"/>
                <w:lang w:val="en-US" w:eastAsia="zh-CN"/>
              </w:rPr>
              <w:t>堆料棚</w:t>
            </w:r>
            <w:r>
              <w:rPr>
                <w:rFonts w:hint="default" w:ascii="Times New Roman" w:hAnsi="Times New Roman" w:eastAsia="仿宋_GB2312" w:cs="Times New Roman"/>
                <w:bCs/>
                <w:color w:val="auto"/>
                <w:sz w:val="24"/>
                <w:szCs w:val="24"/>
                <w:highlight w:val="none"/>
                <w:lang w:val="en-US" w:eastAsia="zh-CN"/>
              </w:rPr>
              <w:t>紧邻</w:t>
            </w:r>
            <w:r>
              <w:rPr>
                <w:rFonts w:hint="eastAsia" w:eastAsia="仿宋_GB2312" w:cs="Times New Roman"/>
                <w:bCs/>
                <w:color w:val="auto"/>
                <w:sz w:val="24"/>
                <w:szCs w:val="24"/>
                <w:highlight w:val="none"/>
                <w:lang w:val="en-US" w:eastAsia="zh-CN"/>
              </w:rPr>
              <w:t>拌合站</w:t>
            </w:r>
            <w:r>
              <w:rPr>
                <w:rFonts w:hint="default" w:ascii="Times New Roman" w:hAnsi="Times New Roman" w:eastAsia="仿宋_GB2312" w:cs="Times New Roman"/>
                <w:bCs/>
                <w:color w:val="auto"/>
                <w:sz w:val="24"/>
                <w:szCs w:val="24"/>
                <w:highlight w:val="none"/>
                <w:lang w:val="en-US" w:eastAsia="zh-CN"/>
              </w:rPr>
              <w:t>建设，位于拌合站</w:t>
            </w:r>
            <w:r>
              <w:rPr>
                <w:rFonts w:hint="eastAsia" w:eastAsia="仿宋_GB2312" w:cs="Times New Roman"/>
                <w:bCs/>
                <w:color w:val="auto"/>
                <w:sz w:val="24"/>
                <w:szCs w:val="24"/>
                <w:highlight w:val="none"/>
                <w:lang w:val="en-US" w:eastAsia="zh-CN"/>
              </w:rPr>
              <w:t>北侧</w:t>
            </w:r>
            <w:r>
              <w:rPr>
                <w:rFonts w:hint="default" w:ascii="Times New Roman" w:hAnsi="Times New Roman" w:eastAsia="仿宋_GB2312" w:cs="Times New Roman"/>
                <w:bCs/>
                <w:color w:val="auto"/>
                <w:sz w:val="24"/>
                <w:szCs w:val="24"/>
                <w:highlight w:val="none"/>
                <w:lang w:val="en-US" w:eastAsia="zh-CN"/>
              </w:rPr>
              <w:t>，便于原料向集中搅拌机运输；</w:t>
            </w:r>
            <w:r>
              <w:rPr>
                <w:rFonts w:hint="eastAsia" w:eastAsia="仿宋_GB2312" w:cs="Times New Roman"/>
                <w:bCs/>
                <w:color w:val="auto"/>
                <w:sz w:val="24"/>
                <w:szCs w:val="24"/>
                <w:highlight w:val="none"/>
                <w:lang w:val="en-US" w:eastAsia="zh-CN"/>
              </w:rPr>
              <w:t>建设单位根据工艺的生产特点、物料流程并结合场地地形，</w:t>
            </w:r>
            <w:r>
              <w:rPr>
                <w:rFonts w:hint="default" w:ascii="Times New Roman" w:hAnsi="Times New Roman" w:eastAsia="仿宋_GB2312" w:cs="Times New Roman"/>
                <w:bCs/>
                <w:color w:val="auto"/>
                <w:sz w:val="24"/>
                <w:szCs w:val="24"/>
                <w:highlight w:val="none"/>
                <w:lang w:val="en-US" w:eastAsia="zh-CN"/>
              </w:rPr>
              <w:t>以上布设缩短了场站内物料输送路线，提高了各单元的工作效率</w:t>
            </w:r>
            <w:r>
              <w:rPr>
                <w:rFonts w:hint="eastAsia" w:eastAsia="仿宋_GB2312" w:cs="Times New Roman"/>
                <w:bCs/>
                <w:color w:val="auto"/>
                <w:sz w:val="24"/>
                <w:szCs w:val="24"/>
                <w:highlight w:val="none"/>
                <w:lang w:val="en-US" w:eastAsia="zh-CN"/>
              </w:rPr>
              <w:t>；办公生活区位于厂区南侧，包括员工宿舍、水泥室等。</w:t>
            </w:r>
          </w:p>
          <w:p w14:paraId="6889BB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项目将功能相近的建构筑物在工艺允许的前提下成组布置，在建筑布局上井然有序、层次变化分明的有机整体。</w:t>
            </w:r>
          </w:p>
          <w:p w14:paraId="6AE5BD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综上所述，本项目厂区布置生产区与项目部划分分明，在满足工艺流程的前提下，最大限度地利用了建设地点的自然及经济优势，统一规划、合理分区，从环保角度分析，项目布局合理。拌合站平面布置见图2-3。</w:t>
            </w:r>
          </w:p>
          <w:p w14:paraId="57666B69">
            <w:pPr>
              <w:pStyle w:val="59"/>
              <w:adjustRightInd/>
              <w:snapToGrid/>
              <w:spacing w:before="0" w:beforeLines="0" w:after="0" w:afterLines="0" w:line="360" w:lineRule="auto"/>
              <w:rPr>
                <w:rFonts w:hint="default" w:ascii="Times New Roman" w:hAnsi="Times New Roman" w:eastAsia="仿宋_GB2312" w:cs="Times New Roman"/>
                <w:bCs/>
                <w:color w:val="auto"/>
                <w:sz w:val="24"/>
                <w:szCs w:val="24"/>
                <w:highlight w:val="none"/>
                <w:lang w:val="en-US" w:eastAsia="zh-CN"/>
              </w:rPr>
            </w:pPr>
            <w:r>
              <w:rPr>
                <w:rFonts w:hint="eastAsia" w:eastAsia="仿宋_GB2312"/>
                <w:bCs/>
                <w:color w:val="auto"/>
                <w:highlight w:val="none"/>
                <w:lang w:val="en-US" w:eastAsia="zh-CN"/>
              </w:rPr>
              <w:t>9</w:t>
            </w:r>
            <w:r>
              <w:rPr>
                <w:rFonts w:eastAsia="仿宋_GB2312"/>
                <w:bCs/>
                <w:color w:val="auto"/>
                <w:highlight w:val="none"/>
              </w:rPr>
              <w:t>.</w:t>
            </w:r>
            <w:r>
              <w:rPr>
                <w:rFonts w:hint="eastAsia" w:eastAsia="仿宋_GB2312"/>
                <w:bCs/>
                <w:color w:val="auto"/>
                <w:highlight w:val="none"/>
                <w:lang w:val="en-US" w:eastAsia="zh-CN"/>
              </w:rPr>
              <w:t>环保投资</w:t>
            </w:r>
          </w:p>
          <w:p w14:paraId="34793210">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480" w:firstLineChars="200"/>
              <w:jc w:val="both"/>
              <w:textAlignment w:val="auto"/>
              <w:rPr>
                <w:rFonts w:hint="default" w:ascii="Times New Roman" w:hAnsi="Times New Roman" w:cs="Times New Roman"/>
                <w:color w:val="auto"/>
                <w:szCs w:val="21"/>
                <w:highlight w:val="none"/>
              </w:rPr>
            </w:pPr>
            <w:r>
              <w:rPr>
                <w:rFonts w:hint="default" w:ascii="Times New Roman" w:hAnsi="Times New Roman" w:eastAsia="仿宋_GB2312" w:cs="Times New Roman"/>
                <w:b w:val="0"/>
                <w:bCs/>
                <w:color w:val="auto"/>
                <w:sz w:val="24"/>
                <w:szCs w:val="24"/>
                <w:highlight w:val="none"/>
                <w:lang w:val="en-US" w:eastAsia="zh-CN"/>
              </w:rPr>
              <w:t>本项目总投资</w:t>
            </w:r>
            <w:r>
              <w:rPr>
                <w:rFonts w:hint="eastAsia" w:eastAsia="仿宋_GB2312" w:cs="Times New Roman"/>
                <w:b w:val="0"/>
                <w:bCs/>
                <w:color w:val="auto"/>
                <w:sz w:val="24"/>
                <w:szCs w:val="24"/>
                <w:highlight w:val="none"/>
                <w:lang w:val="en-US" w:eastAsia="zh-CN"/>
              </w:rPr>
              <w:t>1000</w:t>
            </w:r>
            <w:r>
              <w:rPr>
                <w:rFonts w:hint="default" w:ascii="Times New Roman" w:hAnsi="Times New Roman" w:eastAsia="仿宋_GB2312" w:cs="Times New Roman"/>
                <w:b w:val="0"/>
                <w:bCs/>
                <w:color w:val="auto"/>
                <w:sz w:val="24"/>
                <w:szCs w:val="24"/>
                <w:highlight w:val="none"/>
                <w:lang w:val="en-US" w:eastAsia="zh-CN"/>
              </w:rPr>
              <w:t>万元，环保投资</w:t>
            </w:r>
            <w:r>
              <w:rPr>
                <w:rFonts w:hint="eastAsia" w:eastAsia="仿宋_GB2312" w:cs="Times New Roman"/>
                <w:b w:val="0"/>
                <w:bCs/>
                <w:color w:val="auto"/>
                <w:sz w:val="24"/>
                <w:szCs w:val="24"/>
                <w:highlight w:val="none"/>
                <w:lang w:val="en-US" w:eastAsia="zh-CN"/>
              </w:rPr>
              <w:t>65</w:t>
            </w:r>
            <w:r>
              <w:rPr>
                <w:rFonts w:hint="default" w:ascii="Times New Roman" w:hAnsi="Times New Roman" w:eastAsia="仿宋_GB2312" w:cs="Times New Roman"/>
                <w:b w:val="0"/>
                <w:bCs/>
                <w:color w:val="auto"/>
                <w:sz w:val="24"/>
                <w:szCs w:val="24"/>
                <w:highlight w:val="none"/>
                <w:lang w:val="en-US" w:eastAsia="zh-CN"/>
              </w:rPr>
              <w:t>万元，占总投资的</w:t>
            </w:r>
            <w:r>
              <w:rPr>
                <w:rFonts w:hint="eastAsia" w:eastAsia="仿宋_GB2312" w:cs="Times New Roman"/>
                <w:b w:val="0"/>
                <w:bCs/>
                <w:color w:val="auto"/>
                <w:sz w:val="24"/>
                <w:szCs w:val="24"/>
                <w:highlight w:val="none"/>
                <w:lang w:val="en-US" w:eastAsia="zh-CN"/>
              </w:rPr>
              <w:t>6.50</w:t>
            </w:r>
            <w:r>
              <w:rPr>
                <w:rFonts w:hint="default" w:ascii="Times New Roman" w:hAnsi="Times New Roman" w:eastAsia="仿宋_GB2312" w:cs="Times New Roman"/>
                <w:b w:val="0"/>
                <w:bCs/>
                <w:color w:val="auto"/>
                <w:sz w:val="24"/>
                <w:szCs w:val="24"/>
                <w:highlight w:val="none"/>
                <w:lang w:val="en-US" w:eastAsia="zh-CN"/>
              </w:rPr>
              <w:t>%，主要用于施工期和运营期废水、废气、噪声、固废等防治。具体环保投资见表2-</w:t>
            </w:r>
            <w:r>
              <w:rPr>
                <w:rFonts w:hint="eastAsia" w:eastAsia="仿宋_GB2312" w:cs="Times New Roman"/>
                <w:b w:val="0"/>
                <w:bCs/>
                <w:color w:val="auto"/>
                <w:sz w:val="24"/>
                <w:szCs w:val="24"/>
                <w:highlight w:val="none"/>
                <w:lang w:val="en-US" w:eastAsia="zh-CN"/>
              </w:rPr>
              <w:t>8。</w:t>
            </w:r>
          </w:p>
          <w:p w14:paraId="61A389D6">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3501B392">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1128C664">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0F28A78F">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3BA3A71B">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1334A167">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63C41F6D">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3D165A85">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1C388903">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7A7E5398">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4C4885DC">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37E4FB46">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Cs w:val="21"/>
                <w:highlight w:val="none"/>
              </w:rPr>
            </w:pPr>
          </w:p>
          <w:p w14:paraId="6C00AE7D">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b/>
                <w:bCs/>
                <w:color w:val="auto"/>
                <w:sz w:val="24"/>
                <w:highlight w:val="none"/>
              </w:rPr>
            </w:pPr>
            <w:r>
              <w:rPr>
                <w:rFonts w:hint="default" w:ascii="Times New Roman" w:hAnsi="Times New Roman" w:cs="Times New Roman"/>
                <w:color w:val="auto"/>
                <w:szCs w:val="21"/>
                <w:highlight w:val="none"/>
              </w:rPr>
              <w:t>表</w:t>
            </w:r>
            <w:r>
              <w:rPr>
                <w:rFonts w:hint="eastAsia" w:cs="Times New Roman"/>
                <w:color w:val="auto"/>
                <w:szCs w:val="21"/>
                <w:highlight w:val="none"/>
                <w:lang w:val="en-US" w:eastAsia="zh-CN"/>
              </w:rPr>
              <w:t>2-8</w:t>
            </w: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 xml:space="preserve">               </w:t>
            </w:r>
            <w:r>
              <w:rPr>
                <w:rFonts w:hint="default" w:ascii="Times New Roman" w:hAnsi="Times New Roman" w:cs="Times New Roman"/>
                <w:b/>
                <w:bCs/>
                <w:color w:val="auto"/>
                <w:sz w:val="24"/>
                <w:highlight w:val="none"/>
              </w:rPr>
              <w:t>环保投资一览表</w:t>
            </w:r>
          </w:p>
          <w:tbl>
            <w:tblPr>
              <w:tblStyle w:val="23"/>
              <w:tblW w:w="5000" w:type="pct"/>
              <w:jc w:val="center"/>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67"/>
              <w:gridCol w:w="716"/>
              <w:gridCol w:w="1372"/>
              <w:gridCol w:w="3909"/>
              <w:gridCol w:w="718"/>
              <w:gridCol w:w="701"/>
            </w:tblGrid>
            <w:tr w14:paraId="0E589824">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97" w:hRule="atLeast"/>
                <w:jc w:val="center"/>
              </w:trPr>
              <w:tc>
                <w:tcPr>
                  <w:tcW w:w="2570" w:type="dxa"/>
                  <w:gridSpan w:val="3"/>
                  <w:tcBorders>
                    <w:tl2br w:val="nil"/>
                    <w:tr2bl w:val="nil"/>
                  </w:tcBorders>
                  <w:noWrap w:val="0"/>
                  <w:vAlign w:val="center"/>
                </w:tcPr>
                <w:p w14:paraId="6CA7E395">
                  <w:pPr>
                    <w:adjustRightInd w:val="0"/>
                    <w:snapToGrid w:val="0"/>
                    <w:jc w:val="center"/>
                    <w:rPr>
                      <w:rFonts w:ascii="Times New Roman" w:hAnsi="Times New Roman"/>
                      <w:b/>
                      <w:color w:val="auto"/>
                      <w:szCs w:val="21"/>
                      <w:highlight w:val="none"/>
                    </w:rPr>
                  </w:pPr>
                  <w:r>
                    <w:rPr>
                      <w:rFonts w:ascii="Times New Roman" w:hAnsi="Times New Roman"/>
                      <w:b/>
                      <w:color w:val="auto"/>
                      <w:szCs w:val="21"/>
                      <w:highlight w:val="none"/>
                    </w:rPr>
                    <w:t>项目</w:t>
                  </w:r>
                </w:p>
              </w:tc>
              <w:tc>
                <w:tcPr>
                  <w:tcW w:w="3933" w:type="dxa"/>
                  <w:tcBorders>
                    <w:tl2br w:val="nil"/>
                    <w:tr2bl w:val="nil"/>
                  </w:tcBorders>
                  <w:noWrap w:val="0"/>
                  <w:vAlign w:val="center"/>
                </w:tcPr>
                <w:p w14:paraId="340B346A">
                  <w:pPr>
                    <w:snapToGrid w:val="0"/>
                    <w:ind w:firstLine="422" w:firstLineChars="200"/>
                    <w:jc w:val="center"/>
                    <w:rPr>
                      <w:rFonts w:ascii="Times New Roman" w:hAnsi="Times New Roman"/>
                      <w:b/>
                      <w:color w:val="auto"/>
                      <w:szCs w:val="21"/>
                      <w:highlight w:val="none"/>
                    </w:rPr>
                  </w:pPr>
                  <w:r>
                    <w:rPr>
                      <w:rFonts w:hint="eastAsia" w:ascii="Times New Roman" w:hAnsi="Times New Roman"/>
                      <w:b/>
                      <w:color w:val="auto"/>
                      <w:szCs w:val="21"/>
                      <w:highlight w:val="none"/>
                      <w:lang w:eastAsia="zh-CN"/>
                    </w:rPr>
                    <w:t>防治</w:t>
                  </w:r>
                  <w:r>
                    <w:rPr>
                      <w:rFonts w:ascii="Times New Roman" w:hAnsi="Times New Roman"/>
                      <w:b/>
                      <w:color w:val="auto"/>
                      <w:szCs w:val="21"/>
                      <w:highlight w:val="none"/>
                    </w:rPr>
                    <w:t>措施</w:t>
                  </w:r>
                </w:p>
              </w:tc>
              <w:tc>
                <w:tcPr>
                  <w:tcW w:w="722" w:type="dxa"/>
                  <w:tcBorders>
                    <w:tl2br w:val="nil"/>
                    <w:tr2bl w:val="nil"/>
                  </w:tcBorders>
                  <w:noWrap w:val="0"/>
                  <w:vAlign w:val="center"/>
                </w:tcPr>
                <w:p w14:paraId="1E419196">
                  <w:pPr>
                    <w:bidi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环保</w:t>
                  </w:r>
                </w:p>
                <w:p w14:paraId="7D1A30D9">
                  <w:pPr>
                    <w:bidi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投资</w:t>
                  </w:r>
                </w:p>
                <w:p w14:paraId="0F8F3438">
                  <w:pPr>
                    <w:bidi w:val="0"/>
                    <w:jc w:val="center"/>
                    <w:rPr>
                      <w:rFonts w:ascii="Times New Roman" w:hAnsi="Times New Roman"/>
                      <w:b/>
                      <w:color w:val="auto"/>
                      <w:szCs w:val="21"/>
                      <w:highlight w:val="none"/>
                    </w:rPr>
                  </w:pPr>
                  <w:r>
                    <w:rPr>
                      <w:rFonts w:hint="default" w:ascii="Times New Roman" w:hAnsi="Times New Roman" w:eastAsia="宋体" w:cs="Times New Roman"/>
                      <w:b/>
                      <w:bCs/>
                      <w:color w:val="auto"/>
                      <w:sz w:val="21"/>
                      <w:szCs w:val="21"/>
                      <w:highlight w:val="none"/>
                    </w:rPr>
                    <w:t>（万元）</w:t>
                  </w:r>
                </w:p>
              </w:tc>
              <w:tc>
                <w:tcPr>
                  <w:tcW w:w="705" w:type="dxa"/>
                  <w:tcBorders>
                    <w:tl2br w:val="nil"/>
                    <w:tr2bl w:val="nil"/>
                  </w:tcBorders>
                  <w:noWrap w:val="0"/>
                  <w:vAlign w:val="center"/>
                </w:tcPr>
                <w:p w14:paraId="79CEBC22">
                  <w:pPr>
                    <w:bidi w:val="0"/>
                    <w:jc w:val="center"/>
                    <w:rPr>
                      <w:rFonts w:ascii="Times New Roman" w:hAnsi="Times New Roman"/>
                      <w:b/>
                      <w:color w:val="auto"/>
                      <w:szCs w:val="21"/>
                      <w:highlight w:val="none"/>
                    </w:rPr>
                  </w:pPr>
                  <w:r>
                    <w:rPr>
                      <w:rFonts w:hint="default" w:ascii="Times New Roman" w:hAnsi="Times New Roman" w:eastAsia="宋体" w:cs="Times New Roman"/>
                      <w:b/>
                      <w:bCs/>
                      <w:color w:val="auto"/>
                      <w:sz w:val="21"/>
                      <w:szCs w:val="21"/>
                      <w:highlight w:val="none"/>
                    </w:rPr>
                    <w:t>环保投资比例(%)</w:t>
                  </w:r>
                </w:p>
              </w:tc>
            </w:tr>
            <w:tr w14:paraId="44368CA2">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97" w:hRule="atLeast"/>
                <w:jc w:val="center"/>
              </w:trPr>
              <w:tc>
                <w:tcPr>
                  <w:tcW w:w="470" w:type="dxa"/>
                  <w:vMerge w:val="restart"/>
                  <w:tcBorders>
                    <w:tl2br w:val="nil"/>
                    <w:tr2bl w:val="nil"/>
                  </w:tcBorders>
                  <w:noWrap w:val="0"/>
                  <w:vAlign w:val="center"/>
                </w:tcPr>
                <w:p w14:paraId="7D3CD719">
                  <w:pPr>
                    <w:adjustRightInd w:val="0"/>
                    <w:snapToGrid w:val="0"/>
                    <w:jc w:val="center"/>
                    <w:rPr>
                      <w:rFonts w:hint="eastAsia" w:ascii="Times New Roman" w:hAnsi="Times New Roman" w:eastAsia="宋体"/>
                      <w:b/>
                      <w:color w:val="auto"/>
                      <w:szCs w:val="21"/>
                      <w:highlight w:val="none"/>
                      <w:lang w:eastAsia="zh-CN"/>
                    </w:rPr>
                  </w:pPr>
                  <w:r>
                    <w:rPr>
                      <w:rFonts w:hint="eastAsia"/>
                      <w:b/>
                      <w:color w:val="auto"/>
                      <w:szCs w:val="21"/>
                      <w:highlight w:val="none"/>
                      <w:lang w:eastAsia="zh-CN"/>
                    </w:rPr>
                    <w:t>施工期</w:t>
                  </w:r>
                </w:p>
              </w:tc>
              <w:tc>
                <w:tcPr>
                  <w:tcW w:w="2100" w:type="dxa"/>
                  <w:gridSpan w:val="2"/>
                  <w:tcBorders>
                    <w:tl2br w:val="nil"/>
                    <w:tr2bl w:val="nil"/>
                  </w:tcBorders>
                  <w:noWrap w:val="0"/>
                  <w:vAlign w:val="center"/>
                </w:tcPr>
                <w:p w14:paraId="4B9609C3">
                  <w:pPr>
                    <w:spacing w:line="290" w:lineRule="exact"/>
                    <w:jc w:val="center"/>
                    <w:rPr>
                      <w:rFonts w:ascii="Times New Roman" w:hAnsi="Times New Roman"/>
                      <w:b/>
                      <w:bCs/>
                      <w:color w:val="auto"/>
                      <w:szCs w:val="21"/>
                      <w:highlight w:val="none"/>
                    </w:rPr>
                  </w:pPr>
                  <w:r>
                    <w:rPr>
                      <w:rFonts w:hint="default" w:ascii="Times New Roman" w:hAnsi="Times New Roman" w:cs="Times New Roman"/>
                      <w:b/>
                      <w:bCs/>
                      <w:color w:val="auto"/>
                      <w:szCs w:val="21"/>
                      <w:highlight w:val="none"/>
                    </w:rPr>
                    <w:t>废水防治</w:t>
                  </w:r>
                </w:p>
              </w:tc>
              <w:tc>
                <w:tcPr>
                  <w:tcW w:w="3933" w:type="dxa"/>
                  <w:tcBorders>
                    <w:tl2br w:val="nil"/>
                    <w:tr2bl w:val="nil"/>
                  </w:tcBorders>
                  <w:noWrap w:val="0"/>
                  <w:vAlign w:val="center"/>
                </w:tcPr>
                <w:p w14:paraId="24F908F1">
                  <w:pPr>
                    <w:snapToGrid w:val="0"/>
                    <w:ind w:firstLine="420" w:firstLineChars="200"/>
                    <w:contextualSpacing/>
                    <w:jc w:val="left"/>
                    <w:rPr>
                      <w:rFonts w:hint="eastAsia" w:ascii="Times New Roman" w:hAnsi="Times New Roman" w:eastAsia="宋体"/>
                      <w:b/>
                      <w:color w:val="auto"/>
                      <w:szCs w:val="21"/>
                      <w:highlight w:val="none"/>
                      <w:lang w:eastAsia="zh-CN"/>
                    </w:rPr>
                  </w:pPr>
                  <w:r>
                    <w:rPr>
                      <w:rFonts w:hint="default" w:ascii="Times New Roman" w:hAnsi="Times New Roman" w:cs="Times New Roman"/>
                      <w:color w:val="auto"/>
                      <w:szCs w:val="21"/>
                      <w:highlight w:val="none"/>
                      <w:lang w:eastAsia="zh-CN"/>
                    </w:rPr>
                    <w:t>建设1座</w:t>
                  </w:r>
                  <w:r>
                    <w:rPr>
                      <w:rFonts w:hint="eastAsia" w:cs="Times New Roman"/>
                      <w:color w:val="auto"/>
                      <w:szCs w:val="21"/>
                      <w:highlight w:val="none"/>
                      <w:lang w:val="en-US" w:eastAsia="zh-CN"/>
                    </w:rPr>
                    <w:t>30m</w:t>
                  </w:r>
                  <w:r>
                    <w:rPr>
                      <w:rFonts w:hint="eastAsia" w:cs="Times New Roman"/>
                      <w:color w:val="auto"/>
                      <w:szCs w:val="21"/>
                      <w:highlight w:val="none"/>
                      <w:vertAlign w:val="superscript"/>
                      <w:lang w:val="en-US" w:eastAsia="zh-CN"/>
                    </w:rPr>
                    <w:t>3</w:t>
                  </w:r>
                  <w:r>
                    <w:rPr>
                      <w:rFonts w:hint="eastAsia" w:cs="Times New Roman"/>
                      <w:color w:val="auto"/>
                      <w:szCs w:val="21"/>
                      <w:highlight w:val="none"/>
                      <w:vertAlign w:val="baseline"/>
                      <w:lang w:val="en-US" w:eastAsia="zh-CN"/>
                    </w:rPr>
                    <w:t>的</w:t>
                  </w:r>
                  <w:r>
                    <w:rPr>
                      <w:rFonts w:hint="default" w:ascii="Times New Roman" w:hAnsi="Times New Roman" w:cs="Times New Roman"/>
                      <w:color w:val="auto"/>
                      <w:szCs w:val="21"/>
                      <w:highlight w:val="none"/>
                      <w:lang w:eastAsia="zh-CN"/>
                    </w:rPr>
                    <w:t>临时沉淀池，</w:t>
                  </w:r>
                  <w:r>
                    <w:rPr>
                      <w:rFonts w:hint="default" w:ascii="Times New Roman" w:hAnsi="Times New Roman" w:cs="Times New Roman"/>
                      <w:bCs/>
                      <w:color w:val="auto"/>
                      <w:szCs w:val="21"/>
                      <w:highlight w:val="none"/>
                    </w:rPr>
                    <w:t>拟建设的1座防渗型环保旱厕供工人如厕使用</w:t>
                  </w:r>
                  <w:r>
                    <w:rPr>
                      <w:rFonts w:hint="eastAsia" w:ascii="Times New Roman" w:hAnsi="Times New Roman" w:cs="Times New Roman"/>
                      <w:bCs/>
                      <w:color w:val="auto"/>
                      <w:szCs w:val="21"/>
                      <w:highlight w:val="none"/>
                      <w:lang w:eastAsia="zh-CN"/>
                    </w:rPr>
                    <w:t>。</w:t>
                  </w:r>
                </w:p>
              </w:tc>
              <w:tc>
                <w:tcPr>
                  <w:tcW w:w="722" w:type="dxa"/>
                  <w:tcBorders>
                    <w:tl2br w:val="nil"/>
                    <w:tr2bl w:val="nil"/>
                  </w:tcBorders>
                  <w:noWrap w:val="0"/>
                  <w:vAlign w:val="center"/>
                </w:tcPr>
                <w:p w14:paraId="2B9C45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8</w:t>
                  </w:r>
                </w:p>
              </w:tc>
              <w:tc>
                <w:tcPr>
                  <w:tcW w:w="705" w:type="dxa"/>
                  <w:tcBorders>
                    <w:tl2br w:val="nil"/>
                    <w:tr2bl w:val="nil"/>
                  </w:tcBorders>
                  <w:noWrap w:val="0"/>
                  <w:vAlign w:val="center"/>
                </w:tcPr>
                <w:p w14:paraId="7AC133CF">
                  <w:pPr>
                    <w:keepNext w:val="0"/>
                    <w:keepLines w:val="0"/>
                    <w:widowControl/>
                    <w:suppressLineNumbers w:val="0"/>
                    <w:jc w:val="center"/>
                    <w:textAlignment w:val="center"/>
                    <w:rPr>
                      <w:rFonts w:hint="default" w:ascii="Times New Roman" w:hAnsi="Times New Roman" w:cs="Times New Roman"/>
                      <w:b w:val="0"/>
                      <w:bCs w:val="0"/>
                      <w:color w:val="auto"/>
                      <w:spacing w:val="-20"/>
                      <w:sz w:val="21"/>
                      <w:szCs w:val="21"/>
                      <w:highlight w:val="none"/>
                      <w:lang w:val="en-US" w:eastAsia="zh-CN"/>
                    </w:rPr>
                  </w:pPr>
                  <w:r>
                    <w:rPr>
                      <w:rFonts w:hint="eastAsia" w:cs="Times New Roman"/>
                      <w:i w:val="0"/>
                      <w:iCs w:val="0"/>
                      <w:color w:val="auto"/>
                      <w:kern w:val="0"/>
                      <w:sz w:val="21"/>
                      <w:szCs w:val="21"/>
                      <w:u w:val="none"/>
                      <w:lang w:val="en-US" w:eastAsia="zh-CN" w:bidi="ar"/>
                    </w:rPr>
                    <w:t>12.31</w:t>
                  </w:r>
                </w:p>
              </w:tc>
            </w:tr>
            <w:tr w14:paraId="4B13A42A">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97" w:hRule="atLeast"/>
                <w:jc w:val="center"/>
              </w:trPr>
              <w:tc>
                <w:tcPr>
                  <w:tcW w:w="470" w:type="dxa"/>
                  <w:vMerge w:val="continue"/>
                  <w:tcBorders>
                    <w:tl2br w:val="nil"/>
                    <w:tr2bl w:val="nil"/>
                  </w:tcBorders>
                  <w:noWrap w:val="0"/>
                  <w:vAlign w:val="center"/>
                </w:tcPr>
                <w:p w14:paraId="65316CA7">
                  <w:pPr>
                    <w:adjustRightInd w:val="0"/>
                    <w:snapToGrid w:val="0"/>
                    <w:jc w:val="center"/>
                    <w:rPr>
                      <w:rFonts w:ascii="Times New Roman" w:hAnsi="Times New Roman"/>
                      <w:b/>
                      <w:color w:val="auto"/>
                      <w:szCs w:val="21"/>
                      <w:highlight w:val="none"/>
                    </w:rPr>
                  </w:pPr>
                </w:p>
              </w:tc>
              <w:tc>
                <w:tcPr>
                  <w:tcW w:w="2100" w:type="dxa"/>
                  <w:gridSpan w:val="2"/>
                  <w:tcBorders>
                    <w:tl2br w:val="nil"/>
                    <w:tr2bl w:val="nil"/>
                  </w:tcBorders>
                  <w:noWrap w:val="0"/>
                  <w:vAlign w:val="center"/>
                </w:tcPr>
                <w:p w14:paraId="51C31E9A">
                  <w:pPr>
                    <w:spacing w:line="290" w:lineRule="exact"/>
                    <w:jc w:val="center"/>
                    <w:rPr>
                      <w:rFonts w:ascii="Times New Roman" w:hAnsi="Times New Roman"/>
                      <w:b/>
                      <w:bCs/>
                      <w:color w:val="auto"/>
                      <w:szCs w:val="21"/>
                      <w:highlight w:val="none"/>
                    </w:rPr>
                  </w:pPr>
                  <w:r>
                    <w:rPr>
                      <w:rFonts w:hint="default" w:ascii="Times New Roman" w:hAnsi="Times New Roman" w:cs="Times New Roman"/>
                      <w:b/>
                      <w:bCs/>
                      <w:color w:val="auto"/>
                      <w:szCs w:val="21"/>
                      <w:highlight w:val="none"/>
                    </w:rPr>
                    <w:t>噪声防治</w:t>
                  </w:r>
                </w:p>
              </w:tc>
              <w:tc>
                <w:tcPr>
                  <w:tcW w:w="3933" w:type="dxa"/>
                  <w:tcBorders>
                    <w:tl2br w:val="nil"/>
                    <w:tr2bl w:val="nil"/>
                  </w:tcBorders>
                  <w:noWrap w:val="0"/>
                  <w:vAlign w:val="center"/>
                </w:tcPr>
                <w:p w14:paraId="6D486803">
                  <w:pPr>
                    <w:snapToGrid w:val="0"/>
                    <w:ind w:firstLine="420" w:firstLineChars="200"/>
                    <w:contextualSpacing/>
                    <w:jc w:val="both"/>
                    <w:rPr>
                      <w:rFonts w:hint="eastAsia" w:ascii="Times New Roman" w:hAnsi="Times New Roman"/>
                      <w:b/>
                      <w:color w:val="auto"/>
                      <w:szCs w:val="21"/>
                      <w:highlight w:val="none"/>
                      <w:lang w:eastAsia="zh-CN"/>
                    </w:rPr>
                  </w:pPr>
                  <w:r>
                    <w:rPr>
                      <w:rFonts w:hint="default" w:ascii="Times New Roman" w:hAnsi="Times New Roman" w:cs="Times New Roman"/>
                      <w:color w:val="auto"/>
                      <w:sz w:val="21"/>
                      <w:szCs w:val="21"/>
                      <w:highlight w:val="none"/>
                    </w:rPr>
                    <w:t>施工期选用低噪声施工设备，采取隔声、减振等措施，合理安排施工时间</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Cs w:val="21"/>
                      <w:highlight w:val="none"/>
                      <w:lang w:eastAsia="zh-CN"/>
                    </w:rPr>
                    <w:t>施工高峰期监测施工噪声</w:t>
                  </w:r>
                  <w:r>
                    <w:rPr>
                      <w:rFonts w:hint="eastAsia" w:cs="Times New Roman"/>
                      <w:color w:val="auto"/>
                      <w:szCs w:val="21"/>
                      <w:highlight w:val="none"/>
                      <w:lang w:eastAsia="zh-CN"/>
                    </w:rPr>
                    <w:t>。</w:t>
                  </w:r>
                </w:p>
              </w:tc>
              <w:tc>
                <w:tcPr>
                  <w:tcW w:w="722" w:type="dxa"/>
                  <w:tcBorders>
                    <w:tl2br w:val="nil"/>
                    <w:tr2bl w:val="nil"/>
                  </w:tcBorders>
                  <w:noWrap w:val="0"/>
                  <w:vAlign w:val="center"/>
                </w:tcPr>
                <w:p w14:paraId="0328E5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5</w:t>
                  </w:r>
                </w:p>
              </w:tc>
              <w:tc>
                <w:tcPr>
                  <w:tcW w:w="705" w:type="dxa"/>
                  <w:tcBorders>
                    <w:tl2br w:val="nil"/>
                    <w:tr2bl w:val="nil"/>
                  </w:tcBorders>
                  <w:noWrap w:val="0"/>
                  <w:vAlign w:val="center"/>
                </w:tcPr>
                <w:p w14:paraId="2754070F">
                  <w:pPr>
                    <w:keepNext w:val="0"/>
                    <w:keepLines w:val="0"/>
                    <w:widowControl/>
                    <w:suppressLineNumbers w:val="0"/>
                    <w:jc w:val="center"/>
                    <w:textAlignment w:val="center"/>
                    <w:rPr>
                      <w:rFonts w:hint="default" w:ascii="Times New Roman" w:hAnsi="Times New Roman" w:cs="Times New Roman"/>
                      <w:b w:val="0"/>
                      <w:bCs w:val="0"/>
                      <w:color w:val="auto"/>
                      <w:spacing w:val="-20"/>
                      <w:sz w:val="21"/>
                      <w:szCs w:val="21"/>
                      <w:highlight w:val="none"/>
                      <w:lang w:val="en-US" w:eastAsia="zh-CN"/>
                    </w:rPr>
                  </w:pPr>
                  <w:r>
                    <w:rPr>
                      <w:rFonts w:hint="eastAsia" w:cs="Times New Roman"/>
                      <w:i w:val="0"/>
                      <w:iCs w:val="0"/>
                      <w:color w:val="auto"/>
                      <w:kern w:val="0"/>
                      <w:sz w:val="21"/>
                      <w:szCs w:val="21"/>
                      <w:u w:val="none"/>
                      <w:lang w:val="en-US" w:eastAsia="zh-CN" w:bidi="ar"/>
                    </w:rPr>
                    <w:t>7.69</w:t>
                  </w:r>
                  <w:r>
                    <w:rPr>
                      <w:rFonts w:hint="default" w:ascii="Times New Roman" w:hAnsi="Times New Roman" w:eastAsia="宋体" w:cs="Times New Roman"/>
                      <w:i w:val="0"/>
                      <w:iCs w:val="0"/>
                      <w:color w:val="auto"/>
                      <w:kern w:val="0"/>
                      <w:sz w:val="21"/>
                      <w:szCs w:val="21"/>
                      <w:u w:val="none"/>
                      <w:lang w:val="en-US" w:eastAsia="zh-CN" w:bidi="ar"/>
                    </w:rPr>
                    <w:t xml:space="preserve"> </w:t>
                  </w:r>
                </w:p>
              </w:tc>
            </w:tr>
            <w:tr w14:paraId="540F54AD">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97" w:hRule="atLeast"/>
                <w:jc w:val="center"/>
              </w:trPr>
              <w:tc>
                <w:tcPr>
                  <w:tcW w:w="470" w:type="dxa"/>
                  <w:vMerge w:val="continue"/>
                  <w:tcBorders>
                    <w:tl2br w:val="nil"/>
                    <w:tr2bl w:val="nil"/>
                  </w:tcBorders>
                  <w:noWrap w:val="0"/>
                  <w:vAlign w:val="center"/>
                </w:tcPr>
                <w:p w14:paraId="06D101FA">
                  <w:pPr>
                    <w:adjustRightInd w:val="0"/>
                    <w:snapToGrid w:val="0"/>
                    <w:jc w:val="center"/>
                    <w:rPr>
                      <w:rFonts w:ascii="Times New Roman" w:hAnsi="Times New Roman"/>
                      <w:b/>
                      <w:color w:val="auto"/>
                      <w:szCs w:val="21"/>
                      <w:highlight w:val="none"/>
                    </w:rPr>
                  </w:pPr>
                </w:p>
              </w:tc>
              <w:tc>
                <w:tcPr>
                  <w:tcW w:w="2100" w:type="dxa"/>
                  <w:gridSpan w:val="2"/>
                  <w:tcBorders>
                    <w:tl2br w:val="nil"/>
                    <w:tr2bl w:val="nil"/>
                  </w:tcBorders>
                  <w:noWrap w:val="0"/>
                  <w:vAlign w:val="center"/>
                </w:tcPr>
                <w:p w14:paraId="4DAD2CCD">
                  <w:pPr>
                    <w:spacing w:line="290" w:lineRule="exact"/>
                    <w:jc w:val="center"/>
                    <w:rPr>
                      <w:rFonts w:ascii="Times New Roman" w:hAnsi="Times New Roman"/>
                      <w:b/>
                      <w:bCs/>
                      <w:color w:val="auto"/>
                      <w:szCs w:val="21"/>
                      <w:highlight w:val="none"/>
                    </w:rPr>
                  </w:pPr>
                  <w:r>
                    <w:rPr>
                      <w:rFonts w:hint="default" w:ascii="Times New Roman" w:hAnsi="Times New Roman" w:cs="Times New Roman"/>
                      <w:b/>
                      <w:bCs/>
                      <w:color w:val="auto"/>
                      <w:szCs w:val="21"/>
                      <w:highlight w:val="none"/>
                    </w:rPr>
                    <w:t>固废防治</w:t>
                  </w:r>
                </w:p>
              </w:tc>
              <w:tc>
                <w:tcPr>
                  <w:tcW w:w="3933" w:type="dxa"/>
                  <w:tcBorders>
                    <w:tl2br w:val="nil"/>
                    <w:tr2bl w:val="nil"/>
                  </w:tcBorders>
                  <w:noWrap w:val="0"/>
                  <w:vAlign w:val="center"/>
                </w:tcPr>
                <w:p w14:paraId="21104682">
                  <w:pPr>
                    <w:snapToGrid w:val="0"/>
                    <w:ind w:firstLine="420" w:firstLineChars="200"/>
                    <w:rPr>
                      <w:rFonts w:hint="eastAsia" w:ascii="Times New Roman" w:hAnsi="Times New Roman"/>
                      <w:b/>
                      <w:color w:val="auto"/>
                      <w:szCs w:val="21"/>
                      <w:highlight w:val="none"/>
                      <w:lang w:eastAsia="zh-CN"/>
                    </w:rPr>
                  </w:pPr>
                  <w:r>
                    <w:rPr>
                      <w:rFonts w:hint="default" w:ascii="Times New Roman" w:hAnsi="Times New Roman" w:cs="Times New Roman"/>
                      <w:bCs/>
                      <w:color w:val="auto"/>
                      <w:szCs w:val="21"/>
                      <w:highlight w:val="none"/>
                    </w:rPr>
                    <w:t>设置生活垃圾分类收集箱1个，生活垃圾</w:t>
                  </w:r>
                  <w:r>
                    <w:rPr>
                      <w:rFonts w:hint="default" w:ascii="Times New Roman" w:hAnsi="Times New Roman" w:cs="Times New Roman"/>
                      <w:bCs/>
                      <w:color w:val="auto"/>
                      <w:szCs w:val="21"/>
                      <w:highlight w:val="none"/>
                      <w:lang w:eastAsia="zh-CN"/>
                    </w:rPr>
                    <w:t>集中收集后</w:t>
                  </w:r>
                  <w:r>
                    <w:rPr>
                      <w:rFonts w:hint="eastAsia" w:cs="Times New Roman"/>
                      <w:bCs/>
                      <w:color w:val="auto"/>
                      <w:szCs w:val="21"/>
                      <w:highlight w:val="none"/>
                      <w:lang w:eastAsia="zh-CN"/>
                    </w:rPr>
                    <w:t>交</w:t>
                  </w:r>
                  <w:r>
                    <w:rPr>
                      <w:rFonts w:hint="default" w:ascii="Times New Roman" w:hAnsi="Times New Roman" w:cs="Times New Roman"/>
                      <w:bCs/>
                      <w:color w:val="auto"/>
                      <w:szCs w:val="21"/>
                      <w:highlight w:val="none"/>
                      <w:lang w:eastAsia="zh-CN"/>
                    </w:rPr>
                    <w:t>由环卫部门</w:t>
                  </w:r>
                  <w:r>
                    <w:rPr>
                      <w:rFonts w:hint="eastAsia" w:cs="Times New Roman"/>
                      <w:bCs/>
                      <w:color w:val="auto"/>
                      <w:szCs w:val="21"/>
                      <w:highlight w:val="none"/>
                      <w:lang w:eastAsia="zh-CN"/>
                    </w:rPr>
                    <w:t>统一</w:t>
                  </w:r>
                  <w:r>
                    <w:rPr>
                      <w:rFonts w:hint="default" w:ascii="Times New Roman" w:hAnsi="Times New Roman" w:cs="Times New Roman"/>
                      <w:bCs/>
                      <w:color w:val="auto"/>
                      <w:szCs w:val="21"/>
                      <w:highlight w:val="none"/>
                      <w:lang w:eastAsia="zh-CN"/>
                    </w:rPr>
                    <w:t>处理</w:t>
                  </w:r>
                  <w:r>
                    <w:rPr>
                      <w:rFonts w:hint="eastAsia" w:cs="Times New Roman"/>
                      <w:bCs/>
                      <w:color w:val="auto"/>
                      <w:szCs w:val="21"/>
                      <w:highlight w:val="none"/>
                      <w:lang w:eastAsia="zh-CN"/>
                    </w:rPr>
                    <w:t>。</w:t>
                  </w:r>
                </w:p>
              </w:tc>
              <w:tc>
                <w:tcPr>
                  <w:tcW w:w="722" w:type="dxa"/>
                  <w:tcBorders>
                    <w:tl2br w:val="nil"/>
                    <w:tr2bl w:val="nil"/>
                  </w:tcBorders>
                  <w:noWrap w:val="0"/>
                  <w:vAlign w:val="center"/>
                </w:tcPr>
                <w:p w14:paraId="0D50EE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5</w:t>
                  </w:r>
                </w:p>
              </w:tc>
              <w:tc>
                <w:tcPr>
                  <w:tcW w:w="705" w:type="dxa"/>
                  <w:tcBorders>
                    <w:tl2br w:val="nil"/>
                    <w:tr2bl w:val="nil"/>
                  </w:tcBorders>
                  <w:noWrap w:val="0"/>
                  <w:vAlign w:val="center"/>
                </w:tcPr>
                <w:p w14:paraId="374DE6C7">
                  <w:pPr>
                    <w:keepNext w:val="0"/>
                    <w:keepLines w:val="0"/>
                    <w:widowControl/>
                    <w:suppressLineNumbers w:val="0"/>
                    <w:jc w:val="center"/>
                    <w:textAlignment w:val="center"/>
                    <w:rPr>
                      <w:rFonts w:hint="default" w:ascii="Times New Roman" w:hAnsi="Times New Roman" w:cs="Times New Roman"/>
                      <w:b w:val="0"/>
                      <w:bCs w:val="0"/>
                      <w:color w:val="auto"/>
                      <w:sz w:val="21"/>
                      <w:szCs w:val="21"/>
                      <w:highlight w:val="none"/>
                      <w:lang w:val="en-US" w:eastAsia="zh-CN"/>
                    </w:rPr>
                  </w:pPr>
                  <w:r>
                    <w:rPr>
                      <w:rFonts w:hint="eastAsia" w:cs="Times New Roman"/>
                      <w:i w:val="0"/>
                      <w:iCs w:val="0"/>
                      <w:color w:val="auto"/>
                      <w:kern w:val="0"/>
                      <w:sz w:val="21"/>
                      <w:szCs w:val="21"/>
                      <w:u w:val="none"/>
                      <w:lang w:val="en-US" w:eastAsia="zh-CN" w:bidi="ar"/>
                    </w:rPr>
                    <w:t>7.69</w:t>
                  </w:r>
                  <w:r>
                    <w:rPr>
                      <w:rFonts w:hint="default" w:ascii="Times New Roman" w:hAnsi="Times New Roman" w:eastAsia="宋体" w:cs="Times New Roman"/>
                      <w:i w:val="0"/>
                      <w:iCs w:val="0"/>
                      <w:color w:val="auto"/>
                      <w:kern w:val="0"/>
                      <w:sz w:val="21"/>
                      <w:szCs w:val="21"/>
                      <w:u w:val="none"/>
                      <w:lang w:val="en-US" w:eastAsia="zh-CN" w:bidi="ar"/>
                    </w:rPr>
                    <w:t xml:space="preserve"> </w:t>
                  </w:r>
                </w:p>
              </w:tc>
            </w:tr>
            <w:tr w14:paraId="5E91E04E">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470" w:type="dxa"/>
                  <w:vMerge w:val="restart"/>
                  <w:tcBorders>
                    <w:tl2br w:val="nil"/>
                    <w:tr2bl w:val="nil"/>
                  </w:tcBorders>
                  <w:noWrap w:val="0"/>
                  <w:vAlign w:val="center"/>
                </w:tcPr>
                <w:p w14:paraId="4840C389">
                  <w:pPr>
                    <w:spacing w:line="290" w:lineRule="exact"/>
                    <w:jc w:val="center"/>
                    <w:rPr>
                      <w:rFonts w:hint="default" w:ascii="Times New Roman" w:hAnsi="Times New Roman" w:eastAsia="宋体" w:cs="Times New Roman"/>
                      <w:bCs/>
                      <w:color w:val="auto"/>
                      <w:szCs w:val="21"/>
                      <w:highlight w:val="none"/>
                      <w:lang w:val="en-US" w:eastAsia="zh-CN"/>
                    </w:rPr>
                  </w:pPr>
                  <w:r>
                    <w:rPr>
                      <w:rFonts w:hint="eastAsia" w:cs="Times New Roman"/>
                      <w:b/>
                      <w:bCs/>
                      <w:color w:val="auto"/>
                      <w:highlight w:val="none"/>
                      <w:lang w:val="en-US" w:eastAsia="zh-CN"/>
                    </w:rPr>
                    <w:t>运营期</w:t>
                  </w:r>
                </w:p>
              </w:tc>
              <w:tc>
                <w:tcPr>
                  <w:tcW w:w="720" w:type="dxa"/>
                  <w:tcBorders>
                    <w:tl2br w:val="nil"/>
                    <w:tr2bl w:val="nil"/>
                  </w:tcBorders>
                  <w:noWrap w:val="0"/>
                  <w:vAlign w:val="center"/>
                </w:tcPr>
                <w:p w14:paraId="205946C0">
                  <w:pPr>
                    <w:spacing w:line="290" w:lineRule="exact"/>
                    <w:jc w:val="center"/>
                    <w:rPr>
                      <w:rFonts w:hint="default" w:ascii="Times New Roman" w:hAnsi="Times New Roman" w:eastAsia="宋体" w:cs="Times New Roman"/>
                      <w:b/>
                      <w:bCs w:val="0"/>
                      <w:color w:val="auto"/>
                      <w:szCs w:val="21"/>
                      <w:highlight w:val="none"/>
                      <w:lang w:eastAsia="zh-CN"/>
                    </w:rPr>
                  </w:pPr>
                  <w:r>
                    <w:rPr>
                      <w:rFonts w:hint="default" w:ascii="Times New Roman" w:hAnsi="Times New Roman" w:cs="Times New Roman"/>
                      <w:b/>
                      <w:bCs w:val="0"/>
                      <w:color w:val="auto"/>
                      <w:szCs w:val="21"/>
                      <w:highlight w:val="none"/>
                    </w:rPr>
                    <w:t>废水防治</w:t>
                  </w:r>
                </w:p>
              </w:tc>
              <w:tc>
                <w:tcPr>
                  <w:tcW w:w="1380" w:type="dxa"/>
                  <w:tcBorders>
                    <w:tl2br w:val="nil"/>
                    <w:tr2bl w:val="nil"/>
                  </w:tcBorders>
                  <w:noWrap w:val="0"/>
                  <w:vAlign w:val="center"/>
                </w:tcPr>
                <w:p w14:paraId="15CF8AFA">
                  <w:pPr>
                    <w:spacing w:line="290" w:lineRule="exact"/>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highlight w:val="none"/>
                    </w:rPr>
                    <w:t>生活</w:t>
                  </w:r>
                  <w:r>
                    <w:rPr>
                      <w:rFonts w:hint="default" w:ascii="Times New Roman" w:hAnsi="Times New Roman" w:cs="Times New Roman"/>
                      <w:b/>
                      <w:bCs/>
                      <w:color w:val="auto"/>
                      <w:highlight w:val="none"/>
                      <w:lang w:eastAsia="zh-CN"/>
                    </w:rPr>
                    <w:t>污</w:t>
                  </w:r>
                  <w:r>
                    <w:rPr>
                      <w:rFonts w:hint="default" w:ascii="Times New Roman" w:hAnsi="Times New Roman" w:cs="Times New Roman"/>
                      <w:b/>
                      <w:bCs/>
                      <w:color w:val="auto"/>
                      <w:highlight w:val="none"/>
                    </w:rPr>
                    <w:t>水</w:t>
                  </w:r>
                  <w:r>
                    <w:rPr>
                      <w:rFonts w:hint="eastAsia" w:cs="Times New Roman"/>
                      <w:b/>
                      <w:bCs/>
                      <w:color w:val="auto"/>
                      <w:highlight w:val="none"/>
                      <w:lang w:eastAsia="zh-CN"/>
                    </w:rPr>
                    <w:t>、</w:t>
                  </w:r>
                  <w:r>
                    <w:rPr>
                      <w:rFonts w:hint="eastAsia" w:cs="Times New Roman"/>
                      <w:b/>
                      <w:bCs/>
                      <w:color w:val="auto"/>
                      <w:highlight w:val="none"/>
                      <w:lang w:val="en-US" w:eastAsia="zh-CN"/>
                    </w:rPr>
                    <w:t>食堂废水</w:t>
                  </w:r>
                </w:p>
              </w:tc>
              <w:tc>
                <w:tcPr>
                  <w:tcW w:w="3933" w:type="dxa"/>
                  <w:tcBorders>
                    <w:tl2br w:val="nil"/>
                    <w:tr2bl w:val="nil"/>
                  </w:tcBorders>
                  <w:noWrap w:val="0"/>
                  <w:vAlign w:val="center"/>
                </w:tcPr>
                <w:p w14:paraId="65E1FE20">
                  <w:pPr>
                    <w:spacing w:line="290" w:lineRule="exact"/>
                    <w:ind w:firstLine="420" w:firstLineChars="200"/>
                    <w:rPr>
                      <w:rFonts w:hint="eastAsia" w:ascii="Times New Roman" w:hAnsi="Times New Roman" w:eastAsia="宋体" w:cs="Times New Roman"/>
                      <w:bCs/>
                      <w:color w:val="auto"/>
                      <w:szCs w:val="21"/>
                      <w:highlight w:val="none"/>
                      <w:lang w:eastAsia="zh-CN"/>
                    </w:rPr>
                  </w:pPr>
                  <w:r>
                    <w:rPr>
                      <w:rFonts w:hint="eastAsia" w:cs="Times New Roman"/>
                      <w:bCs/>
                      <w:color w:val="auto"/>
                      <w:szCs w:val="21"/>
                      <w:highlight w:val="none"/>
                      <w:lang w:val="en-US" w:eastAsia="zh-CN"/>
                    </w:rPr>
                    <w:t>设置1</w:t>
                  </w:r>
                  <w:r>
                    <w:rPr>
                      <w:rFonts w:hint="eastAsia" w:cs="Times New Roman"/>
                      <w:bCs/>
                      <w:color w:val="auto"/>
                      <w:szCs w:val="21"/>
                      <w:highlight w:val="none"/>
                      <w:shd w:val="clear" w:color="auto" w:fill="auto"/>
                      <w:lang w:val="en-US" w:eastAsia="zh-CN"/>
                    </w:rPr>
                    <w:t>座16m</w:t>
                  </w:r>
                  <w:r>
                    <w:rPr>
                      <w:rFonts w:hint="eastAsia" w:cs="Times New Roman"/>
                      <w:bCs/>
                      <w:color w:val="auto"/>
                      <w:szCs w:val="21"/>
                      <w:highlight w:val="none"/>
                      <w:shd w:val="clear" w:color="auto" w:fill="auto"/>
                      <w:vertAlign w:val="superscript"/>
                      <w:lang w:val="en-US" w:eastAsia="zh-CN"/>
                    </w:rPr>
                    <w:t>3</w:t>
                  </w:r>
                  <w:r>
                    <w:rPr>
                      <w:rFonts w:hint="eastAsia" w:cs="Times New Roman"/>
                      <w:bCs/>
                      <w:color w:val="auto"/>
                      <w:szCs w:val="21"/>
                      <w:highlight w:val="none"/>
                      <w:shd w:val="clear" w:color="auto" w:fill="auto"/>
                      <w:lang w:val="en-US" w:eastAsia="zh-CN"/>
                    </w:rPr>
                    <w:t>化粪</w:t>
                  </w:r>
                  <w:r>
                    <w:rPr>
                      <w:rFonts w:hint="eastAsia" w:cs="Times New Roman"/>
                      <w:bCs/>
                      <w:color w:val="auto"/>
                      <w:szCs w:val="21"/>
                      <w:highlight w:val="none"/>
                      <w:lang w:val="en-US" w:eastAsia="zh-CN"/>
                    </w:rPr>
                    <w:t>池、1套隔油设施</w:t>
                  </w:r>
                  <w:r>
                    <w:rPr>
                      <w:rFonts w:hint="eastAsia" w:cs="Times New Roman"/>
                      <w:bCs/>
                      <w:color w:val="auto"/>
                      <w:szCs w:val="21"/>
                      <w:highlight w:val="none"/>
                      <w:lang w:eastAsia="zh-CN"/>
                    </w:rPr>
                    <w:t>。</w:t>
                  </w:r>
                </w:p>
              </w:tc>
              <w:tc>
                <w:tcPr>
                  <w:tcW w:w="722" w:type="dxa"/>
                  <w:tcBorders>
                    <w:tl2br w:val="nil"/>
                    <w:tr2bl w:val="nil"/>
                  </w:tcBorders>
                  <w:noWrap w:val="0"/>
                  <w:vAlign w:val="center"/>
                </w:tcPr>
                <w:p w14:paraId="6BE6E3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b w:val="0"/>
                      <w:bCs w:val="0"/>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12</w:t>
                  </w:r>
                </w:p>
              </w:tc>
              <w:tc>
                <w:tcPr>
                  <w:tcW w:w="705" w:type="dxa"/>
                  <w:tcBorders>
                    <w:tl2br w:val="nil"/>
                    <w:tr2bl w:val="nil"/>
                  </w:tcBorders>
                  <w:noWrap w:val="0"/>
                  <w:vAlign w:val="center"/>
                </w:tcPr>
                <w:p w14:paraId="6D79CD62">
                  <w:pPr>
                    <w:keepNext w:val="0"/>
                    <w:keepLines w:val="0"/>
                    <w:widowControl/>
                    <w:suppressLineNumbers w:val="0"/>
                    <w:jc w:val="center"/>
                    <w:textAlignment w:val="center"/>
                    <w:rPr>
                      <w:rFonts w:hint="default" w:ascii="Times New Roman" w:hAnsi="Times New Roman" w:cs="Times New Roman"/>
                      <w:b w:val="0"/>
                      <w:bCs w:val="0"/>
                      <w:color w:val="auto"/>
                      <w:sz w:val="21"/>
                      <w:szCs w:val="21"/>
                      <w:highlight w:val="none"/>
                      <w:lang w:val="en-US" w:eastAsia="zh-CN"/>
                    </w:rPr>
                  </w:pPr>
                  <w:r>
                    <w:rPr>
                      <w:rFonts w:hint="eastAsia" w:cs="Times New Roman"/>
                      <w:i w:val="0"/>
                      <w:iCs w:val="0"/>
                      <w:color w:val="auto"/>
                      <w:kern w:val="0"/>
                      <w:sz w:val="21"/>
                      <w:szCs w:val="21"/>
                      <w:u w:val="none"/>
                      <w:lang w:val="en-US" w:eastAsia="zh-CN" w:bidi="ar"/>
                    </w:rPr>
                    <w:t>18.46</w:t>
                  </w:r>
                  <w:r>
                    <w:rPr>
                      <w:rFonts w:hint="default" w:ascii="Times New Roman" w:hAnsi="Times New Roman" w:eastAsia="宋体" w:cs="Times New Roman"/>
                      <w:i w:val="0"/>
                      <w:iCs w:val="0"/>
                      <w:color w:val="auto"/>
                      <w:kern w:val="0"/>
                      <w:sz w:val="21"/>
                      <w:szCs w:val="21"/>
                      <w:u w:val="none"/>
                      <w:lang w:val="en-US" w:eastAsia="zh-CN" w:bidi="ar"/>
                    </w:rPr>
                    <w:t xml:space="preserve"> </w:t>
                  </w:r>
                </w:p>
              </w:tc>
            </w:tr>
            <w:tr w14:paraId="72B78261">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470" w:type="dxa"/>
                  <w:vMerge w:val="continue"/>
                  <w:tcBorders>
                    <w:tl2br w:val="nil"/>
                    <w:tr2bl w:val="nil"/>
                  </w:tcBorders>
                  <w:noWrap w:val="0"/>
                  <w:vAlign w:val="center"/>
                </w:tcPr>
                <w:p w14:paraId="137F802E">
                  <w:pPr>
                    <w:spacing w:line="290" w:lineRule="exact"/>
                    <w:jc w:val="center"/>
                    <w:rPr>
                      <w:rFonts w:hint="default" w:ascii="Times New Roman" w:hAnsi="Times New Roman" w:cs="Times New Roman"/>
                      <w:bCs/>
                      <w:color w:val="auto"/>
                      <w:szCs w:val="21"/>
                      <w:highlight w:val="none"/>
                    </w:rPr>
                  </w:pPr>
                </w:p>
              </w:tc>
              <w:tc>
                <w:tcPr>
                  <w:tcW w:w="720" w:type="dxa"/>
                  <w:tcBorders>
                    <w:tl2br w:val="nil"/>
                    <w:tr2bl w:val="nil"/>
                  </w:tcBorders>
                  <w:noWrap w:val="0"/>
                  <w:vAlign w:val="center"/>
                </w:tcPr>
                <w:p w14:paraId="7539C881">
                  <w:pPr>
                    <w:spacing w:line="290" w:lineRule="exact"/>
                    <w:jc w:val="center"/>
                    <w:rPr>
                      <w:rFonts w:hint="eastAsia" w:ascii="Times New Roman" w:hAnsi="Times New Roman" w:eastAsia="宋体" w:cs="Times New Roman"/>
                      <w:b/>
                      <w:bCs w:val="0"/>
                      <w:color w:val="auto"/>
                      <w:szCs w:val="21"/>
                      <w:highlight w:val="none"/>
                      <w:lang w:val="en-US" w:eastAsia="zh-CN"/>
                    </w:rPr>
                  </w:pPr>
                  <w:r>
                    <w:rPr>
                      <w:rFonts w:hint="eastAsia" w:cs="Times New Roman"/>
                      <w:b/>
                      <w:bCs w:val="0"/>
                      <w:color w:val="auto"/>
                      <w:szCs w:val="21"/>
                      <w:highlight w:val="none"/>
                      <w:lang w:val="en-US" w:eastAsia="zh-CN"/>
                    </w:rPr>
                    <w:t>废气</w:t>
                  </w:r>
                </w:p>
              </w:tc>
              <w:tc>
                <w:tcPr>
                  <w:tcW w:w="1380" w:type="dxa"/>
                  <w:tcBorders>
                    <w:tl2br w:val="nil"/>
                    <w:tr2bl w:val="nil"/>
                  </w:tcBorders>
                  <w:noWrap w:val="0"/>
                  <w:vAlign w:val="center"/>
                </w:tcPr>
                <w:p w14:paraId="54EF5698">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食堂油烟</w:t>
                  </w:r>
                </w:p>
              </w:tc>
              <w:tc>
                <w:tcPr>
                  <w:tcW w:w="3933" w:type="dxa"/>
                  <w:tcBorders>
                    <w:tl2br w:val="nil"/>
                    <w:tr2bl w:val="nil"/>
                  </w:tcBorders>
                  <w:noWrap w:val="0"/>
                  <w:vAlign w:val="center"/>
                </w:tcPr>
                <w:p w14:paraId="236F5F3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油烟经净化装置</w:t>
                  </w:r>
                </w:p>
              </w:tc>
              <w:tc>
                <w:tcPr>
                  <w:tcW w:w="722" w:type="dxa"/>
                  <w:tcBorders>
                    <w:tl2br w:val="nil"/>
                    <w:tr2bl w:val="nil"/>
                  </w:tcBorders>
                  <w:noWrap w:val="0"/>
                  <w:vAlign w:val="center"/>
                </w:tcPr>
                <w:p w14:paraId="0FED94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8</w:t>
                  </w:r>
                </w:p>
              </w:tc>
              <w:tc>
                <w:tcPr>
                  <w:tcW w:w="705" w:type="dxa"/>
                  <w:tcBorders>
                    <w:tl2br w:val="nil"/>
                    <w:tr2bl w:val="nil"/>
                  </w:tcBorders>
                  <w:noWrap w:val="0"/>
                  <w:vAlign w:val="center"/>
                </w:tcPr>
                <w:p w14:paraId="6B6421C4">
                  <w:pPr>
                    <w:keepNext w:val="0"/>
                    <w:keepLines w:val="0"/>
                    <w:widowControl/>
                    <w:suppressLineNumbers w:val="0"/>
                    <w:jc w:val="center"/>
                    <w:textAlignment w:val="center"/>
                    <w:rPr>
                      <w:rFonts w:hint="default" w:cs="Times New Roman"/>
                      <w:b w:val="0"/>
                      <w:bCs w:val="0"/>
                      <w:color w:val="auto"/>
                      <w:sz w:val="21"/>
                      <w:szCs w:val="21"/>
                      <w:highlight w:val="none"/>
                      <w:lang w:val="en-US" w:eastAsia="zh-CN"/>
                    </w:rPr>
                  </w:pPr>
                  <w:r>
                    <w:rPr>
                      <w:rFonts w:hint="eastAsia" w:cs="Times New Roman"/>
                      <w:i w:val="0"/>
                      <w:iCs w:val="0"/>
                      <w:color w:val="auto"/>
                      <w:kern w:val="0"/>
                      <w:sz w:val="21"/>
                      <w:szCs w:val="21"/>
                      <w:u w:val="none"/>
                      <w:lang w:val="en-US" w:eastAsia="zh-CN" w:bidi="ar"/>
                    </w:rPr>
                    <w:t>12.31</w:t>
                  </w:r>
                </w:p>
              </w:tc>
            </w:tr>
            <w:tr w14:paraId="5B3792FE">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470" w:type="dxa"/>
                  <w:vMerge w:val="continue"/>
                  <w:tcBorders>
                    <w:tl2br w:val="nil"/>
                    <w:tr2bl w:val="nil"/>
                  </w:tcBorders>
                  <w:noWrap w:val="0"/>
                  <w:vAlign w:val="center"/>
                </w:tcPr>
                <w:p w14:paraId="0D134728">
                  <w:pPr>
                    <w:spacing w:line="290" w:lineRule="exact"/>
                    <w:jc w:val="center"/>
                    <w:rPr>
                      <w:rFonts w:hint="default" w:ascii="Times New Roman" w:hAnsi="Times New Roman" w:cs="Times New Roman"/>
                      <w:bCs/>
                      <w:color w:val="auto"/>
                      <w:szCs w:val="21"/>
                      <w:highlight w:val="none"/>
                    </w:rPr>
                  </w:pPr>
                </w:p>
              </w:tc>
              <w:tc>
                <w:tcPr>
                  <w:tcW w:w="2100" w:type="dxa"/>
                  <w:gridSpan w:val="2"/>
                  <w:tcBorders>
                    <w:tl2br w:val="nil"/>
                    <w:tr2bl w:val="nil"/>
                  </w:tcBorders>
                  <w:noWrap w:val="0"/>
                  <w:vAlign w:val="center"/>
                </w:tcPr>
                <w:p w14:paraId="1BA5803D">
                  <w:pPr>
                    <w:spacing w:line="290" w:lineRule="exac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噪声防治</w:t>
                  </w:r>
                </w:p>
              </w:tc>
              <w:tc>
                <w:tcPr>
                  <w:tcW w:w="3933" w:type="dxa"/>
                  <w:tcBorders>
                    <w:tl2br w:val="nil"/>
                    <w:tr2bl w:val="nil"/>
                  </w:tcBorders>
                  <w:noWrap w:val="0"/>
                  <w:vAlign w:val="center"/>
                </w:tcPr>
                <w:p w14:paraId="20D5AB8B">
                  <w:pPr>
                    <w:keepNext w:val="0"/>
                    <w:keepLines w:val="0"/>
                    <w:pageBreakBefore w:val="0"/>
                    <w:widowControl w:val="0"/>
                    <w:kinsoku/>
                    <w:wordWrap/>
                    <w:overflowPunct/>
                    <w:topLinePunct w:val="0"/>
                    <w:autoSpaceDE/>
                    <w:autoSpaceDN/>
                    <w:bidi w:val="0"/>
                    <w:spacing w:line="290" w:lineRule="exact"/>
                    <w:ind w:firstLine="420" w:firstLineChars="200"/>
                    <w:jc w:val="both"/>
                    <w:textAlignment w:val="auto"/>
                    <w:rPr>
                      <w:rFonts w:hint="eastAsia" w:eastAsia="宋体"/>
                      <w:color w:val="auto"/>
                      <w:highlight w:val="none"/>
                      <w:lang w:eastAsia="zh-CN"/>
                    </w:rPr>
                  </w:pPr>
                  <w:r>
                    <w:rPr>
                      <w:rFonts w:hint="default" w:ascii="Times New Roman" w:hAnsi="Times New Roman" w:cs="Times New Roman"/>
                      <w:bCs/>
                      <w:color w:val="auto"/>
                      <w:szCs w:val="21"/>
                      <w:highlight w:val="none"/>
                    </w:rPr>
                    <w:t>选用低噪声生产设备，采取隔声、减振、加强对设备的日常管理和维护等综合降噪措施</w:t>
                  </w:r>
                </w:p>
              </w:tc>
              <w:tc>
                <w:tcPr>
                  <w:tcW w:w="722" w:type="dxa"/>
                  <w:tcBorders>
                    <w:tl2br w:val="nil"/>
                    <w:tr2bl w:val="nil"/>
                  </w:tcBorders>
                  <w:noWrap w:val="0"/>
                  <w:vAlign w:val="center"/>
                </w:tcPr>
                <w:p w14:paraId="494A42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b w:val="0"/>
                      <w:bCs w:val="0"/>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7</w:t>
                  </w:r>
                </w:p>
              </w:tc>
              <w:tc>
                <w:tcPr>
                  <w:tcW w:w="705" w:type="dxa"/>
                  <w:tcBorders>
                    <w:tl2br w:val="nil"/>
                    <w:tr2bl w:val="nil"/>
                  </w:tcBorders>
                  <w:noWrap w:val="0"/>
                  <w:vAlign w:val="center"/>
                </w:tcPr>
                <w:p w14:paraId="45D89D0C">
                  <w:pPr>
                    <w:keepNext w:val="0"/>
                    <w:keepLines w:val="0"/>
                    <w:widowControl/>
                    <w:suppressLineNumbers w:val="0"/>
                    <w:jc w:val="center"/>
                    <w:textAlignment w:val="center"/>
                    <w:rPr>
                      <w:rFonts w:hint="default" w:ascii="Times New Roman" w:hAnsi="Times New Roman" w:cs="Times New Roman"/>
                      <w:b w:val="0"/>
                      <w:bCs w:val="0"/>
                      <w:color w:val="auto"/>
                      <w:sz w:val="21"/>
                      <w:szCs w:val="21"/>
                      <w:highlight w:val="none"/>
                      <w:lang w:val="en-US" w:eastAsia="zh-CN"/>
                    </w:rPr>
                  </w:pPr>
                  <w:r>
                    <w:rPr>
                      <w:rFonts w:hint="eastAsia" w:cs="Times New Roman"/>
                      <w:i w:val="0"/>
                      <w:iCs w:val="0"/>
                      <w:color w:val="auto"/>
                      <w:kern w:val="0"/>
                      <w:sz w:val="21"/>
                      <w:szCs w:val="21"/>
                      <w:u w:val="none"/>
                      <w:lang w:val="en-US" w:eastAsia="zh-CN" w:bidi="ar"/>
                    </w:rPr>
                    <w:t>10.77</w:t>
                  </w:r>
                  <w:r>
                    <w:rPr>
                      <w:rFonts w:hint="default" w:ascii="Times New Roman" w:hAnsi="Times New Roman" w:eastAsia="宋体" w:cs="Times New Roman"/>
                      <w:i w:val="0"/>
                      <w:iCs w:val="0"/>
                      <w:color w:val="auto"/>
                      <w:kern w:val="0"/>
                      <w:sz w:val="21"/>
                      <w:szCs w:val="21"/>
                      <w:u w:val="none"/>
                      <w:lang w:val="en-US" w:eastAsia="zh-CN" w:bidi="ar"/>
                    </w:rPr>
                    <w:t xml:space="preserve"> </w:t>
                  </w:r>
                </w:p>
              </w:tc>
            </w:tr>
            <w:tr w14:paraId="486995C4">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470" w:type="dxa"/>
                  <w:vMerge w:val="continue"/>
                  <w:tcBorders>
                    <w:tl2br w:val="nil"/>
                    <w:tr2bl w:val="nil"/>
                  </w:tcBorders>
                  <w:noWrap w:val="0"/>
                  <w:vAlign w:val="center"/>
                </w:tcPr>
                <w:p w14:paraId="1B5FC5C9">
                  <w:pPr>
                    <w:spacing w:line="290" w:lineRule="exact"/>
                    <w:jc w:val="center"/>
                    <w:rPr>
                      <w:rFonts w:hint="default" w:ascii="Times New Roman" w:hAnsi="Times New Roman" w:cs="Times New Roman"/>
                      <w:bCs/>
                      <w:color w:val="auto"/>
                      <w:szCs w:val="21"/>
                      <w:highlight w:val="none"/>
                    </w:rPr>
                  </w:pPr>
                </w:p>
              </w:tc>
              <w:tc>
                <w:tcPr>
                  <w:tcW w:w="2100" w:type="dxa"/>
                  <w:gridSpan w:val="2"/>
                  <w:tcBorders>
                    <w:tl2br w:val="nil"/>
                    <w:tr2bl w:val="nil"/>
                  </w:tcBorders>
                  <w:noWrap w:val="0"/>
                  <w:vAlign w:val="center"/>
                </w:tcPr>
                <w:p w14:paraId="2B2A27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bCs/>
                      <w:color w:val="auto"/>
                      <w:highlight w:val="none"/>
                      <w:lang w:eastAsia="zh-CN"/>
                    </w:rPr>
                  </w:pPr>
                  <w:r>
                    <w:rPr>
                      <w:rFonts w:hint="eastAsia" w:ascii="Times New Roman" w:hAnsi="Times New Roman" w:eastAsia="宋体" w:cs="Times New Roman"/>
                      <w:b/>
                      <w:bCs/>
                      <w:color w:val="auto"/>
                      <w:sz w:val="21"/>
                      <w:szCs w:val="21"/>
                      <w:highlight w:val="none"/>
                      <w:vertAlign w:val="baseline"/>
                      <w:lang w:val="en-US" w:eastAsia="zh-CN"/>
                    </w:rPr>
                    <w:t>固废防治</w:t>
                  </w:r>
                </w:p>
              </w:tc>
              <w:tc>
                <w:tcPr>
                  <w:tcW w:w="3933" w:type="dxa"/>
                  <w:tcBorders>
                    <w:tl2br w:val="nil"/>
                    <w:tr2bl w:val="nil"/>
                  </w:tcBorders>
                  <w:noWrap w:val="0"/>
                  <w:vAlign w:val="center"/>
                </w:tcPr>
                <w:p w14:paraId="075FEF8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color w:val="auto"/>
                      <w:highlight w:val="none"/>
                      <w:lang w:eastAsia="zh-CN"/>
                    </w:rPr>
                  </w:pPr>
                  <w:r>
                    <w:rPr>
                      <w:rFonts w:hint="default"/>
                      <w:color w:val="auto"/>
                      <w:highlight w:val="none"/>
                      <w:lang w:val="en-US" w:eastAsia="zh-CN"/>
                    </w:rPr>
                    <w:t>设置生活垃圾收集箱，生活垃圾集中收集后交由当地环卫部门处理；</w:t>
                  </w:r>
                </w:p>
              </w:tc>
              <w:tc>
                <w:tcPr>
                  <w:tcW w:w="722" w:type="dxa"/>
                  <w:tcBorders>
                    <w:tl2br w:val="nil"/>
                    <w:tr2bl w:val="nil"/>
                  </w:tcBorders>
                  <w:noWrap w:val="0"/>
                  <w:vAlign w:val="center"/>
                </w:tcPr>
                <w:p w14:paraId="03AA63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b w:val="0"/>
                      <w:bCs w:val="0"/>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5</w:t>
                  </w:r>
                </w:p>
              </w:tc>
              <w:tc>
                <w:tcPr>
                  <w:tcW w:w="705" w:type="dxa"/>
                  <w:tcBorders>
                    <w:tl2br w:val="nil"/>
                    <w:tr2bl w:val="nil"/>
                  </w:tcBorders>
                  <w:noWrap w:val="0"/>
                  <w:vAlign w:val="center"/>
                </w:tcPr>
                <w:p w14:paraId="454734D4">
                  <w:pPr>
                    <w:keepNext w:val="0"/>
                    <w:keepLines w:val="0"/>
                    <w:widowControl/>
                    <w:suppressLineNumbers w:val="0"/>
                    <w:jc w:val="center"/>
                    <w:textAlignment w:val="center"/>
                    <w:rPr>
                      <w:rFonts w:hint="default" w:ascii="Times New Roman" w:hAnsi="Times New Roman" w:cs="Times New Roman"/>
                      <w:b w:val="0"/>
                      <w:bCs w:val="0"/>
                      <w:color w:val="auto"/>
                      <w:sz w:val="21"/>
                      <w:szCs w:val="21"/>
                      <w:highlight w:val="none"/>
                      <w:lang w:val="en-US" w:eastAsia="zh-CN"/>
                    </w:rPr>
                  </w:pPr>
                  <w:r>
                    <w:rPr>
                      <w:rFonts w:hint="eastAsia" w:cs="Times New Roman"/>
                      <w:i w:val="0"/>
                      <w:iCs w:val="0"/>
                      <w:color w:val="auto"/>
                      <w:kern w:val="0"/>
                      <w:sz w:val="21"/>
                      <w:szCs w:val="21"/>
                      <w:u w:val="none"/>
                      <w:lang w:val="en-US" w:eastAsia="zh-CN" w:bidi="ar"/>
                    </w:rPr>
                    <w:t>7.69</w:t>
                  </w:r>
                  <w:r>
                    <w:rPr>
                      <w:rFonts w:hint="default" w:ascii="Times New Roman" w:hAnsi="Times New Roman" w:eastAsia="宋体" w:cs="Times New Roman"/>
                      <w:i w:val="0"/>
                      <w:iCs w:val="0"/>
                      <w:color w:val="auto"/>
                      <w:kern w:val="0"/>
                      <w:sz w:val="21"/>
                      <w:szCs w:val="21"/>
                      <w:u w:val="none"/>
                      <w:lang w:val="en-US" w:eastAsia="zh-CN" w:bidi="ar"/>
                    </w:rPr>
                    <w:t xml:space="preserve"> </w:t>
                  </w:r>
                </w:p>
              </w:tc>
            </w:tr>
            <w:tr w14:paraId="7DD5FD4B">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470" w:type="dxa"/>
                  <w:vMerge w:val="continue"/>
                  <w:tcBorders>
                    <w:tl2br w:val="nil"/>
                    <w:tr2bl w:val="nil"/>
                  </w:tcBorders>
                  <w:noWrap w:val="0"/>
                  <w:vAlign w:val="center"/>
                </w:tcPr>
                <w:p w14:paraId="19D0FC59">
                  <w:pPr>
                    <w:spacing w:line="290" w:lineRule="exact"/>
                    <w:jc w:val="center"/>
                    <w:rPr>
                      <w:rFonts w:hint="eastAsia" w:ascii="Times New Roman" w:hAnsi="Times New Roman" w:eastAsia="宋体" w:cs="Times New Roman"/>
                      <w:bCs/>
                      <w:color w:val="auto"/>
                      <w:szCs w:val="21"/>
                      <w:highlight w:val="none"/>
                      <w:lang w:val="en-US" w:eastAsia="zh-CN"/>
                    </w:rPr>
                  </w:pPr>
                </w:p>
              </w:tc>
              <w:tc>
                <w:tcPr>
                  <w:tcW w:w="2100" w:type="dxa"/>
                  <w:gridSpan w:val="2"/>
                  <w:tcBorders>
                    <w:tl2br w:val="nil"/>
                    <w:tr2bl w:val="nil"/>
                  </w:tcBorders>
                  <w:noWrap w:val="0"/>
                  <w:vAlign w:val="center"/>
                </w:tcPr>
                <w:p w14:paraId="4F9F29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环境风险</w:t>
                  </w:r>
                </w:p>
                <w:p w14:paraId="6CE6C7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b/>
                      <w:bCs/>
                      <w:color w:val="auto"/>
                      <w:szCs w:val="21"/>
                      <w:highlight w:val="none"/>
                      <w:lang w:eastAsia="zh-CN"/>
                    </w:rPr>
                  </w:pPr>
                  <w:r>
                    <w:rPr>
                      <w:rFonts w:hint="eastAsia" w:ascii="Times New Roman" w:hAnsi="Times New Roman" w:eastAsia="宋体" w:cs="Times New Roman"/>
                      <w:b/>
                      <w:bCs/>
                      <w:color w:val="auto"/>
                      <w:sz w:val="21"/>
                      <w:szCs w:val="21"/>
                      <w:highlight w:val="none"/>
                      <w:vertAlign w:val="baseline"/>
                      <w:lang w:val="en-US" w:eastAsia="zh-CN"/>
                    </w:rPr>
                    <w:t>防控</w:t>
                  </w:r>
                </w:p>
              </w:tc>
              <w:tc>
                <w:tcPr>
                  <w:tcW w:w="3933" w:type="dxa"/>
                  <w:tcBorders>
                    <w:tl2br w:val="nil"/>
                    <w:tr2bl w:val="nil"/>
                  </w:tcBorders>
                  <w:noWrap w:val="0"/>
                  <w:vAlign w:val="center"/>
                </w:tcPr>
                <w:p w14:paraId="4A6D6E4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bCs/>
                      <w:color w:val="auto"/>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对环境风险源、应急措施装置均设置明显标志牌并安装防火警示牌配置消防应急器材；工作人员定期进行消防、安全技术培训、增强安全防范意识</w:t>
                  </w:r>
                  <w:r>
                    <w:rPr>
                      <w:rFonts w:hint="eastAsia" w:cs="Times New Roman"/>
                      <w:color w:val="auto"/>
                      <w:sz w:val="21"/>
                      <w:szCs w:val="21"/>
                      <w:highlight w:val="none"/>
                      <w:lang w:val="en-US" w:eastAsia="zh-CN"/>
                    </w:rPr>
                    <w:t>等。</w:t>
                  </w:r>
                </w:p>
              </w:tc>
              <w:tc>
                <w:tcPr>
                  <w:tcW w:w="722" w:type="dxa"/>
                  <w:tcBorders>
                    <w:tl2br w:val="nil"/>
                    <w:tr2bl w:val="nil"/>
                  </w:tcBorders>
                  <w:noWrap w:val="0"/>
                  <w:vAlign w:val="center"/>
                </w:tcPr>
                <w:p w14:paraId="576791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s="Times New Roman"/>
                      <w:b w:val="0"/>
                      <w:bCs w:val="0"/>
                      <w:color w:val="auto"/>
                      <w:szCs w:val="21"/>
                      <w:highlight w:val="none"/>
                      <w:lang w:val="en-US" w:eastAsia="zh-CN"/>
                    </w:rPr>
                  </w:pPr>
                  <w:r>
                    <w:rPr>
                      <w:rFonts w:hint="eastAsia" w:cs="Times New Roman"/>
                      <w:i w:val="0"/>
                      <w:iCs w:val="0"/>
                      <w:color w:val="auto"/>
                      <w:kern w:val="0"/>
                      <w:sz w:val="21"/>
                      <w:szCs w:val="21"/>
                      <w:highlight w:val="none"/>
                      <w:u w:val="none"/>
                      <w:lang w:val="en-US" w:eastAsia="zh-CN" w:bidi="ar"/>
                    </w:rPr>
                    <w:t>5</w:t>
                  </w:r>
                </w:p>
              </w:tc>
              <w:tc>
                <w:tcPr>
                  <w:tcW w:w="705" w:type="dxa"/>
                  <w:tcBorders>
                    <w:tl2br w:val="nil"/>
                    <w:tr2bl w:val="nil"/>
                  </w:tcBorders>
                  <w:shd w:val="clear" w:color="auto" w:fill="auto"/>
                  <w:noWrap w:val="0"/>
                  <w:vAlign w:val="center"/>
                </w:tcPr>
                <w:p w14:paraId="493B1075">
                  <w:pPr>
                    <w:keepNext w:val="0"/>
                    <w:keepLines w:val="0"/>
                    <w:widowControl/>
                    <w:suppressLineNumbers w:val="0"/>
                    <w:jc w:val="center"/>
                    <w:textAlignment w:val="center"/>
                    <w:rPr>
                      <w:rFonts w:hint="eastAsia" w:cs="Times New Roman"/>
                      <w:b w:val="0"/>
                      <w:bCs w:val="0"/>
                      <w:color w:val="auto"/>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 </w:t>
                  </w:r>
                  <w:r>
                    <w:rPr>
                      <w:rFonts w:hint="eastAsia" w:cs="Times New Roman"/>
                      <w:i w:val="0"/>
                      <w:iCs w:val="0"/>
                      <w:color w:val="auto"/>
                      <w:kern w:val="0"/>
                      <w:sz w:val="21"/>
                      <w:szCs w:val="21"/>
                      <w:u w:val="none"/>
                      <w:lang w:val="en-US" w:eastAsia="zh-CN" w:bidi="ar"/>
                    </w:rPr>
                    <w:t>7.69</w:t>
                  </w:r>
                </w:p>
              </w:tc>
            </w:tr>
            <w:tr w14:paraId="6281F90A">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470" w:type="dxa"/>
                  <w:vMerge w:val="continue"/>
                  <w:tcBorders>
                    <w:tl2br w:val="nil"/>
                    <w:tr2bl w:val="nil"/>
                  </w:tcBorders>
                  <w:noWrap w:val="0"/>
                  <w:vAlign w:val="center"/>
                </w:tcPr>
                <w:p w14:paraId="7E2274EB">
                  <w:pPr>
                    <w:spacing w:line="290" w:lineRule="exact"/>
                    <w:jc w:val="center"/>
                    <w:rPr>
                      <w:rFonts w:hint="default" w:ascii="Times New Roman" w:hAnsi="Times New Roman" w:eastAsia="宋体" w:cs="Times New Roman"/>
                      <w:bCs/>
                      <w:color w:val="auto"/>
                      <w:szCs w:val="21"/>
                      <w:highlight w:val="none"/>
                      <w:lang w:val="en-US" w:eastAsia="zh-CN"/>
                    </w:rPr>
                  </w:pPr>
                </w:p>
              </w:tc>
              <w:tc>
                <w:tcPr>
                  <w:tcW w:w="2100" w:type="dxa"/>
                  <w:gridSpan w:val="2"/>
                  <w:tcBorders>
                    <w:tl2br w:val="nil"/>
                    <w:tr2bl w:val="nil"/>
                  </w:tcBorders>
                  <w:noWrap w:val="0"/>
                  <w:vAlign w:val="center"/>
                </w:tcPr>
                <w:p w14:paraId="714FB1F3">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b/>
                      <w:bCs/>
                      <w:color w:val="auto"/>
                      <w:szCs w:val="21"/>
                      <w:highlight w:val="none"/>
                      <w:lang w:eastAsia="zh-CN"/>
                    </w:rPr>
                    <w:t>土壤及地下水污染防治措施</w:t>
                  </w:r>
                </w:p>
              </w:tc>
              <w:tc>
                <w:tcPr>
                  <w:tcW w:w="3933" w:type="dxa"/>
                  <w:tcBorders>
                    <w:tl2br w:val="nil"/>
                    <w:tr2bl w:val="nil"/>
                  </w:tcBorders>
                  <w:noWrap w:val="0"/>
                  <w:vAlign w:val="center"/>
                </w:tcPr>
                <w:p w14:paraId="4C819D00">
                  <w:pPr>
                    <w:keepNext w:val="0"/>
                    <w:keepLines w:val="0"/>
                    <w:pageBreakBefore w:val="0"/>
                    <w:widowControl w:val="0"/>
                    <w:kinsoku/>
                    <w:wordWrap/>
                    <w:overflowPunct/>
                    <w:topLinePunct w:val="0"/>
                    <w:autoSpaceDE/>
                    <w:autoSpaceDN/>
                    <w:bidi w:val="0"/>
                    <w:adjustRightInd/>
                    <w:snapToGrid/>
                    <w:spacing w:line="280" w:lineRule="exact"/>
                    <w:ind w:firstLine="432" w:firstLineChars="206"/>
                    <w:jc w:val="both"/>
                    <w:textAlignment w:val="auto"/>
                    <w:rPr>
                      <w:rFonts w:hint="default"/>
                      <w:color w:val="auto"/>
                      <w:highlight w:val="none"/>
                      <w:lang w:val="en-US" w:eastAsia="zh-CN"/>
                    </w:rPr>
                  </w:pPr>
                  <w:r>
                    <w:rPr>
                      <w:rFonts w:hint="eastAsia" w:ascii="Times New Roman" w:hAnsi="Times New Roman" w:eastAsia="宋体"/>
                      <w:bCs/>
                      <w:color w:val="auto"/>
                      <w:szCs w:val="21"/>
                      <w:lang w:eastAsia="zh-CN"/>
                    </w:rPr>
                    <w:t>化粪池等</w:t>
                  </w:r>
                  <w:r>
                    <w:rPr>
                      <w:rFonts w:hint="eastAsia"/>
                      <w:bCs/>
                      <w:color w:val="auto"/>
                      <w:szCs w:val="21"/>
                      <w:lang w:val="en-US" w:eastAsia="zh-CN"/>
                    </w:rPr>
                    <w:t>采取</w:t>
                  </w:r>
                  <w:r>
                    <w:rPr>
                      <w:rFonts w:hint="eastAsia" w:ascii="Times New Roman" w:hAnsi="Times New Roman" w:eastAsia="宋体"/>
                      <w:bCs/>
                      <w:color w:val="auto"/>
                      <w:szCs w:val="21"/>
                      <w:lang w:eastAsia="zh-CN"/>
                    </w:rPr>
                    <w:t>一般防渗，</w:t>
                  </w:r>
                  <w:r>
                    <w:rPr>
                      <w:color w:val="auto"/>
                      <w:szCs w:val="21"/>
                      <w:highlight w:val="none"/>
                    </w:rPr>
                    <w:t>等效黏土防渗层Mb≥</w:t>
                  </w:r>
                  <w:r>
                    <w:rPr>
                      <w:rFonts w:hint="eastAsia"/>
                      <w:color w:val="auto"/>
                      <w:szCs w:val="21"/>
                      <w:highlight w:val="none"/>
                      <w:lang w:val="en-US" w:eastAsia="zh-CN"/>
                    </w:rPr>
                    <w:t>1.5</w:t>
                  </w:r>
                  <w:r>
                    <w:rPr>
                      <w:color w:val="auto"/>
                      <w:szCs w:val="21"/>
                      <w:highlight w:val="none"/>
                    </w:rPr>
                    <w:t>m，渗透系数≤1.0×10</w:t>
                  </w:r>
                  <w:r>
                    <w:rPr>
                      <w:color w:val="auto"/>
                      <w:szCs w:val="21"/>
                      <w:highlight w:val="none"/>
                      <w:vertAlign w:val="superscript"/>
                    </w:rPr>
                    <w:t>-7</w:t>
                  </w:r>
                  <w:r>
                    <w:rPr>
                      <w:color w:val="auto"/>
                      <w:szCs w:val="21"/>
                      <w:highlight w:val="none"/>
                    </w:rPr>
                    <w:t>cm/s</w:t>
                  </w:r>
                  <w:r>
                    <w:rPr>
                      <w:rFonts w:hint="eastAsia"/>
                      <w:color w:val="auto"/>
                      <w:szCs w:val="21"/>
                      <w:highlight w:val="none"/>
                    </w:rPr>
                    <w:t>；</w:t>
                  </w:r>
                  <w:r>
                    <w:rPr>
                      <w:rFonts w:hint="eastAsia" w:ascii="Times New Roman" w:hAnsi="Times New Roman" w:eastAsia="宋体"/>
                      <w:bCs/>
                      <w:color w:val="auto"/>
                      <w:szCs w:val="21"/>
                      <w:lang w:eastAsia="zh-CN"/>
                    </w:rPr>
                    <w:t>项目其他区域</w:t>
                  </w:r>
                  <w:r>
                    <w:rPr>
                      <w:rFonts w:hint="eastAsia"/>
                      <w:bCs/>
                      <w:color w:val="auto"/>
                      <w:szCs w:val="21"/>
                      <w:lang w:val="en-US" w:eastAsia="zh-CN"/>
                    </w:rPr>
                    <w:t>采取</w:t>
                  </w:r>
                  <w:r>
                    <w:rPr>
                      <w:rFonts w:hint="eastAsia" w:ascii="Times New Roman" w:hAnsi="Times New Roman" w:eastAsia="宋体"/>
                      <w:bCs/>
                      <w:color w:val="auto"/>
                      <w:szCs w:val="21"/>
                      <w:lang w:eastAsia="zh-CN"/>
                    </w:rPr>
                    <w:t>简单防渗，作一般硬化处理。</w:t>
                  </w:r>
                </w:p>
              </w:tc>
              <w:tc>
                <w:tcPr>
                  <w:tcW w:w="722" w:type="dxa"/>
                  <w:tcBorders>
                    <w:tl2br w:val="nil"/>
                    <w:tr2bl w:val="nil"/>
                  </w:tcBorders>
                  <w:noWrap w:val="0"/>
                  <w:vAlign w:val="center"/>
                </w:tcPr>
                <w:p w14:paraId="2E39D9D9">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jc w:val="center"/>
                    <w:textAlignment w:val="auto"/>
                    <w:rPr>
                      <w:rFonts w:hint="default"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10</w:t>
                  </w:r>
                </w:p>
              </w:tc>
              <w:tc>
                <w:tcPr>
                  <w:tcW w:w="705" w:type="dxa"/>
                  <w:tcBorders>
                    <w:tl2br w:val="nil"/>
                    <w:tr2bl w:val="nil"/>
                  </w:tcBorders>
                  <w:shd w:val="clear" w:color="auto" w:fill="auto"/>
                  <w:noWrap w:val="0"/>
                  <w:vAlign w:val="center"/>
                </w:tcPr>
                <w:p w14:paraId="1903AA3E">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jc w:val="center"/>
                    <w:textAlignment w:val="auto"/>
                    <w:rPr>
                      <w:rFonts w:hint="default"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15.38</w:t>
                  </w:r>
                </w:p>
              </w:tc>
            </w:tr>
            <w:tr w14:paraId="341B365D">
              <w:tblPrEx>
                <w:tblBorders>
                  <w:top w:val="single" w:color="000000" w:themeColor="text1"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6503" w:type="dxa"/>
                  <w:gridSpan w:val="4"/>
                  <w:tcBorders>
                    <w:tl2br w:val="nil"/>
                    <w:tr2bl w:val="nil"/>
                  </w:tcBorders>
                  <w:noWrap w:val="0"/>
                  <w:vAlign w:val="center"/>
                </w:tcPr>
                <w:p w14:paraId="71A87F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
                      <w:bCs w:val="0"/>
                      <w:color w:val="auto"/>
                      <w:sz w:val="21"/>
                      <w:szCs w:val="21"/>
                      <w:highlight w:val="none"/>
                      <w:lang w:val="en-US" w:eastAsia="zh-CN"/>
                    </w:rPr>
                    <w:t>合计</w:t>
                  </w:r>
                </w:p>
              </w:tc>
              <w:tc>
                <w:tcPr>
                  <w:tcW w:w="722" w:type="dxa"/>
                  <w:tcBorders>
                    <w:tl2br w:val="nil"/>
                    <w:tr2bl w:val="nil"/>
                  </w:tcBorders>
                  <w:noWrap w:val="0"/>
                  <w:vAlign w:val="center"/>
                </w:tcPr>
                <w:p w14:paraId="55709972">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jc w:val="center"/>
                    <w:textAlignment w:val="auto"/>
                    <w:rPr>
                      <w:rFonts w:hint="default"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65</w:t>
                  </w:r>
                </w:p>
              </w:tc>
              <w:tc>
                <w:tcPr>
                  <w:tcW w:w="705" w:type="dxa"/>
                  <w:tcBorders>
                    <w:tl2br w:val="nil"/>
                    <w:tr2bl w:val="nil"/>
                  </w:tcBorders>
                  <w:shd w:val="clear" w:color="auto" w:fill="auto"/>
                  <w:noWrap w:val="0"/>
                  <w:vAlign w:val="center"/>
                </w:tcPr>
                <w:p w14:paraId="1DE5B121">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jc w:val="center"/>
                    <w:textAlignment w:val="auto"/>
                    <w:rPr>
                      <w:rFonts w:hint="default"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100</w:t>
                  </w:r>
                </w:p>
              </w:tc>
            </w:tr>
          </w:tbl>
          <w:p w14:paraId="57632E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cs="Times New Roman"/>
                <w:b/>
                <w:bCs/>
                <w:color w:val="auto"/>
                <w:sz w:val="24"/>
                <w:highlight w:val="none"/>
                <w:lang w:eastAsia="zh-CN"/>
              </w:rPr>
            </w:pPr>
          </w:p>
          <w:p w14:paraId="742A6D57">
            <w:pPr>
              <w:pStyle w:val="4"/>
              <w:rPr>
                <w:rFonts w:hint="eastAsia" w:ascii="Times New Roman" w:hAnsi="Times New Roman" w:cs="Times New Roman"/>
                <w:b/>
                <w:bCs/>
                <w:color w:val="auto"/>
                <w:sz w:val="24"/>
                <w:highlight w:val="none"/>
                <w:lang w:eastAsia="zh-CN"/>
              </w:rPr>
            </w:pPr>
          </w:p>
          <w:p w14:paraId="7FB872F8">
            <w:pPr>
              <w:pStyle w:val="5"/>
              <w:rPr>
                <w:rFonts w:hint="eastAsia" w:ascii="Times New Roman" w:hAnsi="Times New Roman" w:cs="Times New Roman"/>
                <w:b/>
                <w:bCs/>
                <w:color w:val="auto"/>
                <w:sz w:val="24"/>
                <w:highlight w:val="none"/>
                <w:lang w:eastAsia="zh-CN"/>
              </w:rPr>
            </w:pPr>
          </w:p>
          <w:p w14:paraId="4F20A6AD">
            <w:pPr>
              <w:rPr>
                <w:rFonts w:hint="eastAsia" w:ascii="Times New Roman" w:hAnsi="Times New Roman" w:cs="Times New Roman"/>
                <w:b/>
                <w:bCs/>
                <w:color w:val="auto"/>
                <w:sz w:val="24"/>
                <w:highlight w:val="none"/>
                <w:lang w:eastAsia="zh-CN"/>
              </w:rPr>
            </w:pPr>
          </w:p>
          <w:p w14:paraId="23F8D0D7">
            <w:pPr>
              <w:pStyle w:val="4"/>
              <w:rPr>
                <w:rFonts w:hint="eastAsia"/>
                <w:color w:val="auto"/>
                <w:lang w:eastAsia="zh-CN"/>
              </w:rPr>
            </w:pPr>
          </w:p>
          <w:p w14:paraId="1AEA75D8">
            <w:pPr>
              <w:pStyle w:val="5"/>
              <w:rPr>
                <w:rFonts w:hint="eastAsia"/>
                <w:color w:val="auto"/>
                <w:lang w:eastAsia="zh-CN"/>
              </w:rPr>
            </w:pPr>
          </w:p>
          <w:p w14:paraId="029570E7">
            <w:pPr>
              <w:pStyle w:val="4"/>
              <w:ind w:left="0" w:leftChars="0" w:firstLine="0" w:firstLineChars="0"/>
              <w:rPr>
                <w:rFonts w:hint="eastAsia"/>
                <w:color w:val="auto"/>
                <w:lang w:eastAsia="zh-CN"/>
              </w:rPr>
            </w:pPr>
          </w:p>
          <w:p w14:paraId="04E5E3CD">
            <w:pPr>
              <w:pStyle w:val="5"/>
              <w:rPr>
                <w:rFonts w:hint="eastAsia"/>
                <w:color w:val="auto"/>
                <w:lang w:eastAsia="zh-CN"/>
              </w:rPr>
            </w:pPr>
          </w:p>
          <w:p w14:paraId="50C26509">
            <w:pPr>
              <w:rPr>
                <w:rFonts w:hint="eastAsia"/>
                <w:color w:val="auto"/>
                <w:lang w:eastAsia="zh-CN"/>
              </w:rPr>
            </w:pPr>
          </w:p>
          <w:p w14:paraId="1B38C1B5">
            <w:pPr>
              <w:rPr>
                <w:rFonts w:hint="eastAsia"/>
                <w:color w:val="auto"/>
                <w:lang w:eastAsia="zh-CN"/>
              </w:rPr>
            </w:pPr>
          </w:p>
          <w:p w14:paraId="76C5F4ED">
            <w:pPr>
              <w:rPr>
                <w:rFonts w:hint="eastAsia"/>
                <w:color w:val="auto"/>
                <w:lang w:eastAsia="zh-CN"/>
              </w:rPr>
            </w:pPr>
          </w:p>
          <w:p w14:paraId="6A3ECFB4">
            <w:pPr>
              <w:rPr>
                <w:rFonts w:hint="eastAsia"/>
                <w:color w:val="auto"/>
                <w:lang w:eastAsia="zh-CN"/>
              </w:rPr>
            </w:pPr>
          </w:p>
          <w:p w14:paraId="41A6CD29">
            <w:pPr>
              <w:rPr>
                <w:rFonts w:hint="eastAsia"/>
                <w:color w:val="auto"/>
                <w:lang w:eastAsia="zh-CN"/>
              </w:rPr>
            </w:pPr>
          </w:p>
        </w:tc>
      </w:tr>
    </w:tbl>
    <w:p w14:paraId="33C59A8B">
      <w:pPr>
        <w:pStyle w:val="19"/>
        <w:adjustRightInd w:val="0"/>
        <w:snapToGrid w:val="0"/>
        <w:spacing w:before="0" w:beforeAutospacing="0" w:after="0" w:afterAutospacing="0"/>
        <w:jc w:val="center"/>
        <w:rPr>
          <w:rFonts w:hint="eastAsia" w:cs="宋体"/>
          <w:b/>
          <w:bCs/>
          <w:color w:val="auto"/>
          <w:sz w:val="24"/>
          <w:szCs w:val="24"/>
        </w:rPr>
        <w:sectPr>
          <w:pgSz w:w="11906" w:h="16838"/>
          <w:pgMar w:top="1531" w:right="1531" w:bottom="153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8"/>
        <w:gridCol w:w="8176"/>
      </w:tblGrid>
      <w:tr w14:paraId="3505D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noWrap w:val="0"/>
            <w:vAlign w:val="center"/>
          </w:tcPr>
          <w:p w14:paraId="45AE3DE8">
            <w:pPr>
              <w:pStyle w:val="19"/>
              <w:adjustRightInd w:val="0"/>
              <w:snapToGrid w:val="0"/>
              <w:spacing w:before="0" w:beforeAutospacing="0" w:after="0" w:afterAutospacing="0"/>
              <w:jc w:val="center"/>
              <w:rPr>
                <w:rFonts w:cs="宋体"/>
                <w:color w:val="auto"/>
                <w:sz w:val="21"/>
                <w:szCs w:val="21"/>
              </w:rPr>
            </w:pPr>
            <w:r>
              <w:rPr>
                <w:rFonts w:hint="eastAsia" w:cs="宋体"/>
                <w:b/>
                <w:bCs/>
                <w:color w:val="auto"/>
                <w:sz w:val="24"/>
                <w:szCs w:val="24"/>
              </w:rPr>
              <w:t>工艺流程和产排污环节</w:t>
            </w:r>
          </w:p>
        </w:tc>
        <w:tc>
          <w:tcPr>
            <w:tcW w:w="8176" w:type="dxa"/>
            <w:noWrap w:val="0"/>
            <w:vAlign w:val="top"/>
          </w:tcPr>
          <w:p w14:paraId="30918ED0">
            <w:pPr>
              <w:pStyle w:val="59"/>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1.施工期工艺流程及产排污环节</w:t>
            </w:r>
          </w:p>
          <w:p w14:paraId="1A7413EB">
            <w:pPr>
              <w:adjustRightInd w:val="0"/>
              <w:spacing w:line="360" w:lineRule="auto"/>
              <w:ind w:firstLine="482" w:firstLineChars="200"/>
              <w:rPr>
                <w:rFonts w:hint="eastAsia" w:eastAsia="仿宋_GB2312"/>
                <w:bCs/>
                <w:color w:val="auto"/>
                <w:spacing w:val="-10"/>
                <w:sz w:val="24"/>
                <w:highlight w:val="none"/>
              </w:rPr>
            </w:pPr>
            <w:r>
              <w:rPr>
                <w:rFonts w:hint="eastAsia" w:eastAsia="仿宋_GB2312" w:cs="Times New Roman"/>
                <w:b/>
                <w:bCs/>
                <w:color w:val="auto"/>
                <w:sz w:val="24"/>
                <w:szCs w:val="24"/>
                <w:highlight w:val="none"/>
                <w:lang w:eastAsia="zh-CN"/>
              </w:rPr>
              <w:fldChar w:fldCharType="begin"/>
            </w:r>
            <w:r>
              <w:rPr>
                <w:rFonts w:hint="eastAsia" w:eastAsia="仿宋_GB2312" w:cs="Times New Roman"/>
                <w:b/>
                <w:bCs/>
                <w:color w:val="auto"/>
                <w:sz w:val="24"/>
                <w:szCs w:val="24"/>
                <w:highlight w:val="none"/>
                <w:lang w:eastAsia="zh-CN"/>
              </w:rPr>
              <w:instrText xml:space="preserve"> = 1 \* GB2 \* MERGEFORMAT </w:instrText>
            </w:r>
            <w:r>
              <w:rPr>
                <w:rFonts w:hint="eastAsia" w:eastAsia="仿宋_GB2312" w:cs="Times New Roman"/>
                <w:b/>
                <w:bCs/>
                <w:color w:val="auto"/>
                <w:sz w:val="24"/>
                <w:szCs w:val="24"/>
                <w:highlight w:val="none"/>
                <w:lang w:eastAsia="zh-CN"/>
              </w:rPr>
              <w:fldChar w:fldCharType="separate"/>
            </w:r>
            <w:r>
              <w:rPr>
                <w:b/>
                <w:bCs/>
                <w:color w:val="auto"/>
                <w:sz w:val="24"/>
                <w:szCs w:val="24"/>
                <w:highlight w:val="none"/>
              </w:rPr>
              <w:t>⑴</w:t>
            </w:r>
            <w:r>
              <w:rPr>
                <w:rFonts w:hint="eastAsia" w:eastAsia="仿宋_GB2312" w:cs="Times New Roman"/>
                <w:b/>
                <w:bCs/>
                <w:color w:val="auto"/>
                <w:sz w:val="24"/>
                <w:szCs w:val="24"/>
                <w:highlight w:val="none"/>
                <w:lang w:eastAsia="zh-CN"/>
              </w:rPr>
              <w:fldChar w:fldCharType="end"/>
            </w:r>
            <w:r>
              <w:rPr>
                <w:rFonts w:hint="eastAsia" w:eastAsia="仿宋_GB2312"/>
                <w:b/>
                <w:color w:val="auto"/>
                <w:sz w:val="24"/>
                <w:highlight w:val="none"/>
                <w:lang w:eastAsia="zh-CN"/>
              </w:rPr>
              <w:t>施工</w:t>
            </w:r>
            <w:r>
              <w:rPr>
                <w:rFonts w:hint="eastAsia" w:eastAsia="仿宋_GB2312"/>
                <w:b/>
                <w:color w:val="auto"/>
                <w:sz w:val="24"/>
                <w:highlight w:val="none"/>
              </w:rPr>
              <w:t>期工艺流程</w:t>
            </w:r>
          </w:p>
          <w:p w14:paraId="2C9559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b w:val="0"/>
                <w:bCs/>
                <w:color w:val="auto"/>
                <w:sz w:val="24"/>
                <w:lang w:eastAsia="zh-CN"/>
              </w:rPr>
              <w:t>本项目建设过程分为前期准备、建筑施工、设备调试和建成运行四个阶段。施工阶段主要为场地平整、基础工程、主体工程及竣工验收等。在建设期间各种施工活动会对环境造成一定的影响，本项目工艺流程及产污环节示意图见图</w:t>
            </w:r>
            <w:r>
              <w:rPr>
                <w:rFonts w:hint="eastAsia" w:eastAsia="仿宋_GB2312" w:cs="Times New Roman"/>
                <w:b w:val="0"/>
                <w:bCs/>
                <w:color w:val="auto"/>
                <w:sz w:val="24"/>
                <w:lang w:val="en-US" w:eastAsia="zh-CN"/>
              </w:rPr>
              <w:t>2-4</w:t>
            </w:r>
            <w:r>
              <w:rPr>
                <w:rFonts w:hint="eastAsia" w:ascii="Times New Roman" w:hAnsi="Times New Roman" w:eastAsia="仿宋_GB2312" w:cs="Times New Roman"/>
                <w:b w:val="0"/>
                <w:bCs/>
                <w:color w:val="auto"/>
                <w:sz w:val="24"/>
                <w:lang w:eastAsia="zh-CN"/>
              </w:rPr>
              <w:t>。</w:t>
            </w:r>
          </w:p>
          <w:p w14:paraId="2BE260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center"/>
              <w:textAlignment w:val="auto"/>
              <w:rPr>
                <w:color w:val="auto"/>
              </w:rPr>
            </w:pPr>
            <w:r>
              <w:rPr>
                <w:color w:val="auto"/>
              </w:rPr>
              <w:drawing>
                <wp:inline distT="0" distB="0" distL="114300" distR="114300">
                  <wp:extent cx="4566285" cy="3169920"/>
                  <wp:effectExtent l="0" t="0" r="5715" b="11430"/>
                  <wp:docPr id="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4"/>
                          <pic:cNvPicPr>
                            <a:picLocks noChangeAspect="1"/>
                          </pic:cNvPicPr>
                        </pic:nvPicPr>
                        <pic:blipFill>
                          <a:blip r:embed="rId10">
                            <a:lum contrast="24000"/>
                          </a:blip>
                          <a:stretch>
                            <a:fillRect/>
                          </a:stretch>
                        </pic:blipFill>
                        <pic:spPr>
                          <a:xfrm>
                            <a:off x="0" y="0"/>
                            <a:ext cx="4566285" cy="3169920"/>
                          </a:xfrm>
                          <a:prstGeom prst="rect">
                            <a:avLst/>
                          </a:prstGeom>
                          <a:noFill/>
                          <a:ln w="19050">
                            <a:noFill/>
                          </a:ln>
                        </pic:spPr>
                      </pic:pic>
                    </a:graphicData>
                  </a:graphic>
                </wp:inline>
              </w:drawing>
            </w:r>
          </w:p>
          <w:p w14:paraId="24903C11">
            <w:pPr>
              <w:adjustRightInd w:val="0"/>
              <w:spacing w:line="360" w:lineRule="auto"/>
              <w:jc w:val="center"/>
              <w:rPr>
                <w:rFonts w:eastAsia="仿宋_GB2312"/>
                <w:b/>
                <w:bCs w:val="0"/>
                <w:color w:val="auto"/>
                <w:spacing w:val="-10"/>
                <w:sz w:val="24"/>
              </w:rPr>
            </w:pPr>
            <w:r>
              <w:rPr>
                <w:rFonts w:hint="default" w:ascii="Times New Roman" w:hAnsi="Times New Roman" w:eastAsia="宋体" w:cs="Times New Roman"/>
                <w:bCs/>
                <w:color w:val="auto"/>
                <w:sz w:val="21"/>
                <w:szCs w:val="21"/>
              </w:rPr>
              <w:t>图</w:t>
            </w:r>
            <w:r>
              <w:rPr>
                <w:rFonts w:hint="eastAsia" w:cs="Times New Roman"/>
                <w:bCs/>
                <w:color w:val="auto"/>
                <w:sz w:val="21"/>
                <w:szCs w:val="21"/>
                <w:lang w:val="en-US" w:eastAsia="zh-CN"/>
              </w:rPr>
              <w:t>2-4</w:t>
            </w:r>
            <w:r>
              <w:rPr>
                <w:rFonts w:hint="eastAsia" w:eastAsia="黑体"/>
                <w:bCs/>
                <w:color w:val="auto"/>
                <w:sz w:val="24"/>
                <w:lang w:val="en-US" w:eastAsia="zh-CN"/>
              </w:rPr>
              <w:t xml:space="preserve">    </w:t>
            </w:r>
            <w:r>
              <w:rPr>
                <w:rFonts w:hint="eastAsia" w:ascii="宋体" w:hAnsi="宋体" w:eastAsia="宋体" w:cs="宋体"/>
                <w:b/>
                <w:bCs w:val="0"/>
                <w:color w:val="auto"/>
                <w:sz w:val="24"/>
              </w:rPr>
              <w:t>本项目施工期工艺流程及产污环节示意图</w:t>
            </w:r>
          </w:p>
          <w:p w14:paraId="1A657EC0">
            <w:pPr>
              <w:adjustRightInd w:val="0"/>
              <w:spacing w:line="360" w:lineRule="auto"/>
              <w:ind w:firstLine="482" w:firstLineChars="200"/>
              <w:rPr>
                <w:rFonts w:hint="eastAsia" w:eastAsia="仿宋_GB2312"/>
                <w:b w:val="0"/>
                <w:bCs/>
                <w:color w:val="auto"/>
                <w:sz w:val="24"/>
              </w:rPr>
            </w:pPr>
            <w:r>
              <w:rPr>
                <w:rFonts w:hint="default" w:ascii="Times New Roman" w:hAnsi="Times New Roman" w:eastAsia="仿宋_GB2312" w:cs="Times New Roman"/>
                <w:b/>
                <w:bCs/>
                <w:color w:val="auto"/>
                <w:sz w:val="24"/>
                <w:szCs w:val="24"/>
                <w:highlight w:val="none"/>
                <w:lang w:eastAsia="zh-CN"/>
              </w:rPr>
              <w:fldChar w:fldCharType="begin"/>
            </w:r>
            <w:r>
              <w:rPr>
                <w:rFonts w:hint="default" w:ascii="Times New Roman" w:hAnsi="Times New Roman" w:eastAsia="仿宋_GB2312" w:cs="Times New Roman"/>
                <w:b/>
                <w:bCs/>
                <w:color w:val="auto"/>
                <w:sz w:val="24"/>
                <w:szCs w:val="24"/>
                <w:highlight w:val="none"/>
                <w:lang w:eastAsia="zh-CN"/>
              </w:rPr>
              <w:instrText xml:space="preserve"> = 2 \* GB2 \* MERGEFORMAT </w:instrText>
            </w:r>
            <w:r>
              <w:rPr>
                <w:rFonts w:hint="default" w:ascii="Times New Roman" w:hAnsi="Times New Roman" w:eastAsia="仿宋_GB2312" w:cs="Times New Roman"/>
                <w:b/>
                <w:bCs/>
                <w:color w:val="auto"/>
                <w:sz w:val="24"/>
                <w:szCs w:val="24"/>
                <w:highlight w:val="none"/>
                <w:lang w:eastAsia="zh-CN"/>
              </w:rPr>
              <w:fldChar w:fldCharType="separate"/>
            </w:r>
            <w:r>
              <w:rPr>
                <w:rFonts w:hint="default" w:ascii="Times New Roman" w:hAnsi="Times New Roman" w:eastAsia="仿宋_GB2312" w:cs="Times New Roman"/>
                <w:b/>
                <w:bCs/>
                <w:color w:val="auto"/>
                <w:sz w:val="24"/>
                <w:szCs w:val="24"/>
                <w:highlight w:val="none"/>
                <w:lang w:eastAsia="zh-CN"/>
              </w:rPr>
              <w:t>⑵</w:t>
            </w:r>
            <w:r>
              <w:rPr>
                <w:rFonts w:hint="default" w:ascii="Times New Roman" w:hAnsi="Times New Roman" w:eastAsia="仿宋_GB2312" w:cs="Times New Roman"/>
                <w:b/>
                <w:bCs/>
                <w:color w:val="auto"/>
                <w:sz w:val="24"/>
                <w:szCs w:val="24"/>
                <w:highlight w:val="none"/>
                <w:lang w:eastAsia="zh-CN"/>
              </w:rPr>
              <w:fldChar w:fldCharType="end"/>
            </w:r>
            <w:r>
              <w:rPr>
                <w:rFonts w:hint="eastAsia" w:eastAsia="仿宋_GB2312"/>
                <w:b/>
                <w:color w:val="auto"/>
                <w:sz w:val="24"/>
                <w:lang w:eastAsia="zh-CN"/>
              </w:rPr>
              <w:t>施工</w:t>
            </w:r>
            <w:r>
              <w:rPr>
                <w:rFonts w:hint="eastAsia" w:eastAsia="仿宋_GB2312"/>
                <w:b/>
                <w:color w:val="auto"/>
                <w:sz w:val="24"/>
              </w:rPr>
              <w:t>期主要产排污环节</w:t>
            </w:r>
          </w:p>
          <w:p w14:paraId="7CB5A961">
            <w:pPr>
              <w:adjustRightInd w:val="0"/>
              <w:spacing w:line="360" w:lineRule="auto"/>
              <w:ind w:firstLine="480" w:firstLineChars="200"/>
              <w:rPr>
                <w:rFonts w:hint="eastAsia" w:eastAsia="仿宋_GB2312"/>
                <w:b w:val="0"/>
                <w:bCs/>
                <w:color w:val="auto"/>
                <w:sz w:val="24"/>
                <w:szCs w:val="24"/>
                <w:lang w:eastAsia="zh-CN"/>
              </w:rPr>
            </w:pPr>
            <w:r>
              <w:rPr>
                <w:rFonts w:hint="eastAsia" w:eastAsia="仿宋_GB2312"/>
                <w:b w:val="0"/>
                <w:bCs/>
                <w:color w:val="auto"/>
                <w:sz w:val="24"/>
                <w:szCs w:val="24"/>
                <w:lang w:eastAsia="zh-CN"/>
              </w:rPr>
              <w:fldChar w:fldCharType="begin"/>
            </w:r>
            <w:r>
              <w:rPr>
                <w:rFonts w:hint="eastAsia" w:eastAsia="仿宋_GB2312"/>
                <w:b w:val="0"/>
                <w:bCs/>
                <w:color w:val="auto"/>
                <w:sz w:val="24"/>
                <w:szCs w:val="24"/>
                <w:lang w:eastAsia="zh-CN"/>
              </w:rPr>
              <w:instrText xml:space="preserve"> = 1 \* GB3 \* MERGEFORMAT </w:instrText>
            </w:r>
            <w:r>
              <w:rPr>
                <w:rFonts w:hint="eastAsia" w:eastAsia="仿宋_GB2312"/>
                <w:b w:val="0"/>
                <w:bCs/>
                <w:color w:val="auto"/>
                <w:sz w:val="24"/>
                <w:szCs w:val="24"/>
                <w:lang w:eastAsia="zh-CN"/>
              </w:rPr>
              <w:fldChar w:fldCharType="separate"/>
            </w:r>
            <w:r>
              <w:rPr>
                <w:color w:val="auto"/>
                <w:sz w:val="24"/>
                <w:szCs w:val="24"/>
              </w:rPr>
              <w:t>①</w:t>
            </w:r>
            <w:r>
              <w:rPr>
                <w:rFonts w:hint="eastAsia" w:eastAsia="仿宋_GB2312"/>
                <w:b w:val="0"/>
                <w:bCs/>
                <w:color w:val="auto"/>
                <w:sz w:val="24"/>
                <w:szCs w:val="24"/>
                <w:lang w:eastAsia="zh-CN"/>
              </w:rPr>
              <w:fldChar w:fldCharType="end"/>
            </w:r>
            <w:r>
              <w:rPr>
                <w:rFonts w:hint="eastAsia" w:eastAsia="仿宋_GB2312"/>
                <w:b w:val="0"/>
                <w:bCs/>
                <w:color w:val="auto"/>
                <w:sz w:val="24"/>
                <w:szCs w:val="24"/>
                <w:lang w:val="en-US" w:eastAsia="zh-CN"/>
              </w:rPr>
              <w:t>废气</w:t>
            </w:r>
          </w:p>
          <w:p w14:paraId="382774EC">
            <w:pPr>
              <w:adjustRightInd w:val="0"/>
              <w:spacing w:line="360" w:lineRule="auto"/>
              <w:ind w:firstLine="480" w:firstLineChars="200"/>
              <w:rPr>
                <w:rFonts w:hint="default" w:eastAsia="仿宋_GB2312"/>
                <w:b w:val="0"/>
                <w:bCs/>
                <w:color w:val="auto"/>
                <w:sz w:val="24"/>
                <w:vertAlign w:val="baseline"/>
                <w:lang w:val="en-US" w:eastAsia="zh-CN"/>
              </w:rPr>
            </w:pPr>
            <w:r>
              <w:rPr>
                <w:rFonts w:hint="eastAsia" w:eastAsia="仿宋_GB2312"/>
                <w:b w:val="0"/>
                <w:bCs/>
                <w:color w:val="auto"/>
                <w:sz w:val="24"/>
                <w:lang w:eastAsia="zh-CN"/>
              </w:rPr>
              <w:t>本项目施工期产生的废气主要有扬尘、施工机械产生的尾气。施工期间汽车尾气来源于运输车辆、各种以燃油为动力的工程机械在场地开挖、场地平整、物料运输等施工作业时产生的尾气。主要污染物为颗粒物、</w:t>
            </w:r>
            <w:r>
              <w:rPr>
                <w:rFonts w:hint="eastAsia" w:eastAsia="仿宋_GB2312"/>
                <w:b w:val="0"/>
                <w:bCs/>
                <w:color w:val="auto"/>
                <w:sz w:val="24"/>
                <w:lang w:val="en-US" w:eastAsia="zh-CN"/>
              </w:rPr>
              <w:t>CO、NO</w:t>
            </w:r>
            <w:r>
              <w:rPr>
                <w:rFonts w:hint="eastAsia" w:eastAsia="仿宋_GB2312"/>
                <w:b w:val="0"/>
                <w:bCs/>
                <w:color w:val="auto"/>
                <w:sz w:val="24"/>
                <w:vertAlign w:val="subscript"/>
                <w:lang w:val="en-US" w:eastAsia="zh-CN"/>
              </w:rPr>
              <w:t>X</w:t>
            </w:r>
            <w:r>
              <w:rPr>
                <w:rFonts w:hint="eastAsia" w:eastAsia="仿宋_GB2312"/>
                <w:b w:val="0"/>
                <w:bCs/>
                <w:color w:val="auto"/>
                <w:sz w:val="24"/>
                <w:vertAlign w:val="baseline"/>
                <w:lang w:val="en-US" w:eastAsia="zh-CN"/>
              </w:rPr>
              <w:t>。</w:t>
            </w:r>
          </w:p>
          <w:p w14:paraId="7435A355">
            <w:pPr>
              <w:adjustRightInd w:val="0"/>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fldChar w:fldCharType="begin"/>
            </w:r>
            <w:r>
              <w:rPr>
                <w:rFonts w:hint="default" w:ascii="Times New Roman" w:hAnsi="Times New Roman" w:eastAsia="仿宋_GB2312" w:cs="Times New Roman"/>
                <w:b w:val="0"/>
                <w:bCs/>
                <w:color w:val="auto"/>
                <w:sz w:val="24"/>
                <w:szCs w:val="24"/>
                <w:lang w:eastAsia="zh-CN"/>
              </w:rPr>
              <w:instrText xml:space="preserve"> = 2 \* GB3 \* MERGEFORMAT </w:instrText>
            </w:r>
            <w:r>
              <w:rPr>
                <w:rFonts w:hint="default" w:ascii="Times New Roman" w:hAnsi="Times New Roman" w:eastAsia="仿宋_GB2312" w:cs="Times New Roman"/>
                <w:b w:val="0"/>
                <w:bCs/>
                <w:color w:val="auto"/>
                <w:sz w:val="24"/>
                <w:szCs w:val="24"/>
                <w:lang w:eastAsia="zh-CN"/>
              </w:rPr>
              <w:fldChar w:fldCharType="separate"/>
            </w:r>
            <w:r>
              <w:rPr>
                <w:rFonts w:hint="default" w:ascii="Times New Roman" w:hAnsi="Times New Roman" w:eastAsia="仿宋_GB2312" w:cs="Times New Roman"/>
                <w:b w:val="0"/>
                <w:bCs/>
                <w:color w:val="auto"/>
                <w:sz w:val="24"/>
                <w:szCs w:val="24"/>
                <w:lang w:eastAsia="zh-CN"/>
              </w:rPr>
              <w:t>②</w:t>
            </w:r>
            <w:r>
              <w:rPr>
                <w:rFonts w:hint="default" w:ascii="Times New Roman" w:hAnsi="Times New Roman" w:eastAsia="仿宋_GB2312" w:cs="Times New Roman"/>
                <w:b w:val="0"/>
                <w:bCs/>
                <w:color w:val="auto"/>
                <w:sz w:val="24"/>
                <w:szCs w:val="24"/>
                <w:lang w:eastAsia="zh-CN"/>
              </w:rPr>
              <w:fldChar w:fldCharType="end"/>
            </w:r>
            <w:r>
              <w:rPr>
                <w:rFonts w:hint="default" w:ascii="Times New Roman" w:hAnsi="Times New Roman" w:eastAsia="仿宋_GB2312" w:cs="Times New Roman"/>
                <w:b w:val="0"/>
                <w:bCs/>
                <w:color w:val="auto"/>
                <w:sz w:val="24"/>
                <w:szCs w:val="24"/>
                <w:lang w:eastAsia="zh-CN"/>
              </w:rPr>
              <w:t>废水</w:t>
            </w:r>
          </w:p>
          <w:p w14:paraId="27BF3586">
            <w:pPr>
              <w:adjustRightInd w:val="0"/>
              <w:spacing w:line="360" w:lineRule="auto"/>
              <w:ind w:firstLine="480" w:firstLineChars="200"/>
              <w:rPr>
                <w:rFonts w:hint="default" w:eastAsia="仿宋_GB2312"/>
                <w:b w:val="0"/>
                <w:bCs/>
                <w:color w:val="auto"/>
                <w:sz w:val="24"/>
                <w:lang w:val="en-US" w:eastAsia="zh-CN"/>
              </w:rPr>
            </w:pPr>
            <w:r>
              <w:rPr>
                <w:rFonts w:hint="eastAsia" w:eastAsia="仿宋_GB2312"/>
                <w:b w:val="0"/>
                <w:bCs/>
                <w:color w:val="auto"/>
                <w:sz w:val="24"/>
                <w:lang w:eastAsia="zh-CN"/>
              </w:rPr>
              <w:t>施工期产生的废水主要为施工人员产生的生活污水及建筑施工废水。施工废水主要是施工设备清洗废水等。主要污染因子为</w:t>
            </w:r>
            <w:r>
              <w:rPr>
                <w:rFonts w:hint="eastAsia" w:eastAsia="仿宋_GB2312"/>
                <w:b w:val="0"/>
                <w:bCs/>
                <w:color w:val="auto"/>
                <w:sz w:val="24"/>
                <w:lang w:val="en-US" w:eastAsia="zh-CN"/>
              </w:rPr>
              <w:t>COD、BOD</w:t>
            </w:r>
            <w:r>
              <w:rPr>
                <w:rFonts w:hint="eastAsia" w:eastAsia="仿宋_GB2312"/>
                <w:b w:val="0"/>
                <w:bCs/>
                <w:color w:val="auto"/>
                <w:sz w:val="24"/>
                <w:vertAlign w:val="subscript"/>
                <w:lang w:val="en-US" w:eastAsia="zh-CN"/>
              </w:rPr>
              <w:t>5</w:t>
            </w:r>
            <w:r>
              <w:rPr>
                <w:rFonts w:hint="eastAsia" w:eastAsia="仿宋_GB2312"/>
                <w:b w:val="0"/>
                <w:bCs/>
                <w:color w:val="auto"/>
                <w:sz w:val="24"/>
                <w:lang w:val="en-US" w:eastAsia="zh-CN"/>
              </w:rPr>
              <w:t>、SS、石油类等。</w:t>
            </w:r>
          </w:p>
          <w:p w14:paraId="46327965">
            <w:pPr>
              <w:adjustRightInd w:val="0"/>
              <w:spacing w:line="360" w:lineRule="auto"/>
              <w:ind w:firstLine="480" w:firstLineChars="200"/>
              <w:rPr>
                <w:rFonts w:hint="eastAsia" w:ascii="Times New Roman" w:hAnsi="Times New Roman" w:eastAsia="仿宋_GB2312" w:cs="Times New Roman"/>
                <w:b w:val="0"/>
                <w:bCs/>
                <w:color w:val="auto"/>
                <w:sz w:val="24"/>
                <w:szCs w:val="24"/>
                <w:lang w:eastAsia="zh-CN"/>
              </w:rPr>
            </w:pPr>
            <w:r>
              <w:rPr>
                <w:rFonts w:hint="eastAsia" w:ascii="Times New Roman" w:hAnsi="Times New Roman" w:eastAsia="仿宋_GB2312" w:cs="Times New Roman"/>
                <w:b w:val="0"/>
                <w:bCs/>
                <w:color w:val="auto"/>
                <w:sz w:val="24"/>
                <w:szCs w:val="24"/>
                <w:lang w:eastAsia="zh-CN"/>
              </w:rPr>
              <w:fldChar w:fldCharType="begin"/>
            </w:r>
            <w:r>
              <w:rPr>
                <w:rFonts w:hint="eastAsia" w:ascii="Times New Roman" w:hAnsi="Times New Roman" w:eastAsia="仿宋_GB2312" w:cs="Times New Roman"/>
                <w:b w:val="0"/>
                <w:bCs/>
                <w:color w:val="auto"/>
                <w:sz w:val="24"/>
                <w:szCs w:val="24"/>
                <w:lang w:eastAsia="zh-CN"/>
              </w:rPr>
              <w:instrText xml:space="preserve"> = 3 \* GB3 \* MERGEFORMAT </w:instrText>
            </w:r>
            <w:r>
              <w:rPr>
                <w:rFonts w:hint="eastAsia" w:ascii="Times New Roman" w:hAnsi="Times New Roman" w:eastAsia="仿宋_GB2312" w:cs="Times New Roman"/>
                <w:b w:val="0"/>
                <w:bCs/>
                <w:color w:val="auto"/>
                <w:sz w:val="24"/>
                <w:szCs w:val="24"/>
                <w:lang w:eastAsia="zh-CN"/>
              </w:rPr>
              <w:fldChar w:fldCharType="separate"/>
            </w:r>
            <w:r>
              <w:rPr>
                <w:rFonts w:hint="default" w:ascii="Times New Roman" w:hAnsi="Times New Roman" w:eastAsia="仿宋_GB2312" w:cs="Times New Roman"/>
                <w:b w:val="0"/>
                <w:bCs/>
                <w:color w:val="auto"/>
                <w:sz w:val="24"/>
                <w:szCs w:val="24"/>
                <w:lang w:eastAsia="zh-CN"/>
              </w:rPr>
              <w:t>③</w:t>
            </w:r>
            <w:r>
              <w:rPr>
                <w:rFonts w:hint="eastAsia" w:ascii="Times New Roman" w:hAnsi="Times New Roman" w:eastAsia="仿宋_GB2312" w:cs="Times New Roman"/>
                <w:b w:val="0"/>
                <w:bCs/>
                <w:color w:val="auto"/>
                <w:sz w:val="24"/>
                <w:szCs w:val="24"/>
                <w:lang w:eastAsia="zh-CN"/>
              </w:rPr>
              <w:fldChar w:fldCharType="end"/>
            </w:r>
            <w:r>
              <w:rPr>
                <w:rFonts w:hint="eastAsia" w:ascii="Times New Roman" w:hAnsi="Times New Roman" w:eastAsia="仿宋_GB2312" w:cs="Times New Roman"/>
                <w:b w:val="0"/>
                <w:bCs/>
                <w:color w:val="auto"/>
                <w:sz w:val="24"/>
                <w:szCs w:val="24"/>
                <w:lang w:eastAsia="zh-CN"/>
              </w:rPr>
              <w:t>噪声</w:t>
            </w:r>
          </w:p>
          <w:p w14:paraId="39146E82">
            <w:pPr>
              <w:adjustRightInd w:val="0"/>
              <w:spacing w:line="360" w:lineRule="auto"/>
              <w:ind w:firstLine="480" w:firstLineChars="200"/>
              <w:rPr>
                <w:rFonts w:hint="eastAsia" w:eastAsia="仿宋_GB2312"/>
                <w:b w:val="0"/>
                <w:bCs/>
                <w:color w:val="auto"/>
                <w:sz w:val="24"/>
                <w:lang w:eastAsia="zh-CN"/>
              </w:rPr>
            </w:pPr>
            <w:r>
              <w:rPr>
                <w:rFonts w:hint="eastAsia" w:eastAsia="仿宋_GB2312"/>
                <w:b w:val="0"/>
                <w:bCs/>
                <w:color w:val="auto"/>
                <w:sz w:val="24"/>
                <w:lang w:eastAsia="zh-CN"/>
              </w:rPr>
              <w:t>本项目施工期噪声主要为施工机械、运输车辆等产生的噪声。</w:t>
            </w:r>
          </w:p>
          <w:p w14:paraId="238074E0">
            <w:pPr>
              <w:adjustRightInd w:val="0"/>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fldChar w:fldCharType="begin"/>
            </w:r>
            <w:r>
              <w:rPr>
                <w:rFonts w:hint="default" w:ascii="Times New Roman" w:hAnsi="Times New Roman" w:eastAsia="仿宋_GB2312" w:cs="Times New Roman"/>
                <w:b w:val="0"/>
                <w:bCs/>
                <w:color w:val="auto"/>
                <w:sz w:val="24"/>
                <w:szCs w:val="24"/>
                <w:lang w:eastAsia="zh-CN"/>
              </w:rPr>
              <w:instrText xml:space="preserve"> = 4 \* GB3 \* MERGEFORMAT </w:instrText>
            </w:r>
            <w:r>
              <w:rPr>
                <w:rFonts w:hint="default" w:ascii="Times New Roman" w:hAnsi="Times New Roman" w:eastAsia="仿宋_GB2312" w:cs="Times New Roman"/>
                <w:b w:val="0"/>
                <w:bCs/>
                <w:color w:val="auto"/>
                <w:sz w:val="24"/>
                <w:szCs w:val="24"/>
                <w:lang w:eastAsia="zh-CN"/>
              </w:rPr>
              <w:fldChar w:fldCharType="separate"/>
            </w:r>
            <w:r>
              <w:rPr>
                <w:rFonts w:hint="default" w:ascii="Times New Roman" w:hAnsi="Times New Roman" w:eastAsia="仿宋_GB2312" w:cs="Times New Roman"/>
                <w:b w:val="0"/>
                <w:bCs/>
                <w:color w:val="auto"/>
                <w:sz w:val="24"/>
                <w:szCs w:val="24"/>
                <w:lang w:eastAsia="zh-CN"/>
              </w:rPr>
              <w:t>④</w:t>
            </w:r>
            <w:r>
              <w:rPr>
                <w:rFonts w:hint="default" w:ascii="Times New Roman" w:hAnsi="Times New Roman" w:eastAsia="仿宋_GB2312" w:cs="Times New Roman"/>
                <w:b w:val="0"/>
                <w:bCs/>
                <w:color w:val="auto"/>
                <w:sz w:val="24"/>
                <w:szCs w:val="24"/>
                <w:lang w:eastAsia="zh-CN"/>
              </w:rPr>
              <w:fldChar w:fldCharType="end"/>
            </w:r>
            <w:r>
              <w:rPr>
                <w:rFonts w:hint="default" w:ascii="Times New Roman" w:hAnsi="Times New Roman" w:eastAsia="仿宋_GB2312" w:cs="Times New Roman"/>
                <w:b w:val="0"/>
                <w:bCs/>
                <w:color w:val="auto"/>
                <w:sz w:val="24"/>
                <w:szCs w:val="24"/>
                <w:lang w:eastAsia="zh-CN"/>
              </w:rPr>
              <w:t>固体废物</w:t>
            </w:r>
          </w:p>
          <w:p w14:paraId="6388D75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eastAsia="仿宋_GB2312"/>
                <w:b w:val="0"/>
                <w:bCs/>
                <w:color w:val="auto"/>
                <w:sz w:val="24"/>
                <w:lang w:eastAsia="zh-CN"/>
              </w:rPr>
            </w:pPr>
            <w:r>
              <w:rPr>
                <w:rFonts w:hint="eastAsia" w:ascii="Times New Roman" w:hAnsi="Times New Roman" w:eastAsia="仿宋_GB2312" w:cs="Times New Roman"/>
                <w:b w:val="0"/>
                <w:bCs/>
                <w:color w:val="auto"/>
                <w:sz w:val="24"/>
                <w:lang w:eastAsia="zh-CN"/>
              </w:rPr>
              <w:t>施工期产生的固体废物主要有三类，一是开挖剥离的土石方，二是施工过程产生的建筑垃圾，三是施工人员的生活垃圾。建筑垃圾包括基地开挖时产生的废弃土方、混凝土浇筑过程中的漏浆、建材废包装、建材的废边角料等，运至政府指定地点处置；施工现场设置2个垃圾桶收集生活垃圾，</w:t>
            </w:r>
            <w:r>
              <w:rPr>
                <w:rFonts w:hint="eastAsia" w:ascii="Times New Roman" w:hAnsi="Times New Roman" w:eastAsia="仿宋_GB2312" w:cs="Times New Roman"/>
                <w:b w:val="0"/>
                <w:bCs/>
                <w:color w:val="auto"/>
                <w:sz w:val="24"/>
                <w:lang w:val="en-US" w:eastAsia="zh-CN"/>
              </w:rPr>
              <w:t>集中收集后交由当地环卫部门处理</w:t>
            </w:r>
            <w:r>
              <w:rPr>
                <w:rFonts w:hint="eastAsia" w:ascii="Times New Roman" w:hAnsi="Times New Roman" w:eastAsia="仿宋_GB2312" w:cs="Times New Roman"/>
                <w:b w:val="0"/>
                <w:bCs/>
                <w:color w:val="auto"/>
                <w:sz w:val="24"/>
                <w:lang w:eastAsia="zh-CN"/>
              </w:rPr>
              <w:t>。</w:t>
            </w:r>
          </w:p>
          <w:p w14:paraId="0025347D">
            <w:pPr>
              <w:pStyle w:val="59"/>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textAlignment w:val="baseline"/>
              <w:rPr>
                <w:rFonts w:hint="eastAsia"/>
                <w:color w:val="auto"/>
                <w:lang w:val="en-US" w:eastAsia="zh-CN"/>
              </w:rPr>
            </w:pPr>
            <w:r>
              <w:rPr>
                <w:rFonts w:hint="eastAsia"/>
                <w:color w:val="auto"/>
                <w:lang w:val="en-US" w:eastAsia="zh-CN"/>
              </w:rPr>
              <w:t>2.运营期工艺流程</w:t>
            </w:r>
          </w:p>
          <w:p w14:paraId="429EB9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本项目</w:t>
            </w:r>
            <w:r>
              <w:rPr>
                <w:rFonts w:hint="eastAsia" w:eastAsia="仿宋_GB2312" w:cs="Times New Roman"/>
                <w:b w:val="0"/>
                <w:bCs w:val="0"/>
                <w:color w:val="auto"/>
                <w:kern w:val="2"/>
                <w:sz w:val="24"/>
                <w:szCs w:val="24"/>
                <w:lang w:val="en-US" w:eastAsia="zh-CN" w:bidi="ar-SA"/>
              </w:rPr>
              <w:t>水泥</w:t>
            </w:r>
            <w:r>
              <w:rPr>
                <w:rFonts w:hint="default" w:ascii="Times New Roman" w:hAnsi="Times New Roman" w:eastAsia="仿宋_GB2312" w:cs="Times New Roman"/>
                <w:b w:val="0"/>
                <w:bCs w:val="0"/>
                <w:color w:val="auto"/>
                <w:kern w:val="2"/>
                <w:sz w:val="24"/>
                <w:szCs w:val="24"/>
                <w:lang w:val="en-US" w:eastAsia="zh-CN" w:bidi="ar-SA"/>
              </w:rPr>
              <w:t>混凝土生产过程中混合、搅拌均为物理反应，无化学反应。</w:t>
            </w:r>
          </w:p>
          <w:p w14:paraId="39B29756">
            <w:pPr>
              <w:keepNext w:val="0"/>
              <w:keepLines w:val="0"/>
              <w:pageBreakBefore w:val="0"/>
              <w:widowControl w:val="0"/>
              <w:kinsoku/>
              <w:wordWrap/>
              <w:overflowPunct/>
              <w:topLinePunct w:val="0"/>
              <w:autoSpaceDE/>
              <w:autoSpaceDN/>
              <w:bidi w:val="0"/>
              <w:adjustRightInd w:val="0"/>
              <w:snapToGrid w:val="0"/>
              <w:spacing w:before="63" w:beforeLines="20" w:after="63" w:afterLines="20" w:line="360" w:lineRule="auto"/>
              <w:jc w:val="center"/>
              <w:textAlignment w:val="auto"/>
              <w:rPr>
                <w:rFonts w:hint="default" w:ascii="Times New Roman" w:hAnsi="Times New Roman" w:eastAsia="仿宋" w:cs="Times New Roman"/>
                <w:b w:val="0"/>
                <w:bCs w:val="0"/>
                <w:color w:val="auto"/>
                <w:kern w:val="2"/>
                <w:sz w:val="24"/>
                <w:szCs w:val="24"/>
                <w:lang w:val="en-US" w:eastAsia="zh-CN" w:bidi="ar-SA"/>
              </w:rPr>
            </w:pPr>
            <w:r>
              <w:rPr>
                <w:rFonts w:hint="default" w:ascii="Times New Roman" w:hAnsi="Times New Roman" w:eastAsia="仿宋" w:cs="Times New Roman"/>
                <w:b w:val="0"/>
                <w:bCs w:val="0"/>
                <w:color w:val="auto"/>
                <w:kern w:val="2"/>
                <w:sz w:val="24"/>
                <w:szCs w:val="24"/>
                <w:lang w:val="en-US" w:eastAsia="zh-CN" w:bidi="ar-SA"/>
              </w:rPr>
              <w:object>
                <v:shape id="_x0000_i1026" o:spt="75" type="#_x0000_t75" style="height:221.25pt;width:358.25pt;" o:ole="t" filled="f" o:preferrelative="t" stroked="f" coordsize="21600,21600">
                  <v:path/>
                  <v:fill on="f" focussize="0,0"/>
                  <v:stroke on="f"/>
                  <v:imagedata r:id="rId12" o:title=""/>
                  <o:lock v:ext="edit" aspectratio="f"/>
                  <w10:wrap type="none"/>
                  <w10:anchorlock/>
                </v:shape>
                <o:OLEObject Type="Embed" ProgID="Visio.Drawing.11" ShapeID="_x0000_i1026" DrawAspect="Content" ObjectID="_1468075726" r:id="rId11">
                  <o:LockedField>false</o:LockedField>
                </o:OLEObject>
              </w:object>
            </w:r>
          </w:p>
          <w:p w14:paraId="49DE23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1"/>
                <w:szCs w:val="21"/>
                <w:lang w:val="en-US" w:eastAsia="zh-CN"/>
              </w:rPr>
              <w:t>图2</w:t>
            </w:r>
            <w:r>
              <w:rPr>
                <w:rFonts w:hint="eastAsia" w:cs="Times New Roman"/>
                <w:b/>
                <w:bCs w:val="0"/>
                <w:color w:val="auto"/>
                <w:sz w:val="21"/>
                <w:szCs w:val="21"/>
                <w:lang w:val="en-US" w:eastAsia="zh-CN"/>
              </w:rPr>
              <w:t>-5</w:t>
            </w:r>
            <w:r>
              <w:rPr>
                <w:rFonts w:hint="default" w:ascii="Times New Roman" w:hAnsi="Times New Roman" w:eastAsia="宋体" w:cs="Times New Roman"/>
                <w:b/>
                <w:bCs w:val="0"/>
                <w:color w:val="auto"/>
                <w:sz w:val="21"/>
                <w:szCs w:val="21"/>
                <w:lang w:val="en-US" w:eastAsia="zh-CN"/>
              </w:rPr>
              <w:t xml:space="preserve"> </w:t>
            </w:r>
            <w:r>
              <w:rPr>
                <w:rFonts w:hint="eastAsia" w:cs="Times New Roman"/>
                <w:b/>
                <w:bCs w:val="0"/>
                <w:color w:val="auto"/>
                <w:sz w:val="21"/>
                <w:szCs w:val="21"/>
                <w:lang w:val="en-US" w:eastAsia="zh-CN"/>
              </w:rPr>
              <w:t xml:space="preserve">   </w:t>
            </w:r>
            <w:r>
              <w:rPr>
                <w:rFonts w:hint="default" w:ascii="Times New Roman" w:hAnsi="Times New Roman" w:eastAsia="宋体" w:cs="Times New Roman"/>
                <w:b/>
                <w:bCs w:val="0"/>
                <w:color w:val="auto"/>
                <w:sz w:val="24"/>
                <w:szCs w:val="24"/>
                <w:lang w:val="en-US" w:eastAsia="zh-CN"/>
              </w:rPr>
              <w:t>本项目</w:t>
            </w:r>
            <w:r>
              <w:rPr>
                <w:rFonts w:hint="eastAsia" w:cs="Times New Roman"/>
                <w:b/>
                <w:bCs w:val="0"/>
                <w:color w:val="auto"/>
                <w:sz w:val="24"/>
                <w:szCs w:val="24"/>
                <w:lang w:val="en-US" w:eastAsia="zh-CN"/>
              </w:rPr>
              <w:t>水泥</w:t>
            </w:r>
            <w:r>
              <w:rPr>
                <w:rFonts w:hint="default" w:ascii="Times New Roman" w:hAnsi="Times New Roman" w:eastAsia="宋体" w:cs="Times New Roman"/>
                <w:b/>
                <w:bCs w:val="0"/>
                <w:color w:val="auto"/>
                <w:sz w:val="24"/>
                <w:szCs w:val="24"/>
                <w:lang w:val="en-US" w:eastAsia="zh-CN"/>
              </w:rPr>
              <w:t>混凝土</w:t>
            </w:r>
            <w:r>
              <w:rPr>
                <w:rFonts w:hint="eastAsia" w:ascii="Times New Roman" w:hAnsi="Times New Roman" w:eastAsia="宋体" w:cs="Times New Roman"/>
                <w:b/>
                <w:bCs w:val="0"/>
                <w:color w:val="auto"/>
                <w:sz w:val="24"/>
                <w:szCs w:val="24"/>
                <w:lang w:val="en-US" w:eastAsia="zh-CN"/>
              </w:rPr>
              <w:t>工艺流程及产排污示意图</w:t>
            </w:r>
          </w:p>
          <w:p w14:paraId="1B4002D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①备料：</w:t>
            </w:r>
            <w:r>
              <w:rPr>
                <w:rFonts w:hint="default" w:ascii="Times New Roman" w:hAnsi="Times New Roman" w:eastAsia="仿宋_GB2312" w:cs="Times New Roman"/>
                <w:b w:val="0"/>
                <w:bCs w:val="0"/>
                <w:color w:val="auto"/>
                <w:kern w:val="2"/>
                <w:sz w:val="24"/>
                <w:szCs w:val="24"/>
                <w:lang w:val="en-US" w:eastAsia="zh-CN" w:bidi="ar-SA"/>
              </w:rPr>
              <w:t>本项目生产所需要的原料</w:t>
            </w:r>
            <w:r>
              <w:rPr>
                <w:rFonts w:hint="eastAsia" w:ascii="Times New Roman" w:hAnsi="Times New Roman" w:eastAsia="仿宋_GB2312" w:cs="Times New Roman"/>
                <w:b w:val="0"/>
                <w:bCs w:val="0"/>
                <w:color w:val="auto"/>
                <w:kern w:val="2"/>
                <w:sz w:val="24"/>
                <w:szCs w:val="24"/>
                <w:lang w:val="en-US" w:eastAsia="zh-CN" w:bidi="ar-SA"/>
              </w:rPr>
              <w:t>包括：</w:t>
            </w:r>
            <w:r>
              <w:rPr>
                <w:rFonts w:hint="default" w:ascii="Times New Roman" w:hAnsi="Times New Roman" w:eastAsia="仿宋_GB2312" w:cs="Times New Roman"/>
                <w:b w:val="0"/>
                <w:bCs w:val="0"/>
                <w:color w:val="auto"/>
                <w:kern w:val="2"/>
                <w:sz w:val="24"/>
                <w:szCs w:val="24"/>
                <w:lang w:val="en-US" w:eastAsia="zh-CN" w:bidi="ar-SA"/>
              </w:rPr>
              <w:t>水泥、粉煤灰、</w:t>
            </w:r>
            <w:r>
              <w:rPr>
                <w:rFonts w:hint="eastAsia" w:eastAsia="仿宋_GB2312" w:cs="Times New Roman"/>
                <w:b w:val="0"/>
                <w:bCs w:val="0"/>
                <w:color w:val="auto"/>
                <w:kern w:val="2"/>
                <w:sz w:val="24"/>
                <w:szCs w:val="24"/>
                <w:lang w:val="en-US" w:eastAsia="zh-CN" w:bidi="ar-SA"/>
              </w:rPr>
              <w:t>碎石</w:t>
            </w:r>
            <w:r>
              <w:rPr>
                <w:rFonts w:hint="default" w:ascii="Times New Roman" w:hAnsi="Times New Roman" w:eastAsia="仿宋_GB2312" w:cs="Times New Roman"/>
                <w:b w:val="0"/>
                <w:bCs w:val="0"/>
                <w:color w:val="auto"/>
                <w:kern w:val="2"/>
                <w:sz w:val="24"/>
                <w:szCs w:val="24"/>
                <w:lang w:val="en-US" w:eastAsia="zh-CN" w:bidi="ar-SA"/>
              </w:rPr>
              <w:t>、</w:t>
            </w:r>
            <w:r>
              <w:rPr>
                <w:rFonts w:hint="eastAsia" w:eastAsia="仿宋_GB2312" w:cs="Times New Roman"/>
                <w:b w:val="0"/>
                <w:bCs w:val="0"/>
                <w:color w:val="auto"/>
                <w:kern w:val="2"/>
                <w:sz w:val="24"/>
                <w:szCs w:val="24"/>
                <w:lang w:val="en-US" w:eastAsia="zh-CN" w:bidi="ar-SA"/>
              </w:rPr>
              <w:t>水洗砂</w:t>
            </w:r>
            <w:r>
              <w:rPr>
                <w:rFonts w:hint="default" w:ascii="Times New Roman" w:hAnsi="Times New Roman" w:eastAsia="仿宋_GB2312" w:cs="Times New Roman"/>
                <w:b w:val="0"/>
                <w:bCs w:val="0"/>
                <w:color w:val="auto"/>
                <w:kern w:val="2"/>
                <w:sz w:val="24"/>
                <w:szCs w:val="24"/>
                <w:lang w:val="en-US" w:eastAsia="zh-CN" w:bidi="ar-SA"/>
              </w:rPr>
              <w:t>、水、外加剂，其中，水泥、粉煤灰通过放料阀由空压机输送至水泥筒仓，上料时通过管道上料；外加剂为液态水剂，由运输车辆运至厂区的外加剂贮罐中储存；骨料</w:t>
            </w:r>
            <w:r>
              <w:rPr>
                <w:rFonts w:hint="eastAsia" w:eastAsia="仿宋_GB2312" w:cs="Times New Roman"/>
                <w:b w:val="0"/>
                <w:bCs w:val="0"/>
                <w:color w:val="auto"/>
                <w:kern w:val="2"/>
                <w:sz w:val="24"/>
                <w:szCs w:val="24"/>
                <w:lang w:val="en-US" w:eastAsia="zh-CN" w:bidi="ar-SA"/>
              </w:rPr>
              <w:t>碎石</w:t>
            </w:r>
            <w:r>
              <w:rPr>
                <w:rFonts w:hint="default" w:ascii="Times New Roman" w:hAnsi="Times New Roman" w:eastAsia="仿宋_GB2312" w:cs="Times New Roman"/>
                <w:b w:val="0"/>
                <w:bCs w:val="0"/>
                <w:color w:val="auto"/>
                <w:kern w:val="2"/>
                <w:sz w:val="24"/>
                <w:szCs w:val="24"/>
                <w:lang w:val="en-US" w:eastAsia="zh-CN" w:bidi="ar-SA"/>
              </w:rPr>
              <w:t>、</w:t>
            </w:r>
            <w:r>
              <w:rPr>
                <w:rFonts w:hint="eastAsia" w:eastAsia="仿宋_GB2312" w:cs="Times New Roman"/>
                <w:b w:val="0"/>
                <w:bCs w:val="0"/>
                <w:color w:val="auto"/>
                <w:kern w:val="2"/>
                <w:sz w:val="24"/>
                <w:szCs w:val="24"/>
                <w:lang w:val="en-US" w:eastAsia="zh-CN" w:bidi="ar-SA"/>
              </w:rPr>
              <w:t>水洗砂</w:t>
            </w:r>
            <w:r>
              <w:rPr>
                <w:rFonts w:hint="default" w:ascii="Times New Roman" w:hAnsi="Times New Roman" w:eastAsia="仿宋_GB2312" w:cs="Times New Roman"/>
                <w:b w:val="0"/>
                <w:bCs w:val="0"/>
                <w:color w:val="auto"/>
                <w:kern w:val="2"/>
                <w:sz w:val="24"/>
                <w:szCs w:val="24"/>
                <w:lang w:val="en-US" w:eastAsia="zh-CN" w:bidi="ar-SA"/>
              </w:rPr>
              <w:t>由运输车辆运至厂区</w:t>
            </w:r>
            <w:r>
              <w:rPr>
                <w:rFonts w:hint="eastAsia" w:eastAsia="仿宋_GB2312" w:cs="Times New Roman"/>
                <w:b w:val="0"/>
                <w:bCs w:val="0"/>
                <w:color w:val="auto"/>
                <w:kern w:val="2"/>
                <w:sz w:val="24"/>
                <w:szCs w:val="24"/>
                <w:lang w:val="en-US" w:eastAsia="zh-CN" w:bidi="ar-SA"/>
              </w:rPr>
              <w:t>半</w:t>
            </w:r>
            <w:r>
              <w:rPr>
                <w:rFonts w:hint="default" w:ascii="Times New Roman" w:hAnsi="Times New Roman" w:eastAsia="仿宋_GB2312" w:cs="Times New Roman"/>
                <w:b w:val="0"/>
                <w:bCs w:val="0"/>
                <w:color w:val="auto"/>
                <w:kern w:val="2"/>
                <w:sz w:val="24"/>
                <w:szCs w:val="24"/>
                <w:lang w:val="en-US" w:eastAsia="zh-CN" w:bidi="ar-SA"/>
              </w:rPr>
              <w:t>封闭</w:t>
            </w:r>
            <w:r>
              <w:rPr>
                <w:rFonts w:hint="eastAsia" w:ascii="Times New Roman" w:hAnsi="Times New Roman" w:eastAsia="仿宋_GB2312" w:cs="Times New Roman"/>
                <w:b w:val="0"/>
                <w:bCs w:val="0"/>
                <w:color w:val="auto"/>
                <w:kern w:val="2"/>
                <w:sz w:val="24"/>
                <w:szCs w:val="24"/>
                <w:lang w:val="en-US" w:eastAsia="zh-CN" w:bidi="ar-SA"/>
              </w:rPr>
              <w:t>料仓</w:t>
            </w:r>
            <w:r>
              <w:rPr>
                <w:rFonts w:hint="default" w:ascii="Times New Roman" w:hAnsi="Times New Roman" w:eastAsia="仿宋_GB2312" w:cs="Times New Roman"/>
                <w:b w:val="0"/>
                <w:bCs w:val="0"/>
                <w:color w:val="auto"/>
                <w:kern w:val="2"/>
                <w:sz w:val="24"/>
                <w:szCs w:val="24"/>
                <w:lang w:val="en-US" w:eastAsia="zh-CN" w:bidi="ar-SA"/>
              </w:rPr>
              <w:t>。</w:t>
            </w:r>
          </w:p>
          <w:p w14:paraId="0385D09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②配料：</w:t>
            </w:r>
            <w:r>
              <w:rPr>
                <w:rFonts w:hint="default" w:ascii="Times New Roman" w:hAnsi="Times New Roman" w:eastAsia="仿宋_GB2312" w:cs="Times New Roman"/>
                <w:b w:val="0"/>
                <w:bCs w:val="0"/>
                <w:color w:val="auto"/>
                <w:kern w:val="2"/>
                <w:sz w:val="24"/>
                <w:szCs w:val="24"/>
                <w:lang w:val="en-US" w:eastAsia="zh-CN" w:bidi="ar-SA"/>
              </w:rPr>
              <w:t>按照混凝土生产要求原料配比，通过各自计量装置计量后投入搅拌机内。</w:t>
            </w:r>
          </w:p>
          <w:p w14:paraId="6BF92B6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③搅拌：</w:t>
            </w:r>
            <w:r>
              <w:rPr>
                <w:rFonts w:hint="eastAsia" w:eastAsia="仿宋_GB2312" w:cs="Times New Roman"/>
                <w:b w:val="0"/>
                <w:bCs w:val="0"/>
                <w:color w:val="auto"/>
                <w:kern w:val="2"/>
                <w:sz w:val="24"/>
                <w:szCs w:val="24"/>
                <w:lang w:val="en-US" w:eastAsia="zh-CN" w:bidi="ar-SA"/>
              </w:rPr>
              <w:t>水泥</w:t>
            </w:r>
            <w:r>
              <w:rPr>
                <w:rFonts w:hint="default" w:ascii="Times New Roman" w:hAnsi="Times New Roman" w:eastAsia="仿宋_GB2312" w:cs="Times New Roman"/>
                <w:b w:val="0"/>
                <w:bCs w:val="0"/>
                <w:color w:val="auto"/>
                <w:kern w:val="2"/>
                <w:sz w:val="24"/>
                <w:szCs w:val="24"/>
                <w:lang w:val="en-US" w:eastAsia="zh-CN" w:bidi="ar-SA"/>
              </w:rPr>
              <w:t>混凝土生产在全封闭式</w:t>
            </w:r>
            <w:r>
              <w:rPr>
                <w:rFonts w:hint="eastAsia" w:eastAsia="仿宋_GB2312" w:cs="Times New Roman"/>
                <w:b w:val="0"/>
                <w:bCs w:val="0"/>
                <w:color w:val="auto"/>
                <w:kern w:val="2"/>
                <w:sz w:val="24"/>
                <w:szCs w:val="24"/>
                <w:lang w:val="en-US" w:eastAsia="zh-CN" w:bidi="ar-SA"/>
              </w:rPr>
              <w:t>拌和</w:t>
            </w:r>
            <w:r>
              <w:rPr>
                <w:rFonts w:hint="default" w:ascii="Times New Roman" w:hAnsi="Times New Roman" w:eastAsia="仿宋_GB2312" w:cs="Times New Roman"/>
                <w:b w:val="0"/>
                <w:bCs w:val="0"/>
                <w:color w:val="auto"/>
                <w:kern w:val="2"/>
                <w:sz w:val="24"/>
                <w:szCs w:val="24"/>
                <w:lang w:val="en-US" w:eastAsia="zh-CN" w:bidi="ar-SA"/>
              </w:rPr>
              <w:t>楼内完成，原辅用料按配比送至搅拌机进行搅拌，搅拌过程中加水，经过充分的搅拌，使水泥、石子、砂子的亲和力达到最大。搅拌到程序设定时间，自动卸料。</w:t>
            </w:r>
          </w:p>
          <w:p w14:paraId="5FC8EC1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④外运：</w:t>
            </w:r>
            <w:r>
              <w:rPr>
                <w:rFonts w:hint="default" w:ascii="Times New Roman" w:hAnsi="Times New Roman" w:eastAsia="仿宋_GB2312" w:cs="Times New Roman"/>
                <w:b w:val="0"/>
                <w:bCs w:val="0"/>
                <w:color w:val="auto"/>
                <w:kern w:val="2"/>
                <w:sz w:val="24"/>
                <w:szCs w:val="24"/>
                <w:lang w:val="en-US" w:eastAsia="zh-CN" w:bidi="ar-SA"/>
              </w:rPr>
              <w:t>将搅拌好的</w:t>
            </w:r>
            <w:r>
              <w:rPr>
                <w:rFonts w:hint="eastAsia" w:eastAsia="仿宋_GB2312" w:cs="Times New Roman"/>
                <w:b w:val="0"/>
                <w:bCs w:val="0"/>
                <w:color w:val="auto"/>
                <w:kern w:val="2"/>
                <w:sz w:val="24"/>
                <w:szCs w:val="24"/>
                <w:lang w:val="en-US" w:eastAsia="zh-CN" w:bidi="ar-SA"/>
              </w:rPr>
              <w:t>水泥</w:t>
            </w:r>
            <w:r>
              <w:rPr>
                <w:rFonts w:hint="default" w:ascii="Times New Roman" w:hAnsi="Times New Roman" w:eastAsia="仿宋_GB2312" w:cs="Times New Roman"/>
                <w:b w:val="0"/>
                <w:bCs w:val="0"/>
                <w:color w:val="auto"/>
                <w:kern w:val="2"/>
                <w:sz w:val="24"/>
                <w:szCs w:val="24"/>
                <w:lang w:val="en-US" w:eastAsia="zh-CN" w:bidi="ar-SA"/>
              </w:rPr>
              <w:t>混凝土卸入混凝土运输车，外运至</w:t>
            </w:r>
            <w:r>
              <w:rPr>
                <w:rFonts w:hint="eastAsia" w:ascii="Times New Roman" w:hAnsi="Times New Roman" w:eastAsia="仿宋_GB2312" w:cs="Times New Roman"/>
                <w:b w:val="0"/>
                <w:bCs w:val="0"/>
                <w:color w:val="auto"/>
                <w:kern w:val="2"/>
                <w:sz w:val="24"/>
                <w:szCs w:val="24"/>
                <w:lang w:val="en-US" w:eastAsia="zh-CN" w:bidi="ar-SA"/>
              </w:rPr>
              <w:t>施工</w:t>
            </w:r>
            <w:r>
              <w:rPr>
                <w:rFonts w:hint="default" w:ascii="Times New Roman" w:hAnsi="Times New Roman" w:eastAsia="仿宋_GB2312" w:cs="Times New Roman"/>
                <w:b w:val="0"/>
                <w:bCs w:val="0"/>
                <w:color w:val="auto"/>
                <w:kern w:val="2"/>
                <w:sz w:val="24"/>
                <w:szCs w:val="24"/>
                <w:lang w:val="en-US" w:eastAsia="zh-CN" w:bidi="ar-SA"/>
              </w:rPr>
              <w:t>工地。</w:t>
            </w:r>
          </w:p>
          <w:p w14:paraId="7520208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⑤冲洗：</w:t>
            </w:r>
            <w:r>
              <w:rPr>
                <w:rFonts w:hint="default" w:ascii="Times New Roman" w:hAnsi="Times New Roman" w:eastAsia="仿宋_GB2312" w:cs="Times New Roman"/>
                <w:b w:val="0"/>
                <w:bCs w:val="0"/>
                <w:color w:val="auto"/>
                <w:kern w:val="2"/>
                <w:sz w:val="24"/>
                <w:szCs w:val="24"/>
                <w:lang w:val="en-US" w:eastAsia="zh-CN" w:bidi="ar-SA"/>
              </w:rPr>
              <w:t>生产结束后，利用高压水枪等冲洗设施对混凝土罐车及搅拌机等进行冲洗，保持生产车间内清洁。搅拌机、混凝土罐车冲洗废水经沉淀池沉淀后回用于混凝土搅拌。</w:t>
            </w:r>
          </w:p>
          <w:p w14:paraId="636077C1">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3.运营期主要产排污环节</w:t>
            </w:r>
          </w:p>
          <w:p w14:paraId="5D50EC59">
            <w:pPr>
              <w:pStyle w:val="58"/>
              <w:keepNext w:val="0"/>
              <w:keepLines w:val="0"/>
              <w:pageBreakBefore w:val="0"/>
              <w:widowControl w:val="0"/>
              <w:kinsoku/>
              <w:wordWrap/>
              <w:topLinePunct w:val="0"/>
              <w:autoSpaceDE/>
              <w:autoSpaceDN/>
              <w:bidi w:val="0"/>
              <w:adjustRightInd w:val="0"/>
              <w:snapToGrid/>
              <w:spacing w:line="360" w:lineRule="auto"/>
              <w:textAlignment w:val="auto"/>
              <w:rPr>
                <w:rFonts w:hint="eastAsia"/>
                <w:b w:val="0"/>
                <w:bCs w:val="0"/>
                <w:color w:val="auto"/>
                <w:lang w:val="en-US" w:eastAsia="zh-CN"/>
              </w:rPr>
            </w:pPr>
            <w:r>
              <w:rPr>
                <w:rFonts w:hint="eastAsia"/>
                <w:b w:val="0"/>
                <w:bCs w:val="0"/>
                <w:color w:val="auto"/>
                <w:sz w:val="24"/>
                <w:szCs w:val="24"/>
                <w:lang w:eastAsia="zh-CN"/>
              </w:rPr>
              <w:t>（</w:t>
            </w:r>
            <w:r>
              <w:rPr>
                <w:rFonts w:hint="eastAsia"/>
                <w:b w:val="0"/>
                <w:bCs w:val="0"/>
                <w:color w:val="auto"/>
                <w:sz w:val="24"/>
                <w:szCs w:val="24"/>
                <w:lang w:val="en-US" w:eastAsia="zh-CN"/>
              </w:rPr>
              <w:t>1</w:t>
            </w:r>
            <w:r>
              <w:rPr>
                <w:rFonts w:hint="eastAsia"/>
                <w:b w:val="0"/>
                <w:bCs w:val="0"/>
                <w:color w:val="auto"/>
                <w:sz w:val="24"/>
                <w:szCs w:val="24"/>
                <w:lang w:eastAsia="zh-CN"/>
              </w:rPr>
              <w:t>）</w:t>
            </w:r>
            <w:r>
              <w:rPr>
                <w:rFonts w:hint="eastAsia"/>
                <w:b w:val="0"/>
                <w:bCs w:val="0"/>
                <w:color w:val="auto"/>
                <w:lang w:val="en-US" w:eastAsia="zh-CN"/>
              </w:rPr>
              <w:t>废气</w:t>
            </w:r>
          </w:p>
          <w:p w14:paraId="4887D27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①</w:t>
            </w:r>
            <w:r>
              <w:rPr>
                <w:rFonts w:hint="eastAsia" w:eastAsia="仿宋_GB2312" w:cs="Times New Roman"/>
                <w:b/>
                <w:bCs/>
                <w:color w:val="auto"/>
                <w:kern w:val="2"/>
                <w:sz w:val="24"/>
                <w:szCs w:val="24"/>
                <w:lang w:val="en-US" w:eastAsia="zh-CN" w:bidi="ar-SA"/>
              </w:rPr>
              <w:t>水泥</w:t>
            </w:r>
            <w:r>
              <w:rPr>
                <w:rFonts w:hint="default" w:ascii="Times New Roman" w:hAnsi="Times New Roman" w:eastAsia="仿宋_GB2312" w:cs="Times New Roman"/>
                <w:b/>
                <w:bCs/>
                <w:color w:val="auto"/>
                <w:kern w:val="2"/>
                <w:sz w:val="24"/>
                <w:szCs w:val="24"/>
                <w:lang w:val="en-US" w:eastAsia="zh-CN" w:bidi="ar-SA"/>
              </w:rPr>
              <w:t>混凝土生产线：</w:t>
            </w:r>
          </w:p>
          <w:p w14:paraId="21C080B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eastAsia="仿宋_GB2312" w:cs="Times New Roman"/>
                <w:b w:val="0"/>
                <w:bCs w:val="0"/>
                <w:color w:val="auto"/>
                <w:kern w:val="2"/>
                <w:sz w:val="24"/>
                <w:szCs w:val="24"/>
                <w:lang w:val="en-US" w:eastAsia="zh-CN" w:bidi="ar-SA"/>
              </w:rPr>
            </w:pPr>
            <w:r>
              <w:rPr>
                <w:rFonts w:hint="eastAsia" w:eastAsia="仿宋_GB2312" w:cs="Times New Roman"/>
                <w:b w:val="0"/>
                <w:bCs w:val="0"/>
                <w:color w:val="auto"/>
                <w:kern w:val="2"/>
                <w:sz w:val="24"/>
                <w:szCs w:val="24"/>
                <w:lang w:val="en-US" w:eastAsia="zh-CN" w:bidi="ar-SA"/>
              </w:rPr>
              <w:t>本项目水泥混凝土生产线产排污见表2-9。</w:t>
            </w:r>
          </w:p>
          <w:p w14:paraId="10A6517C">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color w:val="auto"/>
                <w:lang w:val="en-US" w:eastAsia="zh-CN"/>
              </w:rPr>
            </w:pPr>
            <w:r>
              <w:rPr>
                <w:rFonts w:hint="default" w:ascii="Times New Roman" w:hAnsi="Times New Roman" w:cs="Times New Roman"/>
                <w:color w:val="auto"/>
                <w:szCs w:val="21"/>
                <w:highlight w:val="none"/>
              </w:rPr>
              <w:t>表</w:t>
            </w:r>
            <w:r>
              <w:rPr>
                <w:rFonts w:hint="eastAsia" w:cs="Times New Roman"/>
                <w:color w:val="auto"/>
                <w:szCs w:val="21"/>
                <w:highlight w:val="none"/>
                <w:lang w:val="en-US" w:eastAsia="zh-CN"/>
              </w:rPr>
              <w:t>2-9</w:t>
            </w: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 xml:space="preserve">          </w:t>
            </w:r>
            <w:r>
              <w:rPr>
                <w:rFonts w:hint="eastAsia" w:ascii="Times New Roman" w:hAnsi="Times New Roman" w:eastAsia="宋体" w:cs="Times New Roman"/>
                <w:b/>
                <w:bCs/>
                <w:color w:val="auto"/>
                <w:sz w:val="24"/>
                <w:highlight w:val="none"/>
                <w:lang w:val="en-US" w:eastAsia="zh-CN"/>
              </w:rPr>
              <w:t>水泥混凝土生产线产排污环节</w:t>
            </w:r>
            <w:r>
              <w:rPr>
                <w:rFonts w:hint="default" w:ascii="Times New Roman" w:hAnsi="Times New Roman" w:cs="Times New Roman"/>
                <w:b/>
                <w:bCs/>
                <w:color w:val="auto"/>
                <w:sz w:val="24"/>
                <w:highlight w:val="none"/>
              </w:rPr>
              <w:t>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356"/>
              <w:gridCol w:w="1121"/>
              <w:gridCol w:w="3081"/>
              <w:gridCol w:w="1312"/>
            </w:tblGrid>
            <w:tr w14:paraId="4358B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l2br w:val="nil"/>
                    <w:tr2bl w:val="nil"/>
                  </w:tcBorders>
                  <w:vAlign w:val="center"/>
                </w:tcPr>
                <w:p w14:paraId="05E993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废气编号</w:t>
                  </w:r>
                </w:p>
              </w:tc>
              <w:tc>
                <w:tcPr>
                  <w:tcW w:w="1356" w:type="dxa"/>
                  <w:tcBorders>
                    <w:tl2br w:val="nil"/>
                    <w:tr2bl w:val="nil"/>
                  </w:tcBorders>
                  <w:vAlign w:val="center"/>
                </w:tcPr>
                <w:p w14:paraId="2D0156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产污环节</w:t>
                  </w:r>
                </w:p>
              </w:tc>
              <w:tc>
                <w:tcPr>
                  <w:tcW w:w="1121" w:type="dxa"/>
                  <w:tcBorders>
                    <w:tl2br w:val="nil"/>
                    <w:tr2bl w:val="nil"/>
                  </w:tcBorders>
                  <w:vAlign w:val="center"/>
                </w:tcPr>
                <w:p w14:paraId="386605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color w:val="auto"/>
                      <w:kern w:val="2"/>
                      <w:sz w:val="21"/>
                      <w:szCs w:val="21"/>
                      <w:vertAlign w:val="baseline"/>
                      <w:lang w:val="en-US" w:eastAsia="zh-CN" w:bidi="ar-SA"/>
                    </w:rPr>
                    <w:t>污染物</w:t>
                  </w:r>
                </w:p>
              </w:tc>
              <w:tc>
                <w:tcPr>
                  <w:tcW w:w="3081" w:type="dxa"/>
                  <w:tcBorders>
                    <w:tl2br w:val="nil"/>
                    <w:tr2bl w:val="nil"/>
                  </w:tcBorders>
                  <w:vAlign w:val="center"/>
                </w:tcPr>
                <w:p w14:paraId="56F527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处理措施</w:t>
                  </w:r>
                </w:p>
              </w:tc>
              <w:tc>
                <w:tcPr>
                  <w:tcW w:w="1312" w:type="dxa"/>
                  <w:tcBorders>
                    <w:tl2br w:val="nil"/>
                    <w:tr2bl w:val="nil"/>
                  </w:tcBorders>
                  <w:vAlign w:val="center"/>
                </w:tcPr>
                <w:p w14:paraId="6DDC1F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排放类型</w:t>
                  </w:r>
                </w:p>
              </w:tc>
            </w:tr>
            <w:tr w14:paraId="39F0C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l2br w:val="nil"/>
                    <w:tr2bl w:val="nil"/>
                  </w:tcBorders>
                  <w:vAlign w:val="center"/>
                </w:tcPr>
                <w:p w14:paraId="2E42CC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G</w:t>
                  </w:r>
                  <w:r>
                    <w:rPr>
                      <w:rFonts w:hint="default" w:ascii="Times New Roman" w:hAnsi="Times New Roman" w:eastAsia="宋体" w:cs="Times New Roman"/>
                      <w:b w:val="0"/>
                      <w:bCs w:val="0"/>
                      <w:color w:val="auto"/>
                      <w:kern w:val="2"/>
                      <w:sz w:val="21"/>
                      <w:szCs w:val="21"/>
                      <w:vertAlign w:val="subscript"/>
                      <w:lang w:val="en-US" w:eastAsia="zh-CN" w:bidi="ar-SA"/>
                    </w:rPr>
                    <w:t>1-1</w:t>
                  </w:r>
                </w:p>
              </w:tc>
              <w:tc>
                <w:tcPr>
                  <w:tcW w:w="1356" w:type="dxa"/>
                  <w:tcBorders>
                    <w:tl2br w:val="nil"/>
                    <w:tr2bl w:val="nil"/>
                  </w:tcBorders>
                  <w:vAlign w:val="center"/>
                </w:tcPr>
                <w:p w14:paraId="22AAE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水泥筒仓</w:t>
                  </w:r>
                </w:p>
              </w:tc>
              <w:tc>
                <w:tcPr>
                  <w:tcW w:w="1121" w:type="dxa"/>
                  <w:tcBorders>
                    <w:tl2br w:val="nil"/>
                    <w:tr2bl w:val="nil"/>
                  </w:tcBorders>
                  <w:vAlign w:val="center"/>
                </w:tcPr>
                <w:p w14:paraId="0F9ED8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颗粒物</w:t>
                  </w:r>
                </w:p>
              </w:tc>
              <w:tc>
                <w:tcPr>
                  <w:tcW w:w="3081" w:type="dxa"/>
                  <w:tcBorders>
                    <w:tl2br w:val="nil"/>
                    <w:tr2bl w:val="nil"/>
                  </w:tcBorders>
                  <w:vAlign w:val="center"/>
                </w:tcPr>
                <w:p w14:paraId="190F2F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仓顶脉冲除尘器处理</w:t>
                  </w:r>
                </w:p>
              </w:tc>
              <w:tc>
                <w:tcPr>
                  <w:tcW w:w="1312" w:type="dxa"/>
                  <w:tcBorders>
                    <w:tl2br w:val="nil"/>
                    <w:tr2bl w:val="nil"/>
                  </w:tcBorders>
                  <w:vAlign w:val="center"/>
                </w:tcPr>
                <w:p w14:paraId="33CF69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无组织</w:t>
                  </w:r>
                </w:p>
              </w:tc>
            </w:tr>
            <w:tr w14:paraId="23B3A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l2br w:val="nil"/>
                    <w:tr2bl w:val="nil"/>
                  </w:tcBorders>
                  <w:vAlign w:val="center"/>
                </w:tcPr>
                <w:p w14:paraId="7B6329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G</w:t>
                  </w:r>
                  <w:r>
                    <w:rPr>
                      <w:rFonts w:hint="default" w:ascii="Times New Roman" w:hAnsi="Times New Roman" w:eastAsia="宋体" w:cs="Times New Roman"/>
                      <w:b w:val="0"/>
                      <w:bCs w:val="0"/>
                      <w:color w:val="auto"/>
                      <w:kern w:val="2"/>
                      <w:sz w:val="21"/>
                      <w:szCs w:val="21"/>
                      <w:vertAlign w:val="subscript"/>
                      <w:lang w:val="en-US" w:eastAsia="zh-CN" w:bidi="ar-SA"/>
                    </w:rPr>
                    <w:t>1-</w:t>
                  </w:r>
                  <w:r>
                    <w:rPr>
                      <w:rFonts w:hint="eastAsia" w:cs="Times New Roman"/>
                      <w:b w:val="0"/>
                      <w:bCs w:val="0"/>
                      <w:color w:val="auto"/>
                      <w:kern w:val="2"/>
                      <w:sz w:val="21"/>
                      <w:szCs w:val="21"/>
                      <w:vertAlign w:val="subscript"/>
                      <w:lang w:val="en-US" w:eastAsia="zh-CN" w:bidi="ar-SA"/>
                    </w:rPr>
                    <w:t>2</w:t>
                  </w:r>
                </w:p>
              </w:tc>
              <w:tc>
                <w:tcPr>
                  <w:tcW w:w="1356" w:type="dxa"/>
                  <w:tcBorders>
                    <w:tl2br w:val="nil"/>
                    <w:tr2bl w:val="nil"/>
                  </w:tcBorders>
                  <w:vAlign w:val="center"/>
                </w:tcPr>
                <w:p w14:paraId="6A8F5A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粉煤灰筒仓</w:t>
                  </w:r>
                </w:p>
              </w:tc>
              <w:tc>
                <w:tcPr>
                  <w:tcW w:w="1121" w:type="dxa"/>
                  <w:tcBorders>
                    <w:tl2br w:val="nil"/>
                    <w:tr2bl w:val="nil"/>
                  </w:tcBorders>
                  <w:vAlign w:val="center"/>
                </w:tcPr>
                <w:p w14:paraId="422C4B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颗粒物</w:t>
                  </w:r>
                </w:p>
              </w:tc>
              <w:tc>
                <w:tcPr>
                  <w:tcW w:w="3081" w:type="dxa"/>
                  <w:tcBorders>
                    <w:tl2br w:val="nil"/>
                    <w:tr2bl w:val="nil"/>
                  </w:tcBorders>
                  <w:vAlign w:val="center"/>
                </w:tcPr>
                <w:p w14:paraId="14C894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仓顶脉冲除尘器处理</w:t>
                  </w:r>
                </w:p>
              </w:tc>
              <w:tc>
                <w:tcPr>
                  <w:tcW w:w="1312" w:type="dxa"/>
                  <w:tcBorders>
                    <w:tl2br w:val="nil"/>
                    <w:tr2bl w:val="nil"/>
                  </w:tcBorders>
                  <w:vAlign w:val="center"/>
                </w:tcPr>
                <w:p w14:paraId="741563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无组织</w:t>
                  </w:r>
                </w:p>
              </w:tc>
            </w:tr>
            <w:tr w14:paraId="0FE35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l2br w:val="nil"/>
                    <w:tr2bl w:val="nil"/>
                  </w:tcBorders>
                  <w:vAlign w:val="center"/>
                </w:tcPr>
                <w:p w14:paraId="07F9F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G</w:t>
                  </w:r>
                  <w:r>
                    <w:rPr>
                      <w:rFonts w:hint="default" w:ascii="Times New Roman" w:hAnsi="Times New Roman" w:eastAsia="宋体" w:cs="Times New Roman"/>
                      <w:b w:val="0"/>
                      <w:bCs w:val="0"/>
                      <w:color w:val="auto"/>
                      <w:kern w:val="2"/>
                      <w:sz w:val="21"/>
                      <w:szCs w:val="21"/>
                      <w:vertAlign w:val="subscript"/>
                      <w:lang w:val="en-US" w:eastAsia="zh-CN" w:bidi="ar-SA"/>
                    </w:rPr>
                    <w:t>1-</w:t>
                  </w:r>
                  <w:r>
                    <w:rPr>
                      <w:rFonts w:hint="eastAsia" w:cs="Times New Roman"/>
                      <w:b w:val="0"/>
                      <w:bCs w:val="0"/>
                      <w:color w:val="auto"/>
                      <w:kern w:val="2"/>
                      <w:sz w:val="21"/>
                      <w:szCs w:val="21"/>
                      <w:vertAlign w:val="subscript"/>
                      <w:lang w:val="en-US" w:eastAsia="zh-CN" w:bidi="ar-SA"/>
                    </w:rPr>
                    <w:t>3</w:t>
                  </w:r>
                </w:p>
              </w:tc>
              <w:tc>
                <w:tcPr>
                  <w:tcW w:w="1356" w:type="dxa"/>
                  <w:tcBorders>
                    <w:tl2br w:val="nil"/>
                    <w:tr2bl w:val="nil"/>
                  </w:tcBorders>
                  <w:vAlign w:val="center"/>
                </w:tcPr>
                <w:p w14:paraId="3F387B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堆料棚</w:t>
                  </w:r>
                </w:p>
              </w:tc>
              <w:tc>
                <w:tcPr>
                  <w:tcW w:w="1121" w:type="dxa"/>
                  <w:tcBorders>
                    <w:tl2br w:val="nil"/>
                    <w:tr2bl w:val="nil"/>
                  </w:tcBorders>
                  <w:vAlign w:val="center"/>
                </w:tcPr>
                <w:p w14:paraId="2A8AAC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颗粒物</w:t>
                  </w:r>
                </w:p>
              </w:tc>
              <w:tc>
                <w:tcPr>
                  <w:tcW w:w="3081" w:type="dxa"/>
                  <w:tcBorders>
                    <w:tl2br w:val="nil"/>
                    <w:tr2bl w:val="nil"/>
                  </w:tcBorders>
                  <w:vAlign w:val="center"/>
                </w:tcPr>
                <w:p w14:paraId="69CDC9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洒水抑尘</w:t>
                  </w:r>
                </w:p>
              </w:tc>
              <w:tc>
                <w:tcPr>
                  <w:tcW w:w="1312" w:type="dxa"/>
                  <w:tcBorders>
                    <w:tl2br w:val="nil"/>
                    <w:tr2bl w:val="nil"/>
                  </w:tcBorders>
                  <w:vAlign w:val="center"/>
                </w:tcPr>
                <w:p w14:paraId="3489C8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无组织</w:t>
                  </w:r>
                </w:p>
              </w:tc>
            </w:tr>
            <w:tr w14:paraId="1CD35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l2br w:val="nil"/>
                    <w:tr2bl w:val="nil"/>
                  </w:tcBorders>
                  <w:vAlign w:val="center"/>
                </w:tcPr>
                <w:p w14:paraId="7B6918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G</w:t>
                  </w:r>
                  <w:r>
                    <w:rPr>
                      <w:rFonts w:hint="default" w:ascii="Times New Roman" w:hAnsi="Times New Roman" w:eastAsia="宋体" w:cs="Times New Roman"/>
                      <w:b w:val="0"/>
                      <w:bCs w:val="0"/>
                      <w:color w:val="auto"/>
                      <w:kern w:val="2"/>
                      <w:sz w:val="21"/>
                      <w:szCs w:val="21"/>
                      <w:vertAlign w:val="subscript"/>
                      <w:lang w:val="en-US" w:eastAsia="zh-CN" w:bidi="ar-SA"/>
                    </w:rPr>
                    <w:t>1-</w:t>
                  </w:r>
                  <w:r>
                    <w:rPr>
                      <w:rFonts w:hint="eastAsia" w:cs="Times New Roman"/>
                      <w:b w:val="0"/>
                      <w:bCs w:val="0"/>
                      <w:color w:val="auto"/>
                      <w:kern w:val="2"/>
                      <w:sz w:val="21"/>
                      <w:szCs w:val="21"/>
                      <w:vertAlign w:val="subscript"/>
                      <w:lang w:val="en-US" w:eastAsia="zh-CN" w:bidi="ar-SA"/>
                    </w:rPr>
                    <w:t>4</w:t>
                  </w:r>
                </w:p>
              </w:tc>
              <w:tc>
                <w:tcPr>
                  <w:tcW w:w="1356" w:type="dxa"/>
                  <w:tcBorders>
                    <w:tl2br w:val="nil"/>
                    <w:tr2bl w:val="nil"/>
                  </w:tcBorders>
                  <w:vAlign w:val="center"/>
                </w:tcPr>
                <w:p w14:paraId="16C4A5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混合搅拌</w:t>
                  </w:r>
                </w:p>
              </w:tc>
              <w:tc>
                <w:tcPr>
                  <w:tcW w:w="1121" w:type="dxa"/>
                  <w:tcBorders>
                    <w:tl2br w:val="nil"/>
                    <w:tr2bl w:val="nil"/>
                  </w:tcBorders>
                  <w:vAlign w:val="center"/>
                </w:tcPr>
                <w:p w14:paraId="6343B6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颗粒物</w:t>
                  </w:r>
                </w:p>
              </w:tc>
              <w:tc>
                <w:tcPr>
                  <w:tcW w:w="3081" w:type="dxa"/>
                  <w:tcBorders>
                    <w:tl2br w:val="nil"/>
                    <w:tr2bl w:val="nil"/>
                  </w:tcBorders>
                  <w:vAlign w:val="center"/>
                </w:tcPr>
                <w:p w14:paraId="56911B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混合搅拌工序搅拌机为全密闭搅拌机，配料口直接连接搅拌机，搅拌过程大量加水</w:t>
                  </w:r>
                </w:p>
              </w:tc>
              <w:tc>
                <w:tcPr>
                  <w:tcW w:w="1312" w:type="dxa"/>
                  <w:tcBorders>
                    <w:tl2br w:val="nil"/>
                    <w:tr2bl w:val="nil"/>
                  </w:tcBorders>
                  <w:vAlign w:val="center"/>
                </w:tcPr>
                <w:p w14:paraId="65AD95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无组织</w:t>
                  </w:r>
                </w:p>
              </w:tc>
            </w:tr>
          </w:tbl>
          <w:p w14:paraId="136FC0B1">
            <w:pPr>
              <w:keepNext w:val="0"/>
              <w:keepLines w:val="0"/>
              <w:pageBreakBefore w:val="0"/>
              <w:widowControl w:val="0"/>
              <w:numPr>
                <w:ilvl w:val="0"/>
                <w:numId w:val="0"/>
              </w:numPr>
              <w:kinsoku/>
              <w:wordWrap/>
              <w:overflowPunct/>
              <w:topLinePunct w:val="0"/>
              <w:autoSpaceDE/>
              <w:autoSpaceDN/>
              <w:bidi w:val="0"/>
              <w:adjustRightInd w:val="0"/>
              <w:snapToGrid w:val="0"/>
              <w:spacing w:before="63" w:beforeLines="20" w:line="360" w:lineRule="auto"/>
              <w:ind w:firstLine="482" w:firstLineChars="200"/>
              <w:textAlignment w:val="auto"/>
              <w:rPr>
                <w:rFonts w:hint="eastAsia" w:eastAsia="仿宋_GB2312" w:cs="Times New Roman"/>
                <w:b w:val="0"/>
                <w:bCs w:val="0"/>
                <w:color w:val="auto"/>
                <w:kern w:val="2"/>
                <w:sz w:val="24"/>
                <w:szCs w:val="24"/>
                <w:highlight w:val="none"/>
                <w:vertAlign w:val="subscript"/>
                <w:lang w:val="en-US" w:eastAsia="zh-CN" w:bidi="ar-SA"/>
              </w:rPr>
            </w:pPr>
            <w:r>
              <w:rPr>
                <w:rFonts w:hint="default" w:ascii="Times New Roman" w:hAnsi="Times New Roman" w:eastAsia="仿宋_GB2312" w:cs="Times New Roman"/>
                <w:b/>
                <w:bCs/>
                <w:color w:val="auto"/>
                <w:kern w:val="2"/>
                <w:sz w:val="24"/>
                <w:szCs w:val="24"/>
                <w:lang w:val="en-US" w:eastAsia="zh-CN" w:bidi="ar-SA"/>
              </w:rPr>
              <w:t>②</w:t>
            </w:r>
            <w:r>
              <w:rPr>
                <w:rFonts w:hint="eastAsia" w:eastAsia="仿宋_GB2312" w:cs="Times New Roman"/>
                <w:b w:val="0"/>
                <w:bCs w:val="0"/>
                <w:color w:val="auto"/>
                <w:kern w:val="2"/>
                <w:sz w:val="24"/>
                <w:szCs w:val="24"/>
                <w:highlight w:val="none"/>
                <w:lang w:val="en-US" w:eastAsia="zh-CN" w:bidi="ar-SA"/>
              </w:rPr>
              <w:t>食堂油烟G</w:t>
            </w:r>
            <w:r>
              <w:rPr>
                <w:rFonts w:hint="eastAsia" w:eastAsia="仿宋_GB2312" w:cs="Times New Roman"/>
                <w:b w:val="0"/>
                <w:bCs w:val="0"/>
                <w:color w:val="auto"/>
                <w:kern w:val="2"/>
                <w:sz w:val="24"/>
                <w:szCs w:val="24"/>
                <w:highlight w:val="none"/>
                <w:vertAlign w:val="subscript"/>
                <w:lang w:val="en-US" w:eastAsia="zh-CN" w:bidi="ar-SA"/>
              </w:rPr>
              <w:t>2</w:t>
            </w:r>
          </w:p>
          <w:p w14:paraId="4FC42E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eastAsia="仿宋_GB2312" w:cs="Times New Roman"/>
                <w:b w:val="0"/>
                <w:bCs w:val="0"/>
                <w:color w:val="auto"/>
                <w:kern w:val="2"/>
                <w:sz w:val="24"/>
                <w:szCs w:val="24"/>
                <w:highlight w:val="none"/>
                <w:vertAlign w:val="baseline"/>
                <w:lang w:val="en-US" w:eastAsia="zh-CN" w:bidi="ar-SA"/>
              </w:rPr>
            </w:pPr>
            <w:r>
              <w:rPr>
                <w:rFonts w:hint="eastAsia" w:eastAsia="仿宋_GB2312" w:cs="Times New Roman"/>
                <w:b w:val="0"/>
                <w:bCs w:val="0"/>
                <w:color w:val="auto"/>
                <w:kern w:val="2"/>
                <w:sz w:val="24"/>
                <w:szCs w:val="24"/>
                <w:highlight w:val="none"/>
                <w:vertAlign w:val="baseline"/>
                <w:lang w:val="en-US" w:eastAsia="zh-CN" w:bidi="ar-SA"/>
              </w:rPr>
              <w:t>食堂产生的食堂油烟经烟气净化装置处理后，经专用烟道引至引至屋顶排放。</w:t>
            </w:r>
          </w:p>
          <w:p w14:paraId="44F96C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eastAsia" w:eastAsia="仿宋_GB2312" w:cs="Times New Roman"/>
                <w:b w:val="0"/>
                <w:bCs w:val="0"/>
                <w:color w:val="auto"/>
                <w:kern w:val="2"/>
                <w:sz w:val="24"/>
                <w:szCs w:val="24"/>
                <w:highlight w:val="none"/>
                <w:lang w:val="en-US" w:eastAsia="zh-CN" w:bidi="ar-SA"/>
              </w:rPr>
              <w:t>（2）</w:t>
            </w:r>
            <w:r>
              <w:rPr>
                <w:rFonts w:hint="default" w:ascii="Times New Roman" w:hAnsi="Times New Roman" w:eastAsia="仿宋_GB2312" w:cs="Times New Roman"/>
                <w:b w:val="0"/>
                <w:bCs w:val="0"/>
                <w:color w:val="auto"/>
                <w:kern w:val="2"/>
                <w:sz w:val="24"/>
                <w:szCs w:val="24"/>
                <w:highlight w:val="none"/>
                <w:lang w:val="en-US" w:eastAsia="zh-CN" w:bidi="ar-SA"/>
              </w:rPr>
              <w:t>废水</w:t>
            </w:r>
          </w:p>
          <w:p w14:paraId="32CC79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val="0"/>
                <w:bCs w:val="0"/>
                <w:color w:val="auto"/>
                <w:kern w:val="2"/>
                <w:sz w:val="24"/>
                <w:szCs w:val="24"/>
                <w:highlight w:val="none"/>
                <w:lang w:val="en-US" w:eastAsia="zh-CN" w:bidi="ar-SA"/>
              </w:rPr>
              <w:t>本项目运营期</w:t>
            </w:r>
            <w:r>
              <w:rPr>
                <w:rFonts w:hint="eastAsia" w:eastAsia="仿宋_GB2312" w:cs="Times New Roman"/>
                <w:b w:val="0"/>
                <w:bCs/>
                <w:color w:val="auto"/>
                <w:sz w:val="24"/>
                <w:szCs w:val="24"/>
                <w:highlight w:val="none"/>
                <w:lang w:val="en-US" w:eastAsia="zh-CN"/>
              </w:rPr>
              <w:t>食堂</w:t>
            </w:r>
            <w:r>
              <w:rPr>
                <w:rFonts w:hint="eastAsia" w:eastAsia="仿宋_GB2312" w:cs="Times New Roman"/>
                <w:b w:val="0"/>
                <w:bCs w:val="0"/>
                <w:color w:val="auto"/>
                <w:kern w:val="2"/>
                <w:sz w:val="24"/>
                <w:szCs w:val="24"/>
                <w:highlight w:val="none"/>
                <w:lang w:val="en-US" w:eastAsia="zh-CN" w:bidi="ar-SA"/>
              </w:rPr>
              <w:t>废水经隔油设施隔油后，与</w:t>
            </w:r>
            <w:r>
              <w:rPr>
                <w:rFonts w:hint="default" w:ascii="Times New Roman" w:hAnsi="Times New Roman" w:eastAsia="仿宋_GB2312" w:cs="Times New Roman"/>
                <w:b w:val="0"/>
                <w:bCs w:val="0"/>
                <w:color w:val="auto"/>
                <w:kern w:val="2"/>
                <w:sz w:val="24"/>
                <w:szCs w:val="24"/>
                <w:highlight w:val="none"/>
                <w:lang w:val="en-US" w:eastAsia="zh-CN" w:bidi="ar-SA"/>
              </w:rPr>
              <w:t>生活污水</w:t>
            </w:r>
            <w:r>
              <w:rPr>
                <w:rFonts w:hint="eastAsia" w:eastAsia="仿宋_GB2312" w:cs="Times New Roman"/>
                <w:b w:val="0"/>
                <w:bCs w:val="0"/>
                <w:color w:val="auto"/>
                <w:kern w:val="2"/>
                <w:sz w:val="24"/>
                <w:szCs w:val="24"/>
                <w:highlight w:val="none"/>
                <w:lang w:val="en-US" w:eastAsia="zh-CN" w:bidi="ar-SA"/>
              </w:rPr>
              <w:t>一同</w:t>
            </w:r>
            <w:r>
              <w:rPr>
                <w:rFonts w:hint="default" w:ascii="Times New Roman" w:hAnsi="Times New Roman" w:eastAsia="仿宋_GB2312" w:cs="Times New Roman"/>
                <w:b w:val="0"/>
                <w:bCs w:val="0"/>
                <w:color w:val="auto"/>
                <w:kern w:val="2"/>
                <w:sz w:val="24"/>
                <w:szCs w:val="24"/>
                <w:highlight w:val="none"/>
                <w:lang w:val="en-US" w:eastAsia="zh-CN" w:bidi="ar-SA"/>
              </w:rPr>
              <w:t>经化粪池（</w:t>
            </w:r>
            <w:r>
              <w:rPr>
                <w:rFonts w:hint="eastAsia" w:eastAsia="仿宋_GB2312" w:cs="Times New Roman"/>
                <w:b w:val="0"/>
                <w:bCs w:val="0"/>
                <w:color w:val="auto"/>
                <w:kern w:val="2"/>
                <w:sz w:val="24"/>
                <w:szCs w:val="24"/>
                <w:highlight w:val="none"/>
                <w:lang w:val="en-US" w:eastAsia="zh-CN" w:bidi="ar-SA"/>
              </w:rPr>
              <w:t>16</w:t>
            </w:r>
            <w:r>
              <w:rPr>
                <w:rFonts w:hint="default" w:ascii="Times New Roman" w:hAnsi="Times New Roman" w:eastAsia="仿宋_GB2312" w:cs="Times New Roman"/>
                <w:b w:val="0"/>
                <w:bCs w:val="0"/>
                <w:color w:val="auto"/>
                <w:kern w:val="2"/>
                <w:sz w:val="24"/>
                <w:szCs w:val="24"/>
                <w:highlight w:val="none"/>
                <w:lang w:val="en-US" w:eastAsia="zh-CN" w:bidi="ar-SA"/>
              </w:rPr>
              <w:t>m</w:t>
            </w:r>
            <w:r>
              <w:rPr>
                <w:rFonts w:hint="default" w:ascii="Times New Roman" w:hAnsi="Times New Roman" w:eastAsia="仿宋_GB2312" w:cs="Times New Roman"/>
                <w:b w:val="0"/>
                <w:bCs w:val="0"/>
                <w:color w:val="auto"/>
                <w:kern w:val="2"/>
                <w:sz w:val="24"/>
                <w:szCs w:val="24"/>
                <w:highlight w:val="none"/>
                <w:vertAlign w:val="superscript"/>
                <w:lang w:val="en-US" w:eastAsia="zh-CN" w:bidi="ar-SA"/>
              </w:rPr>
              <w:t>3</w:t>
            </w:r>
            <w:r>
              <w:rPr>
                <w:rFonts w:hint="default" w:ascii="Times New Roman" w:hAnsi="Times New Roman" w:eastAsia="仿宋_GB2312" w:cs="Times New Roman"/>
                <w:b w:val="0"/>
                <w:bCs w:val="0"/>
                <w:color w:val="auto"/>
                <w:kern w:val="2"/>
                <w:sz w:val="24"/>
                <w:szCs w:val="24"/>
                <w:highlight w:val="none"/>
                <w:lang w:val="en-US" w:eastAsia="zh-CN" w:bidi="ar-SA"/>
              </w:rPr>
              <w:t>）处理后，定期通过吸污车拉运</w:t>
            </w:r>
            <w:r>
              <w:rPr>
                <w:rFonts w:hint="eastAsia" w:eastAsia="仿宋_GB2312" w:cs="Times New Roman"/>
                <w:b w:val="0"/>
                <w:bCs w:val="0"/>
                <w:color w:val="auto"/>
                <w:kern w:val="2"/>
                <w:sz w:val="24"/>
                <w:szCs w:val="24"/>
                <w:highlight w:val="none"/>
                <w:lang w:val="en-US" w:eastAsia="zh-CN" w:bidi="ar-SA"/>
              </w:rPr>
              <w:t>中卫市沙坡头区兴仁镇污水</w:t>
            </w:r>
            <w:r>
              <w:rPr>
                <w:rFonts w:hint="default" w:ascii="Times New Roman" w:hAnsi="Times New Roman" w:eastAsia="仿宋_GB2312" w:cs="Times New Roman"/>
                <w:b w:val="0"/>
                <w:bCs w:val="0"/>
                <w:color w:val="auto"/>
                <w:kern w:val="2"/>
                <w:sz w:val="24"/>
                <w:szCs w:val="24"/>
                <w:highlight w:val="none"/>
                <w:lang w:val="en-US" w:eastAsia="zh-CN" w:bidi="ar-SA"/>
              </w:rPr>
              <w:t>处理厂进行处理。</w:t>
            </w:r>
            <w:r>
              <w:rPr>
                <w:rFonts w:hint="default" w:ascii="Times New Roman" w:hAnsi="Times New Roman" w:eastAsia="仿宋_GB2312" w:cs="Times New Roman"/>
                <w:color w:val="auto"/>
                <w:sz w:val="24"/>
                <w:lang w:eastAsia="zh-CN"/>
              </w:rPr>
              <w:t>车辆冲洗废水</w:t>
            </w:r>
            <w:r>
              <w:rPr>
                <w:rFonts w:hint="eastAsia"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清洗搅拌机废水</w:t>
            </w:r>
            <w:r>
              <w:rPr>
                <w:rFonts w:hint="default" w:ascii="Times New Roman" w:hAnsi="Times New Roman" w:eastAsia="仿宋_GB2312" w:cs="Times New Roman"/>
                <w:b w:val="0"/>
                <w:bCs w:val="0"/>
                <w:color w:val="auto"/>
                <w:kern w:val="2"/>
                <w:sz w:val="24"/>
                <w:szCs w:val="24"/>
                <w:highlight w:val="none"/>
                <w:lang w:val="en-US" w:eastAsia="zh-CN" w:bidi="ar-SA"/>
              </w:rPr>
              <w:t>经沉淀后进行回用，不外排。</w:t>
            </w:r>
          </w:p>
          <w:p w14:paraId="4ECB79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eastAsia="仿宋_GB2312" w:cs="Times New Roman"/>
                <w:b w:val="0"/>
                <w:bCs w:val="0"/>
                <w:color w:val="auto"/>
                <w:kern w:val="2"/>
                <w:sz w:val="24"/>
                <w:szCs w:val="24"/>
                <w:lang w:val="en-US" w:eastAsia="zh-CN" w:bidi="ar-SA"/>
              </w:rPr>
              <w:t>（3）</w:t>
            </w:r>
            <w:r>
              <w:rPr>
                <w:rFonts w:hint="eastAsia" w:ascii="Times New Roman" w:hAnsi="Times New Roman" w:eastAsia="仿宋_GB2312" w:cs="Times New Roman"/>
                <w:b w:val="0"/>
                <w:bCs w:val="0"/>
                <w:color w:val="auto"/>
                <w:kern w:val="2"/>
                <w:sz w:val="24"/>
                <w:szCs w:val="24"/>
                <w:lang w:val="en-US" w:eastAsia="zh-CN" w:bidi="ar-SA"/>
              </w:rPr>
              <w:t>噪声</w:t>
            </w:r>
          </w:p>
          <w:p w14:paraId="2461E1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2"/>
                <w:sz w:val="24"/>
                <w:szCs w:val="24"/>
                <w:lang w:val="en-US" w:eastAsia="zh-CN" w:bidi="ar-SA"/>
              </w:rPr>
              <w:t>本项目运营期噪声污染源主要</w:t>
            </w:r>
            <w:r>
              <w:rPr>
                <w:rFonts w:hint="eastAsia" w:eastAsia="仿宋_GB2312" w:cs="Times New Roman"/>
                <w:color w:val="auto"/>
                <w:kern w:val="2"/>
                <w:sz w:val="24"/>
                <w:szCs w:val="24"/>
                <w:lang w:val="en-US" w:eastAsia="zh-CN" w:bidi="ar-SA"/>
              </w:rPr>
              <w:t>为</w:t>
            </w:r>
            <w:r>
              <w:rPr>
                <w:rFonts w:hint="default" w:ascii="Times New Roman" w:hAnsi="Times New Roman" w:eastAsia="仿宋_GB2312" w:cs="Times New Roman"/>
                <w:b w:val="0"/>
                <w:bCs w:val="0"/>
                <w:color w:val="auto"/>
                <w:kern w:val="2"/>
                <w:sz w:val="24"/>
                <w:szCs w:val="24"/>
                <w:lang w:val="en-US" w:eastAsia="zh-CN" w:bidi="ar-SA"/>
              </w:rPr>
              <w:t>皮带输送机、水泵、搅拌机、</w:t>
            </w:r>
            <w:r>
              <w:rPr>
                <w:rFonts w:hint="default" w:ascii="Times New Roman" w:hAnsi="Times New Roman" w:eastAsia="仿宋_GB2312" w:cs="Times New Roman"/>
                <w:color w:val="auto"/>
                <w:kern w:val="2"/>
                <w:sz w:val="24"/>
                <w:szCs w:val="24"/>
                <w:lang w:val="en-US" w:eastAsia="zh-CN" w:bidi="ar-SA"/>
              </w:rPr>
              <w:t>提升机等设备运转时产生的噪声及车辆噪声，噪声源强为</w:t>
            </w:r>
            <w:r>
              <w:rPr>
                <w:rFonts w:hint="eastAsia" w:eastAsia="仿宋_GB2312" w:cs="Times New Roman"/>
                <w:color w:val="auto"/>
                <w:kern w:val="2"/>
                <w:sz w:val="24"/>
                <w:szCs w:val="24"/>
                <w:lang w:val="en-US" w:eastAsia="zh-CN" w:bidi="ar-SA"/>
              </w:rPr>
              <w:t>75</w:t>
            </w:r>
            <w:r>
              <w:rPr>
                <w:rFonts w:hint="default" w:ascii="Times New Roman" w:hAnsi="Times New Roman" w:eastAsia="仿宋_GB2312" w:cs="Times New Roman"/>
                <w:color w:val="auto"/>
                <w:kern w:val="2"/>
                <w:sz w:val="24"/>
                <w:szCs w:val="24"/>
                <w:lang w:val="en-US" w:eastAsia="zh-CN" w:bidi="ar-SA"/>
              </w:rPr>
              <w:t>dB(A)~95dB(A)。</w:t>
            </w:r>
            <w:r>
              <w:rPr>
                <w:rFonts w:hint="default" w:ascii="Times New Roman" w:hAnsi="Times New Roman" w:eastAsia="仿宋_GB2312" w:cs="Times New Roman"/>
                <w:color w:val="auto"/>
                <w:kern w:val="0"/>
                <w:sz w:val="24"/>
                <w:szCs w:val="24"/>
                <w:highlight w:val="none"/>
                <w:lang w:val="en-US" w:eastAsia="zh-CN"/>
              </w:rPr>
              <w:t>项目附近50m范围内无声环境保护目标，且通</w:t>
            </w:r>
            <w:r>
              <w:rPr>
                <w:rFonts w:hint="default" w:ascii="Times New Roman" w:hAnsi="Times New Roman" w:eastAsia="仿宋_GB2312" w:cs="Times New Roman"/>
                <w:color w:val="auto"/>
                <w:kern w:val="0"/>
                <w:sz w:val="24"/>
                <w:szCs w:val="24"/>
                <w:lang w:val="en-US" w:eastAsia="zh-CN"/>
              </w:rPr>
              <w:t>过采用低噪声设备，合理布局、并采取基础减振、厂房隔声等降噪措施和距离衰减等处理措施后对周围环境影响较小。</w:t>
            </w:r>
          </w:p>
          <w:p w14:paraId="7B5A7A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auto"/>
                <w:kern w:val="0"/>
                <w:sz w:val="24"/>
                <w:szCs w:val="24"/>
                <w:lang w:val="en-US" w:eastAsia="zh-CN"/>
              </w:rPr>
            </w:pPr>
            <w:r>
              <w:rPr>
                <w:rFonts w:hint="eastAsia" w:eastAsia="仿宋_GB2312" w:cs="Times New Roman"/>
                <w:color w:val="auto"/>
                <w:kern w:val="0"/>
                <w:sz w:val="24"/>
                <w:szCs w:val="24"/>
                <w:lang w:val="en-US" w:eastAsia="zh-CN"/>
              </w:rPr>
              <w:t>（4）</w:t>
            </w:r>
            <w:r>
              <w:rPr>
                <w:rFonts w:hint="eastAsia" w:ascii="Times New Roman" w:hAnsi="Times New Roman" w:eastAsia="仿宋_GB2312" w:cs="Times New Roman"/>
                <w:color w:val="auto"/>
                <w:kern w:val="0"/>
                <w:sz w:val="24"/>
                <w:szCs w:val="24"/>
                <w:lang w:val="en-US" w:eastAsia="zh-CN"/>
              </w:rPr>
              <w:t>固体废物</w:t>
            </w:r>
          </w:p>
          <w:p w14:paraId="61564D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本项目运营期固体废物包括生活垃圾、一般工业固体废物。</w:t>
            </w:r>
          </w:p>
          <w:p w14:paraId="0FF12E9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b/>
                <w:bCs/>
                <w:color w:val="auto"/>
                <w:kern w:val="0"/>
                <w:sz w:val="24"/>
                <w:szCs w:val="24"/>
                <w:lang w:val="en-US" w:eastAsia="zh-CN"/>
              </w:rPr>
              <w:t>生活垃圾</w:t>
            </w:r>
            <w:r>
              <w:rPr>
                <w:rFonts w:hint="default" w:ascii="Times New Roman" w:hAnsi="Times New Roman" w:eastAsia="仿宋_GB2312" w:cs="Times New Roman"/>
                <w:color w:val="auto"/>
                <w:kern w:val="0"/>
                <w:sz w:val="24"/>
                <w:szCs w:val="24"/>
                <w:lang w:val="en-US" w:eastAsia="zh-CN"/>
              </w:rPr>
              <w:t>：本项目运营期生活垃圾集中收集后交由市政环卫部门统一处理。</w:t>
            </w:r>
          </w:p>
          <w:p w14:paraId="032B0B0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b/>
                <w:bCs/>
                <w:color w:val="auto"/>
                <w:kern w:val="0"/>
                <w:sz w:val="24"/>
                <w:szCs w:val="24"/>
                <w:lang w:val="en-US" w:eastAsia="zh-CN"/>
              </w:rPr>
              <w:t>一般工业固体废物：</w:t>
            </w:r>
          </w:p>
          <w:p w14:paraId="6269849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b/>
                <w:bCs/>
                <w:color w:val="auto"/>
                <w:kern w:val="2"/>
                <w:sz w:val="24"/>
                <w:szCs w:val="24"/>
                <w:lang w:val="en-US" w:eastAsia="zh-CN" w:bidi="ar-SA"/>
              </w:rPr>
              <w:t>①</w:t>
            </w:r>
            <w:r>
              <w:rPr>
                <w:rFonts w:hint="default" w:ascii="Times New Roman" w:hAnsi="Times New Roman" w:eastAsia="仿宋_GB2312" w:cs="Times New Roman"/>
                <w:color w:val="auto"/>
                <w:kern w:val="0"/>
                <w:sz w:val="24"/>
                <w:szCs w:val="24"/>
                <w:lang w:val="en-US" w:eastAsia="zh-CN"/>
              </w:rPr>
              <w:t>沉淀池沉渣（S</w:t>
            </w:r>
            <w:r>
              <w:rPr>
                <w:rFonts w:hint="default" w:ascii="Times New Roman" w:hAnsi="Times New Roman" w:eastAsia="仿宋_GB2312" w:cs="Times New Roman"/>
                <w:color w:val="auto"/>
                <w:kern w:val="0"/>
                <w:sz w:val="24"/>
                <w:szCs w:val="24"/>
                <w:vertAlign w:val="subscript"/>
                <w:lang w:val="en-US" w:eastAsia="zh-CN"/>
              </w:rPr>
              <w:t>1-1</w:t>
            </w:r>
            <w:r>
              <w:rPr>
                <w:rFonts w:hint="default" w:ascii="Times New Roman" w:hAnsi="Times New Roman" w:eastAsia="仿宋_GB2312" w:cs="Times New Roman"/>
                <w:color w:val="auto"/>
                <w:kern w:val="0"/>
                <w:sz w:val="24"/>
                <w:szCs w:val="24"/>
                <w:lang w:val="en-US" w:eastAsia="zh-CN"/>
              </w:rPr>
              <w:t>）：</w:t>
            </w:r>
          </w:p>
          <w:p w14:paraId="283C5E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本项目沉淀池沉渣主要为对罐车、搅拌机冲洗后产生的砂石，定期清捞后回用于</w:t>
            </w:r>
            <w:r>
              <w:rPr>
                <w:rFonts w:hint="eastAsia" w:eastAsia="仿宋_GB2312" w:cs="Times New Roman"/>
                <w:color w:val="auto"/>
                <w:kern w:val="0"/>
                <w:sz w:val="24"/>
                <w:szCs w:val="24"/>
                <w:lang w:val="en-US" w:eastAsia="zh-CN"/>
              </w:rPr>
              <w:t>水泥</w:t>
            </w:r>
            <w:r>
              <w:rPr>
                <w:rFonts w:hint="default" w:ascii="Times New Roman" w:hAnsi="Times New Roman" w:eastAsia="仿宋_GB2312" w:cs="Times New Roman"/>
                <w:color w:val="auto"/>
                <w:kern w:val="0"/>
                <w:sz w:val="24"/>
                <w:szCs w:val="24"/>
                <w:lang w:val="en-US" w:eastAsia="zh-CN"/>
              </w:rPr>
              <w:t>混凝土生产线。</w:t>
            </w:r>
          </w:p>
          <w:p w14:paraId="5D8202B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b/>
                <w:bCs/>
                <w:color w:val="auto"/>
                <w:kern w:val="2"/>
                <w:sz w:val="24"/>
                <w:szCs w:val="24"/>
                <w:lang w:val="en-US" w:eastAsia="zh-CN" w:bidi="ar-SA"/>
              </w:rPr>
              <w:t>②</w:t>
            </w:r>
            <w:r>
              <w:rPr>
                <w:rFonts w:hint="default" w:ascii="Times New Roman" w:hAnsi="Times New Roman" w:eastAsia="仿宋_GB2312" w:cs="Times New Roman"/>
                <w:color w:val="auto"/>
                <w:kern w:val="0"/>
                <w:sz w:val="24"/>
                <w:szCs w:val="24"/>
                <w:lang w:val="en-US" w:eastAsia="zh-CN"/>
              </w:rPr>
              <w:t>除尘器收尘灰（S</w:t>
            </w:r>
            <w:r>
              <w:rPr>
                <w:rFonts w:hint="default" w:ascii="Times New Roman" w:hAnsi="Times New Roman" w:eastAsia="仿宋_GB2312" w:cs="Times New Roman"/>
                <w:color w:val="auto"/>
                <w:kern w:val="0"/>
                <w:sz w:val="24"/>
                <w:szCs w:val="24"/>
                <w:vertAlign w:val="subscript"/>
                <w:lang w:val="en-US" w:eastAsia="zh-CN"/>
              </w:rPr>
              <w:t>1-2</w:t>
            </w:r>
            <w:r>
              <w:rPr>
                <w:rFonts w:hint="default" w:ascii="Times New Roman" w:hAnsi="Times New Roman" w:eastAsia="仿宋_GB2312" w:cs="Times New Roman"/>
                <w:color w:val="auto"/>
                <w:kern w:val="0"/>
                <w:sz w:val="24"/>
                <w:szCs w:val="24"/>
                <w:lang w:val="en-US" w:eastAsia="zh-CN"/>
              </w:rPr>
              <w:t>）：</w:t>
            </w:r>
          </w:p>
          <w:p w14:paraId="52DEA2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本项目搅拌机、筒仓</w:t>
            </w:r>
            <w:r>
              <w:rPr>
                <w:rFonts w:hint="eastAsia" w:ascii="Times New Roman" w:hAnsi="Times New Roman" w:eastAsia="仿宋_GB2312" w:cs="Times New Roman"/>
                <w:color w:val="auto"/>
                <w:kern w:val="0"/>
                <w:sz w:val="24"/>
                <w:szCs w:val="24"/>
                <w:lang w:val="en-US" w:eastAsia="zh-CN"/>
              </w:rPr>
              <w:t>产生的粉尘经除尘器收集后，</w:t>
            </w:r>
            <w:r>
              <w:rPr>
                <w:rFonts w:hint="default" w:ascii="Times New Roman" w:hAnsi="Times New Roman" w:eastAsia="仿宋_GB2312" w:cs="Times New Roman"/>
                <w:color w:val="auto"/>
                <w:kern w:val="0"/>
                <w:sz w:val="24"/>
                <w:szCs w:val="24"/>
                <w:lang w:val="en-US" w:eastAsia="zh-CN"/>
              </w:rPr>
              <w:t>回用于生产。</w:t>
            </w:r>
          </w:p>
          <w:p w14:paraId="4AC9BA66">
            <w:pPr>
              <w:pStyle w:val="59"/>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textAlignment w:val="baseline"/>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eastAsia="宋体" w:cs="Times New Roman"/>
                <w:color w:val="auto"/>
                <w:highlight w:val="none"/>
                <w:lang w:val="en-US" w:eastAsia="zh-CN"/>
              </w:rPr>
              <w:t>.</w:t>
            </w:r>
            <w:r>
              <w:rPr>
                <w:rFonts w:hint="eastAsia" w:eastAsia="宋体" w:cs="Times New Roman"/>
                <w:color w:val="auto"/>
                <w:highlight w:val="none"/>
                <w:lang w:val="en-US" w:eastAsia="zh-CN"/>
              </w:rPr>
              <w:t>服务期满后拆除</w:t>
            </w:r>
            <w:r>
              <w:rPr>
                <w:rFonts w:hint="eastAsia" w:ascii="Times New Roman" w:hAnsi="Times New Roman" w:eastAsia="宋体" w:cs="Times New Roman"/>
                <w:color w:val="auto"/>
                <w:highlight w:val="none"/>
                <w:lang w:val="en-US" w:eastAsia="zh-CN"/>
              </w:rPr>
              <w:t>工艺流程及产排污环节</w:t>
            </w:r>
          </w:p>
          <w:p w14:paraId="1E2740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eastAsia="仿宋_GB2312" w:cs="Times New Roman"/>
                <w:b/>
                <w:bCs/>
                <w:color w:val="auto"/>
                <w:sz w:val="24"/>
                <w:szCs w:val="24"/>
                <w:highlight w:val="none"/>
                <w:lang w:eastAsia="zh-CN"/>
              </w:rPr>
            </w:pPr>
            <w:r>
              <w:rPr>
                <w:rFonts w:hint="eastAsia" w:eastAsia="仿宋_GB2312" w:cs="Times New Roman"/>
                <w:b w:val="0"/>
                <w:bCs w:val="0"/>
                <w:color w:val="auto"/>
                <w:sz w:val="24"/>
                <w:szCs w:val="24"/>
                <w:highlight w:val="none"/>
                <w:lang w:val="en-US" w:eastAsia="zh-CN"/>
              </w:rPr>
              <w:t>根据临时用地批复，本项目临时用地有效期为1年，自文件发布之日起计算（即2025年10月11日），项目</w:t>
            </w:r>
            <w:r>
              <w:rPr>
                <w:rFonts w:hint="eastAsia" w:eastAsia="仿宋_GB2312" w:cs="Times New Roman"/>
                <w:b w:val="0"/>
                <w:bCs w:val="0"/>
                <w:color w:val="auto"/>
                <w:sz w:val="24"/>
                <w:szCs w:val="24"/>
                <w:highlight w:val="none"/>
                <w:lang w:eastAsia="zh-CN"/>
              </w:rPr>
              <w:t>服务期满后</w:t>
            </w:r>
            <w:r>
              <w:rPr>
                <w:rFonts w:hint="eastAsia" w:eastAsia="仿宋_GB2312" w:cs="Times New Roman"/>
                <w:b w:val="0"/>
                <w:bCs w:val="0"/>
                <w:color w:val="auto"/>
                <w:sz w:val="24"/>
                <w:szCs w:val="24"/>
                <w:highlight w:val="none"/>
                <w:lang w:val="en-US" w:eastAsia="zh-CN"/>
              </w:rPr>
              <w:t>，若继续延用，则需要办理相关手续，若不再延用，则需要全部拆除并根据临时用地土地复垦方案</w:t>
            </w:r>
            <w:r>
              <w:rPr>
                <w:rFonts w:hint="eastAsia" w:eastAsia="仿宋_GB2312" w:cs="Times New Roman"/>
                <w:b w:val="0"/>
                <w:bCs w:val="0"/>
                <w:color w:val="auto"/>
                <w:sz w:val="24"/>
                <w:szCs w:val="24"/>
                <w:highlight w:val="none"/>
                <w:lang w:eastAsia="zh-CN"/>
              </w:rPr>
              <w:t>进行</w:t>
            </w:r>
            <w:r>
              <w:rPr>
                <w:rFonts w:hint="eastAsia" w:eastAsia="仿宋_GB2312" w:cs="Times New Roman"/>
                <w:b w:val="0"/>
                <w:bCs w:val="0"/>
                <w:color w:val="auto"/>
                <w:sz w:val="24"/>
                <w:szCs w:val="24"/>
                <w:highlight w:val="none"/>
                <w:lang w:val="en-US" w:eastAsia="zh-CN"/>
              </w:rPr>
              <w:t>复垦。</w:t>
            </w:r>
          </w:p>
          <w:p w14:paraId="3B297FE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rPr>
                <w:rFonts w:hint="eastAsia" w:eastAsia="仿宋_GB2312"/>
                <w:bCs/>
                <w:color w:val="auto"/>
                <w:spacing w:val="-10"/>
                <w:sz w:val="24"/>
                <w:highlight w:val="none"/>
              </w:rPr>
            </w:pPr>
            <w:r>
              <w:rPr>
                <w:rFonts w:hint="eastAsia" w:eastAsia="仿宋_GB2312" w:cs="Times New Roman"/>
                <w:b/>
                <w:bCs/>
                <w:color w:val="auto"/>
                <w:sz w:val="24"/>
                <w:szCs w:val="24"/>
                <w:highlight w:val="none"/>
                <w:lang w:eastAsia="zh-CN"/>
              </w:rPr>
              <w:fldChar w:fldCharType="begin"/>
            </w:r>
            <w:r>
              <w:rPr>
                <w:rFonts w:hint="eastAsia" w:eastAsia="仿宋_GB2312" w:cs="Times New Roman"/>
                <w:b/>
                <w:bCs/>
                <w:color w:val="auto"/>
                <w:sz w:val="24"/>
                <w:szCs w:val="24"/>
                <w:highlight w:val="none"/>
                <w:lang w:eastAsia="zh-CN"/>
              </w:rPr>
              <w:instrText xml:space="preserve"> = 1 \* GB2 \* MERGEFORMAT </w:instrText>
            </w:r>
            <w:r>
              <w:rPr>
                <w:rFonts w:hint="eastAsia" w:eastAsia="仿宋_GB2312" w:cs="Times New Roman"/>
                <w:b/>
                <w:bCs/>
                <w:color w:val="auto"/>
                <w:sz w:val="24"/>
                <w:szCs w:val="24"/>
                <w:highlight w:val="none"/>
                <w:lang w:eastAsia="zh-CN"/>
              </w:rPr>
              <w:fldChar w:fldCharType="separate"/>
            </w:r>
            <w:r>
              <w:rPr>
                <w:b/>
                <w:bCs/>
                <w:color w:val="auto"/>
                <w:sz w:val="24"/>
                <w:szCs w:val="24"/>
                <w:highlight w:val="none"/>
              </w:rPr>
              <w:t>⑴</w:t>
            </w:r>
            <w:r>
              <w:rPr>
                <w:rFonts w:hint="eastAsia" w:eastAsia="仿宋_GB2312" w:cs="Times New Roman"/>
                <w:b/>
                <w:bCs/>
                <w:color w:val="auto"/>
                <w:sz w:val="24"/>
                <w:szCs w:val="24"/>
                <w:highlight w:val="none"/>
                <w:lang w:eastAsia="zh-CN"/>
              </w:rPr>
              <w:fldChar w:fldCharType="end"/>
            </w:r>
            <w:r>
              <w:rPr>
                <w:rFonts w:hint="eastAsia" w:eastAsia="仿宋_GB2312"/>
                <w:b/>
                <w:color w:val="auto"/>
                <w:sz w:val="24"/>
                <w:highlight w:val="none"/>
                <w:lang w:val="en-US" w:eastAsia="zh-CN"/>
              </w:rPr>
              <w:t>拆除</w:t>
            </w:r>
            <w:r>
              <w:rPr>
                <w:rFonts w:hint="eastAsia" w:eastAsia="仿宋_GB2312"/>
                <w:b/>
                <w:color w:val="auto"/>
                <w:sz w:val="24"/>
                <w:highlight w:val="none"/>
              </w:rPr>
              <w:t>工艺流程</w:t>
            </w:r>
          </w:p>
          <w:p w14:paraId="7659DD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b w:val="0"/>
                <w:bCs/>
                <w:color w:val="auto"/>
                <w:sz w:val="24"/>
                <w:highlight w:val="none"/>
                <w:lang w:eastAsia="zh-CN"/>
              </w:rPr>
              <w:t>本项目</w:t>
            </w:r>
            <w:r>
              <w:rPr>
                <w:rFonts w:hint="eastAsia" w:eastAsia="仿宋_GB2312" w:cs="Times New Roman"/>
                <w:b w:val="0"/>
                <w:bCs/>
                <w:color w:val="auto"/>
                <w:sz w:val="24"/>
                <w:highlight w:val="none"/>
                <w:lang w:val="en-US" w:eastAsia="zh-CN"/>
              </w:rPr>
              <w:t>拆除</w:t>
            </w:r>
            <w:r>
              <w:rPr>
                <w:rFonts w:hint="eastAsia" w:ascii="Times New Roman" w:hAnsi="Times New Roman" w:eastAsia="仿宋_GB2312" w:cs="Times New Roman"/>
                <w:b w:val="0"/>
                <w:bCs/>
                <w:color w:val="auto"/>
                <w:sz w:val="24"/>
                <w:highlight w:val="none"/>
                <w:lang w:eastAsia="zh-CN"/>
              </w:rPr>
              <w:t>过程分为前期准备、</w:t>
            </w:r>
            <w:r>
              <w:rPr>
                <w:rFonts w:hint="eastAsia" w:eastAsia="仿宋_GB2312" w:cs="Times New Roman"/>
                <w:b w:val="0"/>
                <w:bCs/>
                <w:color w:val="auto"/>
                <w:sz w:val="24"/>
                <w:highlight w:val="none"/>
                <w:lang w:val="en-US" w:eastAsia="zh-CN"/>
              </w:rPr>
              <w:t>拆除</w:t>
            </w:r>
            <w:r>
              <w:rPr>
                <w:rFonts w:hint="eastAsia" w:ascii="Times New Roman" w:hAnsi="Times New Roman" w:eastAsia="仿宋_GB2312" w:cs="Times New Roman"/>
                <w:b w:val="0"/>
                <w:bCs/>
                <w:color w:val="auto"/>
                <w:sz w:val="24"/>
                <w:highlight w:val="none"/>
                <w:lang w:eastAsia="zh-CN"/>
              </w:rPr>
              <w:t>、</w:t>
            </w:r>
            <w:r>
              <w:rPr>
                <w:rFonts w:hint="eastAsia" w:eastAsia="仿宋_GB2312" w:cs="Times New Roman"/>
                <w:b w:val="0"/>
                <w:bCs/>
                <w:color w:val="auto"/>
                <w:sz w:val="24"/>
                <w:highlight w:val="none"/>
                <w:lang w:val="en-US" w:eastAsia="zh-CN"/>
              </w:rPr>
              <w:t>场地清理</w:t>
            </w:r>
            <w:r>
              <w:rPr>
                <w:rFonts w:hint="eastAsia" w:ascii="Times New Roman" w:hAnsi="Times New Roman" w:eastAsia="仿宋_GB2312" w:cs="Times New Roman"/>
                <w:b w:val="0"/>
                <w:bCs/>
                <w:color w:val="auto"/>
                <w:sz w:val="24"/>
                <w:highlight w:val="none"/>
                <w:lang w:eastAsia="zh-CN"/>
              </w:rPr>
              <w:t>和</w:t>
            </w:r>
            <w:r>
              <w:rPr>
                <w:rFonts w:hint="eastAsia" w:eastAsia="仿宋_GB2312" w:cs="Times New Roman"/>
                <w:b w:val="0"/>
                <w:bCs/>
                <w:color w:val="auto"/>
                <w:sz w:val="24"/>
                <w:highlight w:val="none"/>
                <w:lang w:val="en-US" w:eastAsia="zh-CN"/>
              </w:rPr>
              <w:t>土地平整</w:t>
            </w:r>
            <w:r>
              <w:rPr>
                <w:rFonts w:hint="eastAsia" w:ascii="Times New Roman" w:hAnsi="Times New Roman" w:eastAsia="仿宋_GB2312" w:cs="Times New Roman"/>
                <w:b w:val="0"/>
                <w:bCs/>
                <w:color w:val="auto"/>
                <w:sz w:val="24"/>
                <w:highlight w:val="none"/>
                <w:lang w:eastAsia="zh-CN"/>
              </w:rPr>
              <w:t>四个阶段。在</w:t>
            </w:r>
            <w:r>
              <w:rPr>
                <w:rFonts w:hint="eastAsia" w:eastAsia="仿宋_GB2312" w:cs="Times New Roman"/>
                <w:b w:val="0"/>
                <w:bCs/>
                <w:color w:val="auto"/>
                <w:sz w:val="24"/>
                <w:highlight w:val="none"/>
                <w:lang w:val="en-US" w:eastAsia="zh-CN"/>
              </w:rPr>
              <w:t>拆除</w:t>
            </w:r>
            <w:r>
              <w:rPr>
                <w:rFonts w:hint="eastAsia" w:ascii="Times New Roman" w:hAnsi="Times New Roman" w:eastAsia="仿宋_GB2312" w:cs="Times New Roman"/>
                <w:b w:val="0"/>
                <w:bCs/>
                <w:color w:val="auto"/>
                <w:sz w:val="24"/>
                <w:highlight w:val="none"/>
                <w:lang w:eastAsia="zh-CN"/>
              </w:rPr>
              <w:t>期间各种施工活动会对环境造成一定的影响，本项目工艺流程及产污环节示意图见图</w:t>
            </w:r>
            <w:r>
              <w:rPr>
                <w:rFonts w:hint="eastAsia" w:eastAsia="仿宋_GB2312" w:cs="Times New Roman"/>
                <w:b w:val="0"/>
                <w:bCs/>
                <w:color w:val="auto"/>
                <w:sz w:val="24"/>
                <w:highlight w:val="none"/>
                <w:lang w:val="en-US" w:eastAsia="zh-CN"/>
              </w:rPr>
              <w:t>2-6</w:t>
            </w:r>
            <w:r>
              <w:rPr>
                <w:rFonts w:hint="eastAsia" w:ascii="Times New Roman" w:hAnsi="Times New Roman" w:eastAsia="仿宋_GB2312" w:cs="Times New Roman"/>
                <w:b w:val="0"/>
                <w:bCs/>
                <w:color w:val="auto"/>
                <w:sz w:val="24"/>
                <w:highlight w:val="none"/>
                <w:lang w:eastAsia="zh-CN"/>
              </w:rPr>
              <w:t>。</w:t>
            </w:r>
          </w:p>
          <w:p w14:paraId="6BA2F3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color w:val="auto"/>
                <w:highlight w:val="yellow"/>
              </w:rPr>
            </w:pPr>
            <w:r>
              <w:rPr>
                <w:color w:val="auto"/>
                <w:highlight w:val="none"/>
              </w:rPr>
              <w:object>
                <v:shape id="_x0000_i1027" o:spt="75" type="#_x0000_t75" style="height:135.05pt;width:195.55pt;" o:ole="t" filled="f" o:preferrelative="t" stroked="f" coordsize="21600,21600">
                  <v:path/>
                  <v:fill on="f" focussize="0,0"/>
                  <v:stroke on="f"/>
                  <v:imagedata r:id="rId14" o:title=""/>
                  <o:lock v:ext="edit" aspectratio="f"/>
                  <w10:wrap type="none"/>
                  <w10:anchorlock/>
                </v:shape>
                <o:OLEObject Type="Embed" ProgID="Visio.Drawing.11" ShapeID="_x0000_i1027" DrawAspect="Content" ObjectID="_1468075727" r:id="rId13">
                  <o:LockedField>false</o:LockedField>
                </o:OLEObject>
              </w:object>
            </w:r>
          </w:p>
          <w:p w14:paraId="1103AF53">
            <w:pPr>
              <w:adjustRightInd w:val="0"/>
              <w:spacing w:line="360" w:lineRule="auto"/>
              <w:jc w:val="center"/>
              <w:rPr>
                <w:rFonts w:eastAsia="仿宋_GB2312"/>
                <w:b/>
                <w:bCs w:val="0"/>
                <w:color w:val="auto"/>
                <w:spacing w:val="-10"/>
                <w:sz w:val="24"/>
                <w:highlight w:val="none"/>
              </w:rPr>
            </w:pPr>
            <w:r>
              <w:rPr>
                <w:rFonts w:hint="default" w:ascii="Times New Roman" w:hAnsi="Times New Roman" w:eastAsia="宋体" w:cs="Times New Roman"/>
                <w:bCs/>
                <w:color w:val="auto"/>
                <w:sz w:val="21"/>
                <w:szCs w:val="21"/>
                <w:highlight w:val="none"/>
              </w:rPr>
              <w:t>图</w:t>
            </w:r>
            <w:r>
              <w:rPr>
                <w:rFonts w:hint="eastAsia" w:cs="Times New Roman"/>
                <w:bCs/>
                <w:color w:val="auto"/>
                <w:sz w:val="21"/>
                <w:szCs w:val="21"/>
                <w:highlight w:val="none"/>
                <w:lang w:val="en-US" w:eastAsia="zh-CN"/>
              </w:rPr>
              <w:t>2-6</w:t>
            </w:r>
            <w:r>
              <w:rPr>
                <w:rFonts w:hint="eastAsia" w:eastAsia="黑体"/>
                <w:bCs/>
                <w:color w:val="auto"/>
                <w:sz w:val="24"/>
                <w:highlight w:val="none"/>
                <w:lang w:val="en-US" w:eastAsia="zh-CN"/>
              </w:rPr>
              <w:t xml:space="preserve">  </w:t>
            </w:r>
            <w:r>
              <w:rPr>
                <w:rFonts w:hint="eastAsia" w:ascii="宋体" w:hAnsi="宋体" w:eastAsia="宋体" w:cs="宋体"/>
                <w:b/>
                <w:bCs w:val="0"/>
                <w:color w:val="auto"/>
                <w:sz w:val="24"/>
                <w:highlight w:val="none"/>
              </w:rPr>
              <w:t>本项目</w:t>
            </w:r>
            <w:r>
              <w:rPr>
                <w:rFonts w:hint="eastAsia" w:ascii="宋体" w:hAnsi="宋体" w:eastAsia="宋体" w:cs="宋体"/>
                <w:b/>
                <w:bCs w:val="0"/>
                <w:color w:val="auto"/>
                <w:sz w:val="24"/>
                <w:highlight w:val="none"/>
                <w:lang w:val="en-US" w:eastAsia="zh-CN"/>
              </w:rPr>
              <w:t>拆除过程</w:t>
            </w:r>
            <w:r>
              <w:rPr>
                <w:rFonts w:hint="eastAsia" w:ascii="宋体" w:hAnsi="宋体" w:eastAsia="宋体" w:cs="宋体"/>
                <w:b/>
                <w:bCs w:val="0"/>
                <w:color w:val="auto"/>
                <w:sz w:val="24"/>
                <w:highlight w:val="none"/>
              </w:rPr>
              <w:t>工艺流程及产污环节示意图</w:t>
            </w:r>
          </w:p>
          <w:p w14:paraId="5255FE61">
            <w:pPr>
              <w:adjustRightInd w:val="0"/>
              <w:spacing w:line="360" w:lineRule="auto"/>
              <w:ind w:firstLine="482" w:firstLineChars="200"/>
              <w:rPr>
                <w:rFonts w:hint="eastAsia" w:eastAsia="仿宋_GB2312"/>
                <w:b w:val="0"/>
                <w:bCs/>
                <w:color w:val="auto"/>
                <w:sz w:val="24"/>
                <w:highlight w:val="none"/>
              </w:rPr>
            </w:pPr>
            <w:r>
              <w:rPr>
                <w:rFonts w:hint="default" w:ascii="Times New Roman" w:hAnsi="Times New Roman" w:eastAsia="仿宋_GB2312" w:cs="Times New Roman"/>
                <w:b/>
                <w:bCs/>
                <w:color w:val="auto"/>
                <w:sz w:val="24"/>
                <w:szCs w:val="24"/>
                <w:highlight w:val="none"/>
                <w:lang w:eastAsia="zh-CN"/>
              </w:rPr>
              <w:fldChar w:fldCharType="begin"/>
            </w:r>
            <w:r>
              <w:rPr>
                <w:rFonts w:hint="default" w:ascii="Times New Roman" w:hAnsi="Times New Roman" w:eastAsia="仿宋_GB2312" w:cs="Times New Roman"/>
                <w:b/>
                <w:bCs/>
                <w:color w:val="auto"/>
                <w:sz w:val="24"/>
                <w:szCs w:val="24"/>
                <w:highlight w:val="none"/>
                <w:lang w:eastAsia="zh-CN"/>
              </w:rPr>
              <w:instrText xml:space="preserve"> = 2 \* GB2 \* MERGEFORMAT </w:instrText>
            </w:r>
            <w:r>
              <w:rPr>
                <w:rFonts w:hint="default" w:ascii="Times New Roman" w:hAnsi="Times New Roman" w:eastAsia="仿宋_GB2312" w:cs="Times New Roman"/>
                <w:b/>
                <w:bCs/>
                <w:color w:val="auto"/>
                <w:sz w:val="24"/>
                <w:szCs w:val="24"/>
                <w:highlight w:val="none"/>
                <w:lang w:eastAsia="zh-CN"/>
              </w:rPr>
              <w:fldChar w:fldCharType="separate"/>
            </w:r>
            <w:r>
              <w:rPr>
                <w:rFonts w:hint="default" w:ascii="Times New Roman" w:hAnsi="Times New Roman" w:eastAsia="仿宋_GB2312" w:cs="Times New Roman"/>
                <w:b/>
                <w:bCs/>
                <w:color w:val="auto"/>
                <w:sz w:val="24"/>
                <w:szCs w:val="24"/>
                <w:highlight w:val="none"/>
                <w:lang w:eastAsia="zh-CN"/>
              </w:rPr>
              <w:t>⑵</w:t>
            </w:r>
            <w:r>
              <w:rPr>
                <w:rFonts w:hint="default" w:ascii="Times New Roman" w:hAnsi="Times New Roman" w:eastAsia="仿宋_GB2312" w:cs="Times New Roman"/>
                <w:b/>
                <w:bCs/>
                <w:color w:val="auto"/>
                <w:sz w:val="24"/>
                <w:szCs w:val="24"/>
                <w:highlight w:val="none"/>
                <w:lang w:eastAsia="zh-CN"/>
              </w:rPr>
              <w:fldChar w:fldCharType="end"/>
            </w:r>
            <w:r>
              <w:rPr>
                <w:rFonts w:hint="eastAsia" w:eastAsia="仿宋_GB2312"/>
                <w:b/>
                <w:color w:val="auto"/>
                <w:sz w:val="24"/>
                <w:highlight w:val="none"/>
                <w:lang w:val="en-US" w:eastAsia="zh-CN"/>
              </w:rPr>
              <w:t>拆除过程中</w:t>
            </w:r>
            <w:r>
              <w:rPr>
                <w:rFonts w:hint="eastAsia" w:eastAsia="仿宋_GB2312"/>
                <w:b/>
                <w:color w:val="auto"/>
                <w:sz w:val="24"/>
                <w:highlight w:val="none"/>
              </w:rPr>
              <w:t>主要产排污环节</w:t>
            </w:r>
          </w:p>
          <w:p w14:paraId="26E6A293">
            <w:pPr>
              <w:adjustRightInd w:val="0"/>
              <w:spacing w:line="360" w:lineRule="auto"/>
              <w:ind w:firstLine="480" w:firstLineChars="200"/>
              <w:rPr>
                <w:rFonts w:hint="eastAsia" w:eastAsia="仿宋_GB2312"/>
                <w:b w:val="0"/>
                <w:bCs/>
                <w:color w:val="auto"/>
                <w:sz w:val="24"/>
                <w:szCs w:val="24"/>
                <w:highlight w:val="none"/>
                <w:lang w:eastAsia="zh-CN"/>
              </w:rPr>
            </w:pPr>
            <w:r>
              <w:rPr>
                <w:rFonts w:hint="eastAsia" w:eastAsia="仿宋_GB2312"/>
                <w:b w:val="0"/>
                <w:bCs/>
                <w:color w:val="auto"/>
                <w:sz w:val="24"/>
                <w:szCs w:val="24"/>
                <w:highlight w:val="none"/>
                <w:lang w:eastAsia="zh-CN"/>
              </w:rPr>
              <w:fldChar w:fldCharType="begin"/>
            </w:r>
            <w:r>
              <w:rPr>
                <w:rFonts w:hint="eastAsia" w:eastAsia="仿宋_GB2312"/>
                <w:b w:val="0"/>
                <w:bCs/>
                <w:color w:val="auto"/>
                <w:sz w:val="24"/>
                <w:szCs w:val="24"/>
                <w:highlight w:val="none"/>
                <w:lang w:eastAsia="zh-CN"/>
              </w:rPr>
              <w:instrText xml:space="preserve"> = 1 \* GB3 \* MERGEFORMAT </w:instrText>
            </w:r>
            <w:r>
              <w:rPr>
                <w:rFonts w:hint="eastAsia" w:eastAsia="仿宋_GB2312"/>
                <w:b w:val="0"/>
                <w:bCs/>
                <w:color w:val="auto"/>
                <w:sz w:val="24"/>
                <w:szCs w:val="24"/>
                <w:highlight w:val="none"/>
                <w:lang w:eastAsia="zh-CN"/>
              </w:rPr>
              <w:fldChar w:fldCharType="separate"/>
            </w:r>
            <w:r>
              <w:rPr>
                <w:color w:val="auto"/>
                <w:sz w:val="24"/>
                <w:szCs w:val="24"/>
                <w:highlight w:val="none"/>
              </w:rPr>
              <w:t>①</w:t>
            </w:r>
            <w:r>
              <w:rPr>
                <w:rFonts w:hint="eastAsia" w:eastAsia="仿宋_GB2312"/>
                <w:b w:val="0"/>
                <w:bCs/>
                <w:color w:val="auto"/>
                <w:sz w:val="24"/>
                <w:szCs w:val="24"/>
                <w:highlight w:val="none"/>
                <w:lang w:eastAsia="zh-CN"/>
              </w:rPr>
              <w:fldChar w:fldCharType="end"/>
            </w:r>
            <w:r>
              <w:rPr>
                <w:rFonts w:hint="eastAsia" w:eastAsia="仿宋_GB2312"/>
                <w:b w:val="0"/>
                <w:bCs/>
                <w:color w:val="auto"/>
                <w:sz w:val="24"/>
                <w:szCs w:val="24"/>
                <w:highlight w:val="none"/>
                <w:lang w:val="en-US" w:eastAsia="zh-CN"/>
              </w:rPr>
              <w:t>废气</w:t>
            </w:r>
          </w:p>
          <w:p w14:paraId="3069CE0F">
            <w:pPr>
              <w:adjustRightInd w:val="0"/>
              <w:spacing w:line="360" w:lineRule="auto"/>
              <w:ind w:firstLine="480" w:firstLineChars="200"/>
              <w:rPr>
                <w:rFonts w:hint="default" w:eastAsia="仿宋_GB2312"/>
                <w:b w:val="0"/>
                <w:bCs/>
                <w:color w:val="auto"/>
                <w:sz w:val="24"/>
                <w:highlight w:val="yellow"/>
                <w:vertAlign w:val="baseline"/>
                <w:lang w:val="en-US" w:eastAsia="zh-CN"/>
              </w:rPr>
            </w:pPr>
            <w:r>
              <w:rPr>
                <w:rFonts w:hint="eastAsia" w:eastAsia="仿宋_GB2312"/>
                <w:b w:val="0"/>
                <w:bCs/>
                <w:color w:val="auto"/>
                <w:sz w:val="24"/>
                <w:highlight w:val="none"/>
                <w:lang w:eastAsia="zh-CN"/>
              </w:rPr>
              <w:t>本项目</w:t>
            </w:r>
            <w:r>
              <w:rPr>
                <w:rFonts w:hint="eastAsia" w:eastAsia="仿宋_GB2312"/>
                <w:b w:val="0"/>
                <w:bCs/>
                <w:color w:val="auto"/>
                <w:sz w:val="24"/>
                <w:highlight w:val="none"/>
                <w:lang w:val="en-US" w:eastAsia="zh-CN"/>
              </w:rPr>
              <w:t>拆除</w:t>
            </w:r>
            <w:r>
              <w:rPr>
                <w:rFonts w:hint="eastAsia" w:eastAsia="仿宋_GB2312"/>
                <w:b w:val="0"/>
                <w:bCs/>
                <w:color w:val="auto"/>
                <w:sz w:val="24"/>
                <w:highlight w:val="none"/>
                <w:lang w:eastAsia="zh-CN"/>
              </w:rPr>
              <w:t>产生的废气主要有扬尘、施工机械产生的尾气。施工期间汽车尾气来源于运输车辆、各种以燃油为动力的工程机械在场地开挖、场地平整、物料运输等施工作业时产生的尾气。主要污染物为颗粒物、</w:t>
            </w:r>
            <w:r>
              <w:rPr>
                <w:rFonts w:hint="eastAsia" w:eastAsia="仿宋_GB2312"/>
                <w:b w:val="0"/>
                <w:bCs/>
                <w:color w:val="auto"/>
                <w:sz w:val="24"/>
                <w:highlight w:val="none"/>
                <w:lang w:val="en-US" w:eastAsia="zh-CN"/>
              </w:rPr>
              <w:t>CO、NO</w:t>
            </w:r>
            <w:r>
              <w:rPr>
                <w:rFonts w:hint="eastAsia" w:eastAsia="仿宋_GB2312"/>
                <w:b w:val="0"/>
                <w:bCs/>
                <w:color w:val="auto"/>
                <w:sz w:val="24"/>
                <w:highlight w:val="none"/>
                <w:vertAlign w:val="subscript"/>
                <w:lang w:val="en-US" w:eastAsia="zh-CN"/>
              </w:rPr>
              <w:t>X</w:t>
            </w:r>
            <w:r>
              <w:rPr>
                <w:rFonts w:hint="eastAsia" w:eastAsia="仿宋_GB2312"/>
                <w:b w:val="0"/>
                <w:bCs/>
                <w:color w:val="auto"/>
                <w:sz w:val="24"/>
                <w:highlight w:val="none"/>
                <w:vertAlign w:val="baseline"/>
                <w:lang w:val="en-US" w:eastAsia="zh-CN"/>
              </w:rPr>
              <w:t>。</w:t>
            </w:r>
          </w:p>
          <w:p w14:paraId="78E6D11E">
            <w:pPr>
              <w:adjustRightInd w:val="0"/>
              <w:spacing w:line="360" w:lineRule="auto"/>
              <w:ind w:firstLine="480" w:firstLineChars="200"/>
              <w:rPr>
                <w:rFonts w:hint="default" w:ascii="Times New Roman" w:hAnsi="Times New Roman" w:eastAsia="仿宋_GB2312" w:cs="Times New Roman"/>
                <w:b w:val="0"/>
                <w:bCs/>
                <w:color w:val="auto"/>
                <w:sz w:val="24"/>
                <w:szCs w:val="24"/>
                <w:highlight w:val="none"/>
                <w:lang w:eastAsia="zh-CN"/>
              </w:rPr>
            </w:pPr>
            <w:r>
              <w:rPr>
                <w:rFonts w:hint="default" w:ascii="Times New Roman" w:hAnsi="Times New Roman" w:eastAsia="仿宋_GB2312" w:cs="Times New Roman"/>
                <w:b w:val="0"/>
                <w:bCs/>
                <w:color w:val="auto"/>
                <w:sz w:val="24"/>
                <w:szCs w:val="24"/>
                <w:highlight w:val="none"/>
                <w:lang w:eastAsia="zh-CN"/>
              </w:rPr>
              <w:fldChar w:fldCharType="begin"/>
            </w:r>
            <w:r>
              <w:rPr>
                <w:rFonts w:hint="default" w:ascii="Times New Roman" w:hAnsi="Times New Roman" w:eastAsia="仿宋_GB2312" w:cs="Times New Roman"/>
                <w:b w:val="0"/>
                <w:bCs/>
                <w:color w:val="auto"/>
                <w:sz w:val="24"/>
                <w:szCs w:val="24"/>
                <w:highlight w:val="none"/>
                <w:lang w:eastAsia="zh-CN"/>
              </w:rPr>
              <w:instrText xml:space="preserve"> = 2 \* GB3 \* MERGEFORMAT </w:instrText>
            </w:r>
            <w:r>
              <w:rPr>
                <w:rFonts w:hint="default" w:ascii="Times New Roman" w:hAnsi="Times New Roman" w:eastAsia="仿宋_GB2312" w:cs="Times New Roman"/>
                <w:b w:val="0"/>
                <w:bCs/>
                <w:color w:val="auto"/>
                <w:sz w:val="24"/>
                <w:szCs w:val="24"/>
                <w:highlight w:val="none"/>
                <w:lang w:eastAsia="zh-CN"/>
              </w:rPr>
              <w:fldChar w:fldCharType="separate"/>
            </w:r>
            <w:r>
              <w:rPr>
                <w:rFonts w:hint="default" w:ascii="Times New Roman" w:hAnsi="Times New Roman" w:eastAsia="仿宋_GB2312" w:cs="Times New Roman"/>
                <w:b w:val="0"/>
                <w:bCs/>
                <w:color w:val="auto"/>
                <w:sz w:val="24"/>
                <w:szCs w:val="24"/>
                <w:highlight w:val="none"/>
                <w:lang w:eastAsia="zh-CN"/>
              </w:rPr>
              <w:t>②</w:t>
            </w:r>
            <w:r>
              <w:rPr>
                <w:rFonts w:hint="default" w:ascii="Times New Roman" w:hAnsi="Times New Roman" w:eastAsia="仿宋_GB2312" w:cs="Times New Roman"/>
                <w:b w:val="0"/>
                <w:bCs/>
                <w:color w:val="auto"/>
                <w:sz w:val="24"/>
                <w:szCs w:val="24"/>
                <w:highlight w:val="none"/>
                <w:lang w:eastAsia="zh-CN"/>
              </w:rPr>
              <w:fldChar w:fldCharType="end"/>
            </w:r>
            <w:r>
              <w:rPr>
                <w:rFonts w:hint="default" w:ascii="Times New Roman" w:hAnsi="Times New Roman" w:eastAsia="仿宋_GB2312" w:cs="Times New Roman"/>
                <w:b w:val="0"/>
                <w:bCs/>
                <w:color w:val="auto"/>
                <w:sz w:val="24"/>
                <w:szCs w:val="24"/>
                <w:highlight w:val="none"/>
                <w:lang w:eastAsia="zh-CN"/>
              </w:rPr>
              <w:t>废水</w:t>
            </w:r>
          </w:p>
          <w:p w14:paraId="0BBE2E94">
            <w:pPr>
              <w:adjustRightInd w:val="0"/>
              <w:spacing w:line="360" w:lineRule="auto"/>
              <w:ind w:firstLine="480" w:firstLineChars="200"/>
              <w:rPr>
                <w:rFonts w:hint="default" w:eastAsia="仿宋_GB2312"/>
                <w:b w:val="0"/>
                <w:bCs/>
                <w:color w:val="auto"/>
                <w:sz w:val="24"/>
                <w:highlight w:val="none"/>
                <w:lang w:val="en-US" w:eastAsia="zh-CN"/>
              </w:rPr>
            </w:pPr>
            <w:r>
              <w:rPr>
                <w:rFonts w:hint="eastAsia" w:eastAsia="仿宋_GB2312"/>
                <w:b w:val="0"/>
                <w:bCs/>
                <w:color w:val="auto"/>
                <w:sz w:val="24"/>
                <w:highlight w:val="none"/>
                <w:lang w:val="en-US" w:eastAsia="zh-CN"/>
              </w:rPr>
              <w:t>拆除过程中，施工人员不在厂区居住，不产生生活污水。</w:t>
            </w:r>
          </w:p>
          <w:p w14:paraId="1CEB132C">
            <w:pPr>
              <w:adjustRightInd w:val="0"/>
              <w:spacing w:line="360" w:lineRule="auto"/>
              <w:ind w:firstLine="480" w:firstLineChars="200"/>
              <w:rPr>
                <w:rFonts w:hint="eastAsia" w:ascii="Times New Roman" w:hAnsi="Times New Roman" w:eastAsia="仿宋_GB2312" w:cs="Times New Roman"/>
                <w:b w:val="0"/>
                <w:bCs/>
                <w:color w:val="auto"/>
                <w:sz w:val="24"/>
                <w:szCs w:val="24"/>
                <w:highlight w:val="none"/>
                <w:lang w:eastAsia="zh-CN"/>
              </w:rPr>
            </w:pPr>
            <w:r>
              <w:rPr>
                <w:rFonts w:hint="eastAsia" w:ascii="Times New Roman" w:hAnsi="Times New Roman" w:eastAsia="仿宋_GB2312" w:cs="Times New Roman"/>
                <w:b w:val="0"/>
                <w:bCs/>
                <w:color w:val="auto"/>
                <w:sz w:val="24"/>
                <w:szCs w:val="24"/>
                <w:highlight w:val="none"/>
                <w:lang w:eastAsia="zh-CN"/>
              </w:rPr>
              <w:fldChar w:fldCharType="begin"/>
            </w:r>
            <w:r>
              <w:rPr>
                <w:rFonts w:hint="eastAsia" w:ascii="Times New Roman" w:hAnsi="Times New Roman" w:eastAsia="仿宋_GB2312" w:cs="Times New Roman"/>
                <w:b w:val="0"/>
                <w:bCs/>
                <w:color w:val="auto"/>
                <w:sz w:val="24"/>
                <w:szCs w:val="24"/>
                <w:highlight w:val="none"/>
                <w:lang w:eastAsia="zh-CN"/>
              </w:rPr>
              <w:instrText xml:space="preserve"> = 3 \* GB3 \* MERGEFORMAT </w:instrText>
            </w:r>
            <w:r>
              <w:rPr>
                <w:rFonts w:hint="eastAsia" w:ascii="Times New Roman" w:hAnsi="Times New Roman" w:eastAsia="仿宋_GB2312" w:cs="Times New Roman"/>
                <w:b w:val="0"/>
                <w:bCs/>
                <w:color w:val="auto"/>
                <w:sz w:val="24"/>
                <w:szCs w:val="24"/>
                <w:highlight w:val="none"/>
                <w:lang w:eastAsia="zh-CN"/>
              </w:rPr>
              <w:fldChar w:fldCharType="separate"/>
            </w:r>
            <w:r>
              <w:rPr>
                <w:rFonts w:hint="default" w:ascii="Times New Roman" w:hAnsi="Times New Roman" w:eastAsia="仿宋_GB2312" w:cs="Times New Roman"/>
                <w:b w:val="0"/>
                <w:bCs/>
                <w:color w:val="auto"/>
                <w:sz w:val="24"/>
                <w:szCs w:val="24"/>
                <w:highlight w:val="none"/>
                <w:lang w:eastAsia="zh-CN"/>
              </w:rPr>
              <w:t>③</w:t>
            </w:r>
            <w:r>
              <w:rPr>
                <w:rFonts w:hint="eastAsia" w:ascii="Times New Roman" w:hAnsi="Times New Roman" w:eastAsia="仿宋_GB2312" w:cs="Times New Roman"/>
                <w:b w:val="0"/>
                <w:bCs/>
                <w:color w:val="auto"/>
                <w:sz w:val="24"/>
                <w:szCs w:val="24"/>
                <w:highlight w:val="none"/>
                <w:lang w:eastAsia="zh-CN"/>
              </w:rPr>
              <w:fldChar w:fldCharType="end"/>
            </w:r>
            <w:r>
              <w:rPr>
                <w:rFonts w:hint="eastAsia" w:ascii="Times New Roman" w:hAnsi="Times New Roman" w:eastAsia="仿宋_GB2312" w:cs="Times New Roman"/>
                <w:b w:val="0"/>
                <w:bCs/>
                <w:color w:val="auto"/>
                <w:sz w:val="24"/>
                <w:szCs w:val="24"/>
                <w:highlight w:val="none"/>
                <w:lang w:eastAsia="zh-CN"/>
              </w:rPr>
              <w:t>噪声</w:t>
            </w:r>
          </w:p>
          <w:p w14:paraId="244814A3">
            <w:pPr>
              <w:adjustRightInd w:val="0"/>
              <w:spacing w:line="360" w:lineRule="auto"/>
              <w:ind w:firstLine="480" w:firstLineChars="200"/>
              <w:rPr>
                <w:rFonts w:hint="eastAsia" w:eastAsia="仿宋_GB2312"/>
                <w:b w:val="0"/>
                <w:bCs/>
                <w:color w:val="auto"/>
                <w:sz w:val="24"/>
                <w:highlight w:val="none"/>
                <w:lang w:eastAsia="zh-CN"/>
              </w:rPr>
            </w:pPr>
            <w:r>
              <w:rPr>
                <w:rFonts w:hint="eastAsia" w:eastAsia="仿宋_GB2312"/>
                <w:b w:val="0"/>
                <w:bCs/>
                <w:color w:val="auto"/>
                <w:sz w:val="24"/>
                <w:highlight w:val="none"/>
                <w:lang w:eastAsia="zh-CN"/>
              </w:rPr>
              <w:t>本项目</w:t>
            </w:r>
            <w:r>
              <w:rPr>
                <w:rFonts w:hint="eastAsia" w:eastAsia="仿宋_GB2312"/>
                <w:b w:val="0"/>
                <w:bCs/>
                <w:color w:val="auto"/>
                <w:sz w:val="24"/>
                <w:highlight w:val="none"/>
                <w:lang w:val="en-US" w:eastAsia="zh-CN"/>
              </w:rPr>
              <w:t>拆除阶段</w:t>
            </w:r>
            <w:r>
              <w:rPr>
                <w:rFonts w:hint="eastAsia" w:eastAsia="仿宋_GB2312"/>
                <w:b w:val="0"/>
                <w:bCs/>
                <w:color w:val="auto"/>
                <w:sz w:val="24"/>
                <w:highlight w:val="none"/>
                <w:lang w:eastAsia="zh-CN"/>
              </w:rPr>
              <w:t>噪声主要为施工机械、运输车辆等产生的噪声。</w:t>
            </w:r>
          </w:p>
          <w:p w14:paraId="6C7A18A4">
            <w:pPr>
              <w:adjustRightInd w:val="0"/>
              <w:spacing w:line="360" w:lineRule="auto"/>
              <w:ind w:firstLine="480" w:firstLineChars="200"/>
              <w:rPr>
                <w:rFonts w:hint="default" w:eastAsia="仿宋_GB2312"/>
                <w:b w:val="0"/>
                <w:bCs/>
                <w:color w:val="auto"/>
                <w:sz w:val="24"/>
                <w:highlight w:val="none"/>
                <w:lang w:eastAsia="zh-CN"/>
              </w:rPr>
            </w:pPr>
            <w:r>
              <w:rPr>
                <w:rFonts w:hint="default" w:eastAsia="仿宋_GB2312"/>
                <w:b w:val="0"/>
                <w:bCs/>
                <w:color w:val="auto"/>
                <w:sz w:val="24"/>
                <w:highlight w:val="none"/>
                <w:lang w:eastAsia="zh-CN"/>
              </w:rPr>
              <w:fldChar w:fldCharType="begin"/>
            </w:r>
            <w:r>
              <w:rPr>
                <w:rFonts w:hint="default" w:eastAsia="仿宋_GB2312"/>
                <w:b w:val="0"/>
                <w:bCs/>
                <w:color w:val="auto"/>
                <w:sz w:val="24"/>
                <w:highlight w:val="none"/>
                <w:lang w:eastAsia="zh-CN"/>
              </w:rPr>
              <w:instrText xml:space="preserve"> = 4 \* GB3 \* MERGEFORMAT </w:instrText>
            </w:r>
            <w:r>
              <w:rPr>
                <w:rFonts w:hint="default" w:eastAsia="仿宋_GB2312"/>
                <w:b w:val="0"/>
                <w:bCs/>
                <w:color w:val="auto"/>
                <w:sz w:val="24"/>
                <w:highlight w:val="none"/>
                <w:lang w:eastAsia="zh-CN"/>
              </w:rPr>
              <w:fldChar w:fldCharType="separate"/>
            </w:r>
            <w:r>
              <w:rPr>
                <w:rFonts w:hint="default" w:eastAsia="仿宋_GB2312"/>
                <w:b w:val="0"/>
                <w:bCs/>
                <w:color w:val="auto"/>
                <w:sz w:val="24"/>
                <w:highlight w:val="none"/>
                <w:lang w:eastAsia="zh-CN"/>
              </w:rPr>
              <w:t>④</w:t>
            </w:r>
            <w:r>
              <w:rPr>
                <w:rFonts w:hint="default" w:eastAsia="仿宋_GB2312"/>
                <w:b w:val="0"/>
                <w:bCs/>
                <w:color w:val="auto"/>
                <w:sz w:val="24"/>
                <w:highlight w:val="none"/>
                <w:lang w:eastAsia="zh-CN"/>
              </w:rPr>
              <w:fldChar w:fldCharType="end"/>
            </w:r>
            <w:r>
              <w:rPr>
                <w:rFonts w:hint="default" w:eastAsia="仿宋_GB2312"/>
                <w:b w:val="0"/>
                <w:bCs/>
                <w:color w:val="auto"/>
                <w:sz w:val="24"/>
                <w:highlight w:val="none"/>
                <w:lang w:eastAsia="zh-CN"/>
              </w:rPr>
              <w:t>固体废物</w:t>
            </w:r>
          </w:p>
          <w:p w14:paraId="6B71935F">
            <w:pPr>
              <w:adjustRightInd w:val="0"/>
              <w:spacing w:line="360" w:lineRule="auto"/>
              <w:ind w:firstLine="480" w:firstLineChars="200"/>
              <w:rPr>
                <w:rFonts w:hint="default" w:eastAsia="仿宋_GB2312"/>
                <w:b w:val="0"/>
                <w:bCs/>
                <w:color w:val="auto"/>
                <w:sz w:val="24"/>
                <w:highlight w:val="none"/>
                <w:lang w:val="en-US" w:eastAsia="zh-CN"/>
              </w:rPr>
            </w:pPr>
            <w:r>
              <w:rPr>
                <w:rFonts w:hint="eastAsia" w:eastAsia="仿宋_GB2312"/>
                <w:b w:val="0"/>
                <w:bCs/>
                <w:color w:val="auto"/>
                <w:sz w:val="24"/>
                <w:highlight w:val="none"/>
                <w:lang w:val="en-US" w:eastAsia="zh-CN"/>
              </w:rPr>
              <w:t>拆除阶段</w:t>
            </w:r>
            <w:r>
              <w:rPr>
                <w:rFonts w:hint="eastAsia" w:eastAsia="仿宋_GB2312"/>
                <w:b w:val="0"/>
                <w:bCs/>
                <w:color w:val="auto"/>
                <w:sz w:val="24"/>
                <w:highlight w:val="none"/>
                <w:lang w:eastAsia="zh-CN"/>
              </w:rPr>
              <w:t>产生的固体废物主要</w:t>
            </w:r>
            <w:r>
              <w:rPr>
                <w:rFonts w:hint="eastAsia" w:eastAsia="仿宋_GB2312"/>
                <w:b w:val="0"/>
                <w:bCs/>
                <w:color w:val="auto"/>
                <w:sz w:val="24"/>
                <w:highlight w:val="none"/>
                <w:lang w:val="en-US" w:eastAsia="zh-CN"/>
              </w:rPr>
              <w:t>为项目区硬化地面及建筑垃圾、铺设的砂石以及生活垃圾。硬化地面及建筑垃圾清运至中卫市政府指定的建筑垃圾填埋场，铺设的砂石全部挖装、直接拉运至高泉石料厂，不在厂区进行破碎、筛分，</w:t>
            </w:r>
            <w:r>
              <w:rPr>
                <w:rFonts w:hint="eastAsia" w:eastAsia="仿宋_GB2312"/>
                <w:b w:val="0"/>
                <w:bCs/>
                <w:color w:val="auto"/>
                <w:sz w:val="24"/>
                <w:highlight w:val="none"/>
                <w:lang w:eastAsia="zh-CN"/>
              </w:rPr>
              <w:t>施工现场设置2个垃圾桶收集生活垃圾，</w:t>
            </w:r>
            <w:r>
              <w:rPr>
                <w:rFonts w:hint="eastAsia" w:eastAsia="仿宋_GB2312"/>
                <w:b w:val="0"/>
                <w:bCs/>
                <w:color w:val="auto"/>
                <w:sz w:val="24"/>
                <w:highlight w:val="none"/>
                <w:lang w:val="en-US" w:eastAsia="zh-CN"/>
              </w:rPr>
              <w:t>集中收集后交由当地环卫部门处理</w:t>
            </w:r>
            <w:r>
              <w:rPr>
                <w:rFonts w:hint="eastAsia" w:eastAsia="仿宋_GB2312"/>
                <w:b w:val="0"/>
                <w:bCs/>
                <w:color w:val="auto"/>
                <w:sz w:val="24"/>
                <w:highlight w:val="none"/>
                <w:lang w:eastAsia="zh-CN"/>
              </w:rPr>
              <w:t>。</w:t>
            </w:r>
          </w:p>
          <w:p w14:paraId="7D6507AB">
            <w:pPr>
              <w:adjustRightInd w:val="0"/>
              <w:snapToGrid w:val="0"/>
              <w:spacing w:line="360" w:lineRule="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b/>
                <w:bCs/>
                <w:color w:val="auto"/>
                <w:sz w:val="24"/>
                <w:szCs w:val="24"/>
                <w:highlight w:val="none"/>
                <w:lang w:val="en-US" w:eastAsia="zh-CN"/>
              </w:rPr>
              <w:t>5.</w:t>
            </w:r>
            <w:r>
              <w:rPr>
                <w:rFonts w:hint="default" w:ascii="Times New Roman" w:hAnsi="Times New Roman" w:eastAsia="仿宋_GB2312" w:cs="Times New Roman"/>
                <w:b/>
                <w:bCs/>
                <w:color w:val="auto"/>
                <w:sz w:val="24"/>
                <w:szCs w:val="24"/>
                <w:highlight w:val="none"/>
                <w:lang w:val="en-US" w:eastAsia="zh-CN"/>
              </w:rPr>
              <w:t>物料平衡</w:t>
            </w:r>
          </w:p>
          <w:p w14:paraId="5BFFCB90">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本项目料平衡见表2-</w:t>
            </w:r>
            <w:r>
              <w:rPr>
                <w:rFonts w:hint="eastAsia"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lang w:val="en-US" w:eastAsia="zh-CN"/>
              </w:rPr>
              <w:t>，物料平衡见图2-</w:t>
            </w:r>
            <w:r>
              <w:rPr>
                <w:rFonts w:hint="eastAsia"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lang w:val="en-US" w:eastAsia="zh-CN"/>
              </w:rPr>
              <w:t>。</w:t>
            </w:r>
          </w:p>
          <w:p w14:paraId="63A530B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宋体" w:cs="Times New Roman"/>
                <w:color w:val="auto"/>
                <w:sz w:val="21"/>
                <w:szCs w:val="21"/>
                <w:highlight w:val="none"/>
                <w:lang w:val="en-US" w:eastAsia="zh-CN"/>
              </w:rPr>
              <w:t>表</w:t>
            </w: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项目</w:t>
            </w:r>
            <w:r>
              <w:rPr>
                <w:rFonts w:hint="eastAsia" w:cs="Times New Roman"/>
                <w:color w:val="auto"/>
                <w:sz w:val="24"/>
                <w:szCs w:val="24"/>
                <w:highlight w:val="none"/>
                <w:lang w:val="en-US" w:eastAsia="zh-CN"/>
              </w:rPr>
              <w:t>水泥</w:t>
            </w:r>
            <w:r>
              <w:rPr>
                <w:rFonts w:hint="default" w:ascii="Times New Roman" w:hAnsi="Times New Roman" w:eastAsia="宋体" w:cs="Times New Roman"/>
                <w:color w:val="auto"/>
                <w:sz w:val="24"/>
                <w:szCs w:val="24"/>
                <w:highlight w:val="none"/>
                <w:lang w:val="en-US" w:eastAsia="zh-CN"/>
              </w:rPr>
              <w:t>混凝土物料平衡一览表</w:t>
            </w:r>
          </w:p>
          <w:tbl>
            <w:tblPr>
              <w:tblStyle w:val="23"/>
              <w:tblW w:w="494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58"/>
              <w:gridCol w:w="900"/>
              <w:gridCol w:w="1334"/>
              <w:gridCol w:w="1553"/>
              <w:gridCol w:w="1290"/>
              <w:gridCol w:w="2014"/>
            </w:tblGrid>
            <w:tr w14:paraId="13CAE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758" w:type="dxa"/>
                  <w:vMerge w:val="restart"/>
                  <w:tcBorders>
                    <w:right w:val="single" w:color="auto" w:sz="4" w:space="0"/>
                  </w:tcBorders>
                  <w:noWrap w:val="0"/>
                  <w:vAlign w:val="center"/>
                </w:tcPr>
                <w:p w14:paraId="771EE6E6">
                  <w:pPr>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2234" w:type="dxa"/>
                  <w:gridSpan w:val="2"/>
                  <w:tcBorders>
                    <w:left w:val="single" w:color="auto" w:sz="4" w:space="0"/>
                  </w:tcBorders>
                  <w:noWrap w:val="0"/>
                  <w:vAlign w:val="center"/>
                </w:tcPr>
                <w:p w14:paraId="42AC27D8">
                  <w:pPr>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投入</w:t>
                  </w:r>
                </w:p>
              </w:tc>
              <w:tc>
                <w:tcPr>
                  <w:tcW w:w="4857" w:type="dxa"/>
                  <w:gridSpan w:val="3"/>
                  <w:noWrap w:val="0"/>
                  <w:vAlign w:val="center"/>
                </w:tcPr>
                <w:p w14:paraId="1A5B0F2A">
                  <w:pPr>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产出</w:t>
                  </w:r>
                </w:p>
              </w:tc>
            </w:tr>
            <w:tr w14:paraId="6D006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758" w:type="dxa"/>
                  <w:vMerge w:val="continue"/>
                  <w:tcBorders>
                    <w:right w:val="single" w:color="auto" w:sz="4" w:space="0"/>
                  </w:tcBorders>
                  <w:noWrap w:val="0"/>
                  <w:vAlign w:val="center"/>
                </w:tcPr>
                <w:p w14:paraId="1C79338C">
                  <w:pPr>
                    <w:bidi w:val="0"/>
                    <w:jc w:val="center"/>
                    <w:rPr>
                      <w:rFonts w:hint="default" w:ascii="Times New Roman" w:hAnsi="Times New Roman" w:eastAsia="宋体" w:cs="Times New Roman"/>
                      <w:b/>
                      <w:bCs/>
                      <w:color w:val="auto"/>
                      <w:highlight w:val="none"/>
                    </w:rPr>
                  </w:pPr>
                </w:p>
              </w:tc>
              <w:tc>
                <w:tcPr>
                  <w:tcW w:w="900" w:type="dxa"/>
                  <w:tcBorders>
                    <w:left w:val="single" w:color="auto" w:sz="4" w:space="0"/>
                  </w:tcBorders>
                  <w:noWrap w:val="0"/>
                  <w:vAlign w:val="center"/>
                </w:tcPr>
                <w:p w14:paraId="35A94800">
                  <w:pPr>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名称</w:t>
                  </w:r>
                </w:p>
              </w:tc>
              <w:tc>
                <w:tcPr>
                  <w:tcW w:w="1334" w:type="dxa"/>
                  <w:noWrap w:val="0"/>
                  <w:vAlign w:val="center"/>
                </w:tcPr>
                <w:p w14:paraId="62976BD2">
                  <w:pPr>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用量（t/a）</w:t>
                  </w:r>
                </w:p>
              </w:tc>
              <w:tc>
                <w:tcPr>
                  <w:tcW w:w="1553" w:type="dxa"/>
                  <w:noWrap w:val="0"/>
                  <w:vAlign w:val="center"/>
                </w:tcPr>
                <w:p w14:paraId="00CAD81E">
                  <w:pPr>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名称</w:t>
                  </w:r>
                </w:p>
              </w:tc>
              <w:tc>
                <w:tcPr>
                  <w:tcW w:w="1290" w:type="dxa"/>
                  <w:noWrap w:val="0"/>
                  <w:vAlign w:val="center"/>
                </w:tcPr>
                <w:p w14:paraId="70DAE332">
                  <w:pPr>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用量（t/a）</w:t>
                  </w:r>
                </w:p>
              </w:tc>
              <w:tc>
                <w:tcPr>
                  <w:tcW w:w="2014" w:type="dxa"/>
                  <w:noWrap w:val="0"/>
                  <w:vAlign w:val="center"/>
                </w:tcPr>
                <w:p w14:paraId="106CA402">
                  <w:pPr>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备注</w:t>
                  </w:r>
                </w:p>
              </w:tc>
            </w:tr>
            <w:tr w14:paraId="75A7F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758" w:type="dxa"/>
                  <w:tcBorders>
                    <w:right w:val="single" w:color="auto" w:sz="4" w:space="0"/>
                  </w:tcBorders>
                  <w:noWrap w:val="0"/>
                  <w:vAlign w:val="center"/>
                </w:tcPr>
                <w:p w14:paraId="7DBD2522">
                  <w:pPr>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900" w:type="dxa"/>
                  <w:tcBorders>
                    <w:left w:val="single" w:color="auto" w:sz="4" w:space="0"/>
                  </w:tcBorders>
                  <w:noWrap w:val="0"/>
                  <w:vAlign w:val="center"/>
                </w:tcPr>
                <w:p w14:paraId="28B2B844">
                  <w:pPr>
                    <w:bidi w:val="0"/>
                    <w:jc w:val="center"/>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水泥</w:t>
                  </w:r>
                </w:p>
              </w:tc>
              <w:tc>
                <w:tcPr>
                  <w:tcW w:w="1334" w:type="dxa"/>
                  <w:noWrap w:val="0"/>
                  <w:vAlign w:val="center"/>
                </w:tcPr>
                <w:p w14:paraId="20443854">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60000</w:t>
                  </w:r>
                </w:p>
              </w:tc>
              <w:tc>
                <w:tcPr>
                  <w:tcW w:w="1553" w:type="dxa"/>
                  <w:noWrap w:val="0"/>
                  <w:vAlign w:val="center"/>
                </w:tcPr>
                <w:p w14:paraId="284FC8E5">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水泥混凝土</w:t>
                  </w:r>
                </w:p>
              </w:tc>
              <w:tc>
                <w:tcPr>
                  <w:tcW w:w="1290" w:type="dxa"/>
                  <w:noWrap w:val="0"/>
                  <w:vAlign w:val="center"/>
                </w:tcPr>
                <w:p w14:paraId="06C1F3A8">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481920.54</w:t>
                  </w:r>
                </w:p>
              </w:tc>
              <w:tc>
                <w:tcPr>
                  <w:tcW w:w="2014" w:type="dxa"/>
                  <w:noWrap w:val="0"/>
                  <w:vAlign w:val="center"/>
                </w:tcPr>
                <w:p w14:paraId="6F864FF9">
                  <w:pPr>
                    <w:bidi w:val="0"/>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产品</w:t>
                  </w:r>
                  <w:r>
                    <w:rPr>
                      <w:rFonts w:hint="eastAsia" w:cs="Times New Roman"/>
                      <w:color w:val="auto"/>
                      <w:highlight w:val="none"/>
                      <w:lang w:val="en-US" w:eastAsia="zh-CN"/>
                    </w:rPr>
                    <w:t>（20.08万方）</w:t>
                  </w:r>
                </w:p>
              </w:tc>
            </w:tr>
            <w:tr w14:paraId="4A8D3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758" w:type="dxa"/>
                  <w:tcBorders>
                    <w:right w:val="single" w:color="auto" w:sz="4" w:space="0"/>
                  </w:tcBorders>
                  <w:noWrap w:val="0"/>
                  <w:vAlign w:val="center"/>
                </w:tcPr>
                <w:p w14:paraId="592E9BBF">
                  <w:pPr>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900" w:type="dxa"/>
                  <w:tcBorders>
                    <w:left w:val="single" w:color="auto" w:sz="4" w:space="0"/>
                  </w:tcBorders>
                  <w:noWrap w:val="0"/>
                  <w:vAlign w:val="center"/>
                </w:tcPr>
                <w:p w14:paraId="338A252A">
                  <w:pPr>
                    <w:bidi w:val="0"/>
                    <w:jc w:val="center"/>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粉煤灰</w:t>
                  </w:r>
                </w:p>
              </w:tc>
              <w:tc>
                <w:tcPr>
                  <w:tcW w:w="1334" w:type="dxa"/>
                  <w:noWrap w:val="0"/>
                  <w:vAlign w:val="center"/>
                </w:tcPr>
                <w:p w14:paraId="04B13175">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20000</w:t>
                  </w:r>
                </w:p>
              </w:tc>
              <w:tc>
                <w:tcPr>
                  <w:tcW w:w="1553" w:type="dxa"/>
                  <w:noWrap w:val="0"/>
                  <w:vAlign w:val="center"/>
                </w:tcPr>
                <w:p w14:paraId="5006A1DD">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G1-1粉尘</w:t>
                  </w:r>
                </w:p>
              </w:tc>
              <w:tc>
                <w:tcPr>
                  <w:tcW w:w="1290" w:type="dxa"/>
                  <w:noWrap w:val="0"/>
                  <w:vAlign w:val="center"/>
                </w:tcPr>
                <w:p w14:paraId="3B0BD041">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7.20</w:t>
                  </w:r>
                </w:p>
              </w:tc>
              <w:tc>
                <w:tcPr>
                  <w:tcW w:w="2014" w:type="dxa"/>
                  <w:vMerge w:val="restart"/>
                  <w:noWrap w:val="0"/>
                  <w:vAlign w:val="center"/>
                </w:tcPr>
                <w:p w14:paraId="3EDE65DD">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经各筒仓自带仓顶除尘器处理后，无组织排放，除尘灰回用</w:t>
                  </w:r>
                </w:p>
              </w:tc>
            </w:tr>
            <w:tr w14:paraId="2A19F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758" w:type="dxa"/>
                  <w:tcBorders>
                    <w:right w:val="single" w:color="auto" w:sz="4" w:space="0"/>
                  </w:tcBorders>
                  <w:noWrap w:val="0"/>
                  <w:vAlign w:val="center"/>
                </w:tcPr>
                <w:p w14:paraId="7B96022F">
                  <w:pPr>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900" w:type="dxa"/>
                  <w:tcBorders>
                    <w:left w:val="single" w:color="auto" w:sz="4" w:space="0"/>
                  </w:tcBorders>
                  <w:noWrap w:val="0"/>
                  <w:vAlign w:val="center"/>
                </w:tcPr>
                <w:p w14:paraId="62C78EA2">
                  <w:pPr>
                    <w:bidi w:val="0"/>
                    <w:jc w:val="center"/>
                    <w:rPr>
                      <w:rFonts w:hint="default" w:ascii="Times New Roman" w:hAnsi="Times New Roman" w:eastAsia="宋体" w:cs="Times New Roman"/>
                      <w:color w:val="auto"/>
                      <w:highlight w:val="none"/>
                      <w:lang w:eastAsia="zh-CN"/>
                    </w:rPr>
                  </w:pPr>
                  <w:r>
                    <w:rPr>
                      <w:rFonts w:hint="eastAsia" w:cs="Times New Roman"/>
                      <w:color w:val="auto"/>
                      <w:highlight w:val="none"/>
                      <w:lang w:val="en-US" w:eastAsia="zh-CN"/>
                    </w:rPr>
                    <w:t>水洗砂</w:t>
                  </w:r>
                </w:p>
              </w:tc>
              <w:tc>
                <w:tcPr>
                  <w:tcW w:w="1334" w:type="dxa"/>
                  <w:noWrap w:val="0"/>
                  <w:vAlign w:val="center"/>
                </w:tcPr>
                <w:p w14:paraId="6FF553B5">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160000</w:t>
                  </w:r>
                </w:p>
              </w:tc>
              <w:tc>
                <w:tcPr>
                  <w:tcW w:w="1553" w:type="dxa"/>
                  <w:noWrap w:val="0"/>
                  <w:vAlign w:val="center"/>
                </w:tcPr>
                <w:p w14:paraId="324D543B">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G1-2粉尘</w:t>
                  </w:r>
                </w:p>
              </w:tc>
              <w:tc>
                <w:tcPr>
                  <w:tcW w:w="1290" w:type="dxa"/>
                  <w:noWrap w:val="0"/>
                  <w:vAlign w:val="center"/>
                </w:tcPr>
                <w:p w14:paraId="1AFAB1A7">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2.40</w:t>
                  </w:r>
                </w:p>
              </w:tc>
              <w:tc>
                <w:tcPr>
                  <w:tcW w:w="2014" w:type="dxa"/>
                  <w:vMerge w:val="continue"/>
                  <w:noWrap w:val="0"/>
                  <w:vAlign w:val="center"/>
                </w:tcPr>
                <w:p w14:paraId="039B65E8">
                  <w:pPr>
                    <w:bidi w:val="0"/>
                    <w:jc w:val="center"/>
                    <w:rPr>
                      <w:rFonts w:hint="default" w:ascii="Times New Roman" w:hAnsi="Times New Roman" w:eastAsia="宋体" w:cs="Times New Roman"/>
                      <w:color w:val="auto"/>
                      <w:highlight w:val="none"/>
                      <w:lang w:val="en-US" w:eastAsia="zh-CN"/>
                    </w:rPr>
                  </w:pPr>
                </w:p>
              </w:tc>
            </w:tr>
            <w:tr w14:paraId="1C528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758" w:type="dxa"/>
                  <w:tcBorders>
                    <w:right w:val="single" w:color="auto" w:sz="4" w:space="0"/>
                  </w:tcBorders>
                  <w:noWrap w:val="0"/>
                  <w:vAlign w:val="center"/>
                </w:tcPr>
                <w:p w14:paraId="7634769B">
                  <w:pPr>
                    <w:bidi w:val="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900" w:type="dxa"/>
                  <w:tcBorders>
                    <w:left w:val="single" w:color="auto" w:sz="4" w:space="0"/>
                  </w:tcBorders>
                  <w:noWrap w:val="0"/>
                  <w:vAlign w:val="center"/>
                </w:tcPr>
                <w:p w14:paraId="655E3016">
                  <w:pPr>
                    <w:bidi w:val="0"/>
                    <w:jc w:val="center"/>
                    <w:rPr>
                      <w:rFonts w:hint="default" w:ascii="Times New Roman" w:hAnsi="Times New Roman" w:eastAsia="宋体" w:cs="Times New Roman"/>
                      <w:color w:val="auto"/>
                      <w:highlight w:val="none"/>
                      <w:lang w:eastAsia="zh-CN"/>
                    </w:rPr>
                  </w:pPr>
                  <w:r>
                    <w:rPr>
                      <w:rFonts w:hint="eastAsia" w:cs="Times New Roman"/>
                      <w:color w:val="auto"/>
                      <w:highlight w:val="none"/>
                      <w:lang w:val="en-US" w:eastAsia="zh-CN"/>
                    </w:rPr>
                    <w:t>碎石</w:t>
                  </w:r>
                </w:p>
              </w:tc>
              <w:tc>
                <w:tcPr>
                  <w:tcW w:w="1334" w:type="dxa"/>
                  <w:noWrap w:val="0"/>
                  <w:vAlign w:val="center"/>
                </w:tcPr>
                <w:p w14:paraId="6A344128">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200000</w:t>
                  </w:r>
                </w:p>
              </w:tc>
              <w:tc>
                <w:tcPr>
                  <w:tcW w:w="1553" w:type="dxa"/>
                  <w:shd w:val="clear" w:color="auto" w:fill="auto"/>
                  <w:noWrap w:val="0"/>
                  <w:vAlign w:val="center"/>
                </w:tcPr>
                <w:p w14:paraId="43F220D6">
                  <w:pPr>
                    <w:bidi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G1-3粉尘</w:t>
                  </w:r>
                </w:p>
              </w:tc>
              <w:tc>
                <w:tcPr>
                  <w:tcW w:w="1290" w:type="dxa"/>
                  <w:shd w:val="clear" w:color="auto" w:fill="auto"/>
                  <w:noWrap w:val="0"/>
                  <w:vAlign w:val="center"/>
                </w:tcPr>
                <w:p w14:paraId="14FE1484">
                  <w:pPr>
                    <w:bidi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7.20</w:t>
                  </w:r>
                </w:p>
              </w:tc>
              <w:tc>
                <w:tcPr>
                  <w:tcW w:w="2014" w:type="dxa"/>
                  <w:shd w:val="clear" w:color="auto" w:fill="auto"/>
                  <w:noWrap w:val="0"/>
                  <w:vAlign w:val="center"/>
                </w:tcPr>
                <w:p w14:paraId="40CBBA82">
                  <w:pPr>
                    <w:bidi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洒水抑尘</w:t>
                  </w:r>
                </w:p>
              </w:tc>
            </w:tr>
            <w:tr w14:paraId="4C0F7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758" w:type="dxa"/>
                  <w:tcBorders>
                    <w:right w:val="single" w:color="auto" w:sz="4" w:space="0"/>
                  </w:tcBorders>
                  <w:noWrap w:val="0"/>
                  <w:vAlign w:val="center"/>
                </w:tcPr>
                <w:p w14:paraId="09F6685A">
                  <w:pPr>
                    <w:bidi w:val="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p>
              </w:tc>
              <w:tc>
                <w:tcPr>
                  <w:tcW w:w="900" w:type="dxa"/>
                  <w:tcBorders>
                    <w:left w:val="single" w:color="auto" w:sz="4" w:space="0"/>
                  </w:tcBorders>
                  <w:noWrap w:val="0"/>
                  <w:vAlign w:val="center"/>
                </w:tcPr>
                <w:p w14:paraId="0A571556">
                  <w:pPr>
                    <w:bidi w:val="0"/>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外加剂</w:t>
                  </w:r>
                </w:p>
              </w:tc>
              <w:tc>
                <w:tcPr>
                  <w:tcW w:w="1334" w:type="dxa"/>
                  <w:noWrap w:val="0"/>
                  <w:vAlign w:val="center"/>
                </w:tcPr>
                <w:p w14:paraId="0A96A85F">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2000</w:t>
                  </w:r>
                </w:p>
              </w:tc>
              <w:tc>
                <w:tcPr>
                  <w:tcW w:w="1553" w:type="dxa"/>
                  <w:shd w:val="clear" w:color="auto" w:fill="auto"/>
                  <w:noWrap w:val="0"/>
                  <w:vAlign w:val="center"/>
                </w:tcPr>
                <w:p w14:paraId="372B555C">
                  <w:pPr>
                    <w:bidi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G1-4粉尘</w:t>
                  </w:r>
                </w:p>
              </w:tc>
              <w:tc>
                <w:tcPr>
                  <w:tcW w:w="1290" w:type="dxa"/>
                  <w:shd w:val="clear" w:color="auto" w:fill="auto"/>
                  <w:noWrap w:val="0"/>
                  <w:vAlign w:val="center"/>
                </w:tcPr>
                <w:p w14:paraId="2D514CAA">
                  <w:pPr>
                    <w:bidi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62.66</w:t>
                  </w:r>
                </w:p>
              </w:tc>
              <w:tc>
                <w:tcPr>
                  <w:tcW w:w="2014" w:type="dxa"/>
                  <w:shd w:val="clear" w:color="auto" w:fill="auto"/>
                  <w:noWrap w:val="0"/>
                  <w:vAlign w:val="center"/>
                </w:tcPr>
                <w:p w14:paraId="784480DE">
                  <w:pPr>
                    <w:bidi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搅拌过程中加水</w:t>
                  </w:r>
                </w:p>
              </w:tc>
            </w:tr>
            <w:tr w14:paraId="05D19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758" w:type="dxa"/>
                  <w:tcBorders>
                    <w:right w:val="single" w:color="auto" w:sz="4" w:space="0"/>
                  </w:tcBorders>
                  <w:noWrap w:val="0"/>
                  <w:vAlign w:val="center"/>
                </w:tcPr>
                <w:p w14:paraId="25B9A3B6">
                  <w:pPr>
                    <w:bidi w:val="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900" w:type="dxa"/>
                  <w:tcBorders>
                    <w:left w:val="single" w:color="auto" w:sz="4" w:space="0"/>
                  </w:tcBorders>
                  <w:noWrap w:val="0"/>
                  <w:vAlign w:val="center"/>
                </w:tcPr>
                <w:p w14:paraId="1D8FD0D0">
                  <w:pPr>
                    <w:bidi w:val="0"/>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水</w:t>
                  </w:r>
                </w:p>
              </w:tc>
              <w:tc>
                <w:tcPr>
                  <w:tcW w:w="1334" w:type="dxa"/>
                  <w:noWrap w:val="0"/>
                  <w:vAlign w:val="center"/>
                </w:tcPr>
                <w:p w14:paraId="6764B5D2">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40000</w:t>
                  </w:r>
                </w:p>
              </w:tc>
              <w:tc>
                <w:tcPr>
                  <w:tcW w:w="1553" w:type="dxa"/>
                  <w:noWrap w:val="0"/>
                  <w:vAlign w:val="center"/>
                </w:tcPr>
                <w:p w14:paraId="275D3B51">
                  <w:pPr>
                    <w:bidi w:val="0"/>
                    <w:jc w:val="center"/>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w:t>
                  </w:r>
                </w:p>
              </w:tc>
              <w:tc>
                <w:tcPr>
                  <w:tcW w:w="1290" w:type="dxa"/>
                  <w:noWrap w:val="0"/>
                  <w:vAlign w:val="center"/>
                </w:tcPr>
                <w:p w14:paraId="39C22772">
                  <w:pPr>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c>
                <w:tcPr>
                  <w:tcW w:w="2014" w:type="dxa"/>
                  <w:noWrap w:val="0"/>
                  <w:vAlign w:val="center"/>
                </w:tcPr>
                <w:p w14:paraId="16C99A0D">
                  <w:pPr>
                    <w:bidi w:val="0"/>
                    <w:jc w:val="center"/>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w:t>
                  </w:r>
                </w:p>
              </w:tc>
            </w:tr>
            <w:tr w14:paraId="39C48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1658" w:type="dxa"/>
                  <w:gridSpan w:val="2"/>
                  <w:noWrap w:val="0"/>
                  <w:vAlign w:val="center"/>
                </w:tcPr>
                <w:p w14:paraId="303B4ABA">
                  <w:pPr>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合计</w:t>
                  </w:r>
                </w:p>
              </w:tc>
              <w:tc>
                <w:tcPr>
                  <w:tcW w:w="1334" w:type="dxa"/>
                  <w:noWrap w:val="0"/>
                  <w:vAlign w:val="center"/>
                </w:tcPr>
                <w:p w14:paraId="717573C8">
                  <w:pPr>
                    <w:bidi w:val="0"/>
                    <w:jc w:val="center"/>
                    <w:rPr>
                      <w:rFonts w:hint="default" w:ascii="Times New Roman" w:hAnsi="Times New Roman" w:eastAsia="宋体" w:cs="Times New Roman"/>
                      <w:color w:val="auto"/>
                      <w:highlight w:val="none"/>
                      <w:lang w:val="en-US" w:eastAsia="zh-CN"/>
                    </w:rPr>
                  </w:pPr>
                  <w:r>
                    <w:rPr>
                      <w:rFonts w:hint="eastAsia" w:cs="Times New Roman"/>
                      <w:b/>
                      <w:bCs/>
                      <w:color w:val="auto"/>
                      <w:highlight w:val="none"/>
                      <w:lang w:val="en-US" w:eastAsia="zh-CN"/>
                    </w:rPr>
                    <w:t>482000</w:t>
                  </w:r>
                </w:p>
              </w:tc>
              <w:tc>
                <w:tcPr>
                  <w:tcW w:w="1553" w:type="dxa"/>
                  <w:noWrap w:val="0"/>
                  <w:vAlign w:val="center"/>
                </w:tcPr>
                <w:p w14:paraId="75325BD5">
                  <w:pPr>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合计</w:t>
                  </w:r>
                </w:p>
              </w:tc>
              <w:tc>
                <w:tcPr>
                  <w:tcW w:w="1290" w:type="dxa"/>
                  <w:shd w:val="clear" w:color="auto" w:fill="auto"/>
                  <w:noWrap w:val="0"/>
                  <w:vAlign w:val="center"/>
                </w:tcPr>
                <w:p w14:paraId="5F00A568">
                  <w:pPr>
                    <w:bidi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482000</w:t>
                  </w:r>
                </w:p>
              </w:tc>
              <w:tc>
                <w:tcPr>
                  <w:tcW w:w="2014" w:type="dxa"/>
                  <w:noWrap w:val="0"/>
                  <w:vAlign w:val="center"/>
                </w:tcPr>
                <w:p w14:paraId="7E28B2DF">
                  <w:pPr>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p>
              </w:tc>
            </w:tr>
          </w:tbl>
          <w:p w14:paraId="0D7B83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bCs/>
                <w:color w:val="auto"/>
                <w:szCs w:val="21"/>
                <w:lang w:eastAsia="zh-CN"/>
              </w:rPr>
            </w:pPr>
          </w:p>
        </w:tc>
      </w:tr>
      <w:tr w14:paraId="22FA9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noWrap w:val="0"/>
            <w:vAlign w:val="center"/>
          </w:tcPr>
          <w:p w14:paraId="5AE57267">
            <w:pPr>
              <w:pStyle w:val="19"/>
              <w:adjustRightInd w:val="0"/>
              <w:snapToGrid w:val="0"/>
              <w:spacing w:before="0" w:beforeAutospacing="0" w:after="0" w:afterAutospacing="0"/>
              <w:jc w:val="center"/>
              <w:rPr>
                <w:rFonts w:hint="eastAsia" w:cs="宋体"/>
                <w:b/>
                <w:bCs/>
                <w:color w:val="auto"/>
                <w:sz w:val="24"/>
                <w:szCs w:val="24"/>
              </w:rPr>
            </w:pPr>
            <w:r>
              <w:rPr>
                <w:rFonts w:hint="eastAsia" w:cs="宋体"/>
                <w:b/>
                <w:bCs w:val="0"/>
                <w:color w:val="auto"/>
                <w:kern w:val="2"/>
                <w:sz w:val="24"/>
                <w:szCs w:val="24"/>
              </w:rPr>
              <w:t>与项目有关的原有环境污染问题</w:t>
            </w:r>
          </w:p>
        </w:tc>
        <w:tc>
          <w:tcPr>
            <w:tcW w:w="8176" w:type="dxa"/>
            <w:noWrap w:val="0"/>
            <w:vAlign w:val="center"/>
          </w:tcPr>
          <w:p w14:paraId="460049B4">
            <w:pPr>
              <w:adjustRightInd w:val="0"/>
              <w:snapToGrid w:val="0"/>
              <w:spacing w:line="360" w:lineRule="auto"/>
              <w:ind w:firstLine="480" w:firstLineChars="200"/>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仿宋_GB2312" w:cs="Times New Roman"/>
                <w:color w:val="auto"/>
                <w:sz w:val="24"/>
                <w:szCs w:val="24"/>
                <w:lang w:val="en-US" w:eastAsia="zh-CN"/>
              </w:rPr>
              <w:t>本项目属于新建项目，根据调查，无与本项目有关的原有污染物情况及环境问题。</w:t>
            </w:r>
          </w:p>
        </w:tc>
      </w:tr>
    </w:tbl>
    <w:p w14:paraId="3CAF9988">
      <w:pPr>
        <w:pStyle w:val="19"/>
        <w:adjustRightInd w:val="0"/>
        <w:snapToGrid w:val="0"/>
        <w:spacing w:before="0" w:beforeAutospacing="0" w:after="0" w:afterAutospacing="0"/>
        <w:jc w:val="center"/>
        <w:rPr>
          <w:rFonts w:hint="eastAsia" w:cs="宋体"/>
          <w:b/>
          <w:bCs w:val="0"/>
          <w:color w:val="auto"/>
          <w:kern w:val="2"/>
          <w:sz w:val="24"/>
          <w:szCs w:val="24"/>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000000" w:themeColor="text1" w:sz="4" w:space="0"/>
        </w:tblBorders>
        <w:tblLayout w:type="autofit"/>
        <w:tblCellMar>
          <w:top w:w="0" w:type="dxa"/>
          <w:left w:w="108" w:type="dxa"/>
          <w:bottom w:w="0" w:type="dxa"/>
          <w:right w:w="108" w:type="dxa"/>
        </w:tblCellMar>
      </w:tblPr>
      <w:tblGrid>
        <w:gridCol w:w="1171"/>
        <w:gridCol w:w="12481"/>
      </w:tblGrid>
      <w:tr w14:paraId="6E18F0DE">
        <w:tblPrEx>
          <w:tblBorders>
            <w:top w:val="single" w:color="auto" w:sz="12" w:space="0"/>
            <w:left w:val="single" w:color="auto" w:sz="12" w:space="0"/>
            <w:bottom w:val="single" w:color="auto" w:sz="12" w:space="0"/>
            <w:right w:val="single" w:color="auto" w:sz="12" w:space="0"/>
            <w:insideH w:val="single" w:color="auto" w:sz="12" w:space="0"/>
            <w:insideV w:val="single" w:color="000000" w:themeColor="text1" w:sz="4" w:space="0"/>
          </w:tblBorders>
          <w:tblCellMar>
            <w:top w:w="0" w:type="dxa"/>
            <w:left w:w="108" w:type="dxa"/>
            <w:bottom w:w="0" w:type="dxa"/>
            <w:right w:w="108" w:type="dxa"/>
          </w:tblCellMar>
        </w:tblPrEx>
        <w:trPr>
          <w:trHeight w:val="8564" w:hRule="atLeast"/>
        </w:trPr>
        <w:tc>
          <w:tcPr>
            <w:tcW w:w="1171" w:type="dxa"/>
            <w:tcBorders>
              <w:tl2br w:val="nil"/>
              <w:tr2bl w:val="nil"/>
            </w:tcBorders>
            <w:vAlign w:val="center"/>
          </w:tcPr>
          <w:p w14:paraId="0ADC98ED">
            <w:pPr>
              <w:pStyle w:val="19"/>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cs="宋体"/>
                <w:b/>
                <w:bCs w:val="0"/>
                <w:color w:val="auto"/>
                <w:kern w:val="2"/>
                <w:sz w:val="24"/>
                <w:szCs w:val="24"/>
                <w:lang w:val="en-US" w:eastAsia="zh-CN"/>
              </w:rPr>
            </w:pPr>
            <w:r>
              <w:rPr>
                <w:rFonts w:hint="eastAsia" w:cs="宋体"/>
                <w:b/>
                <w:bCs w:val="0"/>
                <w:color w:val="auto"/>
                <w:kern w:val="2"/>
                <w:sz w:val="24"/>
                <w:szCs w:val="24"/>
                <w:lang w:val="en-US" w:eastAsia="zh-CN"/>
              </w:rPr>
              <w:t>建设</w:t>
            </w:r>
          </w:p>
          <w:p w14:paraId="4BD4CE00">
            <w:pPr>
              <w:pStyle w:val="19"/>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eastAsia" w:cs="宋体"/>
                <w:b/>
                <w:bCs w:val="0"/>
                <w:color w:val="auto"/>
                <w:kern w:val="2"/>
                <w:sz w:val="24"/>
                <w:szCs w:val="24"/>
                <w:lang w:val="en-US" w:eastAsia="zh-CN"/>
              </w:rPr>
              <w:t>内容</w:t>
            </w:r>
          </w:p>
        </w:tc>
        <w:tc>
          <w:tcPr>
            <w:tcW w:w="12481" w:type="dxa"/>
            <w:tcBorders>
              <w:tl2br w:val="nil"/>
              <w:tr2bl w:val="nil"/>
            </w:tcBorders>
            <w:vAlign w:val="center"/>
          </w:tcPr>
          <w:p w14:paraId="1C59ADB0">
            <w:pPr>
              <w:pStyle w:val="19"/>
              <w:keepNext w:val="0"/>
              <w:keepLines w:val="0"/>
              <w:pageBreakBefore w:val="0"/>
              <w:widowControl/>
              <w:kinsoku/>
              <w:wordWrap/>
              <w:overflowPunct/>
              <w:topLinePunct w:val="0"/>
              <w:autoSpaceDE/>
              <w:autoSpaceDN/>
              <w:bidi w:val="0"/>
              <w:adjustRightInd/>
              <w:snapToGrid/>
              <w:spacing w:before="625" w:beforeLines="200" w:beforeAutospacing="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object>
                <v:shape id="_x0000_i1028" o:spt="75" type="#_x0000_t75" style="height:341.6pt;width:578.4pt;" o:ole="t" filled="f" o:preferrelative="t" stroked="f" coordsize="21600,21600">
                  <v:path/>
                  <v:fill on="f" focussize="0,0"/>
                  <v:stroke on="f"/>
                  <v:imagedata r:id="rId16" o:title=""/>
                  <o:lock v:ext="edit" aspectratio="f"/>
                  <w10:wrap type="none"/>
                  <w10:anchorlock/>
                </v:shape>
                <o:OLEObject Type="Embed" ProgID="Visio.Drawing.11" ShapeID="_x0000_i1028" DrawAspect="Content" ObjectID="_1468075728" r:id="rId15">
                  <o:LockedField>false</o:LockedField>
                </o:OLEObject>
              </w:object>
            </w:r>
          </w:p>
          <w:p w14:paraId="1EAA263A">
            <w:pPr>
              <w:pStyle w:val="19"/>
              <w:keepNext w:val="0"/>
              <w:keepLines w:val="0"/>
              <w:pageBreakBefore w:val="0"/>
              <w:widowControl/>
              <w:kinsoku/>
              <w:wordWrap/>
              <w:overflowPunct/>
              <w:topLinePunct w:val="0"/>
              <w:autoSpaceDE/>
              <w:autoSpaceDN/>
              <w:bidi w:val="0"/>
              <w:adjustRightInd/>
              <w:snapToGrid/>
              <w:spacing w:before="625" w:beforeLines="200" w:beforeAutospacing="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val="0"/>
                <w:color w:val="auto"/>
                <w:sz w:val="21"/>
                <w:szCs w:val="21"/>
                <w:lang w:val="en-US" w:eastAsia="zh-CN"/>
              </w:rPr>
              <w:t>图</w:t>
            </w:r>
            <w:r>
              <w:rPr>
                <w:rFonts w:hint="eastAsia" w:cs="Times New Roman"/>
                <w:b/>
                <w:bCs w:val="0"/>
                <w:color w:val="auto"/>
                <w:sz w:val="21"/>
                <w:szCs w:val="21"/>
                <w:lang w:val="en-US" w:eastAsia="zh-CN"/>
              </w:rPr>
              <w:t>2-7</w:t>
            </w:r>
            <w:r>
              <w:rPr>
                <w:rFonts w:hint="default" w:ascii="Times New Roman" w:hAnsi="Times New Roman" w:eastAsia="宋体" w:cs="Times New Roman"/>
                <w:b/>
                <w:bCs w:val="0"/>
                <w:color w:val="auto"/>
                <w:sz w:val="21"/>
                <w:szCs w:val="21"/>
                <w:lang w:val="en-US" w:eastAsia="zh-CN"/>
              </w:rPr>
              <w:t xml:space="preserve"> </w:t>
            </w:r>
            <w:r>
              <w:rPr>
                <w:rFonts w:hint="eastAsia" w:ascii="Times New Roman" w:hAnsi="Times New Roman" w:cs="Times New Roman"/>
                <w:b/>
                <w:bCs w:val="0"/>
                <w:color w:val="auto"/>
                <w:sz w:val="21"/>
                <w:szCs w:val="21"/>
                <w:lang w:val="en-US" w:eastAsia="zh-CN"/>
              </w:rPr>
              <w:t xml:space="preserve">    </w:t>
            </w:r>
            <w:r>
              <w:rPr>
                <w:rFonts w:hint="default" w:ascii="Times New Roman" w:hAnsi="Times New Roman" w:eastAsia="宋体" w:cs="Times New Roman"/>
                <w:b/>
                <w:bCs w:val="0"/>
                <w:color w:val="auto"/>
                <w:sz w:val="24"/>
                <w:szCs w:val="24"/>
                <w:lang w:val="en-US" w:eastAsia="zh-CN"/>
              </w:rPr>
              <w:t>本项目</w:t>
            </w:r>
            <w:r>
              <w:rPr>
                <w:rFonts w:hint="eastAsia" w:ascii="Times New Roman" w:hAnsi="Times New Roman" w:eastAsia="宋体" w:cs="Times New Roman"/>
                <w:b/>
                <w:bCs w:val="0"/>
                <w:color w:val="auto"/>
                <w:sz w:val="24"/>
                <w:szCs w:val="24"/>
                <w:lang w:val="en-US" w:eastAsia="zh-CN"/>
              </w:rPr>
              <w:t>水泥</w:t>
            </w:r>
            <w:r>
              <w:rPr>
                <w:rFonts w:hint="default" w:ascii="Times New Roman" w:hAnsi="Times New Roman" w:eastAsia="宋体" w:cs="Times New Roman"/>
                <w:b/>
                <w:bCs w:val="0"/>
                <w:color w:val="auto"/>
                <w:sz w:val="24"/>
                <w:szCs w:val="24"/>
                <w:lang w:val="en-US" w:eastAsia="zh-CN"/>
              </w:rPr>
              <w:t>混凝土</w:t>
            </w:r>
            <w:r>
              <w:rPr>
                <w:rFonts w:hint="eastAsia" w:ascii="Times New Roman" w:hAnsi="Times New Roman" w:eastAsia="宋体" w:cs="Times New Roman"/>
                <w:b/>
                <w:bCs w:val="0"/>
                <w:color w:val="auto"/>
                <w:sz w:val="24"/>
                <w:szCs w:val="24"/>
                <w:lang w:val="en-US" w:eastAsia="zh-CN"/>
              </w:rPr>
              <w:t>物料平衡图</w:t>
            </w:r>
          </w:p>
        </w:tc>
      </w:tr>
    </w:tbl>
    <w:p w14:paraId="73D8C61A">
      <w:pPr>
        <w:pStyle w:val="19"/>
        <w:jc w:val="center"/>
        <w:rPr>
          <w:rFonts w:hint="default" w:ascii="Times New Roman" w:hAnsi="Times New Roman" w:eastAsia="宋体" w:cs="Times New Roman"/>
          <w:color w:val="auto"/>
          <w:sz w:val="24"/>
          <w:szCs w:val="24"/>
          <w:highlight w:val="none"/>
          <w:lang w:val="en-US" w:eastAsia="zh-CN"/>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p w14:paraId="2E593DF1">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08007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6" w:hRule="atLeast"/>
          <w:jc w:val="center"/>
        </w:trPr>
        <w:tc>
          <w:tcPr>
            <w:tcW w:w="800" w:type="dxa"/>
            <w:noWrap w:val="0"/>
            <w:vAlign w:val="center"/>
          </w:tcPr>
          <w:p w14:paraId="0961448F">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区域</w:t>
            </w:r>
          </w:p>
          <w:p w14:paraId="60FB64C4">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环境</w:t>
            </w:r>
          </w:p>
          <w:p w14:paraId="09A2984E">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质量</w:t>
            </w:r>
          </w:p>
          <w:p w14:paraId="28FDCC5F">
            <w:pPr>
              <w:adjustRightInd w:val="0"/>
              <w:snapToGrid w:val="0"/>
              <w:jc w:val="center"/>
              <w:rPr>
                <w:rFonts w:ascii="宋体" w:hAnsi="宋体" w:cs="宋体"/>
                <w:color w:val="auto"/>
                <w:kern w:val="0"/>
                <w:szCs w:val="21"/>
              </w:rPr>
            </w:pPr>
            <w:r>
              <w:rPr>
                <w:rFonts w:hint="eastAsia" w:ascii="宋体" w:hAnsi="宋体" w:cs="宋体"/>
                <w:b/>
                <w:bCs/>
                <w:color w:val="auto"/>
                <w:kern w:val="0"/>
                <w:sz w:val="24"/>
                <w:szCs w:val="24"/>
              </w:rPr>
              <w:t>现状</w:t>
            </w:r>
          </w:p>
        </w:tc>
        <w:tc>
          <w:tcPr>
            <w:tcW w:w="8190" w:type="dxa"/>
            <w:noWrap w:val="0"/>
            <w:vAlign w:val="center"/>
          </w:tcPr>
          <w:p w14:paraId="0FE620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1、环境空气质量现状</w:t>
            </w:r>
          </w:p>
          <w:p w14:paraId="17205B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⑴常规污染物</w:t>
            </w:r>
          </w:p>
          <w:p w14:paraId="3DA136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依据《建设项目环境影响报告表编制技术指南（污染影响类）》（试行）中要求：常规污染物引用与建设项目距离较近的有效数据，包括近3年的规划环境影响评价的监测数据，国家、地方环境空气质量监测网数据或生态环境主管部门公开发布是质量数据</w:t>
            </w:r>
            <w:r>
              <w:rPr>
                <w:rFonts w:hint="default" w:ascii="Times New Roman" w:hAnsi="Times New Roman" w:eastAsia="仿宋_GB2312" w:cs="Times New Roman"/>
                <w:color w:val="auto"/>
                <w:sz w:val="24"/>
                <w:szCs w:val="24"/>
                <w:lang w:eastAsia="zh-CN"/>
              </w:rPr>
              <w:t>。</w:t>
            </w:r>
          </w:p>
          <w:p w14:paraId="7B1219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1"/>
                <w:szCs w:val="21"/>
                <w:lang w:eastAsia="zh-CN"/>
              </w:rPr>
            </w:pPr>
            <w:r>
              <w:rPr>
                <w:rFonts w:hint="eastAsia" w:eastAsia="仿宋_GB2312" w:cs="Times New Roman"/>
                <w:color w:val="auto"/>
                <w:sz w:val="24"/>
                <w:lang w:val="en-US" w:eastAsia="zh-CN"/>
              </w:rPr>
              <w:t>本项目位于中卫市沙坡头区兴仁镇，选取2024年为评价基准年，</w:t>
            </w:r>
            <w:r>
              <w:rPr>
                <w:rFonts w:hint="default" w:ascii="Times New Roman" w:hAnsi="Times New Roman" w:eastAsia="仿宋_GB2312" w:cs="Times New Roman"/>
                <w:color w:val="auto"/>
                <w:sz w:val="24"/>
                <w:lang w:val="en-US" w:eastAsia="zh-CN"/>
              </w:rPr>
              <w:t>根据</w:t>
            </w:r>
            <w:r>
              <w:rPr>
                <w:rFonts w:hint="eastAsia" w:eastAsia="仿宋_GB2312" w:cs="Times New Roman"/>
                <w:color w:val="auto"/>
                <w:sz w:val="24"/>
                <w:lang w:val="en-US" w:eastAsia="zh-CN"/>
              </w:rPr>
              <w:t>环境空气质量模型技术支持服务系统中生态环境部环境影响评价数值模拟重点实验室的数据，剔除沙尘天气影响后，中卫市2024年</w:t>
            </w:r>
            <w:r>
              <w:rPr>
                <w:rFonts w:hint="default" w:ascii="Times New Roman" w:hAnsi="Times New Roman" w:eastAsia="仿宋_GB2312" w:cs="Times New Roman"/>
                <w:color w:val="auto"/>
                <w:sz w:val="24"/>
                <w:lang w:val="en-US" w:eastAsia="zh-CN"/>
              </w:rPr>
              <w:t>SO</w:t>
            </w:r>
            <w:r>
              <w:rPr>
                <w:rFonts w:hint="default" w:ascii="Times New Roman" w:hAnsi="Times New Roman" w:eastAsia="仿宋_GB2312" w:cs="Times New Roman"/>
                <w:color w:val="auto"/>
                <w:sz w:val="24"/>
                <w:vertAlign w:val="subscript"/>
                <w:lang w:val="en-US" w:eastAsia="zh-CN"/>
              </w:rPr>
              <w:t>2</w:t>
            </w:r>
            <w:r>
              <w:rPr>
                <w:rFonts w:hint="default" w:ascii="Times New Roman" w:hAnsi="Times New Roman" w:eastAsia="仿宋_GB2312" w:cs="Times New Roman"/>
                <w:color w:val="auto"/>
                <w:sz w:val="24"/>
                <w:lang w:val="en-US" w:eastAsia="zh-CN"/>
              </w:rPr>
              <w:t>、NO</w:t>
            </w:r>
            <w:r>
              <w:rPr>
                <w:rFonts w:hint="default" w:ascii="Times New Roman" w:hAnsi="Times New Roman" w:eastAsia="仿宋_GB2312" w:cs="Times New Roman"/>
                <w:color w:val="auto"/>
                <w:sz w:val="24"/>
                <w:vertAlign w:val="subscript"/>
                <w:lang w:val="en-US" w:eastAsia="zh-CN"/>
              </w:rPr>
              <w:t>2</w:t>
            </w:r>
            <w:r>
              <w:rPr>
                <w:rFonts w:hint="default" w:ascii="Times New Roman" w:hAnsi="Times New Roman" w:eastAsia="仿宋_GB2312" w:cs="Times New Roman"/>
                <w:color w:val="auto"/>
                <w:sz w:val="24"/>
                <w:lang w:val="en-US" w:eastAsia="zh-CN"/>
              </w:rPr>
              <w:t>、CO、PM</w:t>
            </w:r>
            <w:r>
              <w:rPr>
                <w:rFonts w:hint="default" w:ascii="Times New Roman" w:hAnsi="Times New Roman" w:eastAsia="仿宋_GB2312" w:cs="Times New Roman"/>
                <w:color w:val="auto"/>
                <w:sz w:val="24"/>
                <w:vertAlign w:val="subscript"/>
                <w:lang w:val="en-US" w:eastAsia="zh-CN"/>
              </w:rPr>
              <w:t>10</w:t>
            </w:r>
            <w:r>
              <w:rPr>
                <w:rFonts w:hint="default" w:ascii="Times New Roman" w:hAnsi="Times New Roman" w:eastAsia="仿宋_GB2312" w:cs="Times New Roman"/>
                <w:color w:val="auto"/>
                <w:sz w:val="24"/>
                <w:lang w:val="en-US" w:eastAsia="zh-CN"/>
              </w:rPr>
              <w:t>、PM</w:t>
            </w:r>
            <w:r>
              <w:rPr>
                <w:rFonts w:hint="default" w:ascii="Times New Roman" w:hAnsi="Times New Roman" w:eastAsia="仿宋_GB2312" w:cs="Times New Roman"/>
                <w:color w:val="auto"/>
                <w:sz w:val="24"/>
                <w:vertAlign w:val="subscript"/>
                <w:lang w:val="en-US" w:eastAsia="zh-CN"/>
              </w:rPr>
              <w:t>2.5</w:t>
            </w:r>
            <w:r>
              <w:rPr>
                <w:rFonts w:hint="default" w:ascii="Times New Roman" w:hAnsi="Times New Roman" w:eastAsia="仿宋_GB2312" w:cs="Times New Roman"/>
                <w:color w:val="auto"/>
                <w:sz w:val="24"/>
                <w:lang w:val="en-US" w:eastAsia="zh-CN"/>
              </w:rPr>
              <w:t>和O</w:t>
            </w:r>
            <w:r>
              <w:rPr>
                <w:rFonts w:hint="default" w:ascii="Times New Roman" w:hAnsi="Times New Roman" w:eastAsia="仿宋_GB2312" w:cs="Times New Roman"/>
                <w:color w:val="auto"/>
                <w:sz w:val="24"/>
                <w:vertAlign w:val="subscript"/>
                <w:lang w:val="en-US" w:eastAsia="zh-CN"/>
              </w:rPr>
              <w:t>3</w:t>
            </w:r>
            <w:r>
              <w:rPr>
                <w:rFonts w:hint="default" w:ascii="Times New Roman" w:hAnsi="Times New Roman" w:eastAsia="仿宋_GB2312" w:cs="仿宋_GB2312"/>
                <w:color w:val="auto"/>
                <w:sz w:val="24"/>
                <w:szCs w:val="24"/>
                <w:lang w:eastAsia="zh-CN"/>
              </w:rPr>
              <w:t>具体监测结果统计见表</w:t>
            </w:r>
            <w:r>
              <w:rPr>
                <w:rFonts w:hint="eastAsia" w:ascii="Times New Roman" w:hAnsi="Times New Roman" w:eastAsia="仿宋_GB2312" w:cs="仿宋_GB2312"/>
                <w:color w:val="auto"/>
                <w:sz w:val="24"/>
                <w:szCs w:val="24"/>
                <w:lang w:val="en-US" w:eastAsia="zh-CN"/>
              </w:rPr>
              <w:t>3-1</w:t>
            </w:r>
            <w:r>
              <w:rPr>
                <w:rFonts w:hint="default" w:ascii="Times New Roman" w:hAnsi="Times New Roman" w:eastAsia="仿宋_GB2312" w:cs="仿宋_GB2312"/>
                <w:color w:val="auto"/>
                <w:sz w:val="24"/>
                <w:szCs w:val="24"/>
                <w:lang w:eastAsia="zh-CN"/>
              </w:rPr>
              <w:t>。</w:t>
            </w:r>
          </w:p>
          <w:p w14:paraId="31DD77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eastAsia" w:ascii="Times New Roman" w:hAnsi="Times New Roman" w:eastAsia="黑体" w:cs="黑体"/>
                <w:b w:val="0"/>
                <w:bCs w:val="0"/>
                <w:color w:val="auto"/>
                <w:sz w:val="24"/>
                <w:lang w:eastAsia="zh-CN"/>
              </w:rPr>
            </w:pPr>
            <w:r>
              <w:rPr>
                <w:rFonts w:hint="default" w:ascii="Times New Roman" w:hAnsi="Times New Roman" w:eastAsia="宋体" w:cs="Times New Roman"/>
                <w:bCs/>
                <w:color w:val="auto"/>
                <w:sz w:val="21"/>
                <w:szCs w:val="21"/>
                <w:lang w:eastAsia="zh-CN"/>
              </w:rPr>
              <w:t>表</w:t>
            </w:r>
            <w:r>
              <w:rPr>
                <w:rFonts w:hint="default" w:ascii="Times New Roman" w:hAnsi="Times New Roman" w:eastAsia="宋体" w:cs="Times New Roman"/>
                <w:bCs/>
                <w:color w:val="auto"/>
                <w:sz w:val="21"/>
                <w:szCs w:val="21"/>
                <w:lang w:val="en-US" w:eastAsia="zh-CN"/>
              </w:rPr>
              <w:t>3-1</w:t>
            </w:r>
            <w:r>
              <w:rPr>
                <w:rFonts w:hint="eastAsia" w:ascii="Times New Roman" w:hAnsi="Times New Roman" w:eastAsia="黑体" w:cs="黑体"/>
                <w:b w:val="0"/>
                <w:bCs w:val="0"/>
                <w:color w:val="auto"/>
                <w:sz w:val="24"/>
                <w:lang w:val="en-US" w:eastAsia="zh-CN"/>
              </w:rPr>
              <w:t xml:space="preserve">  </w:t>
            </w:r>
            <w:r>
              <w:rPr>
                <w:rFonts w:hint="eastAsia" w:eastAsia="黑体" w:cs="黑体"/>
                <w:b w:val="0"/>
                <w:bCs w:val="0"/>
                <w:color w:val="auto"/>
                <w:sz w:val="24"/>
                <w:lang w:val="en-US" w:eastAsia="zh-CN"/>
              </w:rPr>
              <w:t xml:space="preserve">      </w:t>
            </w:r>
            <w:r>
              <w:rPr>
                <w:rFonts w:hint="eastAsia" w:ascii="Times New Roman" w:hAnsi="Times New Roman" w:eastAsia="黑体" w:cs="黑体"/>
                <w:b w:val="0"/>
                <w:bCs w:val="0"/>
                <w:color w:val="auto"/>
                <w:sz w:val="24"/>
                <w:lang w:val="en-US" w:eastAsia="zh-CN"/>
              </w:rPr>
              <w:t xml:space="preserve"> </w:t>
            </w:r>
            <w:r>
              <w:rPr>
                <w:rFonts w:hint="eastAsia" w:ascii="Times New Roman" w:hAnsi="Times New Roman" w:eastAsia="宋体" w:cs="Times New Roman"/>
                <w:b/>
                <w:color w:val="auto"/>
                <w:sz w:val="24"/>
                <w:szCs w:val="21"/>
                <w:highlight w:val="none"/>
                <w:lang w:eastAsia="zh-CN"/>
              </w:rPr>
              <w:t>区域公布的环境空气质量现状评价表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7"/>
              <w:gridCol w:w="2240"/>
              <w:gridCol w:w="1407"/>
              <w:gridCol w:w="1410"/>
              <w:gridCol w:w="1014"/>
              <w:gridCol w:w="956"/>
            </w:tblGrid>
            <w:tr w14:paraId="7CC6B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dxa"/>
                  <w:tcBorders>
                    <w:top w:val="single" w:color="auto" w:sz="12" w:space="0"/>
                    <w:left w:val="single" w:color="auto" w:sz="12" w:space="0"/>
                    <w:bottom w:val="single" w:color="auto" w:sz="6" w:space="0"/>
                    <w:right w:val="single" w:color="auto" w:sz="6" w:space="0"/>
                  </w:tcBorders>
                  <w:noWrap w:val="0"/>
                  <w:vAlign w:val="center"/>
                </w:tcPr>
                <w:p w14:paraId="0BD8AF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污染物</w:t>
                  </w:r>
                </w:p>
              </w:tc>
              <w:tc>
                <w:tcPr>
                  <w:tcW w:w="2305" w:type="dxa"/>
                  <w:tcBorders>
                    <w:top w:val="single" w:color="auto" w:sz="12" w:space="0"/>
                    <w:left w:val="single" w:color="auto" w:sz="6" w:space="0"/>
                    <w:bottom w:val="single" w:color="auto" w:sz="6" w:space="0"/>
                    <w:right w:val="single" w:color="auto" w:sz="6" w:space="0"/>
                  </w:tcBorders>
                  <w:noWrap w:val="0"/>
                  <w:vAlign w:val="center"/>
                </w:tcPr>
                <w:p w14:paraId="31064C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年评价指标</w:t>
                  </w:r>
                </w:p>
              </w:tc>
              <w:tc>
                <w:tcPr>
                  <w:tcW w:w="1445" w:type="dxa"/>
                  <w:tcBorders>
                    <w:top w:val="single" w:color="auto" w:sz="12" w:space="0"/>
                    <w:left w:val="single" w:color="auto" w:sz="6" w:space="0"/>
                    <w:bottom w:val="single" w:color="auto" w:sz="6" w:space="0"/>
                    <w:right w:val="single" w:color="auto" w:sz="6" w:space="0"/>
                  </w:tcBorders>
                  <w:noWrap w:val="0"/>
                  <w:vAlign w:val="center"/>
                </w:tcPr>
                <w:p w14:paraId="72F583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现状浓度</w:t>
                  </w:r>
                </w:p>
                <w:p w14:paraId="08E6EFD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（μg/m</w:t>
                  </w:r>
                  <w:r>
                    <w:rPr>
                      <w:rFonts w:hint="eastAsia" w:ascii="Times New Roman" w:hAnsi="Times New Roman" w:eastAsia="宋体" w:cs="宋体"/>
                      <w:b/>
                      <w:bCs/>
                      <w:color w:val="auto"/>
                      <w:sz w:val="21"/>
                      <w:szCs w:val="21"/>
                      <w:vertAlign w:val="superscript"/>
                    </w:rPr>
                    <w:t>3</w:t>
                  </w:r>
                  <w:r>
                    <w:rPr>
                      <w:rFonts w:hint="eastAsia" w:ascii="Times New Roman" w:hAnsi="Times New Roman" w:eastAsia="宋体" w:cs="宋体"/>
                      <w:b/>
                      <w:bCs/>
                      <w:color w:val="auto"/>
                      <w:sz w:val="21"/>
                      <w:szCs w:val="21"/>
                    </w:rPr>
                    <w:t>）</w:t>
                  </w:r>
                </w:p>
              </w:tc>
              <w:tc>
                <w:tcPr>
                  <w:tcW w:w="1448" w:type="dxa"/>
                  <w:tcBorders>
                    <w:top w:val="single" w:color="auto" w:sz="12" w:space="0"/>
                    <w:left w:val="single" w:color="auto" w:sz="6" w:space="0"/>
                    <w:bottom w:val="single" w:color="auto" w:sz="6" w:space="0"/>
                    <w:right w:val="single" w:color="auto" w:sz="6" w:space="0"/>
                  </w:tcBorders>
                  <w:noWrap w:val="0"/>
                  <w:vAlign w:val="center"/>
                </w:tcPr>
                <w:p w14:paraId="0AD990A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标准值</w:t>
                  </w:r>
                </w:p>
                <w:p w14:paraId="41554A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（μg/m</w:t>
                  </w:r>
                  <w:r>
                    <w:rPr>
                      <w:rFonts w:hint="eastAsia" w:ascii="Times New Roman" w:hAnsi="Times New Roman" w:eastAsia="宋体" w:cs="宋体"/>
                      <w:b/>
                      <w:bCs/>
                      <w:color w:val="auto"/>
                      <w:sz w:val="21"/>
                      <w:szCs w:val="21"/>
                      <w:vertAlign w:val="superscript"/>
                    </w:rPr>
                    <w:t>3</w:t>
                  </w:r>
                  <w:r>
                    <w:rPr>
                      <w:rFonts w:hint="eastAsia" w:ascii="Times New Roman" w:hAnsi="Times New Roman" w:eastAsia="宋体" w:cs="宋体"/>
                      <w:b/>
                      <w:bCs/>
                      <w:color w:val="auto"/>
                      <w:sz w:val="21"/>
                      <w:szCs w:val="21"/>
                    </w:rPr>
                    <w:t>）</w:t>
                  </w:r>
                </w:p>
              </w:tc>
              <w:tc>
                <w:tcPr>
                  <w:tcW w:w="1040" w:type="dxa"/>
                  <w:tcBorders>
                    <w:top w:val="single" w:color="auto" w:sz="12" w:space="0"/>
                    <w:left w:val="single" w:color="auto" w:sz="6" w:space="0"/>
                    <w:bottom w:val="single" w:color="auto" w:sz="6" w:space="0"/>
                    <w:right w:val="single" w:color="auto" w:sz="6" w:space="0"/>
                  </w:tcBorders>
                  <w:noWrap w:val="0"/>
                  <w:vAlign w:val="center"/>
                </w:tcPr>
                <w:p w14:paraId="459B89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占标率/%</w:t>
                  </w:r>
                </w:p>
              </w:tc>
              <w:tc>
                <w:tcPr>
                  <w:tcW w:w="980" w:type="dxa"/>
                  <w:tcBorders>
                    <w:top w:val="single" w:color="auto" w:sz="12" w:space="0"/>
                    <w:left w:val="single" w:color="auto" w:sz="6" w:space="0"/>
                    <w:bottom w:val="single" w:color="auto" w:sz="6" w:space="0"/>
                    <w:right w:val="single" w:color="auto" w:sz="12" w:space="0"/>
                  </w:tcBorders>
                  <w:noWrap w:val="0"/>
                  <w:vAlign w:val="center"/>
                </w:tcPr>
                <w:p w14:paraId="4B529D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达标</w:t>
                  </w:r>
                </w:p>
                <w:p w14:paraId="5DF6A0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情况</w:t>
                  </w:r>
                </w:p>
              </w:tc>
            </w:tr>
            <w:tr w14:paraId="1FFC7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dxa"/>
                  <w:tcBorders>
                    <w:top w:val="single" w:color="auto" w:sz="6" w:space="0"/>
                    <w:left w:val="single" w:color="auto" w:sz="12" w:space="0"/>
                    <w:bottom w:val="single" w:color="auto" w:sz="6" w:space="0"/>
                    <w:right w:val="single" w:color="auto" w:sz="6" w:space="0"/>
                  </w:tcBorders>
                  <w:noWrap w:val="0"/>
                  <w:vAlign w:val="center"/>
                </w:tcPr>
                <w:p w14:paraId="19C265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PM</w:t>
                  </w:r>
                  <w:r>
                    <w:rPr>
                      <w:rFonts w:hint="eastAsia" w:ascii="Times New Roman" w:hAnsi="Times New Roman" w:eastAsia="宋体" w:cs="宋体"/>
                      <w:color w:val="auto"/>
                      <w:sz w:val="21"/>
                      <w:szCs w:val="21"/>
                      <w:vertAlign w:val="subscript"/>
                    </w:rPr>
                    <w:t>10</w:t>
                  </w:r>
                </w:p>
              </w:tc>
              <w:tc>
                <w:tcPr>
                  <w:tcW w:w="2305" w:type="dxa"/>
                  <w:tcBorders>
                    <w:top w:val="single" w:color="auto" w:sz="6" w:space="0"/>
                    <w:left w:val="single" w:color="auto" w:sz="6" w:space="0"/>
                    <w:bottom w:val="single" w:color="auto" w:sz="6" w:space="0"/>
                    <w:right w:val="single" w:color="auto" w:sz="6" w:space="0"/>
                  </w:tcBorders>
                  <w:noWrap w:val="0"/>
                  <w:vAlign w:val="center"/>
                </w:tcPr>
                <w:p w14:paraId="79668DD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年平均质量浓度</w:t>
                  </w:r>
                </w:p>
              </w:tc>
              <w:tc>
                <w:tcPr>
                  <w:tcW w:w="1445" w:type="dxa"/>
                  <w:tcBorders>
                    <w:top w:val="single" w:color="auto" w:sz="6" w:space="0"/>
                    <w:left w:val="single" w:color="auto" w:sz="6" w:space="0"/>
                    <w:bottom w:val="single" w:color="auto" w:sz="6" w:space="0"/>
                    <w:right w:val="single" w:color="auto" w:sz="6" w:space="0"/>
                  </w:tcBorders>
                  <w:noWrap w:val="0"/>
                  <w:vAlign w:val="center"/>
                </w:tcPr>
                <w:p w14:paraId="749A1F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6</w:t>
                  </w:r>
                  <w:r>
                    <w:rPr>
                      <w:rFonts w:hint="eastAsia" w:cs="宋体"/>
                      <w:color w:val="auto"/>
                      <w:sz w:val="21"/>
                      <w:szCs w:val="21"/>
                      <w:lang w:val="en-US" w:eastAsia="zh-CN"/>
                    </w:rPr>
                    <w:t>2</w:t>
                  </w:r>
                </w:p>
              </w:tc>
              <w:tc>
                <w:tcPr>
                  <w:tcW w:w="1448" w:type="dxa"/>
                  <w:tcBorders>
                    <w:top w:val="single" w:color="auto" w:sz="6" w:space="0"/>
                    <w:left w:val="single" w:color="auto" w:sz="6" w:space="0"/>
                    <w:bottom w:val="single" w:color="auto" w:sz="6" w:space="0"/>
                    <w:right w:val="single" w:color="auto" w:sz="6" w:space="0"/>
                  </w:tcBorders>
                  <w:noWrap w:val="0"/>
                  <w:vAlign w:val="center"/>
                </w:tcPr>
                <w:p w14:paraId="19025D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70</w:t>
                  </w:r>
                </w:p>
              </w:tc>
              <w:tc>
                <w:tcPr>
                  <w:tcW w:w="1040" w:type="dxa"/>
                  <w:tcBorders>
                    <w:top w:val="single" w:color="auto" w:sz="6" w:space="0"/>
                    <w:left w:val="single" w:color="auto" w:sz="6" w:space="0"/>
                    <w:bottom w:val="single" w:color="auto" w:sz="6" w:space="0"/>
                    <w:right w:val="single" w:color="auto" w:sz="6" w:space="0"/>
                  </w:tcBorders>
                  <w:noWrap w:val="0"/>
                  <w:vAlign w:val="center"/>
                </w:tcPr>
                <w:p w14:paraId="6D2475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88.6</w:t>
                  </w:r>
                </w:p>
              </w:tc>
              <w:tc>
                <w:tcPr>
                  <w:tcW w:w="980" w:type="dxa"/>
                  <w:tcBorders>
                    <w:top w:val="single" w:color="auto" w:sz="6" w:space="0"/>
                    <w:left w:val="single" w:color="auto" w:sz="6" w:space="0"/>
                    <w:bottom w:val="single" w:color="auto" w:sz="6" w:space="0"/>
                    <w:right w:val="single" w:color="auto" w:sz="12" w:space="0"/>
                  </w:tcBorders>
                  <w:noWrap w:val="0"/>
                  <w:vAlign w:val="center"/>
                </w:tcPr>
                <w:p w14:paraId="2FE633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达标</w:t>
                  </w:r>
                </w:p>
              </w:tc>
            </w:tr>
            <w:tr w14:paraId="04A2C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dxa"/>
                  <w:tcBorders>
                    <w:top w:val="single" w:color="auto" w:sz="6" w:space="0"/>
                    <w:left w:val="single" w:color="auto" w:sz="12" w:space="0"/>
                    <w:bottom w:val="single" w:color="auto" w:sz="6" w:space="0"/>
                    <w:right w:val="single" w:color="auto" w:sz="6" w:space="0"/>
                  </w:tcBorders>
                  <w:noWrap w:val="0"/>
                  <w:vAlign w:val="center"/>
                </w:tcPr>
                <w:p w14:paraId="0F884C9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PM</w:t>
                  </w:r>
                  <w:r>
                    <w:rPr>
                      <w:rFonts w:hint="eastAsia" w:ascii="Times New Roman" w:hAnsi="Times New Roman" w:eastAsia="宋体" w:cs="宋体"/>
                      <w:color w:val="auto"/>
                      <w:sz w:val="21"/>
                      <w:szCs w:val="21"/>
                      <w:vertAlign w:val="subscript"/>
                    </w:rPr>
                    <w:t>2.5</w:t>
                  </w:r>
                </w:p>
              </w:tc>
              <w:tc>
                <w:tcPr>
                  <w:tcW w:w="2305" w:type="dxa"/>
                  <w:tcBorders>
                    <w:top w:val="single" w:color="auto" w:sz="6" w:space="0"/>
                    <w:left w:val="single" w:color="auto" w:sz="6" w:space="0"/>
                    <w:bottom w:val="single" w:color="auto" w:sz="6" w:space="0"/>
                    <w:right w:val="single" w:color="auto" w:sz="6" w:space="0"/>
                  </w:tcBorders>
                  <w:noWrap w:val="0"/>
                  <w:vAlign w:val="center"/>
                </w:tcPr>
                <w:p w14:paraId="01968F8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年平均质量浓度</w:t>
                  </w:r>
                </w:p>
              </w:tc>
              <w:tc>
                <w:tcPr>
                  <w:tcW w:w="1445" w:type="dxa"/>
                  <w:tcBorders>
                    <w:top w:val="single" w:color="auto" w:sz="6" w:space="0"/>
                    <w:left w:val="single" w:color="auto" w:sz="6" w:space="0"/>
                    <w:bottom w:val="single" w:color="auto" w:sz="6" w:space="0"/>
                    <w:right w:val="single" w:color="auto" w:sz="6" w:space="0"/>
                  </w:tcBorders>
                  <w:noWrap w:val="0"/>
                  <w:vAlign w:val="center"/>
                </w:tcPr>
                <w:p w14:paraId="5A1AEB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31</w:t>
                  </w:r>
                </w:p>
              </w:tc>
              <w:tc>
                <w:tcPr>
                  <w:tcW w:w="1448" w:type="dxa"/>
                  <w:tcBorders>
                    <w:top w:val="single" w:color="auto" w:sz="6" w:space="0"/>
                    <w:left w:val="single" w:color="auto" w:sz="6" w:space="0"/>
                    <w:bottom w:val="single" w:color="auto" w:sz="6" w:space="0"/>
                    <w:right w:val="single" w:color="auto" w:sz="6" w:space="0"/>
                  </w:tcBorders>
                  <w:noWrap w:val="0"/>
                  <w:vAlign w:val="center"/>
                </w:tcPr>
                <w:p w14:paraId="1F6E6C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35</w:t>
                  </w:r>
                </w:p>
              </w:tc>
              <w:tc>
                <w:tcPr>
                  <w:tcW w:w="1040" w:type="dxa"/>
                  <w:tcBorders>
                    <w:top w:val="single" w:color="auto" w:sz="6" w:space="0"/>
                    <w:left w:val="single" w:color="auto" w:sz="6" w:space="0"/>
                    <w:bottom w:val="single" w:color="auto" w:sz="6" w:space="0"/>
                    <w:right w:val="single" w:color="auto" w:sz="6" w:space="0"/>
                  </w:tcBorders>
                  <w:noWrap w:val="0"/>
                  <w:vAlign w:val="center"/>
                </w:tcPr>
                <w:p w14:paraId="0C4D9E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88.6</w:t>
                  </w:r>
                </w:p>
              </w:tc>
              <w:tc>
                <w:tcPr>
                  <w:tcW w:w="980" w:type="dxa"/>
                  <w:tcBorders>
                    <w:top w:val="single" w:color="auto" w:sz="6" w:space="0"/>
                    <w:left w:val="single" w:color="auto" w:sz="6" w:space="0"/>
                    <w:bottom w:val="single" w:color="auto" w:sz="6" w:space="0"/>
                    <w:right w:val="single" w:color="auto" w:sz="12" w:space="0"/>
                  </w:tcBorders>
                  <w:noWrap w:val="0"/>
                  <w:vAlign w:val="center"/>
                </w:tcPr>
                <w:p w14:paraId="5F8319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达标</w:t>
                  </w:r>
                </w:p>
              </w:tc>
            </w:tr>
            <w:tr w14:paraId="09C52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dxa"/>
                  <w:tcBorders>
                    <w:top w:val="single" w:color="auto" w:sz="6" w:space="0"/>
                    <w:left w:val="single" w:color="auto" w:sz="12" w:space="0"/>
                    <w:bottom w:val="single" w:color="auto" w:sz="6" w:space="0"/>
                    <w:right w:val="single" w:color="auto" w:sz="6" w:space="0"/>
                  </w:tcBorders>
                  <w:noWrap w:val="0"/>
                  <w:vAlign w:val="center"/>
                </w:tcPr>
                <w:p w14:paraId="3A72E5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SO</w:t>
                  </w:r>
                  <w:r>
                    <w:rPr>
                      <w:rFonts w:hint="eastAsia" w:ascii="Times New Roman" w:hAnsi="Times New Roman" w:eastAsia="宋体" w:cs="宋体"/>
                      <w:color w:val="auto"/>
                      <w:sz w:val="21"/>
                      <w:szCs w:val="21"/>
                      <w:vertAlign w:val="subscript"/>
                    </w:rPr>
                    <w:t>2</w:t>
                  </w:r>
                </w:p>
              </w:tc>
              <w:tc>
                <w:tcPr>
                  <w:tcW w:w="2305" w:type="dxa"/>
                  <w:tcBorders>
                    <w:top w:val="single" w:color="auto" w:sz="6" w:space="0"/>
                    <w:left w:val="single" w:color="auto" w:sz="6" w:space="0"/>
                    <w:bottom w:val="single" w:color="auto" w:sz="6" w:space="0"/>
                    <w:right w:val="single" w:color="auto" w:sz="6" w:space="0"/>
                  </w:tcBorders>
                  <w:noWrap w:val="0"/>
                  <w:vAlign w:val="center"/>
                </w:tcPr>
                <w:p w14:paraId="41E8BE5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年平均质量浓度</w:t>
                  </w:r>
                </w:p>
              </w:tc>
              <w:tc>
                <w:tcPr>
                  <w:tcW w:w="1445" w:type="dxa"/>
                  <w:tcBorders>
                    <w:top w:val="single" w:color="auto" w:sz="6" w:space="0"/>
                    <w:left w:val="single" w:color="auto" w:sz="6" w:space="0"/>
                    <w:bottom w:val="single" w:color="auto" w:sz="6" w:space="0"/>
                    <w:right w:val="single" w:color="auto" w:sz="6" w:space="0"/>
                  </w:tcBorders>
                  <w:noWrap w:val="0"/>
                  <w:vAlign w:val="center"/>
                </w:tcPr>
                <w:p w14:paraId="765B54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8</w:t>
                  </w:r>
                </w:p>
              </w:tc>
              <w:tc>
                <w:tcPr>
                  <w:tcW w:w="1448" w:type="dxa"/>
                  <w:tcBorders>
                    <w:top w:val="single" w:color="auto" w:sz="6" w:space="0"/>
                    <w:left w:val="single" w:color="auto" w:sz="6" w:space="0"/>
                    <w:bottom w:val="single" w:color="auto" w:sz="6" w:space="0"/>
                    <w:right w:val="single" w:color="auto" w:sz="6" w:space="0"/>
                  </w:tcBorders>
                  <w:noWrap w:val="0"/>
                  <w:vAlign w:val="center"/>
                </w:tcPr>
                <w:p w14:paraId="590A5E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60</w:t>
                  </w:r>
                </w:p>
              </w:tc>
              <w:tc>
                <w:tcPr>
                  <w:tcW w:w="1040" w:type="dxa"/>
                  <w:tcBorders>
                    <w:top w:val="single" w:color="auto" w:sz="6" w:space="0"/>
                    <w:left w:val="single" w:color="auto" w:sz="6" w:space="0"/>
                    <w:bottom w:val="single" w:color="auto" w:sz="6" w:space="0"/>
                    <w:right w:val="single" w:color="auto" w:sz="6" w:space="0"/>
                  </w:tcBorders>
                  <w:noWrap w:val="0"/>
                  <w:vAlign w:val="center"/>
                </w:tcPr>
                <w:p w14:paraId="0E8907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13.3</w:t>
                  </w:r>
                </w:p>
              </w:tc>
              <w:tc>
                <w:tcPr>
                  <w:tcW w:w="980" w:type="dxa"/>
                  <w:tcBorders>
                    <w:top w:val="single" w:color="auto" w:sz="6" w:space="0"/>
                    <w:left w:val="single" w:color="auto" w:sz="6" w:space="0"/>
                    <w:bottom w:val="single" w:color="auto" w:sz="6" w:space="0"/>
                    <w:right w:val="single" w:color="auto" w:sz="12" w:space="0"/>
                  </w:tcBorders>
                  <w:noWrap w:val="0"/>
                  <w:vAlign w:val="center"/>
                </w:tcPr>
                <w:p w14:paraId="6D60182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达标</w:t>
                  </w:r>
                </w:p>
              </w:tc>
            </w:tr>
            <w:tr w14:paraId="12AA2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dxa"/>
                  <w:tcBorders>
                    <w:top w:val="single" w:color="auto" w:sz="6" w:space="0"/>
                    <w:left w:val="single" w:color="auto" w:sz="12" w:space="0"/>
                    <w:bottom w:val="single" w:color="auto" w:sz="6" w:space="0"/>
                    <w:right w:val="single" w:color="auto" w:sz="6" w:space="0"/>
                  </w:tcBorders>
                  <w:noWrap w:val="0"/>
                  <w:vAlign w:val="center"/>
                </w:tcPr>
                <w:p w14:paraId="17B1F89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NO</w:t>
                  </w:r>
                  <w:r>
                    <w:rPr>
                      <w:rFonts w:hint="eastAsia" w:ascii="Times New Roman" w:hAnsi="Times New Roman" w:eastAsia="宋体" w:cs="宋体"/>
                      <w:color w:val="auto"/>
                      <w:sz w:val="21"/>
                      <w:szCs w:val="21"/>
                      <w:vertAlign w:val="subscript"/>
                    </w:rPr>
                    <w:t>2</w:t>
                  </w:r>
                </w:p>
              </w:tc>
              <w:tc>
                <w:tcPr>
                  <w:tcW w:w="2305" w:type="dxa"/>
                  <w:tcBorders>
                    <w:top w:val="single" w:color="auto" w:sz="6" w:space="0"/>
                    <w:left w:val="single" w:color="auto" w:sz="6" w:space="0"/>
                    <w:bottom w:val="single" w:color="auto" w:sz="6" w:space="0"/>
                    <w:right w:val="single" w:color="auto" w:sz="6" w:space="0"/>
                  </w:tcBorders>
                  <w:noWrap w:val="0"/>
                  <w:vAlign w:val="center"/>
                </w:tcPr>
                <w:p w14:paraId="63824B2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年平均质量浓度</w:t>
                  </w:r>
                </w:p>
              </w:tc>
              <w:tc>
                <w:tcPr>
                  <w:tcW w:w="1445" w:type="dxa"/>
                  <w:tcBorders>
                    <w:top w:val="single" w:color="auto" w:sz="6" w:space="0"/>
                    <w:left w:val="single" w:color="auto" w:sz="6" w:space="0"/>
                    <w:bottom w:val="single" w:color="auto" w:sz="6" w:space="0"/>
                    <w:right w:val="single" w:color="auto" w:sz="6" w:space="0"/>
                  </w:tcBorders>
                  <w:noWrap w:val="0"/>
                  <w:vAlign w:val="center"/>
                </w:tcPr>
                <w:p w14:paraId="6FCF21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23</w:t>
                  </w:r>
                </w:p>
              </w:tc>
              <w:tc>
                <w:tcPr>
                  <w:tcW w:w="1448" w:type="dxa"/>
                  <w:tcBorders>
                    <w:top w:val="single" w:color="auto" w:sz="6" w:space="0"/>
                    <w:left w:val="single" w:color="auto" w:sz="6" w:space="0"/>
                    <w:bottom w:val="single" w:color="auto" w:sz="6" w:space="0"/>
                    <w:right w:val="single" w:color="auto" w:sz="6" w:space="0"/>
                  </w:tcBorders>
                  <w:noWrap w:val="0"/>
                  <w:vAlign w:val="center"/>
                </w:tcPr>
                <w:p w14:paraId="3C0BB2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40</w:t>
                  </w:r>
                </w:p>
              </w:tc>
              <w:tc>
                <w:tcPr>
                  <w:tcW w:w="1040" w:type="dxa"/>
                  <w:tcBorders>
                    <w:top w:val="single" w:color="auto" w:sz="6" w:space="0"/>
                    <w:left w:val="single" w:color="auto" w:sz="6" w:space="0"/>
                    <w:bottom w:val="single" w:color="auto" w:sz="6" w:space="0"/>
                    <w:right w:val="single" w:color="auto" w:sz="6" w:space="0"/>
                  </w:tcBorders>
                  <w:noWrap w:val="0"/>
                  <w:vAlign w:val="center"/>
                </w:tcPr>
                <w:p w14:paraId="31DA48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57.5</w:t>
                  </w:r>
                </w:p>
              </w:tc>
              <w:tc>
                <w:tcPr>
                  <w:tcW w:w="980" w:type="dxa"/>
                  <w:tcBorders>
                    <w:top w:val="single" w:color="auto" w:sz="6" w:space="0"/>
                    <w:left w:val="single" w:color="auto" w:sz="6" w:space="0"/>
                    <w:bottom w:val="single" w:color="auto" w:sz="6" w:space="0"/>
                    <w:right w:val="single" w:color="auto" w:sz="12" w:space="0"/>
                  </w:tcBorders>
                  <w:noWrap w:val="0"/>
                  <w:vAlign w:val="center"/>
                </w:tcPr>
                <w:p w14:paraId="4A8DC12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达标</w:t>
                  </w:r>
                </w:p>
              </w:tc>
            </w:tr>
            <w:tr w14:paraId="15777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dxa"/>
                  <w:tcBorders>
                    <w:top w:val="single" w:color="auto" w:sz="6" w:space="0"/>
                    <w:left w:val="single" w:color="auto" w:sz="12" w:space="0"/>
                    <w:bottom w:val="single" w:color="auto" w:sz="6" w:space="0"/>
                    <w:right w:val="single" w:color="auto" w:sz="6" w:space="0"/>
                  </w:tcBorders>
                  <w:noWrap w:val="0"/>
                  <w:vAlign w:val="center"/>
                </w:tcPr>
                <w:p w14:paraId="5AE8920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CO</w:t>
                  </w:r>
                </w:p>
              </w:tc>
              <w:tc>
                <w:tcPr>
                  <w:tcW w:w="2305" w:type="dxa"/>
                  <w:tcBorders>
                    <w:top w:val="single" w:color="auto" w:sz="6" w:space="0"/>
                    <w:left w:val="single" w:color="auto" w:sz="6" w:space="0"/>
                    <w:bottom w:val="single" w:color="auto" w:sz="6" w:space="0"/>
                    <w:right w:val="single" w:color="auto" w:sz="6" w:space="0"/>
                  </w:tcBorders>
                  <w:noWrap w:val="0"/>
                  <w:vAlign w:val="center"/>
                </w:tcPr>
                <w:p w14:paraId="46F8A6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24小时平均第95百分数（mg/m</w:t>
                  </w:r>
                  <w:r>
                    <w:rPr>
                      <w:rFonts w:hint="eastAsia" w:ascii="Times New Roman" w:hAnsi="Times New Roman" w:eastAsia="宋体" w:cs="宋体"/>
                      <w:color w:val="auto"/>
                      <w:sz w:val="21"/>
                      <w:szCs w:val="21"/>
                      <w:vertAlign w:val="superscript"/>
                    </w:rPr>
                    <w:t>3</w:t>
                  </w:r>
                  <w:r>
                    <w:rPr>
                      <w:rFonts w:hint="eastAsia" w:ascii="Times New Roman" w:hAnsi="Times New Roman" w:eastAsia="宋体" w:cs="宋体"/>
                      <w:color w:val="auto"/>
                      <w:sz w:val="21"/>
                      <w:szCs w:val="21"/>
                    </w:rPr>
                    <w:t>）</w:t>
                  </w:r>
                </w:p>
              </w:tc>
              <w:tc>
                <w:tcPr>
                  <w:tcW w:w="1445" w:type="dxa"/>
                  <w:tcBorders>
                    <w:top w:val="single" w:color="auto" w:sz="6" w:space="0"/>
                    <w:left w:val="single" w:color="auto" w:sz="6" w:space="0"/>
                    <w:bottom w:val="single" w:color="auto" w:sz="6" w:space="0"/>
                    <w:right w:val="single" w:color="auto" w:sz="6" w:space="0"/>
                  </w:tcBorders>
                  <w:noWrap w:val="0"/>
                  <w:vAlign w:val="center"/>
                </w:tcPr>
                <w:p w14:paraId="6FEF39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w:t>
                  </w:r>
                  <w:r>
                    <w:rPr>
                      <w:rFonts w:hint="eastAsia" w:cs="宋体"/>
                      <w:color w:val="auto"/>
                      <w:sz w:val="21"/>
                      <w:szCs w:val="21"/>
                      <w:lang w:val="en-US" w:eastAsia="zh-CN"/>
                    </w:rPr>
                    <w:t>8</w:t>
                  </w:r>
                </w:p>
              </w:tc>
              <w:tc>
                <w:tcPr>
                  <w:tcW w:w="1448" w:type="dxa"/>
                  <w:tcBorders>
                    <w:top w:val="single" w:color="auto" w:sz="6" w:space="0"/>
                    <w:left w:val="single" w:color="auto" w:sz="6" w:space="0"/>
                    <w:bottom w:val="single" w:color="auto" w:sz="6" w:space="0"/>
                    <w:right w:val="single" w:color="auto" w:sz="6" w:space="0"/>
                  </w:tcBorders>
                  <w:noWrap w:val="0"/>
                  <w:vAlign w:val="center"/>
                </w:tcPr>
                <w:p w14:paraId="6F777E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1040" w:type="dxa"/>
                  <w:tcBorders>
                    <w:top w:val="single" w:color="auto" w:sz="6" w:space="0"/>
                    <w:left w:val="single" w:color="auto" w:sz="6" w:space="0"/>
                    <w:bottom w:val="single" w:color="auto" w:sz="6" w:space="0"/>
                    <w:right w:val="single" w:color="auto" w:sz="6" w:space="0"/>
                  </w:tcBorders>
                  <w:noWrap w:val="0"/>
                  <w:vAlign w:val="center"/>
                </w:tcPr>
                <w:p w14:paraId="78ED3B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20.0</w:t>
                  </w:r>
                </w:p>
              </w:tc>
              <w:tc>
                <w:tcPr>
                  <w:tcW w:w="980" w:type="dxa"/>
                  <w:tcBorders>
                    <w:top w:val="single" w:color="auto" w:sz="6" w:space="0"/>
                    <w:left w:val="single" w:color="auto" w:sz="6" w:space="0"/>
                    <w:bottom w:val="single" w:color="auto" w:sz="6" w:space="0"/>
                    <w:right w:val="single" w:color="auto" w:sz="12" w:space="0"/>
                  </w:tcBorders>
                  <w:noWrap w:val="0"/>
                  <w:vAlign w:val="center"/>
                </w:tcPr>
                <w:p w14:paraId="5FF5E21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达标</w:t>
                  </w:r>
                </w:p>
              </w:tc>
            </w:tr>
            <w:tr w14:paraId="12411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dxa"/>
                  <w:tcBorders>
                    <w:top w:val="single" w:color="auto" w:sz="6" w:space="0"/>
                    <w:left w:val="single" w:color="auto" w:sz="12" w:space="0"/>
                    <w:bottom w:val="single" w:color="auto" w:sz="12" w:space="0"/>
                    <w:right w:val="single" w:color="auto" w:sz="6" w:space="0"/>
                  </w:tcBorders>
                  <w:noWrap w:val="0"/>
                  <w:vAlign w:val="center"/>
                </w:tcPr>
                <w:p w14:paraId="33609B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O</w:t>
                  </w:r>
                  <w:r>
                    <w:rPr>
                      <w:rFonts w:hint="eastAsia" w:ascii="Times New Roman" w:hAnsi="Times New Roman" w:eastAsia="宋体" w:cs="宋体"/>
                      <w:color w:val="auto"/>
                      <w:sz w:val="21"/>
                      <w:szCs w:val="21"/>
                      <w:vertAlign w:val="subscript"/>
                    </w:rPr>
                    <w:t>3</w:t>
                  </w:r>
                </w:p>
              </w:tc>
              <w:tc>
                <w:tcPr>
                  <w:tcW w:w="2305" w:type="dxa"/>
                  <w:tcBorders>
                    <w:top w:val="single" w:color="auto" w:sz="6" w:space="0"/>
                    <w:left w:val="single" w:color="auto" w:sz="6" w:space="0"/>
                    <w:bottom w:val="single" w:color="auto" w:sz="12" w:space="0"/>
                    <w:right w:val="single" w:color="auto" w:sz="6" w:space="0"/>
                  </w:tcBorders>
                  <w:noWrap w:val="0"/>
                  <w:vAlign w:val="center"/>
                </w:tcPr>
                <w:p w14:paraId="589A8C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日最大8小时滑动平均值的第90百分数</w:t>
                  </w:r>
                </w:p>
              </w:tc>
              <w:tc>
                <w:tcPr>
                  <w:tcW w:w="1445" w:type="dxa"/>
                  <w:tcBorders>
                    <w:top w:val="single" w:color="auto" w:sz="6" w:space="0"/>
                    <w:left w:val="single" w:color="auto" w:sz="6" w:space="0"/>
                    <w:bottom w:val="single" w:color="auto" w:sz="12" w:space="0"/>
                    <w:right w:val="single" w:color="auto" w:sz="6" w:space="0"/>
                  </w:tcBorders>
                  <w:noWrap w:val="0"/>
                  <w:vAlign w:val="center"/>
                </w:tcPr>
                <w:p w14:paraId="1D9862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14</w:t>
                  </w:r>
                  <w:r>
                    <w:rPr>
                      <w:rFonts w:hint="eastAsia" w:cs="宋体"/>
                      <w:color w:val="auto"/>
                      <w:sz w:val="21"/>
                      <w:szCs w:val="21"/>
                      <w:lang w:val="en-US" w:eastAsia="zh-CN"/>
                    </w:rPr>
                    <w:t>4</w:t>
                  </w:r>
                </w:p>
              </w:tc>
              <w:tc>
                <w:tcPr>
                  <w:tcW w:w="1448" w:type="dxa"/>
                  <w:tcBorders>
                    <w:top w:val="single" w:color="auto" w:sz="6" w:space="0"/>
                    <w:left w:val="single" w:color="auto" w:sz="6" w:space="0"/>
                    <w:bottom w:val="single" w:color="auto" w:sz="12" w:space="0"/>
                    <w:right w:val="single" w:color="auto" w:sz="6" w:space="0"/>
                  </w:tcBorders>
                  <w:noWrap w:val="0"/>
                  <w:vAlign w:val="center"/>
                </w:tcPr>
                <w:p w14:paraId="15468E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160</w:t>
                  </w:r>
                </w:p>
              </w:tc>
              <w:tc>
                <w:tcPr>
                  <w:tcW w:w="1040" w:type="dxa"/>
                  <w:tcBorders>
                    <w:top w:val="single" w:color="auto" w:sz="6" w:space="0"/>
                    <w:left w:val="single" w:color="auto" w:sz="6" w:space="0"/>
                    <w:bottom w:val="single" w:color="auto" w:sz="12" w:space="0"/>
                    <w:right w:val="single" w:color="auto" w:sz="6" w:space="0"/>
                  </w:tcBorders>
                  <w:noWrap w:val="0"/>
                  <w:vAlign w:val="center"/>
                </w:tcPr>
                <w:p w14:paraId="4E572B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90.0</w:t>
                  </w:r>
                </w:p>
              </w:tc>
              <w:tc>
                <w:tcPr>
                  <w:tcW w:w="980" w:type="dxa"/>
                  <w:tcBorders>
                    <w:top w:val="single" w:color="auto" w:sz="6" w:space="0"/>
                    <w:left w:val="single" w:color="auto" w:sz="6" w:space="0"/>
                    <w:bottom w:val="single" w:color="auto" w:sz="12" w:space="0"/>
                    <w:right w:val="single" w:color="auto" w:sz="12" w:space="0"/>
                  </w:tcBorders>
                  <w:noWrap w:val="0"/>
                  <w:vAlign w:val="center"/>
                </w:tcPr>
                <w:p w14:paraId="799982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达标</w:t>
                  </w:r>
                </w:p>
              </w:tc>
            </w:tr>
          </w:tbl>
          <w:p w14:paraId="4875B5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根据</w:t>
            </w:r>
            <w:r>
              <w:rPr>
                <w:rFonts w:hint="default" w:ascii="Times New Roman" w:hAnsi="Times New Roman" w:eastAsia="仿宋_GB2312" w:cs="Times New Roman"/>
                <w:color w:val="auto"/>
                <w:sz w:val="24"/>
                <w:szCs w:val="24"/>
                <w:lang w:eastAsia="zh-CN"/>
              </w:rPr>
              <w:t>环境空气质量现状评价</w:t>
            </w:r>
            <w:r>
              <w:rPr>
                <w:rFonts w:hint="default" w:ascii="Times New Roman" w:hAnsi="Times New Roman" w:eastAsia="仿宋_GB2312" w:cs="Times New Roman"/>
                <w:color w:val="auto"/>
                <w:sz w:val="24"/>
                <w:szCs w:val="24"/>
                <w:lang w:val="en-US" w:eastAsia="zh-CN"/>
              </w:rPr>
              <w:t>数据</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中卫市</w:t>
            </w:r>
            <w:r>
              <w:rPr>
                <w:rFonts w:hint="default" w:ascii="Times New Roman" w:hAnsi="Times New Roman" w:eastAsia="仿宋_GB2312" w:cs="Times New Roman"/>
                <w:color w:val="auto"/>
                <w:sz w:val="24"/>
                <w:szCs w:val="24"/>
                <w:lang w:eastAsia="zh-CN"/>
              </w:rPr>
              <w:t>大气环境中PM</w:t>
            </w:r>
            <w:r>
              <w:rPr>
                <w:rFonts w:hint="default" w:ascii="Times New Roman" w:hAnsi="Times New Roman" w:eastAsia="仿宋_GB2312" w:cs="Times New Roman"/>
                <w:color w:val="auto"/>
                <w:sz w:val="24"/>
                <w:szCs w:val="24"/>
                <w:vertAlign w:val="subscript"/>
                <w:lang w:eastAsia="zh-CN"/>
              </w:rPr>
              <w:t>10</w:t>
            </w:r>
            <w:r>
              <w:rPr>
                <w:rFonts w:hint="default" w:ascii="Times New Roman" w:hAnsi="Times New Roman" w:eastAsia="仿宋_GB2312" w:cs="Times New Roman"/>
                <w:color w:val="auto"/>
                <w:sz w:val="24"/>
                <w:szCs w:val="24"/>
                <w:lang w:eastAsia="zh-CN"/>
              </w:rPr>
              <w:t>、PM</w:t>
            </w:r>
            <w:r>
              <w:rPr>
                <w:rFonts w:hint="default" w:ascii="Times New Roman" w:hAnsi="Times New Roman" w:eastAsia="仿宋_GB2312" w:cs="Times New Roman"/>
                <w:color w:val="auto"/>
                <w:sz w:val="24"/>
                <w:szCs w:val="24"/>
                <w:vertAlign w:val="subscript"/>
                <w:lang w:eastAsia="zh-CN"/>
              </w:rPr>
              <w:t>2.5</w:t>
            </w:r>
            <w:r>
              <w:rPr>
                <w:rFonts w:hint="default" w:ascii="Times New Roman" w:hAnsi="Times New Roman" w:eastAsia="仿宋_GB2312" w:cs="Times New Roman"/>
                <w:color w:val="auto"/>
                <w:sz w:val="24"/>
                <w:szCs w:val="24"/>
                <w:lang w:eastAsia="zh-CN"/>
              </w:rPr>
              <w:t>、SO</w:t>
            </w:r>
            <w:r>
              <w:rPr>
                <w:rFonts w:hint="default" w:ascii="Times New Roman" w:hAnsi="Times New Roman" w:eastAsia="仿宋_GB2312" w:cs="Times New Roman"/>
                <w:color w:val="auto"/>
                <w:sz w:val="24"/>
                <w:szCs w:val="24"/>
                <w:vertAlign w:val="subscript"/>
                <w:lang w:eastAsia="zh-CN"/>
              </w:rPr>
              <w:t>2</w:t>
            </w:r>
            <w:r>
              <w:rPr>
                <w:rFonts w:hint="default" w:ascii="Times New Roman" w:hAnsi="Times New Roman" w:eastAsia="仿宋_GB2312" w:cs="Times New Roman"/>
                <w:color w:val="auto"/>
                <w:sz w:val="24"/>
                <w:szCs w:val="24"/>
                <w:lang w:eastAsia="zh-CN"/>
              </w:rPr>
              <w:t>、NO</w:t>
            </w:r>
            <w:r>
              <w:rPr>
                <w:rFonts w:hint="default" w:ascii="Times New Roman" w:hAnsi="Times New Roman" w:eastAsia="仿宋_GB2312" w:cs="Times New Roman"/>
                <w:color w:val="auto"/>
                <w:sz w:val="24"/>
                <w:szCs w:val="24"/>
                <w:vertAlign w:val="subscript"/>
                <w:lang w:eastAsia="zh-CN"/>
              </w:rPr>
              <w:t>2</w:t>
            </w:r>
            <w:r>
              <w:rPr>
                <w:rFonts w:hint="default" w:ascii="Times New Roman" w:hAnsi="Times New Roman" w:eastAsia="仿宋_GB2312" w:cs="Times New Roman"/>
                <w:color w:val="auto"/>
                <w:sz w:val="24"/>
                <w:szCs w:val="24"/>
                <w:lang w:eastAsia="zh-CN"/>
              </w:rPr>
              <w:t>年平均质量浓度均达标，CO24h平均第95百分数（mg/m</w:t>
            </w:r>
            <w:r>
              <w:rPr>
                <w:rFonts w:hint="default" w:ascii="Times New Roman" w:hAnsi="Times New Roman" w:eastAsia="仿宋_GB2312" w:cs="Times New Roman"/>
                <w:color w:val="auto"/>
                <w:sz w:val="24"/>
                <w:szCs w:val="24"/>
                <w:vertAlign w:val="superscript"/>
                <w:lang w:eastAsia="zh-CN"/>
              </w:rPr>
              <w:t>3</w:t>
            </w:r>
            <w:r>
              <w:rPr>
                <w:rFonts w:hint="default" w:ascii="Times New Roman" w:hAnsi="Times New Roman" w:eastAsia="仿宋_GB2312" w:cs="Times New Roman"/>
                <w:color w:val="auto"/>
                <w:sz w:val="24"/>
                <w:szCs w:val="24"/>
                <w:lang w:eastAsia="zh-CN"/>
              </w:rPr>
              <w:t>）浓度及O</w:t>
            </w:r>
            <w:r>
              <w:rPr>
                <w:rFonts w:hint="default" w:ascii="Times New Roman" w:hAnsi="Times New Roman" w:eastAsia="仿宋_GB2312" w:cs="Times New Roman"/>
                <w:color w:val="auto"/>
                <w:sz w:val="24"/>
                <w:szCs w:val="24"/>
                <w:vertAlign w:val="subscript"/>
                <w:lang w:eastAsia="zh-CN"/>
              </w:rPr>
              <w:t>3</w:t>
            </w:r>
            <w:r>
              <w:rPr>
                <w:rFonts w:hint="default" w:ascii="Times New Roman" w:hAnsi="Times New Roman" w:eastAsia="仿宋_GB2312" w:cs="Times New Roman"/>
                <w:color w:val="auto"/>
                <w:sz w:val="24"/>
                <w:szCs w:val="24"/>
                <w:lang w:eastAsia="zh-CN"/>
              </w:rPr>
              <w:t>日最大8小时滑动平均值的第90百分数浓度均达标。</w:t>
            </w:r>
            <w:r>
              <w:rPr>
                <w:rFonts w:hint="default" w:ascii="Times New Roman" w:hAnsi="Times New Roman" w:eastAsia="仿宋_GB2312" w:cs="Times New Roman"/>
                <w:color w:val="auto"/>
                <w:sz w:val="24"/>
                <w:szCs w:val="24"/>
                <w:lang w:val="sq-AL" w:eastAsia="zh-CN"/>
              </w:rPr>
              <w:t>按照《环境</w:t>
            </w:r>
            <w:r>
              <w:rPr>
                <w:rFonts w:hint="default" w:ascii="Times New Roman" w:hAnsi="Times New Roman" w:eastAsia="仿宋_GB2312" w:cs="Times New Roman"/>
                <w:color w:val="auto"/>
                <w:sz w:val="24"/>
                <w:szCs w:val="24"/>
                <w:lang w:eastAsia="zh-CN"/>
              </w:rPr>
              <w:t>空气质量评价技术规范</w:t>
            </w:r>
            <w:r>
              <w:rPr>
                <w:rFonts w:hint="default" w:ascii="Times New Roman" w:hAnsi="Times New Roman" w:eastAsia="仿宋_GB2312" w:cs="Times New Roman"/>
                <w:color w:val="auto"/>
                <w:sz w:val="24"/>
                <w:szCs w:val="24"/>
                <w:lang w:val="sq-AL" w:eastAsia="zh-CN"/>
              </w:rPr>
              <w:t>》（HJ</w:t>
            </w:r>
            <w:r>
              <w:rPr>
                <w:rFonts w:hint="default" w:ascii="Times New Roman" w:hAnsi="Times New Roman" w:eastAsia="仿宋_GB2312" w:cs="Times New Roman"/>
                <w:color w:val="auto"/>
                <w:sz w:val="24"/>
                <w:szCs w:val="24"/>
                <w:lang w:eastAsia="zh-CN"/>
              </w:rPr>
              <w:t>663</w:t>
            </w:r>
            <w:r>
              <w:rPr>
                <w:rFonts w:hint="default" w:ascii="Times New Roman" w:hAnsi="Times New Roman" w:eastAsia="仿宋_GB2312" w:cs="Times New Roman"/>
                <w:color w:val="auto"/>
                <w:sz w:val="24"/>
                <w:szCs w:val="24"/>
                <w:lang w:val="sq-AL" w:eastAsia="zh-CN"/>
              </w:rPr>
              <w:t>-20</w:t>
            </w:r>
            <w:r>
              <w:rPr>
                <w:rFonts w:hint="default" w:ascii="Times New Roman" w:hAnsi="Times New Roman" w:eastAsia="仿宋_GB2312" w:cs="Times New Roman"/>
                <w:color w:val="auto"/>
                <w:sz w:val="24"/>
                <w:szCs w:val="24"/>
                <w:lang w:eastAsia="zh-CN"/>
              </w:rPr>
              <w:t>13</w:t>
            </w:r>
            <w:r>
              <w:rPr>
                <w:rFonts w:hint="default" w:ascii="Times New Roman" w:hAnsi="Times New Roman" w:eastAsia="仿宋_GB2312" w:cs="Times New Roman"/>
                <w:color w:val="auto"/>
                <w:sz w:val="24"/>
                <w:szCs w:val="24"/>
                <w:lang w:val="sq-AL" w:eastAsia="zh-CN"/>
              </w:rPr>
              <w:t>）对项目所在区达标判断结果可知，项目所在区为达标区</w:t>
            </w:r>
            <w:r>
              <w:rPr>
                <w:rFonts w:hint="default" w:ascii="Times New Roman" w:hAnsi="Times New Roman" w:eastAsia="仿宋_GB2312" w:cs="Times New Roman"/>
                <w:color w:val="auto"/>
                <w:sz w:val="24"/>
                <w:szCs w:val="24"/>
              </w:rPr>
              <w:t>。</w:t>
            </w:r>
          </w:p>
          <w:p w14:paraId="56870C2F">
            <w:pPr>
              <w:tabs>
                <w:tab w:val="left" w:pos="2700"/>
              </w:tabs>
              <w:autoSpaceDE w:val="0"/>
              <w:autoSpaceDN w:val="0"/>
              <w:adjustRightInd w:val="0"/>
              <w:snapToGrid w:val="0"/>
              <w:spacing w:line="360" w:lineRule="auto"/>
              <w:ind w:firstLine="480" w:firstLineChars="200"/>
              <w:rPr>
                <w:rFonts w:hint="eastAsia"/>
                <w:color w:val="auto"/>
                <w:lang w:eastAsia="zh-CN"/>
              </w:rPr>
            </w:pPr>
            <w:r>
              <w:rPr>
                <w:rFonts w:hint="default" w:ascii="Times New Roman" w:hAnsi="Times New Roman" w:eastAsia="仿宋_GB2312" w:cs="仿宋_GB2312"/>
                <w:color w:val="auto"/>
                <w:sz w:val="24"/>
                <w:szCs w:val="24"/>
                <w:lang w:val="en-US" w:eastAsia="zh-CN"/>
              </w:rPr>
              <w:fldChar w:fldCharType="begin"/>
            </w:r>
            <w:r>
              <w:rPr>
                <w:rFonts w:hint="default" w:ascii="Times New Roman" w:hAnsi="Times New Roman" w:eastAsia="仿宋_GB2312" w:cs="仿宋_GB2312"/>
                <w:color w:val="auto"/>
                <w:sz w:val="24"/>
                <w:szCs w:val="24"/>
                <w:lang w:val="en-US" w:eastAsia="zh-CN"/>
              </w:rPr>
              <w:instrText xml:space="preserve"> = 2 \* GB2 \* MERGEFORMAT </w:instrText>
            </w:r>
            <w:r>
              <w:rPr>
                <w:rFonts w:hint="default" w:ascii="Times New Roman" w:hAnsi="Times New Roman" w:eastAsia="仿宋_GB2312" w:cs="仿宋_GB2312"/>
                <w:color w:val="auto"/>
                <w:sz w:val="24"/>
                <w:szCs w:val="24"/>
                <w:lang w:val="en-US" w:eastAsia="zh-CN"/>
              </w:rPr>
              <w:fldChar w:fldCharType="separate"/>
            </w:r>
            <w:r>
              <w:rPr>
                <w:rFonts w:hint="default" w:ascii="Times New Roman" w:hAnsi="Times New Roman" w:eastAsia="仿宋_GB2312" w:cs="仿宋_GB2312"/>
                <w:color w:val="auto"/>
                <w:sz w:val="24"/>
                <w:szCs w:val="24"/>
                <w:lang w:val="en-US" w:eastAsia="zh-CN"/>
              </w:rPr>
              <w:t>⑵</w:t>
            </w:r>
            <w:r>
              <w:rPr>
                <w:rFonts w:hint="default" w:ascii="Times New Roman" w:hAnsi="Times New Roman" w:eastAsia="仿宋_GB2312" w:cs="仿宋_GB2312"/>
                <w:color w:val="auto"/>
                <w:sz w:val="24"/>
                <w:szCs w:val="24"/>
                <w:lang w:val="en-US" w:eastAsia="zh-CN"/>
              </w:rPr>
              <w:fldChar w:fldCharType="end"/>
            </w:r>
            <w:r>
              <w:rPr>
                <w:rFonts w:hint="eastAsia" w:eastAsia="仿宋_GB2312" w:cs="仿宋_GB2312"/>
                <w:color w:val="auto"/>
                <w:sz w:val="24"/>
                <w:szCs w:val="24"/>
                <w:lang w:val="en-US" w:eastAsia="zh-CN"/>
              </w:rPr>
              <w:t>特征污染物——TSP</w:t>
            </w:r>
          </w:p>
          <w:p w14:paraId="02CFA0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仿宋_GB2312" w:cs="Times New Roman"/>
                <w:color w:val="auto"/>
                <w:sz w:val="24"/>
                <w:highlight w:val="none"/>
                <w:lang w:val="en-US" w:eastAsia="zh-CN"/>
              </w:rPr>
            </w:pPr>
            <w:r>
              <w:rPr>
                <w:rFonts w:eastAsia="仿宋_GB2312"/>
                <w:color w:val="auto"/>
                <w:sz w:val="24"/>
                <w:highlight w:val="none"/>
              </w:rPr>
              <w:t>为了解特征污染因子现状情况，本次评价</w:t>
            </w:r>
            <w:r>
              <w:rPr>
                <w:rFonts w:hint="eastAsia" w:eastAsia="仿宋_GB2312"/>
                <w:color w:val="auto"/>
                <w:sz w:val="24"/>
                <w:highlight w:val="none"/>
              </w:rPr>
              <w:t>特征</w:t>
            </w:r>
            <w:r>
              <w:rPr>
                <w:rFonts w:eastAsia="仿宋_GB2312"/>
                <w:color w:val="auto"/>
                <w:sz w:val="24"/>
                <w:highlight w:val="none"/>
              </w:rPr>
              <w:t>污染因子TSP</w:t>
            </w:r>
            <w:r>
              <w:rPr>
                <w:rFonts w:hint="eastAsia" w:eastAsia="仿宋_GB2312"/>
                <w:color w:val="auto"/>
                <w:sz w:val="24"/>
                <w:highlight w:val="none"/>
                <w:lang w:val="en-US" w:eastAsia="zh-CN"/>
              </w:rPr>
              <w:t>引用《省道205线（国道629线）中卫至下小河段公路工程施工第5标段临时拌合站项目环境影响报告表》中的现状监测数据，依据《建设项目环境影响报告表编制技术指南（污染影响类）》（试行）中“排放国家、地方环境空气质量标准中有标准限值要求的特征污染物时，引用建设项目周边5km范围内近3年的现有监测数据，无相关数据的选择当季主导下风向1个点位补充不少于3天的监测数据。”，</w:t>
            </w:r>
            <w:r>
              <w:rPr>
                <w:rFonts w:hint="eastAsia" w:ascii="Times New Roman" w:hAnsi="Times New Roman" w:eastAsia="仿宋_GB2312" w:cs="Times New Roman"/>
                <w:color w:val="auto"/>
                <w:sz w:val="24"/>
                <w:highlight w:val="none"/>
                <w:lang w:val="en-US" w:eastAsia="zh-CN"/>
              </w:rPr>
              <w:t>引用资料监测时间为2025年7月7日～7月10日，监测点位位于本项目西南侧100m处，因此数据引用可行</w:t>
            </w:r>
            <w:r>
              <w:rPr>
                <w:rFonts w:hint="eastAsia" w:eastAsia="仿宋_GB2312" w:cs="Times New Roman"/>
                <w:color w:val="auto"/>
                <w:sz w:val="24"/>
                <w:highlight w:val="none"/>
                <w:lang w:val="en-US" w:eastAsia="zh-CN"/>
              </w:rPr>
              <w:t>，本项目与引用的监测点位位置关系见图3-1</w:t>
            </w:r>
            <w:r>
              <w:rPr>
                <w:rFonts w:hint="eastAsia" w:ascii="Times New Roman" w:hAnsi="Times New Roman" w:eastAsia="仿宋_GB2312" w:cs="Times New Roman"/>
                <w:color w:val="auto"/>
                <w:sz w:val="24"/>
                <w:highlight w:val="none"/>
                <w:lang w:val="en-US" w:eastAsia="zh-CN"/>
              </w:rPr>
              <w:t>。</w:t>
            </w:r>
          </w:p>
          <w:p w14:paraId="7A9CFDED">
            <w:pPr>
              <w:spacing w:line="360" w:lineRule="auto"/>
              <w:ind w:firstLine="480" w:firstLineChars="200"/>
              <w:rPr>
                <w:rFonts w:eastAsia="仿宋_GB2312"/>
                <w:color w:val="auto"/>
                <w:sz w:val="24"/>
                <w:highlight w:val="none"/>
              </w:rPr>
            </w:pPr>
            <w:r>
              <w:rPr>
                <w:rFonts w:eastAsia="仿宋_GB2312"/>
                <w:color w:val="auto"/>
                <w:sz w:val="24"/>
                <w:highlight w:val="none"/>
              </w:rPr>
              <w:fldChar w:fldCharType="begin"/>
            </w:r>
            <w:r>
              <w:rPr>
                <w:rFonts w:eastAsia="仿宋_GB2312"/>
                <w:color w:val="auto"/>
                <w:sz w:val="24"/>
                <w:highlight w:val="none"/>
              </w:rPr>
              <w:instrText xml:space="preserve"> = 1 \* GB3 \* MERGEFORMAT </w:instrText>
            </w:r>
            <w:r>
              <w:rPr>
                <w:rFonts w:eastAsia="仿宋_GB2312"/>
                <w:color w:val="auto"/>
                <w:sz w:val="24"/>
                <w:highlight w:val="none"/>
              </w:rPr>
              <w:fldChar w:fldCharType="separate"/>
            </w:r>
            <w:r>
              <w:rPr>
                <w:rFonts w:eastAsia="仿宋_GB2312"/>
                <w:color w:val="auto"/>
                <w:sz w:val="24"/>
                <w:highlight w:val="none"/>
              </w:rPr>
              <w:t>①</w:t>
            </w:r>
            <w:r>
              <w:rPr>
                <w:rFonts w:eastAsia="仿宋_GB2312"/>
                <w:color w:val="auto"/>
                <w:sz w:val="24"/>
                <w:highlight w:val="none"/>
              </w:rPr>
              <w:fldChar w:fldCharType="end"/>
            </w:r>
            <w:r>
              <w:rPr>
                <w:rFonts w:eastAsia="仿宋_GB2312"/>
                <w:color w:val="auto"/>
                <w:sz w:val="24"/>
                <w:highlight w:val="none"/>
              </w:rPr>
              <w:t>监测点位：本次评价其他污染物环境质量现状监测数据点位情况详见表3-2。</w:t>
            </w:r>
          </w:p>
          <w:p w14:paraId="449FD60B">
            <w:pPr>
              <w:pStyle w:val="71"/>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both"/>
              <w:textAlignment w:val="auto"/>
              <w:rPr>
                <w:rFonts w:hint="eastAsia" w:ascii="宋体" w:hAnsi="宋体" w:eastAsia="宋体" w:cs="宋体"/>
                <w:b/>
                <w:bCs/>
                <w:color w:val="auto"/>
                <w:spacing w:val="0"/>
                <w:kern w:val="2"/>
                <w:position w:val="0"/>
                <w:sz w:val="24"/>
                <w:szCs w:val="24"/>
                <w:highlight w:val="none"/>
              </w:rPr>
            </w:pPr>
            <w:r>
              <w:rPr>
                <w:rFonts w:ascii="Times New Roman" w:eastAsia="宋体"/>
                <w:color w:val="auto"/>
                <w:spacing w:val="0"/>
                <w:kern w:val="2"/>
                <w:position w:val="0"/>
                <w:sz w:val="21"/>
                <w:szCs w:val="21"/>
                <w:highlight w:val="none"/>
              </w:rPr>
              <w:t>表</w:t>
            </w:r>
            <w:r>
              <w:rPr>
                <w:rFonts w:hint="eastAsia" w:ascii="Times New Roman" w:eastAsia="宋体"/>
                <w:color w:val="auto"/>
                <w:spacing w:val="0"/>
                <w:kern w:val="2"/>
                <w:position w:val="0"/>
                <w:sz w:val="21"/>
                <w:szCs w:val="21"/>
                <w:highlight w:val="none"/>
              </w:rPr>
              <w:t>3</w:t>
            </w:r>
            <w:r>
              <w:rPr>
                <w:rFonts w:ascii="Times New Roman" w:eastAsia="宋体"/>
                <w:color w:val="auto"/>
                <w:spacing w:val="0"/>
                <w:kern w:val="2"/>
                <w:position w:val="0"/>
                <w:sz w:val="21"/>
                <w:szCs w:val="21"/>
                <w:highlight w:val="none"/>
              </w:rPr>
              <w:t>-2</w:t>
            </w:r>
            <w:r>
              <w:rPr>
                <w:rFonts w:ascii="Times New Roman"/>
                <w:color w:val="auto"/>
                <w:spacing w:val="0"/>
                <w:kern w:val="2"/>
                <w:position w:val="0"/>
                <w:sz w:val="24"/>
                <w:szCs w:val="24"/>
                <w:highlight w:val="none"/>
              </w:rPr>
              <w:t xml:space="preserve">   </w:t>
            </w:r>
            <w:r>
              <w:rPr>
                <w:rFonts w:hint="eastAsia" w:ascii="Times New Roman"/>
                <w:color w:val="auto"/>
                <w:spacing w:val="0"/>
                <w:kern w:val="2"/>
                <w:position w:val="0"/>
                <w:sz w:val="24"/>
                <w:szCs w:val="24"/>
                <w:highlight w:val="none"/>
                <w:lang w:val="en-US" w:eastAsia="zh-CN"/>
              </w:rPr>
              <w:t xml:space="preserve">  </w:t>
            </w:r>
            <w:r>
              <w:rPr>
                <w:rFonts w:ascii="Times New Roman"/>
                <w:color w:val="auto"/>
                <w:spacing w:val="0"/>
                <w:kern w:val="2"/>
                <w:position w:val="0"/>
                <w:sz w:val="24"/>
                <w:szCs w:val="24"/>
                <w:highlight w:val="none"/>
              </w:rPr>
              <w:t xml:space="preserve">  </w:t>
            </w:r>
            <w:r>
              <w:rPr>
                <w:rFonts w:hint="eastAsia" w:ascii="宋体" w:hAnsi="宋体" w:eastAsia="宋体" w:cs="宋体"/>
                <w:b/>
                <w:bCs/>
                <w:color w:val="auto"/>
                <w:spacing w:val="0"/>
                <w:kern w:val="2"/>
                <w:position w:val="0"/>
                <w:sz w:val="24"/>
                <w:szCs w:val="24"/>
                <w:highlight w:val="none"/>
              </w:rPr>
              <w:t>环境空气质量现状监测布点情况一览表</w:t>
            </w:r>
          </w:p>
          <w:tbl>
            <w:tblPr>
              <w:tblStyle w:val="23"/>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1"/>
              <w:gridCol w:w="2025"/>
              <w:gridCol w:w="2025"/>
              <w:gridCol w:w="850"/>
              <w:gridCol w:w="819"/>
              <w:gridCol w:w="1713"/>
            </w:tblGrid>
            <w:tr w14:paraId="41D5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511" w:type="dxa"/>
                  <w:vMerge w:val="restart"/>
                  <w:noWrap w:val="0"/>
                  <w:vAlign w:val="center"/>
                </w:tcPr>
                <w:p w14:paraId="5E3CF4B8">
                  <w:pPr>
                    <w:widowControl/>
                    <w:adjustRightInd w:val="0"/>
                    <w:snapToGrid w:val="0"/>
                    <w:jc w:val="center"/>
                    <w:rPr>
                      <w:b/>
                      <w:bCs/>
                      <w:color w:val="auto"/>
                      <w:szCs w:val="21"/>
                      <w:highlight w:val="none"/>
                    </w:rPr>
                  </w:pPr>
                  <w:r>
                    <w:rPr>
                      <w:rFonts w:hint="eastAsia"/>
                      <w:b/>
                      <w:bCs/>
                      <w:color w:val="auto"/>
                      <w:szCs w:val="21"/>
                      <w:highlight w:val="none"/>
                    </w:rPr>
                    <w:t>编号</w:t>
                  </w:r>
                </w:p>
              </w:tc>
              <w:tc>
                <w:tcPr>
                  <w:tcW w:w="2025" w:type="dxa"/>
                  <w:vMerge w:val="restart"/>
                  <w:noWrap w:val="0"/>
                  <w:vAlign w:val="center"/>
                </w:tcPr>
                <w:p w14:paraId="7D0750CB">
                  <w:pPr>
                    <w:widowControl/>
                    <w:adjustRightInd w:val="0"/>
                    <w:snapToGrid w:val="0"/>
                    <w:jc w:val="center"/>
                    <w:rPr>
                      <w:b/>
                      <w:bCs/>
                      <w:color w:val="auto"/>
                      <w:szCs w:val="21"/>
                      <w:highlight w:val="none"/>
                    </w:rPr>
                  </w:pPr>
                  <w:r>
                    <w:rPr>
                      <w:b/>
                      <w:bCs/>
                      <w:color w:val="auto"/>
                      <w:szCs w:val="21"/>
                      <w:highlight w:val="none"/>
                    </w:rPr>
                    <w:t>监测点名称</w:t>
                  </w:r>
                </w:p>
              </w:tc>
              <w:tc>
                <w:tcPr>
                  <w:tcW w:w="2025" w:type="dxa"/>
                  <w:vMerge w:val="restart"/>
                  <w:noWrap w:val="0"/>
                  <w:vAlign w:val="center"/>
                </w:tcPr>
                <w:p w14:paraId="63FFAF77">
                  <w:pPr>
                    <w:widowControl/>
                    <w:adjustRightInd w:val="0"/>
                    <w:snapToGrid w:val="0"/>
                    <w:jc w:val="center"/>
                    <w:rPr>
                      <w:b/>
                      <w:bCs/>
                      <w:color w:val="auto"/>
                      <w:szCs w:val="21"/>
                      <w:highlight w:val="none"/>
                    </w:rPr>
                  </w:pPr>
                  <w:r>
                    <w:rPr>
                      <w:b/>
                      <w:bCs/>
                      <w:color w:val="auto"/>
                      <w:szCs w:val="21"/>
                      <w:highlight w:val="none"/>
                    </w:rPr>
                    <w:t>坐标</w:t>
                  </w:r>
                </w:p>
              </w:tc>
              <w:tc>
                <w:tcPr>
                  <w:tcW w:w="1669" w:type="dxa"/>
                  <w:gridSpan w:val="2"/>
                  <w:noWrap w:val="0"/>
                  <w:vAlign w:val="center"/>
                </w:tcPr>
                <w:p w14:paraId="0146AA91">
                  <w:pPr>
                    <w:widowControl/>
                    <w:adjustRightInd w:val="0"/>
                    <w:snapToGrid w:val="0"/>
                    <w:jc w:val="center"/>
                    <w:rPr>
                      <w:b/>
                      <w:bCs/>
                      <w:color w:val="auto"/>
                      <w:szCs w:val="21"/>
                      <w:highlight w:val="none"/>
                    </w:rPr>
                  </w:pPr>
                  <w:r>
                    <w:rPr>
                      <w:rFonts w:hint="eastAsia"/>
                      <w:b/>
                      <w:bCs/>
                      <w:color w:val="auto"/>
                      <w:szCs w:val="21"/>
                      <w:highlight w:val="none"/>
                      <w:lang w:val="en-US" w:eastAsia="zh-CN"/>
                    </w:rPr>
                    <w:t>与本项目</w:t>
                  </w:r>
                </w:p>
              </w:tc>
              <w:tc>
                <w:tcPr>
                  <w:tcW w:w="1713" w:type="dxa"/>
                  <w:vMerge w:val="restart"/>
                  <w:noWrap w:val="0"/>
                  <w:vAlign w:val="center"/>
                </w:tcPr>
                <w:p w14:paraId="6D1C4DA1">
                  <w:pPr>
                    <w:widowControl/>
                    <w:adjustRightInd w:val="0"/>
                    <w:snapToGrid w:val="0"/>
                    <w:jc w:val="center"/>
                    <w:rPr>
                      <w:b/>
                      <w:bCs/>
                      <w:color w:val="auto"/>
                      <w:szCs w:val="21"/>
                      <w:highlight w:val="none"/>
                    </w:rPr>
                  </w:pPr>
                  <w:r>
                    <w:rPr>
                      <w:b/>
                      <w:bCs/>
                      <w:color w:val="auto"/>
                      <w:szCs w:val="21"/>
                      <w:highlight w:val="none"/>
                    </w:rPr>
                    <w:t>监测项目</w:t>
                  </w:r>
                </w:p>
              </w:tc>
            </w:tr>
            <w:tr w14:paraId="4E2A3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511" w:type="dxa"/>
                  <w:vMerge w:val="continue"/>
                  <w:noWrap w:val="0"/>
                  <w:vAlign w:val="center"/>
                </w:tcPr>
                <w:p w14:paraId="457690AD">
                  <w:pPr>
                    <w:widowControl/>
                    <w:adjustRightInd w:val="0"/>
                    <w:snapToGrid w:val="0"/>
                    <w:jc w:val="center"/>
                    <w:rPr>
                      <w:color w:val="auto"/>
                    </w:rPr>
                  </w:pPr>
                </w:p>
              </w:tc>
              <w:tc>
                <w:tcPr>
                  <w:tcW w:w="2025" w:type="dxa"/>
                  <w:vMerge w:val="continue"/>
                  <w:noWrap w:val="0"/>
                  <w:vAlign w:val="center"/>
                </w:tcPr>
                <w:p w14:paraId="4D93B2E9">
                  <w:pPr>
                    <w:widowControl/>
                    <w:adjustRightInd w:val="0"/>
                    <w:snapToGrid w:val="0"/>
                    <w:jc w:val="center"/>
                    <w:rPr>
                      <w:color w:val="auto"/>
                    </w:rPr>
                  </w:pPr>
                </w:p>
              </w:tc>
              <w:tc>
                <w:tcPr>
                  <w:tcW w:w="2025" w:type="dxa"/>
                  <w:vMerge w:val="continue"/>
                  <w:noWrap w:val="0"/>
                  <w:vAlign w:val="center"/>
                </w:tcPr>
                <w:p w14:paraId="6E456CD0">
                  <w:pPr>
                    <w:widowControl/>
                    <w:adjustRightInd w:val="0"/>
                    <w:snapToGrid w:val="0"/>
                    <w:jc w:val="center"/>
                    <w:rPr>
                      <w:color w:val="auto"/>
                    </w:rPr>
                  </w:pPr>
                </w:p>
              </w:tc>
              <w:tc>
                <w:tcPr>
                  <w:tcW w:w="850" w:type="dxa"/>
                  <w:shd w:val="clear" w:color="auto" w:fill="auto"/>
                  <w:noWrap w:val="0"/>
                  <w:vAlign w:val="center"/>
                </w:tcPr>
                <w:p w14:paraId="07B8D6E3">
                  <w:pPr>
                    <w:widowControl/>
                    <w:adjustRightInd w:val="0"/>
                    <w:snapToGrid w:val="0"/>
                    <w:jc w:val="center"/>
                    <w:rPr>
                      <w:rFonts w:hint="eastAsia" w:ascii="Times New Roman" w:hAnsi="Times New Roman" w:eastAsia="宋体" w:cs="Times New Roman"/>
                      <w:b/>
                      <w:bCs/>
                      <w:color w:val="auto"/>
                      <w:kern w:val="2"/>
                      <w:sz w:val="21"/>
                      <w:szCs w:val="21"/>
                      <w:highlight w:val="none"/>
                      <w:lang w:val="en-US" w:eastAsia="zh-CN" w:bidi="ar-SA"/>
                    </w:rPr>
                  </w:pPr>
                  <w:r>
                    <w:rPr>
                      <w:b/>
                      <w:bCs/>
                      <w:color w:val="auto"/>
                      <w:szCs w:val="21"/>
                      <w:highlight w:val="none"/>
                    </w:rPr>
                    <w:t>方位</w:t>
                  </w:r>
                </w:p>
              </w:tc>
              <w:tc>
                <w:tcPr>
                  <w:tcW w:w="819" w:type="dxa"/>
                  <w:shd w:val="clear" w:color="auto" w:fill="auto"/>
                  <w:noWrap w:val="0"/>
                  <w:vAlign w:val="center"/>
                </w:tcPr>
                <w:p w14:paraId="2AD0B8F5">
                  <w:pPr>
                    <w:widowControl/>
                    <w:adjustRightInd w:val="0"/>
                    <w:snapToGrid w:val="0"/>
                    <w:jc w:val="center"/>
                    <w:rPr>
                      <w:rFonts w:hint="eastAsia" w:ascii="Times New Roman" w:hAnsi="Times New Roman" w:eastAsia="宋体" w:cs="Times New Roman"/>
                      <w:b/>
                      <w:bCs/>
                      <w:color w:val="auto"/>
                      <w:kern w:val="2"/>
                      <w:sz w:val="21"/>
                      <w:szCs w:val="21"/>
                      <w:highlight w:val="none"/>
                      <w:lang w:val="en-US" w:eastAsia="zh-CN" w:bidi="ar-SA"/>
                    </w:rPr>
                  </w:pPr>
                  <w:r>
                    <w:rPr>
                      <w:b/>
                      <w:bCs/>
                      <w:color w:val="auto"/>
                      <w:szCs w:val="21"/>
                      <w:highlight w:val="none"/>
                    </w:rPr>
                    <w:t>距离</w:t>
                  </w:r>
                </w:p>
              </w:tc>
              <w:tc>
                <w:tcPr>
                  <w:tcW w:w="1713" w:type="dxa"/>
                  <w:vMerge w:val="continue"/>
                  <w:noWrap w:val="0"/>
                  <w:vAlign w:val="center"/>
                </w:tcPr>
                <w:p w14:paraId="418B84DB">
                  <w:pPr>
                    <w:widowControl/>
                    <w:adjustRightInd w:val="0"/>
                    <w:snapToGrid w:val="0"/>
                    <w:jc w:val="center"/>
                    <w:rPr>
                      <w:rFonts w:hint="eastAsia"/>
                      <w:b/>
                      <w:bCs/>
                      <w:color w:val="auto"/>
                      <w:szCs w:val="21"/>
                      <w:highlight w:val="none"/>
                      <w:lang w:val="en-US" w:eastAsia="zh-CN"/>
                    </w:rPr>
                  </w:pPr>
                </w:p>
              </w:tc>
            </w:tr>
            <w:tr w14:paraId="5F096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11" w:type="dxa"/>
                  <w:noWrap w:val="0"/>
                  <w:vAlign w:val="center"/>
                </w:tcPr>
                <w:p w14:paraId="253515E6">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w:t>
                  </w:r>
                </w:p>
              </w:tc>
              <w:tc>
                <w:tcPr>
                  <w:tcW w:w="2025" w:type="dxa"/>
                  <w:noWrap w:val="0"/>
                  <w:vAlign w:val="center"/>
                </w:tcPr>
                <w:p w14:paraId="532F7FC9">
                  <w:pPr>
                    <w:widowControl/>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项目下风向350m处</w:t>
                  </w:r>
                </w:p>
              </w:tc>
              <w:tc>
                <w:tcPr>
                  <w:tcW w:w="2025" w:type="dxa"/>
                  <w:noWrap w:val="0"/>
                  <w:vAlign w:val="center"/>
                </w:tcPr>
                <w:p w14:paraId="0BFB285D">
                  <w:pPr>
                    <w:widowControl/>
                    <w:adjustRightInd w:val="0"/>
                    <w:snapToGrid w:val="0"/>
                    <w:jc w:val="center"/>
                    <w:rPr>
                      <w:color w:val="auto"/>
                      <w:szCs w:val="21"/>
                      <w:highlight w:val="none"/>
                    </w:rPr>
                  </w:pPr>
                  <w:r>
                    <w:rPr>
                      <w:color w:val="auto"/>
                      <w:szCs w:val="21"/>
                      <w:highlight w:val="none"/>
                    </w:rPr>
                    <w:t>10</w:t>
                  </w:r>
                  <w:r>
                    <w:rPr>
                      <w:rFonts w:hint="eastAsia"/>
                      <w:color w:val="auto"/>
                      <w:szCs w:val="21"/>
                      <w:highlight w:val="none"/>
                      <w:lang w:val="en-US" w:eastAsia="zh-CN"/>
                    </w:rPr>
                    <w:t>5</w:t>
                  </w:r>
                  <w:r>
                    <w:rPr>
                      <w:color w:val="auto"/>
                      <w:szCs w:val="21"/>
                      <w:highlight w:val="none"/>
                    </w:rPr>
                    <w:t>°</w:t>
                  </w:r>
                  <w:r>
                    <w:rPr>
                      <w:rFonts w:hint="eastAsia"/>
                      <w:color w:val="auto"/>
                      <w:szCs w:val="21"/>
                      <w:highlight w:val="none"/>
                      <w:lang w:val="en-US" w:eastAsia="zh-CN"/>
                    </w:rPr>
                    <w:t>1</w:t>
                  </w:r>
                  <w:r>
                    <w:rPr>
                      <w:color w:val="auto"/>
                      <w:szCs w:val="21"/>
                      <w:highlight w:val="none"/>
                    </w:rPr>
                    <w:t>4'</w:t>
                  </w:r>
                  <w:r>
                    <w:rPr>
                      <w:rFonts w:hint="eastAsia"/>
                      <w:color w:val="auto"/>
                      <w:szCs w:val="21"/>
                      <w:highlight w:val="none"/>
                      <w:lang w:val="en-US" w:eastAsia="zh-CN"/>
                    </w:rPr>
                    <w:t>30.591</w:t>
                  </w:r>
                  <w:r>
                    <w:rPr>
                      <w:color w:val="auto"/>
                      <w:szCs w:val="21"/>
                      <w:highlight w:val="none"/>
                    </w:rPr>
                    <w:t>"</w:t>
                  </w:r>
                  <w:r>
                    <w:rPr>
                      <w:rFonts w:hint="eastAsia"/>
                      <w:color w:val="auto"/>
                      <w:szCs w:val="21"/>
                      <w:highlight w:val="none"/>
                    </w:rPr>
                    <w:t>，</w:t>
                  </w:r>
                  <w:r>
                    <w:rPr>
                      <w:rFonts w:hint="eastAsia"/>
                      <w:color w:val="auto"/>
                      <w:szCs w:val="21"/>
                      <w:highlight w:val="none"/>
                      <w:lang w:val="en-US" w:eastAsia="zh-CN"/>
                    </w:rPr>
                    <w:t>36</w:t>
                  </w:r>
                  <w:r>
                    <w:rPr>
                      <w:color w:val="auto"/>
                      <w:szCs w:val="21"/>
                      <w:highlight w:val="none"/>
                    </w:rPr>
                    <w:t>°5</w:t>
                  </w:r>
                  <w:r>
                    <w:rPr>
                      <w:rFonts w:hint="eastAsia"/>
                      <w:color w:val="auto"/>
                      <w:szCs w:val="21"/>
                      <w:highlight w:val="none"/>
                      <w:lang w:val="en-US" w:eastAsia="zh-CN"/>
                    </w:rPr>
                    <w:t>9</w:t>
                  </w:r>
                  <w:r>
                    <w:rPr>
                      <w:color w:val="auto"/>
                      <w:szCs w:val="21"/>
                      <w:highlight w:val="none"/>
                    </w:rPr>
                    <w:t>'</w:t>
                  </w:r>
                  <w:r>
                    <w:rPr>
                      <w:rFonts w:hint="eastAsia"/>
                      <w:color w:val="auto"/>
                      <w:szCs w:val="21"/>
                      <w:highlight w:val="none"/>
                      <w:lang w:val="en-US" w:eastAsia="zh-CN"/>
                    </w:rPr>
                    <w:t>44.822</w:t>
                  </w:r>
                  <w:r>
                    <w:rPr>
                      <w:color w:val="auto"/>
                      <w:szCs w:val="21"/>
                      <w:highlight w:val="none"/>
                    </w:rPr>
                    <w:t>"</w:t>
                  </w:r>
                </w:p>
              </w:tc>
              <w:tc>
                <w:tcPr>
                  <w:tcW w:w="850" w:type="dxa"/>
                  <w:noWrap w:val="0"/>
                  <w:vAlign w:val="center"/>
                </w:tcPr>
                <w:p w14:paraId="32B6DD38">
                  <w:pPr>
                    <w:widowControl/>
                    <w:adjustRightInd w:val="0"/>
                    <w:snapToGrid w:val="0"/>
                    <w:jc w:val="center"/>
                    <w:rPr>
                      <w:color w:val="auto"/>
                      <w:szCs w:val="21"/>
                      <w:highlight w:val="none"/>
                    </w:rPr>
                  </w:pPr>
                  <w:r>
                    <w:rPr>
                      <w:color w:val="auto"/>
                      <w:szCs w:val="21"/>
                      <w:highlight w:val="none"/>
                    </w:rPr>
                    <w:t>SW</w:t>
                  </w:r>
                </w:p>
              </w:tc>
              <w:tc>
                <w:tcPr>
                  <w:tcW w:w="819" w:type="dxa"/>
                  <w:noWrap w:val="0"/>
                  <w:vAlign w:val="center"/>
                </w:tcPr>
                <w:p w14:paraId="23ECC210">
                  <w:pPr>
                    <w:widowControl/>
                    <w:adjustRightInd w:val="0"/>
                    <w:snapToGrid w:val="0"/>
                    <w:jc w:val="center"/>
                    <w:rPr>
                      <w:color w:val="auto"/>
                      <w:szCs w:val="21"/>
                      <w:highlight w:val="none"/>
                    </w:rPr>
                  </w:pPr>
                  <w:r>
                    <w:rPr>
                      <w:rFonts w:hint="eastAsia"/>
                      <w:color w:val="auto"/>
                      <w:szCs w:val="21"/>
                      <w:highlight w:val="none"/>
                      <w:lang w:val="en-US" w:eastAsia="zh-CN"/>
                    </w:rPr>
                    <w:t>100</w:t>
                  </w:r>
                  <w:r>
                    <w:rPr>
                      <w:color w:val="auto"/>
                      <w:szCs w:val="21"/>
                      <w:highlight w:val="none"/>
                    </w:rPr>
                    <w:t>m</w:t>
                  </w:r>
                </w:p>
              </w:tc>
              <w:tc>
                <w:tcPr>
                  <w:tcW w:w="1713" w:type="dxa"/>
                  <w:noWrap w:val="0"/>
                  <w:vAlign w:val="center"/>
                </w:tcPr>
                <w:p w14:paraId="28A55EF9">
                  <w:pPr>
                    <w:widowControl/>
                    <w:adjustRightInd w:val="0"/>
                    <w:snapToGrid w:val="0"/>
                    <w:jc w:val="center"/>
                    <w:rPr>
                      <w:color w:val="auto"/>
                      <w:szCs w:val="21"/>
                      <w:highlight w:val="none"/>
                    </w:rPr>
                  </w:pPr>
                  <w:r>
                    <w:rPr>
                      <w:color w:val="auto"/>
                      <w:szCs w:val="21"/>
                      <w:highlight w:val="none"/>
                    </w:rPr>
                    <w:t>日均值：TSP</w:t>
                  </w:r>
                </w:p>
              </w:tc>
            </w:tr>
          </w:tbl>
          <w:p w14:paraId="3E205B04">
            <w:pPr>
              <w:spacing w:line="360" w:lineRule="auto"/>
              <w:ind w:firstLine="480" w:firstLineChars="200"/>
              <w:rPr>
                <w:rFonts w:eastAsia="仿宋_GB2312"/>
                <w:color w:val="auto"/>
                <w:sz w:val="24"/>
                <w:highlight w:val="none"/>
              </w:rPr>
            </w:pPr>
            <w:r>
              <w:rPr>
                <w:rFonts w:eastAsia="仿宋_GB2312"/>
                <w:color w:val="auto"/>
                <w:sz w:val="24"/>
                <w:highlight w:val="none"/>
              </w:rPr>
              <w:t>②监测时间和频次</w:t>
            </w:r>
          </w:p>
          <w:p w14:paraId="35E1AB4F">
            <w:pPr>
              <w:spacing w:line="360" w:lineRule="auto"/>
              <w:ind w:firstLine="480" w:firstLineChars="200"/>
              <w:rPr>
                <w:rFonts w:eastAsia="仿宋_GB2312"/>
                <w:color w:val="auto"/>
                <w:sz w:val="24"/>
                <w:highlight w:val="none"/>
              </w:rPr>
            </w:pPr>
            <w:r>
              <w:rPr>
                <w:rFonts w:eastAsia="仿宋_GB2312"/>
                <w:color w:val="auto"/>
                <w:sz w:val="24"/>
                <w:highlight w:val="none"/>
              </w:rPr>
              <w:t>监测时间为：202</w:t>
            </w:r>
            <w:r>
              <w:rPr>
                <w:rFonts w:hint="eastAsia" w:eastAsia="仿宋_GB2312"/>
                <w:color w:val="auto"/>
                <w:sz w:val="24"/>
                <w:highlight w:val="none"/>
                <w:lang w:val="en-US" w:eastAsia="zh-CN"/>
              </w:rPr>
              <w:t>5</w:t>
            </w:r>
            <w:r>
              <w:rPr>
                <w:rFonts w:eastAsia="仿宋_GB2312"/>
                <w:color w:val="auto"/>
                <w:sz w:val="24"/>
                <w:highlight w:val="none"/>
              </w:rPr>
              <w:t>年</w:t>
            </w:r>
            <w:r>
              <w:rPr>
                <w:rFonts w:hint="eastAsia" w:eastAsia="仿宋_GB2312"/>
                <w:color w:val="auto"/>
                <w:sz w:val="24"/>
                <w:highlight w:val="none"/>
                <w:lang w:val="en-US" w:eastAsia="zh-CN"/>
              </w:rPr>
              <w:t>7</w:t>
            </w:r>
            <w:r>
              <w:rPr>
                <w:rFonts w:eastAsia="仿宋_GB2312"/>
                <w:color w:val="auto"/>
                <w:sz w:val="24"/>
                <w:highlight w:val="none"/>
              </w:rPr>
              <w:t>月</w:t>
            </w:r>
            <w:r>
              <w:rPr>
                <w:rFonts w:hint="eastAsia" w:eastAsia="仿宋_GB2312"/>
                <w:color w:val="auto"/>
                <w:sz w:val="24"/>
                <w:highlight w:val="none"/>
                <w:lang w:val="en-US" w:eastAsia="zh-CN"/>
              </w:rPr>
              <w:t>7</w:t>
            </w:r>
            <w:r>
              <w:rPr>
                <w:rFonts w:eastAsia="仿宋_GB2312"/>
                <w:color w:val="auto"/>
                <w:sz w:val="24"/>
                <w:highlight w:val="none"/>
              </w:rPr>
              <w:t>日～</w:t>
            </w:r>
            <w:r>
              <w:rPr>
                <w:rFonts w:hint="eastAsia" w:eastAsia="仿宋_GB2312"/>
                <w:color w:val="auto"/>
                <w:sz w:val="24"/>
                <w:highlight w:val="none"/>
                <w:lang w:val="en-US" w:eastAsia="zh-CN"/>
              </w:rPr>
              <w:t>7</w:t>
            </w:r>
            <w:r>
              <w:rPr>
                <w:rFonts w:eastAsia="仿宋_GB2312"/>
                <w:color w:val="auto"/>
                <w:sz w:val="24"/>
                <w:highlight w:val="none"/>
              </w:rPr>
              <w:t>月</w:t>
            </w:r>
            <w:r>
              <w:rPr>
                <w:rFonts w:hint="eastAsia" w:eastAsia="仿宋_GB2312"/>
                <w:color w:val="auto"/>
                <w:sz w:val="24"/>
                <w:highlight w:val="none"/>
                <w:lang w:val="en-US" w:eastAsia="zh-CN"/>
              </w:rPr>
              <w:t>10</w:t>
            </w:r>
            <w:r>
              <w:rPr>
                <w:rFonts w:eastAsia="仿宋_GB2312"/>
                <w:color w:val="auto"/>
                <w:sz w:val="24"/>
                <w:highlight w:val="none"/>
              </w:rPr>
              <w:t>日，TSP监测日均值，</w:t>
            </w:r>
            <w:r>
              <w:rPr>
                <w:rFonts w:hint="eastAsia" w:eastAsia="仿宋_GB2312"/>
                <w:color w:val="auto"/>
                <w:sz w:val="24"/>
                <w:highlight w:val="none"/>
                <w:lang w:val="en-US" w:eastAsia="zh-CN"/>
              </w:rPr>
              <w:t>连续检测3天，</w:t>
            </w:r>
            <w:r>
              <w:rPr>
                <w:rFonts w:eastAsia="仿宋_GB2312"/>
                <w:color w:val="auto"/>
                <w:sz w:val="24"/>
                <w:highlight w:val="none"/>
              </w:rPr>
              <w:t>每次</w:t>
            </w:r>
            <w:r>
              <w:rPr>
                <w:rFonts w:hint="eastAsia" w:eastAsia="仿宋_GB2312"/>
                <w:color w:val="auto"/>
                <w:sz w:val="24"/>
                <w:highlight w:val="none"/>
                <w:lang w:val="en-US" w:eastAsia="zh-CN"/>
              </w:rPr>
              <w:t>连续</w:t>
            </w:r>
            <w:r>
              <w:rPr>
                <w:rFonts w:eastAsia="仿宋_GB2312"/>
                <w:color w:val="auto"/>
                <w:sz w:val="24"/>
                <w:highlight w:val="none"/>
              </w:rPr>
              <w:t>采样24小时；监测期间记录风向、风速、气压、温度</w:t>
            </w:r>
            <w:r>
              <w:rPr>
                <w:rFonts w:hint="eastAsia" w:eastAsia="仿宋_GB2312"/>
                <w:color w:val="auto"/>
                <w:sz w:val="24"/>
                <w:highlight w:val="none"/>
                <w:lang w:eastAsia="zh-CN"/>
              </w:rPr>
              <w:t>、</w:t>
            </w:r>
            <w:r>
              <w:rPr>
                <w:rFonts w:hint="eastAsia" w:eastAsia="仿宋_GB2312"/>
                <w:color w:val="auto"/>
                <w:sz w:val="24"/>
                <w:highlight w:val="none"/>
                <w:lang w:val="en-US" w:eastAsia="zh-CN"/>
              </w:rPr>
              <w:t>湿度</w:t>
            </w:r>
            <w:r>
              <w:rPr>
                <w:rFonts w:eastAsia="仿宋_GB2312"/>
                <w:color w:val="auto"/>
                <w:sz w:val="24"/>
                <w:highlight w:val="none"/>
              </w:rPr>
              <w:t>参数。</w:t>
            </w:r>
          </w:p>
          <w:p w14:paraId="3EE29D3A">
            <w:pPr>
              <w:spacing w:line="360" w:lineRule="auto"/>
              <w:ind w:firstLine="480" w:firstLineChars="200"/>
              <w:rPr>
                <w:rFonts w:eastAsia="仿宋_GB2312"/>
                <w:color w:val="auto"/>
                <w:sz w:val="24"/>
                <w:highlight w:val="none"/>
              </w:rPr>
            </w:pPr>
            <w:r>
              <w:rPr>
                <w:rFonts w:eastAsia="仿宋_GB2312"/>
                <w:color w:val="auto"/>
                <w:sz w:val="24"/>
                <w:highlight w:val="none"/>
              </w:rPr>
              <w:fldChar w:fldCharType="begin"/>
            </w:r>
            <w:r>
              <w:rPr>
                <w:rFonts w:eastAsia="仿宋_GB2312"/>
                <w:color w:val="auto"/>
                <w:sz w:val="24"/>
                <w:highlight w:val="none"/>
              </w:rPr>
              <w:instrText xml:space="preserve"> = 3 \* GB3 \* MERGEFORMAT </w:instrText>
            </w:r>
            <w:r>
              <w:rPr>
                <w:rFonts w:eastAsia="仿宋_GB2312"/>
                <w:color w:val="auto"/>
                <w:sz w:val="24"/>
                <w:highlight w:val="none"/>
              </w:rPr>
              <w:fldChar w:fldCharType="separate"/>
            </w:r>
            <w:r>
              <w:rPr>
                <w:rFonts w:eastAsia="仿宋_GB2312"/>
                <w:color w:val="auto"/>
                <w:sz w:val="24"/>
                <w:highlight w:val="none"/>
              </w:rPr>
              <w:t>③</w:t>
            </w:r>
            <w:r>
              <w:rPr>
                <w:rFonts w:eastAsia="仿宋_GB2312"/>
                <w:color w:val="auto"/>
                <w:sz w:val="24"/>
                <w:highlight w:val="none"/>
              </w:rPr>
              <w:fldChar w:fldCharType="end"/>
            </w:r>
            <w:r>
              <w:rPr>
                <w:rFonts w:eastAsia="仿宋_GB2312"/>
                <w:color w:val="auto"/>
                <w:sz w:val="24"/>
                <w:highlight w:val="none"/>
              </w:rPr>
              <w:t>监测结果统计</w:t>
            </w:r>
          </w:p>
          <w:p w14:paraId="2997828D">
            <w:pPr>
              <w:spacing w:line="360" w:lineRule="auto"/>
              <w:ind w:firstLine="480" w:firstLineChars="200"/>
              <w:rPr>
                <w:rFonts w:eastAsia="仿宋_GB2312"/>
                <w:color w:val="auto"/>
                <w:sz w:val="24"/>
                <w:highlight w:val="none"/>
              </w:rPr>
            </w:pPr>
            <w:r>
              <w:rPr>
                <w:rFonts w:eastAsia="仿宋_GB2312"/>
                <w:color w:val="auto"/>
                <w:sz w:val="24"/>
                <w:highlight w:val="none"/>
              </w:rPr>
              <w:t>环境空气质量现状监测结果统计见表3-3。</w:t>
            </w:r>
          </w:p>
          <w:p w14:paraId="7A6E9C6C">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宋体" w:hAnsi="宋体" w:cs="宋体"/>
                <w:b/>
                <w:bCs/>
                <w:color w:val="auto"/>
                <w:sz w:val="24"/>
                <w:highlight w:val="none"/>
              </w:rPr>
            </w:pPr>
            <w:r>
              <w:rPr>
                <w:color w:val="auto"/>
                <w:szCs w:val="21"/>
                <w:highlight w:val="none"/>
              </w:rPr>
              <w:t>表</w:t>
            </w:r>
            <w:r>
              <w:rPr>
                <w:rFonts w:hint="eastAsia"/>
                <w:color w:val="auto"/>
                <w:szCs w:val="21"/>
                <w:highlight w:val="none"/>
              </w:rPr>
              <w:t>3</w:t>
            </w:r>
            <w:r>
              <w:rPr>
                <w:color w:val="auto"/>
                <w:szCs w:val="21"/>
                <w:highlight w:val="none"/>
              </w:rPr>
              <w:t xml:space="preserve">-3 </w:t>
            </w:r>
            <w:r>
              <w:rPr>
                <w:rFonts w:hint="eastAsia"/>
                <w:color w:val="auto"/>
                <w:szCs w:val="21"/>
                <w:highlight w:val="none"/>
                <w:lang w:val="en-US" w:eastAsia="zh-CN"/>
              </w:rPr>
              <w:t xml:space="preserve">      </w:t>
            </w:r>
            <w:r>
              <w:rPr>
                <w:rFonts w:eastAsia="仿宋_GB2312"/>
                <w:color w:val="auto"/>
                <w:sz w:val="24"/>
                <w:highlight w:val="none"/>
              </w:rPr>
              <w:t xml:space="preserve"> </w:t>
            </w:r>
            <w:r>
              <w:rPr>
                <w:rFonts w:hint="eastAsia" w:ascii="宋体" w:hAnsi="宋体" w:cs="宋体"/>
                <w:b/>
                <w:bCs/>
                <w:color w:val="auto"/>
                <w:sz w:val="24"/>
                <w:highlight w:val="none"/>
              </w:rPr>
              <w:t xml:space="preserve">   环境空气质量现状监测及评价结果表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171"/>
              <w:gridCol w:w="1429"/>
              <w:gridCol w:w="1398"/>
              <w:gridCol w:w="1506"/>
              <w:gridCol w:w="871"/>
            </w:tblGrid>
            <w:tr w14:paraId="7B674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1" w:type="dxa"/>
                  <w:vMerge w:val="restart"/>
                  <w:tcBorders>
                    <w:tl2br w:val="nil"/>
                    <w:tr2bl w:val="nil"/>
                  </w:tcBorders>
                  <w:noWrap w:val="0"/>
                  <w:vAlign w:val="center"/>
                </w:tcPr>
                <w:p w14:paraId="059A2F5C">
                  <w:pPr>
                    <w:bidi w:val="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采样日期</w:t>
                  </w:r>
                </w:p>
              </w:tc>
              <w:tc>
                <w:tcPr>
                  <w:tcW w:w="889" w:type="dxa"/>
                  <w:vMerge w:val="restart"/>
                  <w:tcBorders>
                    <w:tl2br w:val="nil"/>
                    <w:tr2bl w:val="nil"/>
                  </w:tcBorders>
                  <w:noWrap w:val="0"/>
                  <w:vAlign w:val="center"/>
                </w:tcPr>
                <w:p w14:paraId="7341ABDE">
                  <w:pPr>
                    <w:bidi w:val="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频次</w:t>
                  </w:r>
                </w:p>
              </w:tc>
              <w:tc>
                <w:tcPr>
                  <w:tcW w:w="1085" w:type="dxa"/>
                  <w:tcBorders>
                    <w:tl2br w:val="nil"/>
                    <w:tr2bl w:val="nil"/>
                  </w:tcBorders>
                  <w:noWrap w:val="0"/>
                  <w:vAlign w:val="center"/>
                </w:tcPr>
                <w:p w14:paraId="6DCAD474">
                  <w:pPr>
                    <w:bidi w:val="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项目</w:t>
                  </w:r>
                </w:p>
              </w:tc>
              <w:tc>
                <w:tcPr>
                  <w:tcW w:w="1061" w:type="dxa"/>
                  <w:vMerge w:val="restart"/>
                  <w:tcBorders>
                    <w:tl2br w:val="nil"/>
                    <w:tr2bl w:val="nil"/>
                  </w:tcBorders>
                  <w:noWrap w:val="0"/>
                  <w:vAlign w:val="center"/>
                </w:tcPr>
                <w:p w14:paraId="59267A0C">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标准值</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lang w:val="en-US" w:eastAsia="zh-CN"/>
                    </w:rPr>
                    <w:t>μg/m</w:t>
                  </w:r>
                  <w:r>
                    <w:rPr>
                      <w:rFonts w:hint="default" w:ascii="Times New Roman" w:hAnsi="Times New Roman" w:eastAsia="宋体" w:cs="Times New Roman"/>
                      <w:b/>
                      <w:bCs/>
                      <w:color w:val="auto"/>
                      <w:sz w:val="21"/>
                      <w:szCs w:val="21"/>
                      <w:vertAlign w:val="superscript"/>
                      <w:lang w:val="en-US" w:eastAsia="zh-CN"/>
                    </w:rPr>
                    <w:t>3</w:t>
                  </w:r>
                  <w:r>
                    <w:rPr>
                      <w:rFonts w:hint="eastAsia" w:ascii="Times New Roman" w:hAnsi="Times New Roman" w:eastAsia="宋体" w:cs="Times New Roman"/>
                      <w:b/>
                      <w:bCs/>
                      <w:color w:val="auto"/>
                      <w:sz w:val="21"/>
                      <w:szCs w:val="21"/>
                      <w:lang w:val="en-US" w:eastAsia="zh-CN"/>
                    </w:rPr>
                    <w:t>)</w:t>
                  </w:r>
                </w:p>
              </w:tc>
              <w:tc>
                <w:tcPr>
                  <w:tcW w:w="1143" w:type="dxa"/>
                  <w:vMerge w:val="restart"/>
                  <w:tcBorders>
                    <w:tl2br w:val="nil"/>
                    <w:tr2bl w:val="nil"/>
                  </w:tcBorders>
                  <w:noWrap w:val="0"/>
                  <w:vAlign w:val="center"/>
                </w:tcPr>
                <w:p w14:paraId="5BA7A57A">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占标率</w:t>
                  </w:r>
                  <w:r>
                    <w:rPr>
                      <w:rFonts w:hint="default" w:ascii="Times New Roman" w:hAnsi="Times New Roman" w:eastAsia="宋体" w:cs="Times New Roman"/>
                      <w:b/>
                      <w:bCs/>
                      <w:color w:val="auto"/>
                      <w:sz w:val="21"/>
                      <w:szCs w:val="21"/>
                      <w:lang w:val="en-US" w:eastAsia="zh-CN"/>
                    </w:rPr>
                    <w:t>%</w:t>
                  </w:r>
                </w:p>
              </w:tc>
              <w:tc>
                <w:tcPr>
                  <w:tcW w:w="661" w:type="dxa"/>
                  <w:vMerge w:val="restart"/>
                  <w:tcBorders>
                    <w:tl2br w:val="nil"/>
                    <w:tr2bl w:val="nil"/>
                  </w:tcBorders>
                  <w:noWrap w:val="0"/>
                  <w:vAlign w:val="center"/>
                </w:tcPr>
                <w:p w14:paraId="681FB177">
                  <w:pPr>
                    <w:bidi w:val="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达标情况</w:t>
                  </w:r>
                </w:p>
              </w:tc>
            </w:tr>
            <w:tr w14:paraId="5DB69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1" w:type="dxa"/>
                  <w:vMerge w:val="continue"/>
                  <w:tcBorders>
                    <w:tl2br w:val="nil"/>
                    <w:tr2bl w:val="nil"/>
                  </w:tcBorders>
                  <w:noWrap w:val="0"/>
                  <w:vAlign w:val="center"/>
                </w:tcPr>
                <w:p w14:paraId="0A80E6E1">
                  <w:pPr>
                    <w:bidi w:val="0"/>
                    <w:jc w:val="center"/>
                    <w:rPr>
                      <w:rFonts w:hint="default" w:ascii="Times New Roman" w:hAnsi="Times New Roman" w:eastAsia="宋体" w:cs="Times New Roman"/>
                      <w:color w:val="auto"/>
                      <w:sz w:val="21"/>
                      <w:szCs w:val="21"/>
                    </w:rPr>
                  </w:pPr>
                </w:p>
              </w:tc>
              <w:tc>
                <w:tcPr>
                  <w:tcW w:w="889" w:type="dxa"/>
                  <w:vMerge w:val="continue"/>
                  <w:tcBorders>
                    <w:tl2br w:val="nil"/>
                    <w:tr2bl w:val="nil"/>
                  </w:tcBorders>
                  <w:noWrap w:val="0"/>
                  <w:vAlign w:val="center"/>
                </w:tcPr>
                <w:p w14:paraId="0F5B0FEA">
                  <w:pPr>
                    <w:bidi w:val="0"/>
                    <w:jc w:val="center"/>
                    <w:rPr>
                      <w:rFonts w:hint="default" w:ascii="Times New Roman" w:hAnsi="Times New Roman" w:eastAsia="宋体" w:cs="Times New Roman"/>
                      <w:color w:val="auto"/>
                      <w:sz w:val="21"/>
                      <w:szCs w:val="21"/>
                    </w:rPr>
                  </w:pPr>
                </w:p>
              </w:tc>
              <w:tc>
                <w:tcPr>
                  <w:tcW w:w="1085" w:type="dxa"/>
                  <w:tcBorders>
                    <w:tl2br w:val="nil"/>
                    <w:tr2bl w:val="nil"/>
                  </w:tcBorders>
                  <w:noWrap w:val="0"/>
                  <w:vAlign w:val="center"/>
                </w:tcPr>
                <w:p w14:paraId="38089081">
                  <w:pPr>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TSP（μg/m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w:t>
                  </w:r>
                </w:p>
              </w:tc>
              <w:tc>
                <w:tcPr>
                  <w:tcW w:w="1061" w:type="dxa"/>
                  <w:vMerge w:val="continue"/>
                  <w:tcBorders>
                    <w:tl2br w:val="nil"/>
                    <w:tr2bl w:val="nil"/>
                  </w:tcBorders>
                  <w:noWrap w:val="0"/>
                  <w:vAlign w:val="center"/>
                </w:tcPr>
                <w:p w14:paraId="666976BE">
                  <w:pPr>
                    <w:bidi w:val="0"/>
                    <w:jc w:val="center"/>
                    <w:rPr>
                      <w:rFonts w:hint="default" w:ascii="Times New Roman" w:hAnsi="Times New Roman" w:eastAsia="宋体" w:cs="Times New Roman"/>
                      <w:color w:val="auto"/>
                      <w:sz w:val="21"/>
                      <w:szCs w:val="21"/>
                      <w:lang w:val="en-US" w:eastAsia="zh-CN"/>
                    </w:rPr>
                  </w:pPr>
                </w:p>
              </w:tc>
              <w:tc>
                <w:tcPr>
                  <w:tcW w:w="1143" w:type="dxa"/>
                  <w:vMerge w:val="continue"/>
                  <w:tcBorders>
                    <w:tl2br w:val="nil"/>
                    <w:tr2bl w:val="nil"/>
                  </w:tcBorders>
                  <w:noWrap w:val="0"/>
                  <w:vAlign w:val="center"/>
                </w:tcPr>
                <w:p w14:paraId="23189D22">
                  <w:pPr>
                    <w:bidi w:val="0"/>
                    <w:jc w:val="center"/>
                    <w:rPr>
                      <w:rFonts w:hint="default" w:ascii="Times New Roman" w:hAnsi="Times New Roman" w:eastAsia="宋体" w:cs="Times New Roman"/>
                      <w:color w:val="auto"/>
                      <w:sz w:val="21"/>
                      <w:szCs w:val="21"/>
                      <w:lang w:val="en-US" w:eastAsia="zh-CN"/>
                    </w:rPr>
                  </w:pPr>
                </w:p>
              </w:tc>
              <w:tc>
                <w:tcPr>
                  <w:tcW w:w="661" w:type="dxa"/>
                  <w:vMerge w:val="continue"/>
                  <w:tcBorders>
                    <w:tl2br w:val="nil"/>
                    <w:tr2bl w:val="nil"/>
                  </w:tcBorders>
                  <w:noWrap w:val="0"/>
                  <w:vAlign w:val="center"/>
                </w:tcPr>
                <w:p w14:paraId="32E68418">
                  <w:pPr>
                    <w:bidi w:val="0"/>
                    <w:jc w:val="center"/>
                    <w:rPr>
                      <w:rFonts w:hint="default" w:ascii="Times New Roman" w:hAnsi="Times New Roman" w:eastAsia="宋体" w:cs="Times New Roman"/>
                      <w:color w:val="auto"/>
                      <w:sz w:val="21"/>
                      <w:szCs w:val="21"/>
                      <w:lang w:val="en-US" w:eastAsia="zh-CN"/>
                    </w:rPr>
                  </w:pPr>
                </w:p>
              </w:tc>
            </w:tr>
            <w:tr w14:paraId="64ECF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1" w:type="dxa"/>
                  <w:tcBorders>
                    <w:tl2br w:val="nil"/>
                    <w:tr2bl w:val="nil"/>
                  </w:tcBorders>
                  <w:noWrap w:val="0"/>
                  <w:vAlign w:val="center"/>
                </w:tcPr>
                <w:p w14:paraId="42E9F9E9">
                  <w:pPr>
                    <w:bidi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月</w:t>
                  </w:r>
                  <w:r>
                    <w:rPr>
                      <w:rFonts w:hint="eastAsia"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日</w:t>
                  </w:r>
                </w:p>
              </w:tc>
              <w:tc>
                <w:tcPr>
                  <w:tcW w:w="889" w:type="dxa"/>
                  <w:tcBorders>
                    <w:tl2br w:val="nil"/>
                    <w:tr2bl w:val="nil"/>
                  </w:tcBorders>
                  <w:noWrap w:val="0"/>
                  <w:vAlign w:val="center"/>
                </w:tcPr>
                <w:p w14:paraId="5678FDA6">
                  <w:pPr>
                    <w:bidi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日均值</w:t>
                  </w:r>
                </w:p>
              </w:tc>
              <w:tc>
                <w:tcPr>
                  <w:tcW w:w="1085" w:type="dxa"/>
                  <w:tcBorders>
                    <w:tl2br w:val="nil"/>
                    <w:tr2bl w:val="nil"/>
                  </w:tcBorders>
                  <w:noWrap w:val="0"/>
                  <w:vAlign w:val="center"/>
                </w:tcPr>
                <w:p w14:paraId="6994249D">
                  <w:pPr>
                    <w:bidi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127</w:t>
                  </w:r>
                </w:p>
              </w:tc>
              <w:tc>
                <w:tcPr>
                  <w:tcW w:w="1061" w:type="dxa"/>
                  <w:vMerge w:val="restart"/>
                  <w:tcBorders>
                    <w:tl2br w:val="nil"/>
                    <w:tr2bl w:val="nil"/>
                  </w:tcBorders>
                  <w:noWrap w:val="0"/>
                  <w:vAlign w:val="center"/>
                </w:tcPr>
                <w:p w14:paraId="3465219E">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TSP：300</w:t>
                  </w:r>
                </w:p>
              </w:tc>
              <w:tc>
                <w:tcPr>
                  <w:tcW w:w="1143" w:type="dxa"/>
                  <w:tcBorders>
                    <w:tl2br w:val="nil"/>
                    <w:tr2bl w:val="nil"/>
                  </w:tcBorders>
                  <w:noWrap w:val="0"/>
                  <w:vAlign w:val="center"/>
                </w:tcPr>
                <w:p w14:paraId="690B79D9">
                  <w:pPr>
                    <w:bidi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42.3</w:t>
                  </w:r>
                </w:p>
              </w:tc>
              <w:tc>
                <w:tcPr>
                  <w:tcW w:w="661" w:type="dxa"/>
                  <w:tcBorders>
                    <w:tl2br w:val="nil"/>
                    <w:tr2bl w:val="nil"/>
                  </w:tcBorders>
                  <w:noWrap w:val="0"/>
                  <w:vAlign w:val="center"/>
                </w:tcPr>
                <w:p w14:paraId="1FBB95F1">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r w14:paraId="0972B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1" w:type="dxa"/>
                  <w:tcBorders>
                    <w:tl2br w:val="nil"/>
                    <w:tr2bl w:val="nil"/>
                  </w:tcBorders>
                  <w:noWrap w:val="0"/>
                  <w:vAlign w:val="center"/>
                </w:tcPr>
                <w:p w14:paraId="157D8EA8">
                  <w:pPr>
                    <w:bidi w:val="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月</w:t>
                  </w:r>
                  <w:r>
                    <w:rPr>
                      <w:rFonts w:hint="eastAsia" w:cs="Times New Roman"/>
                      <w:color w:val="auto"/>
                      <w:sz w:val="21"/>
                      <w:szCs w:val="21"/>
                      <w:lang w:val="en-US" w:eastAsia="zh-CN"/>
                    </w:rPr>
                    <w:t>8</w:t>
                  </w:r>
                  <w:r>
                    <w:rPr>
                      <w:rFonts w:hint="default" w:ascii="Times New Roman" w:hAnsi="Times New Roman" w:eastAsia="宋体" w:cs="Times New Roman"/>
                      <w:color w:val="auto"/>
                      <w:sz w:val="21"/>
                      <w:szCs w:val="21"/>
                      <w:lang w:val="en-US" w:eastAsia="zh-CN"/>
                    </w:rPr>
                    <w:t>日</w:t>
                  </w:r>
                </w:p>
              </w:tc>
              <w:tc>
                <w:tcPr>
                  <w:tcW w:w="889" w:type="dxa"/>
                  <w:tcBorders>
                    <w:tl2br w:val="nil"/>
                    <w:tr2bl w:val="nil"/>
                  </w:tcBorders>
                  <w:noWrap w:val="0"/>
                  <w:vAlign w:val="center"/>
                </w:tcPr>
                <w:p w14:paraId="34DB65E5">
                  <w:pPr>
                    <w:bidi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日均值</w:t>
                  </w:r>
                </w:p>
              </w:tc>
              <w:tc>
                <w:tcPr>
                  <w:tcW w:w="1085" w:type="dxa"/>
                  <w:tcBorders>
                    <w:tl2br w:val="nil"/>
                    <w:tr2bl w:val="nil"/>
                  </w:tcBorders>
                  <w:noWrap w:val="0"/>
                  <w:vAlign w:val="center"/>
                </w:tcPr>
                <w:p w14:paraId="601EF512">
                  <w:pPr>
                    <w:bidi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62</w:t>
                  </w:r>
                </w:p>
              </w:tc>
              <w:tc>
                <w:tcPr>
                  <w:tcW w:w="1061" w:type="dxa"/>
                  <w:vMerge w:val="continue"/>
                  <w:tcBorders>
                    <w:tl2br w:val="nil"/>
                    <w:tr2bl w:val="nil"/>
                  </w:tcBorders>
                  <w:noWrap w:val="0"/>
                  <w:vAlign w:val="center"/>
                </w:tcPr>
                <w:p w14:paraId="4AEE842D">
                  <w:pPr>
                    <w:bidi w:val="0"/>
                    <w:jc w:val="center"/>
                    <w:rPr>
                      <w:rFonts w:hint="default" w:ascii="Times New Roman" w:hAnsi="Times New Roman" w:eastAsia="宋体" w:cs="Times New Roman"/>
                      <w:color w:val="auto"/>
                      <w:sz w:val="21"/>
                      <w:szCs w:val="21"/>
                      <w:lang w:val="en-US" w:eastAsia="zh-CN"/>
                    </w:rPr>
                  </w:pPr>
                </w:p>
              </w:tc>
              <w:tc>
                <w:tcPr>
                  <w:tcW w:w="1143" w:type="dxa"/>
                  <w:tcBorders>
                    <w:tl2br w:val="nil"/>
                    <w:tr2bl w:val="nil"/>
                  </w:tcBorders>
                  <w:noWrap w:val="0"/>
                  <w:vAlign w:val="center"/>
                </w:tcPr>
                <w:p w14:paraId="258CF8E3">
                  <w:pPr>
                    <w:bidi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20.6</w:t>
                  </w:r>
                </w:p>
              </w:tc>
              <w:tc>
                <w:tcPr>
                  <w:tcW w:w="661" w:type="dxa"/>
                  <w:tcBorders>
                    <w:tl2br w:val="nil"/>
                    <w:tr2bl w:val="nil"/>
                  </w:tcBorders>
                  <w:noWrap w:val="0"/>
                  <w:vAlign w:val="center"/>
                </w:tcPr>
                <w:p w14:paraId="27B5E46C">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r w14:paraId="5C146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1" w:type="dxa"/>
                  <w:tcBorders>
                    <w:tl2br w:val="nil"/>
                    <w:tr2bl w:val="nil"/>
                  </w:tcBorders>
                  <w:noWrap w:val="0"/>
                  <w:vAlign w:val="center"/>
                </w:tcPr>
                <w:p w14:paraId="263A072E">
                  <w:pPr>
                    <w:bidi w:val="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月</w:t>
                  </w:r>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lang w:val="en-US" w:eastAsia="zh-CN"/>
                    </w:rPr>
                    <w:t>日</w:t>
                  </w:r>
                </w:p>
              </w:tc>
              <w:tc>
                <w:tcPr>
                  <w:tcW w:w="889" w:type="dxa"/>
                  <w:tcBorders>
                    <w:tl2br w:val="nil"/>
                    <w:tr2bl w:val="nil"/>
                  </w:tcBorders>
                  <w:noWrap w:val="0"/>
                  <w:vAlign w:val="center"/>
                </w:tcPr>
                <w:p w14:paraId="134F42EE">
                  <w:pPr>
                    <w:bidi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日均值</w:t>
                  </w:r>
                </w:p>
              </w:tc>
              <w:tc>
                <w:tcPr>
                  <w:tcW w:w="1085" w:type="dxa"/>
                  <w:tcBorders>
                    <w:tl2br w:val="nil"/>
                    <w:tr2bl w:val="nil"/>
                  </w:tcBorders>
                  <w:noWrap w:val="0"/>
                  <w:vAlign w:val="center"/>
                </w:tcPr>
                <w:p w14:paraId="6532B5F1">
                  <w:pPr>
                    <w:bidi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73</w:t>
                  </w:r>
                </w:p>
              </w:tc>
              <w:tc>
                <w:tcPr>
                  <w:tcW w:w="1061" w:type="dxa"/>
                  <w:vMerge w:val="continue"/>
                  <w:tcBorders>
                    <w:tl2br w:val="nil"/>
                    <w:tr2bl w:val="nil"/>
                  </w:tcBorders>
                  <w:noWrap w:val="0"/>
                  <w:vAlign w:val="center"/>
                </w:tcPr>
                <w:p w14:paraId="2EF05ED6">
                  <w:pPr>
                    <w:bidi w:val="0"/>
                    <w:jc w:val="center"/>
                    <w:rPr>
                      <w:rFonts w:hint="default" w:ascii="Times New Roman" w:hAnsi="Times New Roman" w:eastAsia="宋体" w:cs="Times New Roman"/>
                      <w:color w:val="auto"/>
                      <w:sz w:val="21"/>
                      <w:szCs w:val="21"/>
                      <w:lang w:val="en-US" w:eastAsia="zh-CN"/>
                    </w:rPr>
                  </w:pPr>
                </w:p>
              </w:tc>
              <w:tc>
                <w:tcPr>
                  <w:tcW w:w="1143" w:type="dxa"/>
                  <w:tcBorders>
                    <w:tl2br w:val="nil"/>
                    <w:tr2bl w:val="nil"/>
                  </w:tcBorders>
                  <w:noWrap w:val="0"/>
                  <w:vAlign w:val="center"/>
                </w:tcPr>
                <w:p w14:paraId="1DAC45CE">
                  <w:pPr>
                    <w:bidi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24.3</w:t>
                  </w:r>
                </w:p>
              </w:tc>
              <w:tc>
                <w:tcPr>
                  <w:tcW w:w="661" w:type="dxa"/>
                  <w:tcBorders>
                    <w:tl2br w:val="nil"/>
                    <w:tr2bl w:val="nil"/>
                  </w:tcBorders>
                  <w:noWrap w:val="0"/>
                  <w:vAlign w:val="center"/>
                </w:tcPr>
                <w:p w14:paraId="20F0C896">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bl>
          <w:p w14:paraId="6DCB667D">
            <w:pPr>
              <w:keepNext w:val="0"/>
              <w:keepLines w:val="0"/>
              <w:pageBreakBefore w:val="0"/>
              <w:widowControl w:val="0"/>
              <w:kinsoku/>
              <w:wordWrap/>
              <w:overflowPunct/>
              <w:topLinePunct w:val="0"/>
              <w:autoSpaceDE/>
              <w:autoSpaceDN/>
              <w:bidi w:val="0"/>
              <w:adjustRightInd w:val="0"/>
              <w:snapToGrid/>
              <w:spacing w:before="157" w:beforeLines="50" w:line="360" w:lineRule="auto"/>
              <w:ind w:firstLine="480" w:firstLineChars="200"/>
              <w:textAlignment w:val="auto"/>
              <w:rPr>
                <w:rFonts w:eastAsia="仿宋_GB2312"/>
                <w:bCs/>
                <w:snapToGrid w:val="0"/>
                <w:color w:val="auto"/>
                <w:sz w:val="24"/>
                <w:highlight w:val="none"/>
              </w:rPr>
            </w:pPr>
            <w:r>
              <w:rPr>
                <w:rFonts w:eastAsia="仿宋_GB2312"/>
                <w:bCs/>
                <w:snapToGrid w:val="0"/>
                <w:color w:val="auto"/>
                <w:sz w:val="24"/>
                <w:highlight w:val="none"/>
              </w:rPr>
              <w:fldChar w:fldCharType="begin"/>
            </w:r>
            <w:r>
              <w:rPr>
                <w:rFonts w:eastAsia="仿宋_GB2312"/>
                <w:bCs/>
                <w:snapToGrid w:val="0"/>
                <w:color w:val="auto"/>
                <w:sz w:val="24"/>
                <w:highlight w:val="none"/>
              </w:rPr>
              <w:instrText xml:space="preserve"> = 4 \* GB3 \* MERGEFORMAT </w:instrText>
            </w:r>
            <w:r>
              <w:rPr>
                <w:rFonts w:eastAsia="仿宋_GB2312"/>
                <w:bCs/>
                <w:snapToGrid w:val="0"/>
                <w:color w:val="auto"/>
                <w:sz w:val="24"/>
                <w:highlight w:val="none"/>
              </w:rPr>
              <w:fldChar w:fldCharType="separate"/>
            </w:r>
            <w:r>
              <w:rPr>
                <w:rFonts w:eastAsia="仿宋_GB2312"/>
                <w:bCs/>
                <w:snapToGrid w:val="0"/>
                <w:color w:val="auto"/>
                <w:sz w:val="24"/>
                <w:highlight w:val="none"/>
              </w:rPr>
              <w:t>④</w:t>
            </w:r>
            <w:r>
              <w:rPr>
                <w:rFonts w:eastAsia="仿宋_GB2312"/>
                <w:bCs/>
                <w:snapToGrid w:val="0"/>
                <w:color w:val="auto"/>
                <w:sz w:val="24"/>
                <w:highlight w:val="none"/>
              </w:rPr>
              <w:fldChar w:fldCharType="end"/>
            </w:r>
            <w:r>
              <w:rPr>
                <w:rFonts w:eastAsia="仿宋_GB2312"/>
                <w:bCs/>
                <w:snapToGrid w:val="0"/>
                <w:color w:val="auto"/>
                <w:sz w:val="24"/>
                <w:highlight w:val="none"/>
              </w:rPr>
              <w:t>评价结果</w:t>
            </w:r>
          </w:p>
          <w:p w14:paraId="225C21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因</w:t>
            </w:r>
            <w:r>
              <w:rPr>
                <w:rFonts w:hint="eastAsia" w:eastAsia="仿宋_GB2312" w:cs="Times New Roman"/>
                <w:color w:val="auto"/>
                <w:sz w:val="24"/>
                <w:szCs w:val="24"/>
                <w:lang w:val="en-US" w:eastAsia="zh-CN"/>
              </w:rPr>
              <w:t>引用项目</w:t>
            </w:r>
            <w:r>
              <w:rPr>
                <w:rFonts w:hint="default" w:ascii="Times New Roman" w:hAnsi="Times New Roman" w:eastAsia="仿宋_GB2312" w:cs="Times New Roman"/>
                <w:color w:val="auto"/>
                <w:sz w:val="24"/>
                <w:szCs w:val="24"/>
                <w:lang w:val="en-US" w:eastAsia="zh-CN"/>
              </w:rPr>
              <w:t>只设一个监测点位，故取最大值作为本次现状评价依据：在202</w:t>
            </w:r>
            <w:r>
              <w:rPr>
                <w:rFonts w:hint="eastAsia"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lang w:val="en-US" w:eastAsia="zh-CN"/>
              </w:rPr>
              <w:t>年</w:t>
            </w:r>
            <w:r>
              <w:rPr>
                <w:rFonts w:hint="eastAsia" w:eastAsia="仿宋_GB2312" w:cs="Times New Roman"/>
                <w:color w:val="auto"/>
                <w:sz w:val="24"/>
                <w:szCs w:val="24"/>
                <w:lang w:val="en-US" w:eastAsia="zh-CN"/>
              </w:rPr>
              <w:t>7</w:t>
            </w:r>
            <w:r>
              <w:rPr>
                <w:rFonts w:hint="default" w:ascii="Times New Roman" w:hAnsi="Times New Roman" w:eastAsia="仿宋_GB2312" w:cs="Times New Roman"/>
                <w:color w:val="auto"/>
                <w:sz w:val="24"/>
                <w:szCs w:val="24"/>
                <w:lang w:val="en-US" w:eastAsia="zh-CN"/>
              </w:rPr>
              <w:t>月</w:t>
            </w:r>
            <w:r>
              <w:rPr>
                <w:rFonts w:hint="eastAsia" w:eastAsia="仿宋_GB2312" w:cs="Times New Roman"/>
                <w:color w:val="auto"/>
                <w:sz w:val="24"/>
                <w:szCs w:val="24"/>
                <w:lang w:val="en-US" w:eastAsia="zh-CN"/>
              </w:rPr>
              <w:t>7</w:t>
            </w:r>
            <w:r>
              <w:rPr>
                <w:rFonts w:hint="default" w:ascii="Times New Roman" w:hAnsi="Times New Roman" w:eastAsia="仿宋_GB2312" w:cs="Times New Roman"/>
                <w:color w:val="auto"/>
                <w:sz w:val="24"/>
                <w:szCs w:val="24"/>
                <w:lang w:val="en-US" w:eastAsia="zh-CN"/>
              </w:rPr>
              <w:t>日~</w:t>
            </w:r>
            <w:r>
              <w:rPr>
                <w:rFonts w:hint="eastAsia" w:eastAsia="仿宋_GB2312" w:cs="Times New Roman"/>
                <w:color w:val="auto"/>
                <w:sz w:val="24"/>
                <w:szCs w:val="24"/>
                <w:lang w:val="en-US" w:eastAsia="zh-CN"/>
              </w:rPr>
              <w:t>7</w:t>
            </w:r>
            <w:r>
              <w:rPr>
                <w:rFonts w:hint="default" w:ascii="Times New Roman" w:hAnsi="Times New Roman" w:eastAsia="仿宋_GB2312" w:cs="Times New Roman"/>
                <w:color w:val="auto"/>
                <w:sz w:val="24"/>
                <w:szCs w:val="24"/>
                <w:lang w:val="en-US" w:eastAsia="zh-CN"/>
              </w:rPr>
              <w:t>月</w:t>
            </w:r>
            <w:r>
              <w:rPr>
                <w:rFonts w:hint="eastAsia" w:eastAsia="仿宋_GB2312" w:cs="Times New Roman"/>
                <w:color w:val="auto"/>
                <w:sz w:val="24"/>
                <w:szCs w:val="24"/>
                <w:lang w:val="en-US" w:eastAsia="zh-CN"/>
              </w:rPr>
              <w:t>10</w:t>
            </w:r>
            <w:r>
              <w:rPr>
                <w:rFonts w:hint="default" w:ascii="Times New Roman" w:hAnsi="Times New Roman" w:eastAsia="仿宋_GB2312" w:cs="Times New Roman"/>
                <w:color w:val="auto"/>
                <w:sz w:val="24"/>
                <w:szCs w:val="24"/>
                <w:lang w:val="en-US" w:eastAsia="zh-CN"/>
              </w:rPr>
              <w:t>日监测期间，TSP的日均浓度最大值为</w:t>
            </w:r>
            <w:r>
              <w:rPr>
                <w:rFonts w:hint="eastAsia" w:eastAsia="仿宋_GB2312" w:cs="Times New Roman"/>
                <w:color w:val="auto"/>
                <w:sz w:val="24"/>
                <w:szCs w:val="24"/>
                <w:lang w:val="en-US" w:eastAsia="zh-CN"/>
              </w:rPr>
              <w:t>127</w:t>
            </w:r>
            <w:r>
              <w:rPr>
                <w:rFonts w:hint="default" w:ascii="Times New Roman" w:hAnsi="Times New Roman" w:eastAsia="仿宋_GB2312" w:cs="Times New Roman"/>
                <w:color w:val="auto"/>
                <w:sz w:val="24"/>
                <w:szCs w:val="24"/>
                <w:lang w:val="en-US" w:eastAsia="zh-CN"/>
              </w:rPr>
              <w:t>μg/m</w:t>
            </w:r>
            <w:r>
              <w:rPr>
                <w:rFonts w:hint="default" w:ascii="Times New Roman" w:hAnsi="Times New Roman" w:eastAsia="仿宋_GB2312" w:cs="Times New Roman"/>
                <w:color w:val="auto"/>
                <w:sz w:val="24"/>
                <w:szCs w:val="24"/>
                <w:vertAlign w:val="superscript"/>
                <w:lang w:val="en-US" w:eastAsia="zh-CN"/>
              </w:rPr>
              <w:t>3</w:t>
            </w:r>
            <w:r>
              <w:rPr>
                <w:rFonts w:hint="default" w:ascii="Times New Roman" w:hAnsi="Times New Roman" w:eastAsia="仿宋_GB2312" w:cs="Times New Roman"/>
                <w:color w:val="auto"/>
                <w:sz w:val="24"/>
                <w:szCs w:val="24"/>
                <w:lang w:val="en-US" w:eastAsia="zh-CN"/>
              </w:rPr>
              <w:t>，满足《环境空气质量标准》（GB3095-2012）中二级标准限值要求。</w:t>
            </w:r>
          </w:p>
          <w:p w14:paraId="255AEE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2、地表水环境质量现状</w:t>
            </w:r>
          </w:p>
          <w:p w14:paraId="142290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项目所在区域的地表水体为黄河，根据</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202</w:t>
            </w:r>
            <w:r>
              <w:rPr>
                <w:rFonts w:hint="eastAsia"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lang w:val="en-US" w:eastAsia="zh-CN"/>
              </w:rPr>
              <w:t>年宁夏生态环境质量状况</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202</w:t>
            </w:r>
            <w:r>
              <w:rPr>
                <w:rFonts w:hint="eastAsia"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lang w:val="en-US" w:eastAsia="zh-CN"/>
              </w:rPr>
              <w:t>年，黄河干流宁夏段6个国控断面均为</w:t>
            </w: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color w:val="auto"/>
                <w:sz w:val="24"/>
                <w:szCs w:val="24"/>
                <w:lang w:val="en-US" w:eastAsia="zh-CN"/>
              </w:rPr>
              <w:instrText xml:space="preserve"> = 2 \* ROMAN \* MERGEFORMAT </w:instrText>
            </w:r>
            <w:r>
              <w:rPr>
                <w:rFonts w:hint="default" w:ascii="Times New Roman" w:hAnsi="Times New Roman" w:eastAsia="仿宋_GB2312" w:cs="Times New Roman"/>
                <w:color w:val="auto"/>
                <w:sz w:val="24"/>
                <w:szCs w:val="24"/>
                <w:lang w:val="en-US" w:eastAsia="zh-CN"/>
              </w:rPr>
              <w:fldChar w:fldCharType="separate"/>
            </w:r>
            <w:r>
              <w:rPr>
                <w:rFonts w:hint="default" w:ascii="Times New Roman" w:hAnsi="Times New Roman" w:eastAsia="仿宋_GB2312" w:cs="Times New Roman"/>
                <w:color w:val="auto"/>
                <w:sz w:val="24"/>
                <w:szCs w:val="24"/>
              </w:rPr>
              <w:t>II</w:t>
            </w:r>
            <w:r>
              <w:rPr>
                <w:rFonts w:hint="default" w:ascii="Times New Roman" w:hAnsi="Times New Roman" w:eastAsia="仿宋_GB2312" w:cs="Times New Roman"/>
                <w:color w:val="auto"/>
                <w:sz w:val="24"/>
                <w:szCs w:val="24"/>
                <w:lang w:val="en-US" w:eastAsia="zh-CN"/>
              </w:rPr>
              <w:fldChar w:fldCharType="end"/>
            </w:r>
            <w:r>
              <w:rPr>
                <w:rFonts w:hint="default" w:ascii="Times New Roman" w:hAnsi="Times New Roman" w:eastAsia="仿宋_GB2312" w:cs="Times New Roman"/>
                <w:color w:val="auto"/>
                <w:sz w:val="24"/>
                <w:szCs w:val="24"/>
                <w:lang w:val="en-US" w:eastAsia="zh-CN"/>
              </w:rPr>
              <w:t>类水质，与上年同期相比，所有断面水质</w:t>
            </w:r>
            <w:r>
              <w:rPr>
                <w:rFonts w:hint="default" w:ascii="Times New Roman" w:hAnsi="Times New Roman" w:eastAsia="仿宋_GB2312" w:cs="Times New Roman"/>
                <w:b/>
                <w:bCs/>
                <w:color w:val="auto"/>
                <w:sz w:val="24"/>
                <w:szCs w:val="24"/>
                <w:lang w:val="en-US" w:eastAsia="zh-CN"/>
              </w:rPr>
              <w:t>均无明显变化</w:t>
            </w:r>
            <w:r>
              <w:rPr>
                <w:rFonts w:hint="default" w:ascii="Times New Roman" w:hAnsi="Times New Roman" w:eastAsia="仿宋_GB2312" w:cs="Times New Roman"/>
                <w:color w:val="auto"/>
                <w:sz w:val="24"/>
                <w:szCs w:val="24"/>
                <w:lang w:val="en-US" w:eastAsia="zh-CN"/>
              </w:rPr>
              <w:t>。</w:t>
            </w:r>
          </w:p>
          <w:p w14:paraId="408C1D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3、声环境质量现状</w:t>
            </w:r>
          </w:p>
          <w:p w14:paraId="5EA6E4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根据实地调查，项目所在厂界周边50m范围内无声环境保护目标。根据《建设项目环境影响报告表编制技术指南（污染影响类）》（试行），不开展声环境质量现状监测。</w:t>
            </w:r>
          </w:p>
          <w:p w14:paraId="52F5C2D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lang w:val="en-US" w:eastAsia="zh-CN"/>
              </w:rPr>
              <w:t>4</w:t>
            </w:r>
            <w:r>
              <w:rPr>
                <w:rFonts w:hint="default" w:ascii="Times New Roman" w:hAnsi="Times New Roman" w:eastAsia="仿宋_GB2312" w:cs="Times New Roman"/>
                <w:b/>
                <w:color w:val="auto"/>
                <w:sz w:val="24"/>
              </w:rPr>
              <w:t>、地下水、土壤环境质量现状</w:t>
            </w:r>
          </w:p>
          <w:p w14:paraId="4AD95D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依据《建设项目环境影响报告表编制技术指南（污染影响类）》（试行）中“原则上不开展环境质量现状调查。建设项目存在土壤、地下水环境污染途径的，应结合污染源、保护目标分布情况开展现状调查以留作背景值”。</w:t>
            </w:r>
          </w:p>
          <w:p w14:paraId="6E6CD4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本项目位于宁夏中卫市沙坡头区兴仁镇，本项目为临时拌合站项目，主要为废气污染，项目化粪池、厂区地面均采取合理的防渗措施，正常情况下不会对土壤环境造成污染，因此不再开展土壤环境现状调查。</w:t>
            </w:r>
          </w:p>
          <w:p w14:paraId="6DA42BD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 w:cs="Times New Roman"/>
                <w:b/>
                <w:bCs w:val="0"/>
                <w:color w:val="auto"/>
                <w:sz w:val="24"/>
                <w:szCs w:val="24"/>
                <w:lang w:val="en-US" w:eastAsia="zh-CN"/>
              </w:rPr>
            </w:pPr>
            <w:r>
              <w:rPr>
                <w:rFonts w:hint="default" w:ascii="Times New Roman" w:hAnsi="Times New Roman" w:eastAsia="仿宋" w:cs="Times New Roman"/>
                <w:b/>
                <w:bCs w:val="0"/>
                <w:color w:val="auto"/>
                <w:sz w:val="24"/>
                <w:szCs w:val="24"/>
                <w:lang w:val="en-US" w:eastAsia="zh-CN"/>
              </w:rPr>
              <w:t>生态环境</w:t>
            </w:r>
          </w:p>
          <w:p w14:paraId="074F11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lang w:eastAsia="zh-CN"/>
              </w:rPr>
            </w:pPr>
            <w:r>
              <w:rPr>
                <w:rFonts w:hint="default" w:ascii="Times New Roman" w:hAnsi="Times New Roman" w:eastAsia="仿宋_GB2312" w:cs="Times New Roman"/>
                <w:color w:val="auto"/>
                <w:sz w:val="24"/>
                <w:szCs w:val="24"/>
              </w:rPr>
              <w:t>本项目地处</w:t>
            </w:r>
            <w:r>
              <w:rPr>
                <w:rFonts w:hint="default" w:ascii="Times New Roman" w:hAnsi="Times New Roman" w:eastAsia="仿宋_GB2312" w:cs="Times New Roman"/>
                <w:color w:val="auto"/>
                <w:sz w:val="24"/>
                <w:szCs w:val="24"/>
                <w:lang w:val="en-US" w:eastAsia="zh-CN"/>
              </w:rPr>
              <w:t>宁夏回族自治区中卫市沙坡头区兴仁镇</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根据</w:t>
            </w:r>
            <w:r>
              <w:rPr>
                <w:rFonts w:hint="default" w:ascii="Times New Roman" w:hAnsi="Times New Roman" w:eastAsia="仿宋_GB2312" w:cs="Times New Roman"/>
                <w:color w:val="auto"/>
                <w:sz w:val="24"/>
                <w:szCs w:val="24"/>
              </w:rPr>
              <w:t>现场勘察，项目区植被属荒漠草原植被，结构单一，植被稀少，植被覆盖率较低，一般以极耐旱的草本植物、小灌木、小半灌木为主，常见的植物种类有针茅、黑沙蒿、柠条和沙柳等。人工植被主要分布在</w:t>
            </w:r>
            <w:r>
              <w:rPr>
                <w:rFonts w:hint="default" w:ascii="Times New Roman" w:hAnsi="Times New Roman" w:eastAsia="仿宋_GB2312" w:cs="Times New Roman"/>
                <w:color w:val="auto"/>
                <w:sz w:val="24"/>
                <w:szCs w:val="24"/>
                <w:lang w:eastAsia="zh-CN"/>
              </w:rPr>
              <w:t>黄河沿岸，周边</w:t>
            </w:r>
            <w:r>
              <w:rPr>
                <w:rFonts w:hint="default" w:ascii="Times New Roman" w:hAnsi="Times New Roman" w:eastAsia="仿宋_GB2312" w:cs="Times New Roman"/>
                <w:color w:val="auto"/>
                <w:sz w:val="24"/>
                <w:szCs w:val="24"/>
              </w:rPr>
              <w:t>丘陵缓坡及河谷地带，主要树种有杨树、柳树、槐树等，灌木林主要树种有柠条、沙棘、乌柳等，草种主要有紫花苜蓿、草木犀、沙打旺、羊柴和花棒等。</w:t>
            </w:r>
            <w:r>
              <w:rPr>
                <w:rFonts w:hint="default" w:ascii="Times New Roman" w:hAnsi="Times New Roman" w:eastAsia="仿宋_GB2312" w:cs="Times New Roman"/>
                <w:color w:val="auto"/>
                <w:sz w:val="24"/>
                <w:szCs w:val="24"/>
                <w:lang w:eastAsia="zh-CN"/>
              </w:rPr>
              <w:t>项目</w:t>
            </w:r>
            <w:r>
              <w:rPr>
                <w:rFonts w:hint="default" w:ascii="Times New Roman" w:hAnsi="Times New Roman" w:eastAsia="仿宋_GB2312" w:cs="Times New Roman"/>
                <w:color w:val="auto"/>
                <w:sz w:val="24"/>
                <w:szCs w:val="24"/>
              </w:rPr>
              <w:t>建设区域未发现珍稀保护植物</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项目区所在的区域自然条件相对恶劣，野生动物的种类和数量均较少，土蜥蜴较为常见，野兔、麻蛇等偶尔可见，主要的野生动物包括：燕子、麻雀、喜鹊、麻蛇、绿蛇、青蛙、蟾蜍等。无国家濒危珍稀保护动植物种及其栖息地分布，无古树名木分布。</w:t>
            </w:r>
          </w:p>
        </w:tc>
      </w:tr>
      <w:tr w14:paraId="5C749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800" w:type="dxa"/>
            <w:noWrap w:val="0"/>
            <w:vAlign w:val="center"/>
          </w:tcPr>
          <w:p w14:paraId="67A46693">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环境</w:t>
            </w:r>
          </w:p>
          <w:p w14:paraId="0B89AECD">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保护</w:t>
            </w:r>
          </w:p>
          <w:p w14:paraId="621B333C">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目标</w:t>
            </w:r>
          </w:p>
        </w:tc>
        <w:tc>
          <w:tcPr>
            <w:tcW w:w="8190" w:type="dxa"/>
            <w:noWrap w:val="0"/>
            <w:vAlign w:val="center"/>
          </w:tcPr>
          <w:p w14:paraId="56898E21">
            <w:pPr>
              <w:adjustRightInd w:val="0"/>
              <w:snapToGrid w:val="0"/>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rPr>
              <w:t>本项目建设地点位于</w:t>
            </w:r>
            <w:r>
              <w:rPr>
                <w:rFonts w:hint="default" w:ascii="Times New Roman" w:hAnsi="Times New Roman" w:eastAsia="仿宋_GB2312" w:cs="Times New Roman"/>
                <w:color w:val="auto"/>
                <w:sz w:val="24"/>
                <w:u w:val="none"/>
                <w:lang w:val="en-US" w:eastAsia="zh-CN"/>
              </w:rPr>
              <w:t>宁夏回族自治区中卫市沙坡头区兴仁镇</w:t>
            </w:r>
            <w:r>
              <w:rPr>
                <w:rFonts w:hint="default" w:ascii="Times New Roman" w:hAnsi="Times New Roman" w:eastAsia="仿宋_GB2312" w:cs="Times New Roman"/>
                <w:color w:val="auto"/>
                <w:kern w:val="0"/>
                <w:sz w:val="24"/>
              </w:rPr>
              <w:t>，项目评价范围内无自然保护区、风景名胜区和文物古迹等需要特殊保护的环境敏感对象。根据区域环境特征和建设项目污染特征，确定本次评价主要环境保护目标见</w:t>
            </w:r>
            <w:r>
              <w:rPr>
                <w:rFonts w:hint="default" w:ascii="Times New Roman" w:hAnsi="Times New Roman" w:eastAsia="仿宋_GB2312" w:cs="Times New Roman"/>
                <w:color w:val="auto"/>
                <w:kern w:val="0"/>
                <w:sz w:val="24"/>
                <w:highlight w:val="none"/>
              </w:rPr>
              <w:t>表</w:t>
            </w:r>
            <w:r>
              <w:rPr>
                <w:rFonts w:hint="default" w:ascii="Times New Roman" w:hAnsi="Times New Roman" w:eastAsia="仿宋_GB2312" w:cs="Times New Roman"/>
                <w:color w:val="auto"/>
                <w:kern w:val="0"/>
                <w:sz w:val="24"/>
                <w:highlight w:val="none"/>
                <w:lang w:val="en-US" w:eastAsia="zh-CN"/>
              </w:rPr>
              <w:t>3-</w:t>
            </w:r>
            <w:r>
              <w:rPr>
                <w:rFonts w:hint="eastAsia" w:eastAsia="仿宋_GB2312" w:cs="Times New Roman"/>
                <w:color w:val="auto"/>
                <w:kern w:val="0"/>
                <w:sz w:val="24"/>
                <w:highlight w:val="none"/>
                <w:lang w:val="en-US" w:eastAsia="zh-CN"/>
              </w:rPr>
              <w:t>4，本项目与大气环境保护目标位置关系见图3-2。</w:t>
            </w:r>
          </w:p>
        </w:tc>
      </w:tr>
      <w:tr w14:paraId="22882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1" w:hRule="atLeast"/>
          <w:jc w:val="center"/>
        </w:trPr>
        <w:tc>
          <w:tcPr>
            <w:tcW w:w="800" w:type="dxa"/>
            <w:noWrap w:val="0"/>
            <w:vAlign w:val="center"/>
          </w:tcPr>
          <w:p w14:paraId="1D051293">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环境</w:t>
            </w:r>
          </w:p>
          <w:p w14:paraId="66B0D40B">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保护</w:t>
            </w:r>
          </w:p>
          <w:p w14:paraId="79231C6D">
            <w:pPr>
              <w:adjustRightInd w:val="0"/>
              <w:snapToGrid w:val="0"/>
              <w:jc w:val="center"/>
              <w:rPr>
                <w:rFonts w:hint="eastAsia" w:ascii="宋体" w:hAnsi="宋体" w:cs="宋体"/>
                <w:color w:val="auto"/>
                <w:kern w:val="0"/>
                <w:szCs w:val="21"/>
              </w:rPr>
            </w:pPr>
            <w:r>
              <w:rPr>
                <w:rFonts w:hint="eastAsia" w:ascii="宋体" w:hAnsi="宋体" w:cs="宋体"/>
                <w:b/>
                <w:bCs/>
                <w:color w:val="auto"/>
                <w:kern w:val="0"/>
                <w:sz w:val="24"/>
                <w:szCs w:val="24"/>
              </w:rPr>
              <w:t>目标</w:t>
            </w:r>
          </w:p>
        </w:tc>
        <w:tc>
          <w:tcPr>
            <w:tcW w:w="8190" w:type="dxa"/>
            <w:noWrap w:val="0"/>
            <w:vAlign w:val="center"/>
          </w:tcPr>
          <w:p w14:paraId="492A199B">
            <w:pPr>
              <w:adjustRightInd w:val="0"/>
              <w:snapToGrid w:val="0"/>
              <w:ind w:firstLine="420" w:firstLineChars="200"/>
              <w:rPr>
                <w:rFonts w:hint="eastAsia"/>
                <w:b/>
                <w:bCs/>
                <w:color w:val="auto"/>
                <w:sz w:val="24"/>
              </w:rPr>
            </w:pPr>
            <w:r>
              <w:rPr>
                <w:rFonts w:hint="eastAsia"/>
                <w:color w:val="auto"/>
                <w:highlight w:val="none"/>
              </w:rPr>
              <w:t>表</w:t>
            </w:r>
            <w:r>
              <w:rPr>
                <w:rFonts w:hint="eastAsia"/>
                <w:color w:val="auto"/>
                <w:highlight w:val="none"/>
                <w:lang w:val="en-US" w:eastAsia="zh-CN"/>
              </w:rPr>
              <w:t>3-4</w:t>
            </w:r>
            <w:r>
              <w:rPr>
                <w:rFonts w:hint="eastAsia"/>
                <w:color w:val="auto"/>
                <w:highlight w:val="none"/>
              </w:rPr>
              <w:t xml:space="preserve">   </w:t>
            </w:r>
            <w:r>
              <w:rPr>
                <w:rFonts w:hint="eastAsia"/>
                <w:color w:val="auto"/>
              </w:rPr>
              <w:t xml:space="preserve">                </w:t>
            </w:r>
            <w:r>
              <w:rPr>
                <w:rFonts w:hint="eastAsia"/>
                <w:b/>
                <w:bCs/>
                <w:color w:val="auto"/>
                <w:sz w:val="24"/>
              </w:rPr>
              <w:t>主要环境保护目标一览表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50"/>
              <w:gridCol w:w="1225"/>
              <w:gridCol w:w="792"/>
              <w:gridCol w:w="1250"/>
              <w:gridCol w:w="875"/>
              <w:gridCol w:w="866"/>
              <w:gridCol w:w="874"/>
            </w:tblGrid>
            <w:tr w14:paraId="4E72E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2" w:type="dxa"/>
                  <w:vMerge w:val="restart"/>
                  <w:noWrap w:val="0"/>
                  <w:vAlign w:val="center"/>
                </w:tcPr>
                <w:p w14:paraId="0D345A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0"/>
                      <w:sz w:val="21"/>
                      <w:szCs w:val="21"/>
                      <w:vertAlign w:val="baseline"/>
                      <w:lang w:eastAsia="zh-CN"/>
                    </w:rPr>
                  </w:pPr>
                  <w:r>
                    <w:rPr>
                      <w:rFonts w:hint="default" w:ascii="Times New Roman" w:hAnsi="Times New Roman" w:eastAsia="宋体" w:cs="Times New Roman"/>
                      <w:b/>
                      <w:bCs/>
                      <w:color w:val="auto"/>
                      <w:kern w:val="0"/>
                      <w:sz w:val="21"/>
                      <w:szCs w:val="21"/>
                      <w:vertAlign w:val="baseline"/>
                      <w:lang w:eastAsia="zh-CN"/>
                    </w:rPr>
                    <w:t>名称</w:t>
                  </w:r>
                </w:p>
              </w:tc>
              <w:tc>
                <w:tcPr>
                  <w:tcW w:w="2575" w:type="dxa"/>
                  <w:gridSpan w:val="2"/>
                  <w:noWrap w:val="0"/>
                  <w:vAlign w:val="center"/>
                </w:tcPr>
                <w:p w14:paraId="59E96E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0"/>
                      <w:sz w:val="21"/>
                      <w:szCs w:val="21"/>
                      <w:vertAlign w:val="baseline"/>
                      <w:lang w:eastAsia="zh-CN"/>
                    </w:rPr>
                  </w:pPr>
                  <w:r>
                    <w:rPr>
                      <w:rFonts w:hint="default" w:ascii="Times New Roman" w:hAnsi="Times New Roman" w:eastAsia="宋体" w:cs="Times New Roman"/>
                      <w:b/>
                      <w:bCs/>
                      <w:color w:val="auto"/>
                      <w:kern w:val="0"/>
                      <w:sz w:val="21"/>
                      <w:szCs w:val="21"/>
                      <w:vertAlign w:val="baseline"/>
                      <w:lang w:eastAsia="zh-CN"/>
                    </w:rPr>
                    <w:t>坐标</w:t>
                  </w:r>
                </w:p>
              </w:tc>
              <w:tc>
                <w:tcPr>
                  <w:tcW w:w="792" w:type="dxa"/>
                  <w:vMerge w:val="restart"/>
                  <w:noWrap w:val="0"/>
                  <w:vAlign w:val="center"/>
                </w:tcPr>
                <w:p w14:paraId="20DBDC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保护</w:t>
                  </w:r>
                </w:p>
                <w:p w14:paraId="684AB9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对象</w:t>
                  </w:r>
                </w:p>
              </w:tc>
              <w:tc>
                <w:tcPr>
                  <w:tcW w:w="1250" w:type="dxa"/>
                  <w:vMerge w:val="restart"/>
                  <w:noWrap w:val="0"/>
                  <w:vAlign w:val="center"/>
                </w:tcPr>
                <w:p w14:paraId="1431BC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0"/>
                      <w:sz w:val="21"/>
                      <w:szCs w:val="21"/>
                      <w:vertAlign w:val="baseline"/>
                      <w:lang w:eastAsia="zh-CN"/>
                    </w:rPr>
                  </w:pPr>
                  <w:r>
                    <w:rPr>
                      <w:rFonts w:hint="default" w:ascii="Times New Roman" w:hAnsi="Times New Roman" w:eastAsia="宋体" w:cs="Times New Roman"/>
                      <w:b/>
                      <w:bCs/>
                      <w:color w:val="auto"/>
                      <w:kern w:val="0"/>
                      <w:sz w:val="21"/>
                      <w:szCs w:val="21"/>
                      <w:vertAlign w:val="baseline"/>
                      <w:lang w:eastAsia="zh-CN"/>
                    </w:rPr>
                    <w:t>保护内容</w:t>
                  </w:r>
                </w:p>
              </w:tc>
              <w:tc>
                <w:tcPr>
                  <w:tcW w:w="875" w:type="dxa"/>
                  <w:vMerge w:val="restart"/>
                  <w:noWrap w:val="0"/>
                  <w:vAlign w:val="center"/>
                </w:tcPr>
                <w:p w14:paraId="5ADF53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0"/>
                      <w:sz w:val="21"/>
                      <w:szCs w:val="21"/>
                      <w:vertAlign w:val="baseline"/>
                      <w:lang w:eastAsia="zh-CN"/>
                    </w:rPr>
                  </w:pPr>
                  <w:r>
                    <w:rPr>
                      <w:rFonts w:hint="default" w:ascii="Times New Roman" w:hAnsi="Times New Roman" w:eastAsia="宋体" w:cs="Times New Roman"/>
                      <w:b/>
                      <w:bCs/>
                      <w:color w:val="auto"/>
                      <w:kern w:val="0"/>
                      <w:sz w:val="21"/>
                      <w:szCs w:val="21"/>
                      <w:vertAlign w:val="baseline"/>
                      <w:lang w:eastAsia="zh-CN"/>
                    </w:rPr>
                    <w:t>环境功能区</w:t>
                  </w:r>
                </w:p>
              </w:tc>
              <w:tc>
                <w:tcPr>
                  <w:tcW w:w="866" w:type="dxa"/>
                  <w:vMerge w:val="restart"/>
                  <w:noWrap w:val="0"/>
                  <w:vAlign w:val="center"/>
                </w:tcPr>
                <w:p w14:paraId="3CE8B6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0"/>
                      <w:sz w:val="21"/>
                      <w:szCs w:val="21"/>
                      <w:vertAlign w:val="baseline"/>
                      <w:lang w:eastAsia="zh-CN"/>
                    </w:rPr>
                  </w:pPr>
                  <w:r>
                    <w:rPr>
                      <w:rFonts w:hint="default" w:ascii="Times New Roman" w:hAnsi="Times New Roman" w:eastAsia="宋体" w:cs="Times New Roman"/>
                      <w:b/>
                      <w:bCs/>
                      <w:color w:val="auto"/>
                      <w:kern w:val="0"/>
                      <w:sz w:val="21"/>
                      <w:szCs w:val="21"/>
                      <w:vertAlign w:val="baseline"/>
                      <w:lang w:eastAsia="zh-CN"/>
                    </w:rPr>
                    <w:t>相对厂址方位</w:t>
                  </w:r>
                </w:p>
              </w:tc>
              <w:tc>
                <w:tcPr>
                  <w:tcW w:w="874" w:type="dxa"/>
                  <w:vMerge w:val="restart"/>
                  <w:noWrap w:val="0"/>
                  <w:vAlign w:val="center"/>
                </w:tcPr>
                <w:p w14:paraId="366FE5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eastAsia="zh-CN"/>
                    </w:rPr>
                    <w:t>相对厂址距离</w:t>
                  </w:r>
                  <w:r>
                    <w:rPr>
                      <w:rFonts w:hint="default" w:ascii="Times New Roman" w:hAnsi="Times New Roman" w:eastAsia="宋体" w:cs="Times New Roman"/>
                      <w:b/>
                      <w:bCs/>
                      <w:color w:val="auto"/>
                      <w:kern w:val="0"/>
                      <w:sz w:val="21"/>
                      <w:szCs w:val="21"/>
                      <w:vertAlign w:val="baseline"/>
                      <w:lang w:val="en-US" w:eastAsia="zh-CN"/>
                    </w:rPr>
                    <w:t>/m</w:t>
                  </w:r>
                </w:p>
              </w:tc>
            </w:tr>
            <w:tr w14:paraId="641D1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2" w:type="dxa"/>
                  <w:vMerge w:val="continue"/>
                  <w:noWrap w:val="0"/>
                  <w:vAlign w:val="center"/>
                </w:tcPr>
                <w:p w14:paraId="0E5DC9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rPr>
                  </w:pPr>
                </w:p>
              </w:tc>
              <w:tc>
                <w:tcPr>
                  <w:tcW w:w="1350" w:type="dxa"/>
                  <w:noWrap w:val="0"/>
                  <w:vAlign w:val="center"/>
                </w:tcPr>
                <w:p w14:paraId="384B4B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经度</w:t>
                  </w:r>
                </w:p>
              </w:tc>
              <w:tc>
                <w:tcPr>
                  <w:tcW w:w="1225" w:type="dxa"/>
                  <w:noWrap w:val="0"/>
                  <w:vAlign w:val="center"/>
                </w:tcPr>
                <w:p w14:paraId="2237D5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eastAsia" w:ascii="Times New Roman" w:hAnsi="Times New Roman" w:eastAsia="宋体" w:cs="Times New Roman"/>
                      <w:b/>
                      <w:bCs/>
                      <w:color w:val="auto"/>
                      <w:kern w:val="0"/>
                      <w:sz w:val="21"/>
                      <w:szCs w:val="21"/>
                      <w:vertAlign w:val="baseline"/>
                      <w:lang w:val="en-US" w:eastAsia="zh-CN"/>
                    </w:rPr>
                    <w:t>纬度</w:t>
                  </w:r>
                </w:p>
              </w:tc>
              <w:tc>
                <w:tcPr>
                  <w:tcW w:w="792" w:type="dxa"/>
                  <w:vMerge w:val="continue"/>
                  <w:noWrap w:val="0"/>
                  <w:vAlign w:val="center"/>
                </w:tcPr>
                <w:p w14:paraId="0D54D9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rPr>
                  </w:pPr>
                </w:p>
              </w:tc>
              <w:tc>
                <w:tcPr>
                  <w:tcW w:w="1250" w:type="dxa"/>
                  <w:vMerge w:val="continue"/>
                  <w:noWrap w:val="0"/>
                  <w:vAlign w:val="center"/>
                </w:tcPr>
                <w:p w14:paraId="4EB6BC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rPr>
                  </w:pPr>
                </w:p>
              </w:tc>
              <w:tc>
                <w:tcPr>
                  <w:tcW w:w="875" w:type="dxa"/>
                  <w:vMerge w:val="continue"/>
                  <w:noWrap w:val="0"/>
                  <w:vAlign w:val="center"/>
                </w:tcPr>
                <w:p w14:paraId="49D62D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rPr>
                  </w:pPr>
                </w:p>
              </w:tc>
              <w:tc>
                <w:tcPr>
                  <w:tcW w:w="866" w:type="dxa"/>
                  <w:vMerge w:val="continue"/>
                  <w:noWrap w:val="0"/>
                  <w:vAlign w:val="center"/>
                </w:tcPr>
                <w:p w14:paraId="3F1082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rPr>
                  </w:pPr>
                </w:p>
              </w:tc>
              <w:tc>
                <w:tcPr>
                  <w:tcW w:w="874" w:type="dxa"/>
                  <w:vMerge w:val="continue"/>
                  <w:noWrap w:val="0"/>
                  <w:vAlign w:val="center"/>
                </w:tcPr>
                <w:p w14:paraId="70DC58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rPr>
                  </w:pPr>
                </w:p>
              </w:tc>
            </w:tr>
            <w:tr w14:paraId="6D294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12" w:type="dxa"/>
                  <w:vMerge w:val="restart"/>
                  <w:noWrap w:val="0"/>
                  <w:vAlign w:val="center"/>
                </w:tcPr>
                <w:p w14:paraId="04FA78C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vertAlign w:val="baseline"/>
                      <w:lang w:eastAsia="zh-CN"/>
                    </w:rPr>
                  </w:pPr>
                  <w:r>
                    <w:rPr>
                      <w:rFonts w:hint="eastAsia" w:ascii="Times New Roman" w:hAnsi="Times New Roman" w:eastAsia="宋体" w:cs="Times New Roman"/>
                      <w:color w:val="auto"/>
                      <w:kern w:val="0"/>
                      <w:sz w:val="21"/>
                      <w:szCs w:val="21"/>
                      <w:vertAlign w:val="baseline"/>
                      <w:lang w:eastAsia="zh-CN"/>
                    </w:rPr>
                    <w:t>大气</w:t>
                  </w:r>
                </w:p>
                <w:p w14:paraId="0C8E4FD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vertAlign w:val="baseline"/>
                      <w:lang w:eastAsia="zh-CN"/>
                    </w:rPr>
                  </w:pPr>
                  <w:r>
                    <w:rPr>
                      <w:rFonts w:hint="eastAsia" w:ascii="Times New Roman" w:hAnsi="Times New Roman" w:eastAsia="宋体" w:cs="Times New Roman"/>
                      <w:color w:val="auto"/>
                      <w:kern w:val="0"/>
                      <w:sz w:val="21"/>
                      <w:szCs w:val="21"/>
                      <w:vertAlign w:val="baseline"/>
                      <w:lang w:eastAsia="zh-CN"/>
                    </w:rPr>
                    <w:t>环境</w:t>
                  </w:r>
                </w:p>
              </w:tc>
              <w:tc>
                <w:tcPr>
                  <w:tcW w:w="1350" w:type="dxa"/>
                  <w:noWrap w:val="0"/>
                  <w:vAlign w:val="center"/>
                </w:tcPr>
                <w:p w14:paraId="279F054B">
                  <w:pPr>
                    <w:jc w:val="center"/>
                    <w:rPr>
                      <w:rFonts w:hint="eastAsia"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b w:val="0"/>
                      <w:color w:val="auto"/>
                      <w:sz w:val="21"/>
                      <w:szCs w:val="21"/>
                      <w:highlight w:val="none"/>
                    </w:rPr>
                    <w:t>105.242228078</w:t>
                  </w:r>
                </w:p>
              </w:tc>
              <w:tc>
                <w:tcPr>
                  <w:tcW w:w="1225" w:type="dxa"/>
                  <w:noWrap w:val="0"/>
                  <w:vAlign w:val="center"/>
                </w:tcPr>
                <w:p w14:paraId="20DA30DC">
                  <w:pPr>
                    <w:jc w:val="center"/>
                    <w:rPr>
                      <w:rFonts w:hint="eastAsia"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b w:val="0"/>
                      <w:color w:val="auto"/>
                      <w:sz w:val="21"/>
                      <w:szCs w:val="21"/>
                      <w:highlight w:val="none"/>
                    </w:rPr>
                    <w:t>36.992163710</w:t>
                  </w:r>
                </w:p>
              </w:tc>
              <w:tc>
                <w:tcPr>
                  <w:tcW w:w="792" w:type="dxa"/>
                  <w:noWrap w:val="0"/>
                  <w:vAlign w:val="center"/>
                </w:tcPr>
                <w:p w14:paraId="570D4C77">
                  <w:pPr>
                    <w:bidi w:val="0"/>
                    <w:jc w:val="center"/>
                    <w:rPr>
                      <w:rFonts w:hint="default" w:eastAsia="宋体"/>
                      <w:color w:val="auto"/>
                      <w:lang w:val="en-US" w:eastAsia="zh-CN"/>
                    </w:rPr>
                  </w:pPr>
                  <w:r>
                    <w:rPr>
                      <w:rFonts w:hint="eastAsia"/>
                      <w:color w:val="auto"/>
                      <w:lang w:val="en-US" w:eastAsia="zh-CN"/>
                    </w:rPr>
                    <w:t>岳家沙地</w:t>
                  </w:r>
                </w:p>
              </w:tc>
              <w:tc>
                <w:tcPr>
                  <w:tcW w:w="1250" w:type="dxa"/>
                  <w:noWrap w:val="0"/>
                  <w:vAlign w:val="center"/>
                </w:tcPr>
                <w:p w14:paraId="5A8C2044">
                  <w:pPr>
                    <w:bidi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居民，</w:t>
                  </w:r>
                </w:p>
                <w:p w14:paraId="10F84C5C">
                  <w:pPr>
                    <w:bidi w:val="0"/>
                    <w:jc w:val="center"/>
                    <w:rPr>
                      <w:rFonts w:hint="eastAsia"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sz w:val="21"/>
                      <w:szCs w:val="21"/>
                      <w:highlight w:val="none"/>
                    </w:rPr>
                    <w:t>约</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户</w:t>
                  </w: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人</w:t>
                  </w:r>
                </w:p>
              </w:tc>
              <w:tc>
                <w:tcPr>
                  <w:tcW w:w="875" w:type="dxa"/>
                  <w:vMerge w:val="restart"/>
                  <w:noWrap w:val="0"/>
                  <w:vAlign w:val="center"/>
                </w:tcPr>
                <w:p w14:paraId="1D60D522">
                  <w:pPr>
                    <w:bidi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二</w:t>
                  </w:r>
                </w:p>
                <w:p w14:paraId="203B6336">
                  <w:pPr>
                    <w:bidi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类</w:t>
                  </w:r>
                </w:p>
                <w:p w14:paraId="5F13C606">
                  <w:pPr>
                    <w:bidi w:val="0"/>
                    <w:jc w:val="center"/>
                    <w:rPr>
                      <w:rFonts w:hint="eastAsia"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sz w:val="21"/>
                      <w:szCs w:val="21"/>
                      <w:highlight w:val="none"/>
                      <w:lang w:eastAsia="zh-CN"/>
                    </w:rPr>
                    <w:t>区</w:t>
                  </w:r>
                </w:p>
              </w:tc>
              <w:tc>
                <w:tcPr>
                  <w:tcW w:w="866" w:type="dxa"/>
                  <w:noWrap w:val="0"/>
                  <w:vAlign w:val="center"/>
                </w:tcPr>
                <w:p w14:paraId="510018D0">
                  <w:pPr>
                    <w:bidi w:val="0"/>
                    <w:jc w:val="center"/>
                    <w:rPr>
                      <w:rFonts w:hint="eastAsia" w:ascii="Times New Roman" w:hAnsi="Times New Roman" w:eastAsia="宋体" w:cs="Times New Roman"/>
                      <w:color w:val="auto"/>
                      <w:kern w:val="0"/>
                      <w:sz w:val="21"/>
                      <w:szCs w:val="21"/>
                      <w:vertAlign w:val="baseline"/>
                      <w:lang w:val="en-US" w:eastAsia="zh-CN"/>
                    </w:rPr>
                  </w:pPr>
                  <w:r>
                    <w:rPr>
                      <w:rFonts w:hint="eastAsia" w:cs="Times New Roman"/>
                      <w:color w:val="auto"/>
                      <w:sz w:val="21"/>
                      <w:szCs w:val="21"/>
                      <w:highlight w:val="none"/>
                      <w:lang w:val="en-US" w:eastAsia="zh-CN"/>
                    </w:rPr>
                    <w:t>S</w:t>
                  </w:r>
                </w:p>
              </w:tc>
              <w:tc>
                <w:tcPr>
                  <w:tcW w:w="874" w:type="dxa"/>
                  <w:noWrap w:val="0"/>
                  <w:vAlign w:val="center"/>
                </w:tcPr>
                <w:p w14:paraId="7259FFA9">
                  <w:pPr>
                    <w:jc w:val="center"/>
                    <w:rPr>
                      <w:rFonts w:hint="default" w:ascii="Times New Roman" w:hAnsi="Times New Roman" w:eastAsia="宋体" w:cs="Times New Roman"/>
                      <w:color w:val="auto"/>
                      <w:kern w:val="0"/>
                      <w:sz w:val="21"/>
                      <w:szCs w:val="21"/>
                      <w:vertAlign w:val="baseline"/>
                      <w:lang w:val="en-US" w:eastAsia="zh-CN"/>
                    </w:rPr>
                  </w:pPr>
                  <w:r>
                    <w:rPr>
                      <w:rFonts w:hint="eastAsia" w:cs="Times New Roman"/>
                      <w:color w:val="auto"/>
                      <w:sz w:val="21"/>
                      <w:szCs w:val="21"/>
                      <w:highlight w:val="none"/>
                      <w:lang w:val="en-US" w:eastAsia="zh-CN"/>
                    </w:rPr>
                    <w:t>476</w:t>
                  </w:r>
                </w:p>
              </w:tc>
            </w:tr>
            <w:tr w14:paraId="58000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12" w:type="dxa"/>
                  <w:vMerge w:val="continue"/>
                  <w:noWrap w:val="0"/>
                  <w:vAlign w:val="center"/>
                </w:tcPr>
                <w:p w14:paraId="2E265138">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350" w:type="dxa"/>
                  <w:noWrap w:val="0"/>
                  <w:vAlign w:val="center"/>
                </w:tcPr>
                <w:p w14:paraId="2E0D2007">
                  <w:pPr>
                    <w:jc w:val="center"/>
                    <w:rPr>
                      <w:color w:val="auto"/>
                    </w:rPr>
                  </w:pPr>
                  <w:r>
                    <w:rPr>
                      <w:rFonts w:hint="eastAsia"/>
                      <w:color w:val="auto"/>
                    </w:rPr>
                    <w:t>105.241992044</w:t>
                  </w:r>
                </w:p>
              </w:tc>
              <w:tc>
                <w:tcPr>
                  <w:tcW w:w="1225" w:type="dxa"/>
                  <w:noWrap w:val="0"/>
                  <w:vAlign w:val="center"/>
                </w:tcPr>
                <w:p w14:paraId="41FB61D2">
                  <w:pPr>
                    <w:jc w:val="center"/>
                    <w:rPr>
                      <w:color w:val="auto"/>
                    </w:rPr>
                  </w:pPr>
                  <w:r>
                    <w:rPr>
                      <w:rFonts w:hint="eastAsia"/>
                      <w:color w:val="auto"/>
                    </w:rPr>
                    <w:t>36.995886549</w:t>
                  </w:r>
                </w:p>
              </w:tc>
              <w:tc>
                <w:tcPr>
                  <w:tcW w:w="792" w:type="dxa"/>
                  <w:noWrap w:val="0"/>
                  <w:vAlign w:val="center"/>
                </w:tcPr>
                <w:p w14:paraId="0295D191">
                  <w:pPr>
                    <w:bidi w:val="0"/>
                    <w:jc w:val="center"/>
                    <w:rPr>
                      <w:color w:val="auto"/>
                    </w:rPr>
                  </w:pPr>
                  <w:r>
                    <w:rPr>
                      <w:rFonts w:hint="default" w:ascii="Times New Roman" w:hAnsi="Times New Roman" w:eastAsia="宋体" w:cs="Times New Roman"/>
                      <w:color w:val="auto"/>
                      <w:sz w:val="21"/>
                      <w:szCs w:val="21"/>
                      <w:highlight w:val="none"/>
                      <w:lang w:val="en-US" w:eastAsia="zh-CN"/>
                    </w:rPr>
                    <w:t>兴仁村</w:t>
                  </w:r>
                </w:p>
              </w:tc>
              <w:tc>
                <w:tcPr>
                  <w:tcW w:w="1250" w:type="dxa"/>
                  <w:noWrap w:val="0"/>
                  <w:vAlign w:val="center"/>
                </w:tcPr>
                <w:p w14:paraId="2FB9B96C">
                  <w:pPr>
                    <w:bidi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居民，</w:t>
                  </w:r>
                </w:p>
                <w:p w14:paraId="64C03D9A">
                  <w:pPr>
                    <w:bidi w:val="0"/>
                    <w:jc w:val="center"/>
                    <w:rPr>
                      <w:color w:val="auto"/>
                    </w:rPr>
                  </w:pPr>
                  <w:r>
                    <w:rPr>
                      <w:rFonts w:hint="default" w:ascii="Times New Roman" w:hAnsi="Times New Roman" w:eastAsia="宋体" w:cs="Times New Roman"/>
                      <w:color w:val="auto"/>
                      <w:sz w:val="21"/>
                      <w:szCs w:val="21"/>
                      <w:highlight w:val="none"/>
                    </w:rPr>
                    <w:t>约</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户</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人</w:t>
                  </w:r>
                </w:p>
              </w:tc>
              <w:tc>
                <w:tcPr>
                  <w:tcW w:w="875" w:type="dxa"/>
                  <w:vMerge w:val="continue"/>
                  <w:noWrap w:val="0"/>
                  <w:vAlign w:val="center"/>
                </w:tcPr>
                <w:p w14:paraId="0B9016A4">
                  <w:pPr>
                    <w:bidi w:val="0"/>
                    <w:jc w:val="center"/>
                    <w:rPr>
                      <w:color w:val="auto"/>
                    </w:rPr>
                  </w:pPr>
                </w:p>
              </w:tc>
              <w:tc>
                <w:tcPr>
                  <w:tcW w:w="866" w:type="dxa"/>
                  <w:noWrap w:val="0"/>
                  <w:vAlign w:val="center"/>
                </w:tcPr>
                <w:p w14:paraId="34E6B1A2">
                  <w:pPr>
                    <w:bidi w:val="0"/>
                    <w:jc w:val="center"/>
                    <w:rPr>
                      <w:color w:val="auto"/>
                    </w:rPr>
                  </w:pPr>
                  <w:r>
                    <w:rPr>
                      <w:rFonts w:hint="default" w:ascii="Times New Roman" w:hAnsi="Times New Roman" w:eastAsia="宋体" w:cs="Times New Roman"/>
                      <w:color w:val="auto"/>
                      <w:sz w:val="21"/>
                      <w:szCs w:val="21"/>
                      <w:highlight w:val="none"/>
                      <w:lang w:val="en-US" w:eastAsia="zh-CN"/>
                    </w:rPr>
                    <w:t>SW</w:t>
                  </w:r>
                </w:p>
              </w:tc>
              <w:tc>
                <w:tcPr>
                  <w:tcW w:w="874" w:type="dxa"/>
                  <w:noWrap w:val="0"/>
                  <w:vAlign w:val="center"/>
                </w:tcPr>
                <w:p w14:paraId="4D24931A">
                  <w:pPr>
                    <w:jc w:val="center"/>
                    <w:rPr>
                      <w:rFonts w:hint="default" w:ascii="Times New Roman" w:hAnsi="Times New Roman" w:eastAsia="宋体" w:cs="Times New Roman"/>
                      <w:color w:val="auto"/>
                      <w:kern w:val="0"/>
                      <w:sz w:val="21"/>
                      <w:szCs w:val="21"/>
                      <w:vertAlign w:val="baseline"/>
                      <w:lang w:val="en-US" w:eastAsia="zh-CN"/>
                    </w:rPr>
                  </w:pPr>
                  <w:r>
                    <w:rPr>
                      <w:rFonts w:hint="eastAsia" w:cs="Times New Roman"/>
                      <w:color w:val="auto"/>
                      <w:sz w:val="21"/>
                      <w:szCs w:val="21"/>
                      <w:highlight w:val="none"/>
                      <w:lang w:val="en-US" w:eastAsia="zh-CN"/>
                    </w:rPr>
                    <w:t>84</w:t>
                  </w:r>
                </w:p>
              </w:tc>
            </w:tr>
            <w:tr w14:paraId="1D432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2" w:type="dxa"/>
                  <w:noWrap w:val="0"/>
                  <w:vAlign w:val="center"/>
                </w:tcPr>
                <w:p w14:paraId="02CC39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vertAlign w:val="baseline"/>
                      <w:lang w:eastAsia="zh-CN"/>
                    </w:rPr>
                  </w:pPr>
                  <w:r>
                    <w:rPr>
                      <w:rFonts w:hint="eastAsia" w:ascii="Times New Roman" w:hAnsi="Times New Roman" w:eastAsia="宋体" w:cs="Times New Roman"/>
                      <w:color w:val="auto"/>
                      <w:kern w:val="0"/>
                      <w:sz w:val="21"/>
                      <w:szCs w:val="21"/>
                      <w:vertAlign w:val="baseline"/>
                      <w:lang w:eastAsia="zh-CN"/>
                    </w:rPr>
                    <w:t>声环境</w:t>
                  </w:r>
                </w:p>
              </w:tc>
              <w:tc>
                <w:tcPr>
                  <w:tcW w:w="7232" w:type="dxa"/>
                  <w:gridSpan w:val="7"/>
                  <w:noWrap w:val="0"/>
                  <w:vAlign w:val="center"/>
                </w:tcPr>
                <w:p w14:paraId="7846BC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本项目厂界50m范围内无声环境保护目标</w:t>
                  </w:r>
                </w:p>
              </w:tc>
            </w:tr>
            <w:tr w14:paraId="4755C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2" w:type="dxa"/>
                  <w:noWrap w:val="0"/>
                  <w:vAlign w:val="center"/>
                </w:tcPr>
                <w:p w14:paraId="1D68FF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地下水</w:t>
                  </w:r>
                  <w:r>
                    <w:rPr>
                      <w:rFonts w:hint="eastAsia" w:ascii="Times New Roman" w:hAnsi="Times New Roman" w:eastAsia="宋体" w:cs="Times New Roman"/>
                      <w:color w:val="auto"/>
                      <w:kern w:val="0"/>
                      <w:sz w:val="21"/>
                      <w:szCs w:val="21"/>
                      <w:vertAlign w:val="baseline"/>
                      <w:lang w:eastAsia="zh-CN"/>
                    </w:rPr>
                    <w:t>环境</w:t>
                  </w:r>
                </w:p>
              </w:tc>
              <w:tc>
                <w:tcPr>
                  <w:tcW w:w="7232" w:type="dxa"/>
                  <w:gridSpan w:val="7"/>
                  <w:noWrap w:val="0"/>
                  <w:vAlign w:val="center"/>
                </w:tcPr>
                <w:p w14:paraId="0C761C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本项目厂界500范围内无地下水集中式饮用水水源和热水、矿泉水、温泉等特殊地下水资源</w:t>
                  </w:r>
                </w:p>
              </w:tc>
            </w:tr>
            <w:tr w14:paraId="21747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2" w:type="dxa"/>
                  <w:noWrap w:val="0"/>
                  <w:vAlign w:val="center"/>
                </w:tcPr>
                <w:p w14:paraId="37DCFF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vertAlign w:val="baseline"/>
                      <w:lang w:eastAsia="zh-CN"/>
                    </w:rPr>
                  </w:pPr>
                  <w:r>
                    <w:rPr>
                      <w:rFonts w:hint="eastAsia" w:ascii="Times New Roman" w:hAnsi="Times New Roman" w:eastAsia="宋体" w:cs="Times New Roman"/>
                      <w:color w:val="auto"/>
                      <w:kern w:val="0"/>
                      <w:sz w:val="21"/>
                      <w:szCs w:val="21"/>
                      <w:vertAlign w:val="baseline"/>
                      <w:lang w:eastAsia="zh-CN"/>
                    </w:rPr>
                    <w:t>生态</w:t>
                  </w:r>
                </w:p>
                <w:p w14:paraId="180C45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lang w:eastAsia="zh-CN"/>
                    </w:rPr>
                  </w:pPr>
                  <w:r>
                    <w:rPr>
                      <w:rFonts w:hint="eastAsia" w:ascii="Times New Roman" w:hAnsi="Times New Roman" w:eastAsia="宋体" w:cs="Times New Roman"/>
                      <w:color w:val="auto"/>
                      <w:kern w:val="0"/>
                      <w:sz w:val="21"/>
                      <w:szCs w:val="21"/>
                      <w:vertAlign w:val="baseline"/>
                      <w:lang w:eastAsia="zh-CN"/>
                    </w:rPr>
                    <w:t>环境</w:t>
                  </w:r>
                </w:p>
              </w:tc>
              <w:tc>
                <w:tcPr>
                  <w:tcW w:w="7232" w:type="dxa"/>
                  <w:gridSpan w:val="7"/>
                  <w:noWrap w:val="0"/>
                  <w:vAlign w:val="center"/>
                </w:tcPr>
                <w:p w14:paraId="4D2794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本项目周围无生态环境保护目标</w:t>
                  </w:r>
                </w:p>
              </w:tc>
            </w:tr>
          </w:tbl>
          <w:p w14:paraId="7E0B21A3">
            <w:pPr>
              <w:adjustRightInd w:val="0"/>
              <w:snapToGrid w:val="0"/>
              <w:jc w:val="both"/>
              <w:rPr>
                <w:rFonts w:hint="eastAsia" w:ascii="宋体" w:hAnsi="宋体" w:eastAsia="宋体" w:cs="宋体"/>
                <w:color w:val="auto"/>
                <w:kern w:val="0"/>
                <w:szCs w:val="21"/>
                <w:lang w:eastAsia="zh-CN"/>
              </w:rPr>
            </w:pPr>
          </w:p>
        </w:tc>
      </w:tr>
      <w:tr w14:paraId="744FC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3" w:hRule="atLeast"/>
          <w:jc w:val="center"/>
        </w:trPr>
        <w:tc>
          <w:tcPr>
            <w:tcW w:w="800" w:type="dxa"/>
            <w:noWrap w:val="0"/>
            <w:tcMar>
              <w:left w:w="28" w:type="dxa"/>
              <w:right w:w="28" w:type="dxa"/>
            </w:tcMar>
            <w:vAlign w:val="center"/>
          </w:tcPr>
          <w:p w14:paraId="03194079">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污染</w:t>
            </w:r>
          </w:p>
          <w:p w14:paraId="17ECC12E">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物排</w:t>
            </w:r>
          </w:p>
          <w:p w14:paraId="62B7EAFB">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放控</w:t>
            </w:r>
          </w:p>
          <w:p w14:paraId="38575D17">
            <w:pPr>
              <w:adjustRightInd w:val="0"/>
              <w:snapToGrid w:val="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制标</w:t>
            </w:r>
          </w:p>
          <w:p w14:paraId="358917FB">
            <w:pPr>
              <w:adjustRightInd w:val="0"/>
              <w:snapToGrid w:val="0"/>
              <w:jc w:val="center"/>
              <w:rPr>
                <w:rFonts w:ascii="宋体" w:hAnsi="宋体" w:cs="宋体"/>
                <w:color w:val="auto"/>
                <w:kern w:val="0"/>
                <w:szCs w:val="21"/>
              </w:rPr>
            </w:pPr>
            <w:r>
              <w:rPr>
                <w:rFonts w:hint="eastAsia" w:ascii="宋体" w:hAnsi="宋体" w:cs="宋体"/>
                <w:b/>
                <w:bCs/>
                <w:color w:val="auto"/>
                <w:kern w:val="0"/>
                <w:sz w:val="24"/>
                <w:szCs w:val="24"/>
              </w:rPr>
              <w:t>准</w:t>
            </w:r>
          </w:p>
        </w:tc>
        <w:tc>
          <w:tcPr>
            <w:tcW w:w="8190" w:type="dxa"/>
            <w:noWrap w:val="0"/>
            <w:vAlign w:val="center"/>
          </w:tcPr>
          <w:p w14:paraId="1F9ADC45">
            <w:pPr>
              <w:snapToGrid w:val="0"/>
              <w:spacing w:before="156" w:beforeLines="50" w:line="360" w:lineRule="auto"/>
              <w:ind w:firstLine="482" w:firstLineChars="200"/>
              <w:contextualSpacing/>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w:t>
            </w:r>
            <w:r>
              <w:rPr>
                <w:rFonts w:hint="eastAsia" w:eastAsia="仿宋_GB2312" w:cs="Times New Roman"/>
                <w:b/>
                <w:bCs/>
                <w:color w:val="auto"/>
                <w:sz w:val="24"/>
                <w:lang w:val="en-US" w:eastAsia="zh-CN"/>
              </w:rPr>
              <w:t>.</w:t>
            </w:r>
            <w:r>
              <w:rPr>
                <w:rFonts w:hint="default" w:ascii="Times New Roman" w:hAnsi="Times New Roman" w:eastAsia="仿宋_GB2312" w:cs="Times New Roman"/>
                <w:b/>
                <w:bCs/>
                <w:color w:val="auto"/>
                <w:sz w:val="24"/>
              </w:rPr>
              <w:t>施工</w:t>
            </w:r>
            <w:r>
              <w:rPr>
                <w:rFonts w:hint="eastAsia" w:eastAsia="仿宋_GB2312" w:cs="Times New Roman"/>
                <w:b/>
                <w:bCs/>
                <w:color w:val="auto"/>
                <w:sz w:val="24"/>
                <w:lang w:eastAsia="zh-CN"/>
              </w:rPr>
              <w:t>期</w:t>
            </w:r>
            <w:r>
              <w:rPr>
                <w:rFonts w:hint="default" w:ascii="Times New Roman" w:hAnsi="Times New Roman" w:eastAsia="仿宋_GB2312" w:cs="Times New Roman"/>
                <w:b/>
                <w:bCs/>
                <w:color w:val="auto"/>
                <w:sz w:val="24"/>
              </w:rPr>
              <w:t>噪声排放标准</w:t>
            </w:r>
          </w:p>
          <w:p w14:paraId="275DE352">
            <w:pPr>
              <w:snapToGrid w:val="0"/>
              <w:spacing w:line="360" w:lineRule="auto"/>
              <w:ind w:firstLine="480" w:firstLineChars="200"/>
              <w:contextualSpacing/>
              <w:jc w:val="left"/>
              <w:rPr>
                <w:rFonts w:hint="default" w:ascii="Times New Roman" w:hAnsi="Times New Roman" w:cs="Times New Roman"/>
                <w:bCs/>
                <w:color w:val="auto"/>
                <w:sz w:val="24"/>
              </w:rPr>
            </w:pPr>
            <w:r>
              <w:rPr>
                <w:rFonts w:hint="default" w:ascii="Times New Roman" w:hAnsi="Times New Roman" w:eastAsia="仿宋_GB2312" w:cs="Times New Roman"/>
                <w:color w:val="auto"/>
                <w:sz w:val="24"/>
              </w:rPr>
              <w:t>施工期噪声排放执行《建筑施工场界环境噪声排放标准》（GB12523-2011）排放限值。</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03"/>
              <w:gridCol w:w="4241"/>
            </w:tblGrid>
            <w:tr w14:paraId="1D24C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871" w:type="dxa"/>
                  <w:noWrap w:val="0"/>
                  <w:vAlign w:val="center"/>
                </w:tcPr>
                <w:p w14:paraId="61BEC2B0">
                  <w:pPr>
                    <w:spacing w:line="27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昼间</w:t>
                  </w:r>
                </w:p>
              </w:tc>
              <w:tc>
                <w:tcPr>
                  <w:tcW w:w="4434" w:type="dxa"/>
                  <w:noWrap w:val="0"/>
                  <w:vAlign w:val="center"/>
                </w:tcPr>
                <w:p w14:paraId="290C0D5B">
                  <w:pPr>
                    <w:spacing w:line="27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夜间</w:t>
                  </w:r>
                </w:p>
              </w:tc>
            </w:tr>
            <w:tr w14:paraId="25F36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871" w:type="dxa"/>
                  <w:noWrap w:val="0"/>
                  <w:vAlign w:val="center"/>
                </w:tcPr>
                <w:p w14:paraId="246EFA38">
                  <w:pPr>
                    <w:spacing w:line="27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70</w:t>
                  </w:r>
                  <w:r>
                    <w:rPr>
                      <w:rFonts w:hint="default" w:ascii="Times New Roman" w:hAnsi="Times New Roman" w:cs="Times New Roman"/>
                      <w:bCs/>
                      <w:color w:val="auto"/>
                      <w:szCs w:val="21"/>
                    </w:rPr>
                    <w:t>dB</w:t>
                  </w:r>
                </w:p>
              </w:tc>
              <w:tc>
                <w:tcPr>
                  <w:tcW w:w="4434" w:type="dxa"/>
                  <w:noWrap w:val="0"/>
                  <w:vAlign w:val="center"/>
                </w:tcPr>
                <w:p w14:paraId="0F6FC43A">
                  <w:pPr>
                    <w:spacing w:line="27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r>
                    <w:rPr>
                      <w:rFonts w:hint="default" w:ascii="Times New Roman" w:hAnsi="Times New Roman" w:cs="Times New Roman"/>
                      <w:bCs/>
                      <w:color w:val="auto"/>
                      <w:szCs w:val="21"/>
                    </w:rPr>
                    <w:t>dB</w:t>
                  </w:r>
                </w:p>
              </w:tc>
            </w:tr>
          </w:tbl>
          <w:p w14:paraId="20F4D7FE">
            <w:pPr>
              <w:snapToGrid w:val="0"/>
              <w:spacing w:before="156" w:beforeLines="50" w:line="360" w:lineRule="auto"/>
              <w:ind w:firstLine="482" w:firstLineChars="200"/>
              <w:contextualSpacing/>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2</w:t>
            </w:r>
            <w:r>
              <w:rPr>
                <w:rFonts w:hint="eastAsia" w:eastAsia="仿宋_GB2312" w:cs="Times New Roman"/>
                <w:b/>
                <w:bCs/>
                <w:color w:val="auto"/>
                <w:sz w:val="24"/>
                <w:lang w:val="en-US" w:eastAsia="zh-CN"/>
              </w:rPr>
              <w:t>.</w:t>
            </w:r>
            <w:r>
              <w:rPr>
                <w:rFonts w:hint="default" w:ascii="Times New Roman" w:hAnsi="Times New Roman" w:eastAsia="仿宋_GB2312" w:cs="Times New Roman"/>
                <w:b/>
                <w:bCs/>
                <w:color w:val="auto"/>
                <w:sz w:val="24"/>
              </w:rPr>
              <w:t>施工</w:t>
            </w:r>
            <w:r>
              <w:rPr>
                <w:rFonts w:hint="eastAsia" w:eastAsia="仿宋_GB2312" w:cs="Times New Roman"/>
                <w:b/>
                <w:bCs/>
                <w:color w:val="auto"/>
                <w:sz w:val="24"/>
                <w:lang w:eastAsia="zh-CN"/>
              </w:rPr>
              <w:t>期</w:t>
            </w:r>
            <w:r>
              <w:rPr>
                <w:rFonts w:hint="default" w:ascii="Times New Roman" w:hAnsi="Times New Roman" w:eastAsia="仿宋_GB2312" w:cs="Times New Roman"/>
                <w:b/>
                <w:bCs/>
                <w:color w:val="auto"/>
                <w:sz w:val="24"/>
              </w:rPr>
              <w:t>扬尘排放标准</w:t>
            </w:r>
          </w:p>
          <w:p w14:paraId="22786DDE">
            <w:pPr>
              <w:snapToGrid w:val="0"/>
              <w:spacing w:line="360" w:lineRule="auto"/>
              <w:ind w:firstLine="480" w:firstLineChars="200"/>
              <w:contextualSpacing/>
              <w:jc w:val="left"/>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施工期扬尘排放执行《大气污染物综合排放标准》（GB16297-1996）表2中的无组织排放监控浓度限值</w:t>
            </w:r>
            <w:r>
              <w:rPr>
                <w:rFonts w:hint="eastAsia" w:ascii="Times New Roman" w:hAnsi="Times New Roman" w:eastAsia="仿宋_GB2312" w:cs="Times New Roman"/>
                <w:color w:val="auto"/>
                <w:sz w:val="24"/>
                <w:lang w:eastAsia="zh-CN"/>
              </w:rPr>
              <w:t>。</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3696"/>
              <w:gridCol w:w="2404"/>
            </w:tblGrid>
            <w:tr w14:paraId="351FB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25" w:type="dxa"/>
                  <w:vMerge w:val="restart"/>
                  <w:noWrap w:val="0"/>
                  <w:vAlign w:val="center"/>
                </w:tcPr>
                <w:p w14:paraId="34DC2D1F">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污染物</w:t>
                  </w:r>
                </w:p>
              </w:tc>
              <w:tc>
                <w:tcPr>
                  <w:tcW w:w="6380" w:type="dxa"/>
                  <w:gridSpan w:val="2"/>
                  <w:noWrap w:val="0"/>
                  <w:vAlign w:val="center"/>
                </w:tcPr>
                <w:p w14:paraId="68A9F688">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无组织排放监控浓度限值</w:t>
                  </w:r>
                </w:p>
              </w:tc>
            </w:tr>
            <w:tr w14:paraId="2330C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25" w:type="dxa"/>
                  <w:vMerge w:val="continue"/>
                  <w:noWrap w:val="0"/>
                  <w:vAlign w:val="center"/>
                </w:tcPr>
                <w:p w14:paraId="2D7704F8">
                  <w:pPr>
                    <w:spacing w:line="280" w:lineRule="exact"/>
                    <w:jc w:val="center"/>
                    <w:rPr>
                      <w:rFonts w:hint="default" w:ascii="Times New Roman" w:hAnsi="Times New Roman" w:cs="Times New Roman"/>
                      <w:b/>
                      <w:color w:val="auto"/>
                      <w:szCs w:val="21"/>
                    </w:rPr>
                  </w:pPr>
                </w:p>
              </w:tc>
              <w:tc>
                <w:tcPr>
                  <w:tcW w:w="3868" w:type="dxa"/>
                  <w:noWrap w:val="0"/>
                  <w:vAlign w:val="center"/>
                </w:tcPr>
                <w:p w14:paraId="1299A79F">
                  <w:pPr>
                    <w:pStyle w:val="60"/>
                    <w:snapToGrid w:val="0"/>
                    <w:spacing w:before="0" w:line="280" w:lineRule="exact"/>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监控点</w:t>
                  </w:r>
                </w:p>
              </w:tc>
              <w:tc>
                <w:tcPr>
                  <w:tcW w:w="2512" w:type="dxa"/>
                  <w:noWrap w:val="0"/>
                  <w:vAlign w:val="center"/>
                </w:tcPr>
                <w:p w14:paraId="1FF0A46D">
                  <w:pPr>
                    <w:pStyle w:val="60"/>
                    <w:snapToGrid w:val="0"/>
                    <w:spacing w:before="0" w:line="280" w:lineRule="exact"/>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浓度</w:t>
                  </w:r>
                </w:p>
              </w:tc>
            </w:tr>
            <w:tr w14:paraId="07F08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25" w:type="dxa"/>
                  <w:noWrap w:val="0"/>
                  <w:vAlign w:val="center"/>
                </w:tcPr>
                <w:p w14:paraId="70C4146E">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w:t>
                  </w:r>
                </w:p>
              </w:tc>
              <w:tc>
                <w:tcPr>
                  <w:tcW w:w="3868" w:type="dxa"/>
                  <w:noWrap w:val="0"/>
                  <w:vAlign w:val="center"/>
                </w:tcPr>
                <w:p w14:paraId="0F6FB9FA">
                  <w:pPr>
                    <w:spacing w:line="280" w:lineRule="exact"/>
                    <w:jc w:val="center"/>
                    <w:rPr>
                      <w:rFonts w:hint="default" w:ascii="Times New Roman" w:hAnsi="Times New Roman" w:cs="Times New Roman"/>
                      <w:color w:val="auto"/>
                      <w:spacing w:val="-10"/>
                      <w:szCs w:val="21"/>
                    </w:rPr>
                  </w:pPr>
                  <w:r>
                    <w:rPr>
                      <w:rFonts w:hint="default" w:ascii="Times New Roman" w:hAnsi="Times New Roman" w:cs="Times New Roman"/>
                      <w:color w:val="auto"/>
                      <w:szCs w:val="21"/>
                    </w:rPr>
                    <w:t>周界外浓度最高点</w:t>
                  </w:r>
                </w:p>
              </w:tc>
              <w:tc>
                <w:tcPr>
                  <w:tcW w:w="2512" w:type="dxa"/>
                  <w:noWrap w:val="0"/>
                  <w:vAlign w:val="center"/>
                </w:tcPr>
                <w:p w14:paraId="1248FEFA">
                  <w:pPr>
                    <w:pStyle w:val="60"/>
                    <w:snapToGrid w:val="0"/>
                    <w:spacing w:before="0" w:line="280" w:lineRule="exact"/>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1.0mg/m</w:t>
                  </w:r>
                  <w:r>
                    <w:rPr>
                      <w:rFonts w:hint="default" w:ascii="Times New Roman" w:hAnsi="Times New Roman" w:cs="Times New Roman"/>
                      <w:color w:val="auto"/>
                      <w:kern w:val="2"/>
                      <w:sz w:val="21"/>
                      <w:szCs w:val="21"/>
                      <w:vertAlign w:val="superscript"/>
                    </w:rPr>
                    <w:t>3</w:t>
                  </w:r>
                </w:p>
              </w:tc>
            </w:tr>
          </w:tbl>
          <w:p w14:paraId="655351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3.运营期大气排放标准</w:t>
            </w:r>
          </w:p>
          <w:p w14:paraId="344061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本项目为水泥制品制造项目，</w:t>
            </w:r>
            <w:r>
              <w:rPr>
                <w:rFonts w:hint="eastAsia" w:eastAsia="仿宋_GB2312" w:cs="Times New Roman"/>
                <w:color w:val="auto"/>
                <w:kern w:val="0"/>
                <w:sz w:val="24"/>
                <w:szCs w:val="24"/>
                <w:lang w:val="en-US" w:eastAsia="zh-CN"/>
              </w:rPr>
              <w:t>运营期产生的</w:t>
            </w:r>
            <w:r>
              <w:rPr>
                <w:rFonts w:hint="default" w:ascii="Times New Roman" w:hAnsi="Times New Roman" w:eastAsia="仿宋_GB2312" w:cs="Times New Roman"/>
                <w:color w:val="auto"/>
                <w:kern w:val="0"/>
                <w:sz w:val="24"/>
                <w:szCs w:val="24"/>
                <w:lang w:val="en-US" w:eastAsia="zh-CN"/>
              </w:rPr>
              <w:t>颗粒物</w:t>
            </w:r>
            <w:r>
              <w:rPr>
                <w:rFonts w:hint="eastAsia" w:eastAsia="仿宋_GB2312" w:cs="Times New Roman"/>
                <w:color w:val="auto"/>
                <w:kern w:val="0"/>
                <w:sz w:val="24"/>
                <w:szCs w:val="24"/>
                <w:lang w:val="en-US" w:eastAsia="zh-CN"/>
              </w:rPr>
              <w:t>经相应处置措施处理后无组织排放，则无组织颗粒物</w:t>
            </w:r>
            <w:r>
              <w:rPr>
                <w:rFonts w:hint="default" w:ascii="Times New Roman" w:hAnsi="Times New Roman" w:eastAsia="仿宋_GB2312" w:cs="Times New Roman"/>
                <w:color w:val="auto"/>
                <w:kern w:val="0"/>
                <w:sz w:val="24"/>
                <w:szCs w:val="24"/>
                <w:lang w:val="en-US" w:eastAsia="zh-CN"/>
              </w:rPr>
              <w:t>执行《水泥工业大气污染物排放标准》（</w:t>
            </w:r>
            <w:r>
              <w:rPr>
                <w:rFonts w:hint="eastAsia" w:eastAsia="仿宋_GB2312" w:cs="Times New Roman"/>
                <w:color w:val="auto"/>
                <w:kern w:val="0"/>
                <w:sz w:val="24"/>
                <w:szCs w:val="24"/>
                <w:lang w:val="en-US" w:eastAsia="zh-CN"/>
              </w:rPr>
              <w:t>D</w:t>
            </w:r>
            <w:r>
              <w:rPr>
                <w:rFonts w:hint="default" w:ascii="Times New Roman" w:hAnsi="Times New Roman" w:eastAsia="仿宋_GB2312" w:cs="Times New Roman"/>
                <w:color w:val="auto"/>
                <w:kern w:val="0"/>
                <w:sz w:val="24"/>
                <w:szCs w:val="24"/>
                <w:lang w:val="en-US" w:eastAsia="zh-CN"/>
              </w:rPr>
              <w:t>B</w:t>
            </w:r>
            <w:r>
              <w:rPr>
                <w:rFonts w:hint="eastAsia" w:eastAsia="仿宋_GB2312" w:cs="Times New Roman"/>
                <w:color w:val="auto"/>
                <w:kern w:val="0"/>
                <w:sz w:val="24"/>
                <w:szCs w:val="24"/>
                <w:lang w:val="en-US" w:eastAsia="zh-CN"/>
              </w:rPr>
              <w:t xml:space="preserve"> 64/1995</w:t>
            </w:r>
            <w:r>
              <w:rPr>
                <w:rFonts w:hint="default" w:ascii="Times New Roman" w:hAnsi="Times New Roman" w:eastAsia="仿宋_GB2312" w:cs="Times New Roman"/>
                <w:color w:val="auto"/>
                <w:kern w:val="0"/>
                <w:sz w:val="24"/>
                <w:szCs w:val="24"/>
                <w:lang w:val="en-US" w:eastAsia="zh-CN"/>
              </w:rPr>
              <w:t>-20</w:t>
            </w:r>
            <w:r>
              <w:rPr>
                <w:rFonts w:hint="eastAsia" w:eastAsia="仿宋_GB2312" w:cs="Times New Roman"/>
                <w:color w:val="auto"/>
                <w:kern w:val="0"/>
                <w:sz w:val="24"/>
                <w:szCs w:val="24"/>
                <w:lang w:val="en-US" w:eastAsia="zh-CN"/>
              </w:rPr>
              <w:t>24</w:t>
            </w:r>
            <w:r>
              <w:rPr>
                <w:rFonts w:hint="default" w:ascii="Times New Roman" w:hAnsi="Times New Roman" w:eastAsia="仿宋_GB2312" w:cs="Times New Roman"/>
                <w:color w:val="auto"/>
                <w:kern w:val="0"/>
                <w:sz w:val="24"/>
                <w:szCs w:val="24"/>
                <w:lang w:val="en-US" w:eastAsia="zh-CN"/>
              </w:rPr>
              <w:t>）表</w:t>
            </w:r>
            <w:r>
              <w:rPr>
                <w:rFonts w:hint="eastAsia" w:eastAsia="仿宋_GB2312" w:cs="Times New Roman"/>
                <w:color w:val="auto"/>
                <w:kern w:val="0"/>
                <w:sz w:val="24"/>
                <w:szCs w:val="24"/>
                <w:lang w:val="en-US" w:eastAsia="zh-CN"/>
              </w:rPr>
              <w:t>2企业边界大气污染物浓度限值</w:t>
            </w:r>
            <w:r>
              <w:rPr>
                <w:rFonts w:hint="default" w:ascii="Times New Roman" w:hAnsi="Times New Roman" w:eastAsia="仿宋_GB2312" w:cs="Times New Roman"/>
                <w:color w:val="auto"/>
                <w:kern w:val="0"/>
                <w:sz w:val="24"/>
                <w:szCs w:val="24"/>
                <w:lang w:val="en-US" w:eastAsia="zh-CN"/>
              </w:rPr>
              <w:t>；</w:t>
            </w:r>
            <w:r>
              <w:rPr>
                <w:rFonts w:hint="default" w:eastAsia="仿宋_GB2312" w:cs="Times New Roman"/>
                <w:b w:val="0"/>
                <w:bCs w:val="0"/>
                <w:color w:val="auto"/>
                <w:kern w:val="0"/>
                <w:sz w:val="24"/>
                <w:szCs w:val="24"/>
                <w:lang w:val="en-US" w:eastAsia="zh-CN"/>
              </w:rPr>
              <w:t>食堂油烟废气排放执行《饮食业油烟排放标准（试行）》（GB18483-2001）小型规模标准。</w:t>
            </w:r>
          </w:p>
          <w:p w14:paraId="3BB3448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2" w:firstLineChars="200"/>
              <w:jc w:val="center"/>
              <w:textAlignment w:val="auto"/>
              <w:rPr>
                <w:rFonts w:hint="eastAsia"/>
                <w:b/>
                <w:bCs/>
                <w:color w:val="auto"/>
                <w:sz w:val="24"/>
                <w:szCs w:val="24"/>
                <w:lang w:val="en-US" w:eastAsia="zh-CN"/>
              </w:rPr>
            </w:pPr>
            <w:r>
              <w:rPr>
                <w:rFonts w:hint="eastAsia"/>
                <w:b/>
                <w:bCs/>
                <w:color w:val="auto"/>
                <w:sz w:val="24"/>
                <w:szCs w:val="24"/>
                <w:lang w:val="en-US" w:eastAsia="zh-CN"/>
              </w:rPr>
              <w:t>《水泥工业大气污染物排放标准》（DB 64/1995-2024）</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2346"/>
              <w:gridCol w:w="3273"/>
              <w:gridCol w:w="2325"/>
            </w:tblGrid>
            <w:tr w14:paraId="075AA89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94" w:type="dxa"/>
                  <w:vMerge w:val="restart"/>
                  <w:noWrap w:val="0"/>
                  <w:vAlign w:val="center"/>
                </w:tcPr>
                <w:p w14:paraId="797EC3A9">
                  <w:pPr>
                    <w:bidi w:val="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污染物</w:t>
                  </w:r>
                </w:p>
              </w:tc>
              <w:tc>
                <w:tcPr>
                  <w:tcW w:w="6191" w:type="dxa"/>
                  <w:gridSpan w:val="2"/>
                  <w:noWrap w:val="0"/>
                  <w:vAlign w:val="center"/>
                </w:tcPr>
                <w:p w14:paraId="19316D14">
                  <w:pPr>
                    <w:bidi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无组织排放监控浓度限值</w:t>
                  </w:r>
                </w:p>
              </w:tc>
            </w:tr>
            <w:tr w14:paraId="63B14CA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94" w:type="dxa"/>
                  <w:vMerge w:val="continue"/>
                  <w:noWrap w:val="0"/>
                  <w:vAlign w:val="center"/>
                </w:tcPr>
                <w:p w14:paraId="68BB7F24">
                  <w:pPr>
                    <w:bidi w:val="0"/>
                    <w:jc w:val="center"/>
                    <w:rPr>
                      <w:rFonts w:hint="default" w:ascii="Times New Roman" w:hAnsi="Times New Roman" w:eastAsia="宋体" w:cs="Times New Roman"/>
                      <w:color w:val="auto"/>
                      <w:sz w:val="21"/>
                      <w:szCs w:val="21"/>
                    </w:rPr>
                  </w:pPr>
                </w:p>
              </w:tc>
              <w:tc>
                <w:tcPr>
                  <w:tcW w:w="3621" w:type="dxa"/>
                  <w:noWrap w:val="0"/>
                  <w:vAlign w:val="center"/>
                </w:tcPr>
                <w:p w14:paraId="397B2EB0">
                  <w:pPr>
                    <w:bidi w:val="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监控点</w:t>
                  </w:r>
                </w:p>
              </w:tc>
              <w:tc>
                <w:tcPr>
                  <w:tcW w:w="2570" w:type="dxa"/>
                  <w:noWrap w:val="0"/>
                  <w:vAlign w:val="center"/>
                </w:tcPr>
                <w:p w14:paraId="420B636B">
                  <w:pPr>
                    <w:bidi w:val="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浓度</w:t>
                  </w:r>
                </w:p>
              </w:tc>
            </w:tr>
            <w:tr w14:paraId="576BF91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594" w:type="dxa"/>
                  <w:noWrap w:val="0"/>
                  <w:vAlign w:val="center"/>
                </w:tcPr>
                <w:p w14:paraId="4883A3EE">
                  <w:pPr>
                    <w:bidi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总悬浮颗粒物（TSP）</w:t>
                  </w:r>
                </w:p>
              </w:tc>
              <w:tc>
                <w:tcPr>
                  <w:tcW w:w="3621" w:type="dxa"/>
                  <w:noWrap w:val="0"/>
                  <w:vAlign w:val="center"/>
                </w:tcPr>
                <w:p w14:paraId="18ED8B01">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厂界外20m处上风向设参照点，下风向设监控点</w:t>
                  </w:r>
                </w:p>
              </w:tc>
              <w:tc>
                <w:tcPr>
                  <w:tcW w:w="2570" w:type="dxa"/>
                  <w:noWrap w:val="0"/>
                  <w:vAlign w:val="center"/>
                </w:tcPr>
                <w:p w14:paraId="68474593">
                  <w:pPr>
                    <w:bidi w:val="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0.5mg/m</w:t>
                  </w:r>
                  <w:r>
                    <w:rPr>
                      <w:rFonts w:hint="eastAsia" w:ascii="Times New Roman" w:hAnsi="Times New Roman" w:eastAsia="宋体" w:cs="Times New Roman"/>
                      <w:color w:val="auto"/>
                      <w:sz w:val="21"/>
                      <w:szCs w:val="21"/>
                      <w:vertAlign w:val="superscript"/>
                      <w:lang w:val="en-US" w:eastAsia="zh-CN"/>
                    </w:rPr>
                    <w:t>3</w:t>
                  </w:r>
                </w:p>
              </w:tc>
            </w:tr>
          </w:tbl>
          <w:p w14:paraId="6CF128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《饮食业油烟排放标准（试行）》（GB18483-2001）</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066"/>
              <w:gridCol w:w="2799"/>
              <w:gridCol w:w="1289"/>
            </w:tblGrid>
            <w:tr w14:paraId="7D7C6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tcBorders>
                    <w:tl2br w:val="nil"/>
                    <w:tr2bl w:val="nil"/>
                  </w:tcBorders>
                  <w:noWrap w:val="0"/>
                  <w:vAlign w:val="center"/>
                </w:tcPr>
                <w:p w14:paraId="1D9F05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规模</w:t>
                  </w:r>
                </w:p>
              </w:tc>
              <w:tc>
                <w:tcPr>
                  <w:tcW w:w="3522" w:type="dxa"/>
                  <w:tcBorders>
                    <w:tl2br w:val="nil"/>
                    <w:tr2bl w:val="nil"/>
                  </w:tcBorders>
                  <w:noWrap w:val="0"/>
                  <w:vAlign w:val="center"/>
                </w:tcPr>
                <w:p w14:paraId="5D684151">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lang w:val="en-US" w:eastAsia="zh-CN" w:bidi="ar"/>
                    </w:rPr>
                    <w:t>最高允许排放浓度（mg/m</w:t>
                  </w:r>
                  <w:r>
                    <w:rPr>
                      <w:rFonts w:hint="default" w:ascii="Times New Roman" w:hAnsi="Times New Roman" w:eastAsia="宋体" w:cs="Times New Roman"/>
                      <w:b/>
                      <w:bCs/>
                      <w:color w:val="auto"/>
                      <w:kern w:val="0"/>
                      <w:sz w:val="21"/>
                      <w:szCs w:val="21"/>
                      <w:vertAlign w:val="superscript"/>
                      <w:lang w:val="en-US" w:eastAsia="zh-CN" w:bidi="ar"/>
                    </w:rPr>
                    <w:t>3</w:t>
                  </w:r>
                  <w:r>
                    <w:rPr>
                      <w:rFonts w:hint="default" w:ascii="Times New Roman" w:hAnsi="Times New Roman" w:eastAsia="宋体" w:cs="Times New Roman"/>
                      <w:b/>
                      <w:bCs/>
                      <w:color w:val="auto"/>
                      <w:kern w:val="0"/>
                      <w:sz w:val="21"/>
                      <w:szCs w:val="21"/>
                      <w:lang w:val="en-US" w:eastAsia="zh-CN" w:bidi="ar"/>
                    </w:rPr>
                    <w:t>）</w:t>
                  </w:r>
                </w:p>
              </w:tc>
              <w:tc>
                <w:tcPr>
                  <w:tcW w:w="3212" w:type="dxa"/>
                  <w:tcBorders>
                    <w:tl2br w:val="nil"/>
                    <w:tr2bl w:val="nil"/>
                  </w:tcBorders>
                  <w:noWrap w:val="0"/>
                  <w:vAlign w:val="center"/>
                </w:tcPr>
                <w:p w14:paraId="34DC6239">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lang w:val="en-US" w:eastAsia="zh-CN" w:bidi="ar"/>
                    </w:rPr>
                    <w:t>净化设施最低去除效率（%）</w:t>
                  </w:r>
                </w:p>
              </w:tc>
              <w:tc>
                <w:tcPr>
                  <w:tcW w:w="1460" w:type="dxa"/>
                  <w:tcBorders>
                    <w:tl2br w:val="nil"/>
                    <w:tr2bl w:val="nil"/>
                  </w:tcBorders>
                  <w:noWrap w:val="0"/>
                  <w:vAlign w:val="center"/>
                </w:tcPr>
                <w:p w14:paraId="61ED6192">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lang w:val="en-US" w:eastAsia="zh-CN" w:bidi="ar"/>
                    </w:rPr>
                    <w:t>基准灶头数</w:t>
                  </w:r>
                </w:p>
              </w:tc>
            </w:tr>
            <w:tr w14:paraId="160C8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tcBorders>
                    <w:tl2br w:val="nil"/>
                    <w:tr2bl w:val="nil"/>
                  </w:tcBorders>
                  <w:noWrap w:val="0"/>
                  <w:vAlign w:val="center"/>
                </w:tcPr>
                <w:p w14:paraId="56953A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小型</w:t>
                  </w:r>
                </w:p>
              </w:tc>
              <w:tc>
                <w:tcPr>
                  <w:tcW w:w="3522" w:type="dxa"/>
                  <w:tcBorders>
                    <w:tl2br w:val="nil"/>
                    <w:tr2bl w:val="nil"/>
                  </w:tcBorders>
                  <w:noWrap w:val="0"/>
                  <w:vAlign w:val="center"/>
                </w:tcPr>
                <w:p w14:paraId="4D24DC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2.0</w:t>
                  </w:r>
                </w:p>
              </w:tc>
              <w:tc>
                <w:tcPr>
                  <w:tcW w:w="3212" w:type="dxa"/>
                  <w:tcBorders>
                    <w:tl2br w:val="nil"/>
                    <w:tr2bl w:val="nil"/>
                  </w:tcBorders>
                  <w:noWrap w:val="0"/>
                  <w:vAlign w:val="center"/>
                </w:tcPr>
                <w:p w14:paraId="7FE347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kern w:val="0"/>
                      <w:sz w:val="21"/>
                      <w:szCs w:val="21"/>
                      <w:vertAlign w:val="baseline"/>
                      <w:lang w:val="en-US" w:eastAsia="zh-CN"/>
                    </w:rPr>
                    <w:t>60</w:t>
                  </w:r>
                </w:p>
              </w:tc>
              <w:tc>
                <w:tcPr>
                  <w:tcW w:w="1460" w:type="dxa"/>
                  <w:tcBorders>
                    <w:tl2br w:val="nil"/>
                    <w:tr2bl w:val="nil"/>
                  </w:tcBorders>
                  <w:noWrap w:val="0"/>
                  <w:vAlign w:val="center"/>
                </w:tcPr>
                <w:p w14:paraId="146B04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Arial" w:hAnsi="Arial" w:eastAsia="宋体" w:cs="Arial"/>
                      <w:b w:val="0"/>
                      <w:bCs w:val="0"/>
                      <w:color w:val="auto"/>
                      <w:kern w:val="0"/>
                      <w:sz w:val="21"/>
                      <w:szCs w:val="21"/>
                      <w:vertAlign w:val="baseline"/>
                      <w:lang w:val="en-US" w:eastAsia="zh-CN"/>
                    </w:rPr>
                    <w:t>≥</w:t>
                  </w:r>
                  <w:r>
                    <w:rPr>
                      <w:rFonts w:hint="eastAsia" w:ascii="Times New Roman" w:hAnsi="Times New Roman" w:eastAsia="宋体" w:cs="Times New Roman"/>
                      <w:b w:val="0"/>
                      <w:bCs w:val="0"/>
                      <w:color w:val="auto"/>
                      <w:kern w:val="0"/>
                      <w:sz w:val="21"/>
                      <w:szCs w:val="21"/>
                      <w:vertAlign w:val="baseline"/>
                      <w:lang w:val="en-US" w:eastAsia="zh-CN"/>
                    </w:rPr>
                    <w:t>1，&lt;3</w:t>
                  </w:r>
                </w:p>
              </w:tc>
            </w:tr>
          </w:tbl>
          <w:p w14:paraId="0E95F1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4.运营期废水排放</w:t>
            </w:r>
          </w:p>
          <w:p w14:paraId="029C4358">
            <w:pPr>
              <w:snapToGrid w:val="0"/>
              <w:spacing w:line="360" w:lineRule="auto"/>
              <w:ind w:firstLine="480" w:firstLineChars="200"/>
              <w:contextualSpacing/>
              <w:rPr>
                <w:rFonts w:hint="default"/>
                <w:color w:val="auto"/>
                <w:highlight w:val="none"/>
              </w:rPr>
            </w:pPr>
            <w:r>
              <w:rPr>
                <w:rFonts w:hint="default" w:ascii="Times New Roman" w:hAnsi="Times New Roman" w:eastAsia="仿宋_GB2312" w:cs="Times New Roman"/>
                <w:color w:val="auto"/>
                <w:sz w:val="24"/>
                <w:highlight w:val="none"/>
              </w:rPr>
              <w:t>项目运营期废水</w:t>
            </w:r>
            <w:r>
              <w:rPr>
                <w:rFonts w:hint="eastAsia" w:ascii="Times New Roman" w:hAnsi="Times New Roman" w:eastAsia="仿宋_GB2312" w:cs="Times New Roman"/>
                <w:color w:val="auto"/>
                <w:sz w:val="24"/>
                <w:highlight w:val="none"/>
                <w:lang w:val="en-US" w:eastAsia="zh-CN"/>
              </w:rPr>
              <w:t>主要包括：</w:t>
            </w:r>
            <w:r>
              <w:rPr>
                <w:rFonts w:hint="default" w:ascii="Times New Roman" w:hAnsi="Times New Roman" w:eastAsia="仿宋_GB2312" w:cs="Times New Roman"/>
                <w:color w:val="auto"/>
                <w:sz w:val="24"/>
                <w:highlight w:val="none"/>
              </w:rPr>
              <w:t>车辆及地面冲洗废水</w:t>
            </w:r>
            <w:r>
              <w:rPr>
                <w:rFonts w:hint="eastAsia" w:eastAsia="仿宋_GB2312" w:cs="Times New Roman"/>
                <w:color w:val="auto"/>
                <w:sz w:val="24"/>
                <w:highlight w:val="none"/>
                <w:lang w:val="en-US" w:eastAsia="zh-CN"/>
              </w:rPr>
              <w:t>、</w:t>
            </w:r>
            <w:r>
              <w:rPr>
                <w:rFonts w:hint="eastAsia" w:eastAsia="仿宋_GB2312" w:cs="Times New Roman"/>
                <w:color w:val="auto"/>
                <w:kern w:val="2"/>
                <w:sz w:val="24"/>
                <w:szCs w:val="20"/>
                <w:highlight w:val="none"/>
                <w:lang w:val="en-US" w:eastAsia="zh-CN" w:bidi="ar-SA"/>
              </w:rPr>
              <w:t>清洗搅拌机废水、</w:t>
            </w:r>
            <w:r>
              <w:rPr>
                <w:rFonts w:hint="default" w:ascii="Times New Roman" w:hAnsi="Times New Roman" w:eastAsia="仿宋_GB2312" w:cs="Times New Roman"/>
                <w:color w:val="auto"/>
                <w:sz w:val="24"/>
                <w:highlight w:val="none"/>
              </w:rPr>
              <w:t>生活污水</w:t>
            </w:r>
            <w:r>
              <w:rPr>
                <w:rFonts w:hint="eastAsia" w:eastAsia="仿宋_GB2312" w:cs="Times New Roman"/>
                <w:color w:val="auto"/>
                <w:sz w:val="24"/>
                <w:highlight w:val="none"/>
                <w:lang w:val="en-US" w:eastAsia="zh-CN"/>
              </w:rPr>
              <w:t>及食堂废水</w:t>
            </w:r>
            <w:r>
              <w:rPr>
                <w:rFonts w:hint="default" w:ascii="Times New Roman" w:hAnsi="Times New Roman" w:eastAsia="仿宋_GB2312" w:cs="Times New Roman"/>
                <w:color w:val="auto"/>
                <w:sz w:val="24"/>
                <w:highlight w:val="none"/>
              </w:rPr>
              <w:t>，车辆及地面冲洗废水</w:t>
            </w:r>
            <w:r>
              <w:rPr>
                <w:rFonts w:hint="eastAsia" w:eastAsia="仿宋_GB2312" w:cs="Times New Roman"/>
                <w:color w:val="auto"/>
                <w:sz w:val="24"/>
                <w:highlight w:val="none"/>
                <w:lang w:val="en-US" w:eastAsia="zh-CN"/>
              </w:rPr>
              <w:t>、</w:t>
            </w:r>
            <w:r>
              <w:rPr>
                <w:rFonts w:hint="eastAsia" w:eastAsia="仿宋_GB2312" w:cs="Times New Roman"/>
                <w:color w:val="auto"/>
                <w:kern w:val="2"/>
                <w:sz w:val="24"/>
                <w:szCs w:val="20"/>
                <w:highlight w:val="none"/>
                <w:lang w:val="en-US" w:eastAsia="zh-CN" w:bidi="ar-SA"/>
              </w:rPr>
              <w:t>清洗搅拌机废水经沉淀后回用，不外排，</w:t>
            </w:r>
            <w:r>
              <w:rPr>
                <w:rFonts w:hint="eastAsia" w:eastAsia="仿宋_GB2312" w:cs="Times New Roman"/>
                <w:b w:val="0"/>
                <w:bCs/>
                <w:color w:val="auto"/>
                <w:sz w:val="24"/>
                <w:szCs w:val="24"/>
                <w:highlight w:val="none"/>
                <w:lang w:val="en-US" w:eastAsia="zh-CN"/>
              </w:rPr>
              <w:t>食堂</w:t>
            </w:r>
            <w:r>
              <w:rPr>
                <w:rFonts w:hint="eastAsia" w:eastAsia="仿宋_GB2312" w:cs="Times New Roman"/>
                <w:color w:val="auto"/>
                <w:sz w:val="24"/>
                <w:highlight w:val="none"/>
                <w:lang w:val="en-US" w:eastAsia="zh-CN"/>
              </w:rPr>
              <w:t>废水经隔油设施隔油后，与</w:t>
            </w:r>
            <w:r>
              <w:rPr>
                <w:rFonts w:hint="default" w:ascii="Times New Roman" w:hAnsi="Times New Roman" w:eastAsia="仿宋_GB2312" w:cs="Times New Roman"/>
                <w:color w:val="auto"/>
                <w:sz w:val="24"/>
                <w:highlight w:val="none"/>
              </w:rPr>
              <w:t>生活污水</w:t>
            </w:r>
            <w:r>
              <w:rPr>
                <w:rFonts w:hint="eastAsia" w:eastAsia="仿宋_GB2312" w:cs="Times New Roman"/>
                <w:color w:val="auto"/>
                <w:sz w:val="24"/>
                <w:highlight w:val="none"/>
                <w:lang w:val="en-US" w:eastAsia="zh-CN"/>
              </w:rPr>
              <w:t>一同</w:t>
            </w:r>
            <w:r>
              <w:rPr>
                <w:rFonts w:hint="default" w:ascii="Times New Roman" w:hAnsi="Times New Roman" w:eastAsia="仿宋_GB2312" w:cs="Times New Roman"/>
                <w:color w:val="auto"/>
                <w:sz w:val="24"/>
                <w:highlight w:val="none"/>
              </w:rPr>
              <w:t>进入化粪池处理后</w:t>
            </w:r>
            <w:r>
              <w:rPr>
                <w:rFonts w:hint="eastAsia" w:eastAsia="仿宋_GB2312" w:cs="Times New Roman"/>
                <w:color w:val="auto"/>
                <w:sz w:val="24"/>
                <w:highlight w:val="none"/>
                <w:lang w:val="en-US" w:eastAsia="zh-CN"/>
              </w:rPr>
              <w:t>拉运</w:t>
            </w:r>
            <w:r>
              <w:rPr>
                <w:rFonts w:hint="default" w:ascii="Times New Roman" w:hAnsi="Times New Roman" w:eastAsia="仿宋_GB2312" w:cs="Times New Roman"/>
                <w:color w:val="auto"/>
                <w:sz w:val="24"/>
                <w:highlight w:val="none"/>
              </w:rPr>
              <w:t>至</w:t>
            </w:r>
            <w:r>
              <w:rPr>
                <w:rFonts w:hint="eastAsia" w:eastAsia="仿宋_GB2312" w:cs="Times New Roman"/>
                <w:b w:val="0"/>
                <w:bCs w:val="0"/>
                <w:color w:val="auto"/>
                <w:kern w:val="2"/>
                <w:sz w:val="24"/>
                <w:szCs w:val="24"/>
                <w:highlight w:val="none"/>
                <w:lang w:val="en-US" w:eastAsia="zh-CN" w:bidi="ar-SA"/>
              </w:rPr>
              <w:t>中卫市沙坡头区兴仁镇污水</w:t>
            </w:r>
            <w:r>
              <w:rPr>
                <w:rFonts w:hint="default" w:ascii="Times New Roman" w:hAnsi="Times New Roman" w:eastAsia="仿宋_GB2312" w:cs="Times New Roman"/>
                <w:b w:val="0"/>
                <w:bCs w:val="0"/>
                <w:color w:val="auto"/>
                <w:kern w:val="2"/>
                <w:sz w:val="24"/>
                <w:szCs w:val="24"/>
                <w:highlight w:val="none"/>
                <w:lang w:val="en-US" w:eastAsia="zh-CN" w:bidi="ar-SA"/>
              </w:rPr>
              <w:t>处理厂</w:t>
            </w:r>
            <w:r>
              <w:rPr>
                <w:rFonts w:hint="default" w:ascii="Times New Roman" w:hAnsi="Times New Roman" w:eastAsia="仿宋_GB2312" w:cs="Times New Roman"/>
                <w:color w:val="auto"/>
                <w:sz w:val="24"/>
                <w:highlight w:val="none"/>
              </w:rPr>
              <w:t>处置</w:t>
            </w:r>
            <w:r>
              <w:rPr>
                <w:rFonts w:hint="eastAsia"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排</w:t>
            </w:r>
            <w:r>
              <w:rPr>
                <w:rFonts w:hint="eastAsia" w:eastAsia="仿宋_GB2312" w:cs="Times New Roman"/>
                <w:color w:val="auto"/>
                <w:sz w:val="24"/>
                <w:highlight w:val="none"/>
                <w:lang w:val="en-US" w:eastAsia="zh-CN"/>
              </w:rPr>
              <w:t>入污水处理厂的</w:t>
            </w:r>
            <w:r>
              <w:rPr>
                <w:rFonts w:hint="default" w:ascii="Times New Roman" w:hAnsi="Times New Roman" w:eastAsia="仿宋_GB2312" w:cs="Times New Roman"/>
                <w:color w:val="auto"/>
                <w:sz w:val="24"/>
                <w:highlight w:val="none"/>
              </w:rPr>
              <w:t>水质标准执行《</w:t>
            </w:r>
            <w:r>
              <w:rPr>
                <w:rFonts w:hint="eastAsia" w:eastAsia="仿宋_GB2312" w:cs="Times New Roman"/>
                <w:color w:val="auto"/>
                <w:sz w:val="24"/>
                <w:highlight w:val="none"/>
                <w:lang w:val="en-US" w:eastAsia="zh-CN"/>
              </w:rPr>
              <w:t>污水综合排放标准</w:t>
            </w:r>
            <w:r>
              <w:rPr>
                <w:rFonts w:hint="default" w:ascii="Times New Roman" w:hAnsi="Times New Roman" w:eastAsia="仿宋_GB2312" w:cs="Times New Roman"/>
                <w:color w:val="auto"/>
                <w:sz w:val="24"/>
                <w:highlight w:val="none"/>
              </w:rPr>
              <w:t>》（GB8978-1996）表</w:t>
            </w:r>
            <w:r>
              <w:rPr>
                <w:rFonts w:hint="eastAsia" w:eastAsia="仿宋_GB2312" w:cs="Times New Roman"/>
                <w:color w:val="auto"/>
                <w:sz w:val="24"/>
                <w:highlight w:val="none"/>
                <w:lang w:val="en-US" w:eastAsia="zh-CN"/>
              </w:rPr>
              <w:t>4</w:t>
            </w:r>
            <w:r>
              <w:rPr>
                <w:rFonts w:hint="default" w:ascii="Times New Roman" w:hAnsi="Times New Roman" w:eastAsia="仿宋_GB2312" w:cs="Times New Roman"/>
                <w:color w:val="auto"/>
                <w:sz w:val="24"/>
                <w:highlight w:val="none"/>
              </w:rPr>
              <w:t>中</w:t>
            </w:r>
            <w:r>
              <w:rPr>
                <w:rFonts w:hint="eastAsia" w:eastAsia="仿宋_GB2312" w:cs="Times New Roman"/>
                <w:color w:val="auto"/>
                <w:sz w:val="24"/>
                <w:highlight w:val="none"/>
                <w:lang w:val="en-US" w:eastAsia="zh-CN"/>
              </w:rPr>
              <w:t>三级标准及污水处理场进水水质标准，本项目废水从严执行。</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097"/>
              <w:gridCol w:w="2241"/>
              <w:gridCol w:w="1843"/>
              <w:gridCol w:w="1141"/>
            </w:tblGrid>
            <w:tr w14:paraId="5D925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tcBorders>
                    <w:right w:val="single" w:color="auto" w:sz="2" w:space="0"/>
                  </w:tcBorders>
                  <w:noWrap w:val="0"/>
                  <w:vAlign w:val="center"/>
                </w:tcPr>
                <w:p w14:paraId="697E8DBE">
                  <w:pPr>
                    <w:adjustRightIn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序号</w:t>
                  </w:r>
                </w:p>
              </w:tc>
              <w:tc>
                <w:tcPr>
                  <w:tcW w:w="2097" w:type="dxa"/>
                  <w:tcBorders>
                    <w:left w:val="single" w:color="auto" w:sz="2" w:space="0"/>
                  </w:tcBorders>
                  <w:noWrap w:val="0"/>
                  <w:vAlign w:val="center"/>
                </w:tcPr>
                <w:p w14:paraId="7CBA9C5D">
                  <w:pPr>
                    <w:adjustRightIn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污染物名称</w:t>
                  </w:r>
                </w:p>
              </w:tc>
              <w:tc>
                <w:tcPr>
                  <w:tcW w:w="2241" w:type="dxa"/>
                  <w:noWrap w:val="0"/>
                  <w:vAlign w:val="center"/>
                </w:tcPr>
                <w:p w14:paraId="7404720E">
                  <w:pPr>
                    <w:adjustRightInd w:val="0"/>
                    <w:jc w:val="center"/>
                    <w:rPr>
                      <w:rFonts w:hint="default" w:ascii="Times New Roman" w:hAnsi="Times New Roman" w:cs="Times New Roman"/>
                      <w:b/>
                      <w:bCs/>
                      <w:color w:val="auto"/>
                      <w:kern w:val="0"/>
                      <w:szCs w:val="21"/>
                    </w:rPr>
                  </w:pPr>
                  <w:r>
                    <w:rPr>
                      <w:rFonts w:hint="eastAsia" w:cs="Times New Roman"/>
                      <w:b/>
                      <w:bCs/>
                      <w:color w:val="auto"/>
                      <w:kern w:val="0"/>
                      <w:szCs w:val="21"/>
                      <w:lang w:val="en-US" w:eastAsia="zh-CN"/>
                    </w:rPr>
                    <w:t>《污水综合排放标准》（GB8978-1996）表4中三级标准</w:t>
                  </w:r>
                </w:p>
              </w:tc>
              <w:tc>
                <w:tcPr>
                  <w:tcW w:w="1843" w:type="dxa"/>
                  <w:noWrap w:val="0"/>
                  <w:vAlign w:val="center"/>
                </w:tcPr>
                <w:p w14:paraId="1453CBF3">
                  <w:pPr>
                    <w:adjustRightInd w:val="0"/>
                    <w:jc w:val="center"/>
                    <w:rPr>
                      <w:rFonts w:hint="default" w:ascii="Times New Roman" w:hAnsi="Times New Roman" w:cs="Times New Roman"/>
                      <w:b/>
                      <w:bCs/>
                      <w:color w:val="auto"/>
                      <w:kern w:val="0"/>
                      <w:szCs w:val="21"/>
                    </w:rPr>
                  </w:pPr>
                  <w:r>
                    <w:rPr>
                      <w:rFonts w:hint="eastAsia" w:cs="Times New Roman"/>
                      <w:b/>
                      <w:bCs/>
                      <w:color w:val="auto"/>
                      <w:kern w:val="0"/>
                      <w:szCs w:val="21"/>
                      <w:lang w:val="en-US" w:eastAsia="zh-CN"/>
                    </w:rPr>
                    <w:t>污水处理厂进水水质标准</w:t>
                  </w:r>
                </w:p>
              </w:tc>
              <w:tc>
                <w:tcPr>
                  <w:tcW w:w="1141" w:type="dxa"/>
                  <w:noWrap w:val="0"/>
                  <w:vAlign w:val="center"/>
                </w:tcPr>
                <w:p w14:paraId="68111B00">
                  <w:pPr>
                    <w:adjustRightInd w:val="0"/>
                    <w:jc w:val="center"/>
                    <w:rPr>
                      <w:rFonts w:hint="default" w:ascii="Times New Roman" w:hAnsi="Times New Roman" w:cs="Times New Roman"/>
                      <w:b/>
                      <w:bCs/>
                      <w:color w:val="auto"/>
                      <w:kern w:val="0"/>
                      <w:szCs w:val="21"/>
                    </w:rPr>
                  </w:pPr>
                  <w:r>
                    <w:rPr>
                      <w:rFonts w:hint="eastAsia" w:ascii="Times New Roman" w:hAnsi="Times New Roman" w:eastAsia="宋体" w:cs="Times New Roman"/>
                      <w:b/>
                      <w:bCs/>
                      <w:color w:val="auto"/>
                      <w:kern w:val="0"/>
                      <w:szCs w:val="21"/>
                      <w:lang w:val="en-US" w:eastAsia="zh-CN"/>
                    </w:rPr>
                    <w:t>本项目</w:t>
                  </w:r>
                </w:p>
              </w:tc>
            </w:tr>
            <w:tr w14:paraId="75F7A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tcBorders>
                    <w:right w:val="single" w:color="auto" w:sz="2" w:space="0"/>
                  </w:tcBorders>
                  <w:noWrap w:val="0"/>
                  <w:vAlign w:val="center"/>
                </w:tcPr>
                <w:p w14:paraId="50962944">
                  <w:pPr>
                    <w:adjustRightIn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Cs w:val="21"/>
                    </w:rPr>
                    <w:t>1</w:t>
                  </w:r>
                </w:p>
              </w:tc>
              <w:tc>
                <w:tcPr>
                  <w:tcW w:w="2097" w:type="dxa"/>
                  <w:tcBorders>
                    <w:left w:val="single" w:color="auto" w:sz="2" w:space="0"/>
                  </w:tcBorders>
                  <w:noWrap w:val="0"/>
                  <w:vAlign w:val="center"/>
                </w:tcPr>
                <w:p w14:paraId="7F52D8A2">
                  <w:pPr>
                    <w:adjustRightInd w:val="0"/>
                    <w:jc w:val="center"/>
                    <w:rPr>
                      <w:rFonts w:hint="default" w:ascii="Times New Roman" w:hAnsi="Times New Roman" w:eastAsia="宋体" w:cs="Times New Roman"/>
                      <w:b w:val="0"/>
                      <w:bCs w:val="0"/>
                      <w:color w:val="auto"/>
                      <w:kern w:val="0"/>
                      <w:szCs w:val="21"/>
                      <w:lang w:val="en-US" w:eastAsia="zh-CN"/>
                    </w:rPr>
                  </w:pPr>
                  <w:r>
                    <w:rPr>
                      <w:rFonts w:hint="eastAsia" w:cs="Times New Roman"/>
                      <w:b w:val="0"/>
                      <w:bCs w:val="0"/>
                      <w:color w:val="auto"/>
                      <w:kern w:val="0"/>
                      <w:szCs w:val="21"/>
                      <w:lang w:val="en-US" w:eastAsia="zh-CN"/>
                    </w:rPr>
                    <w:t>pH（无量纲）</w:t>
                  </w:r>
                </w:p>
              </w:tc>
              <w:tc>
                <w:tcPr>
                  <w:tcW w:w="2241" w:type="dxa"/>
                  <w:noWrap w:val="0"/>
                  <w:vAlign w:val="center"/>
                </w:tcPr>
                <w:p w14:paraId="3F2A491C">
                  <w:pPr>
                    <w:adjustRightInd w:val="0"/>
                    <w:jc w:val="center"/>
                    <w:rPr>
                      <w:rFonts w:hint="default" w:ascii="Times New Roman" w:hAnsi="Times New Roman" w:eastAsia="宋体" w:cs="Times New Roman"/>
                      <w:b w:val="0"/>
                      <w:bCs w:val="0"/>
                      <w:color w:val="auto"/>
                      <w:kern w:val="0"/>
                      <w:szCs w:val="21"/>
                      <w:lang w:val="en-US" w:eastAsia="zh-CN"/>
                    </w:rPr>
                  </w:pPr>
                  <w:r>
                    <w:rPr>
                      <w:rFonts w:hint="eastAsia" w:cs="Times New Roman"/>
                      <w:b w:val="0"/>
                      <w:bCs w:val="0"/>
                      <w:color w:val="auto"/>
                      <w:kern w:val="0"/>
                      <w:szCs w:val="21"/>
                      <w:lang w:val="en-US" w:eastAsia="zh-CN"/>
                    </w:rPr>
                    <w:t>6-9</w:t>
                  </w:r>
                </w:p>
              </w:tc>
              <w:tc>
                <w:tcPr>
                  <w:tcW w:w="1843" w:type="dxa"/>
                  <w:noWrap w:val="0"/>
                  <w:vAlign w:val="center"/>
                </w:tcPr>
                <w:p w14:paraId="7733A05F">
                  <w:pPr>
                    <w:adjustRightInd w:val="0"/>
                    <w:jc w:val="center"/>
                    <w:rPr>
                      <w:rFonts w:hint="default" w:cs="Times New Roman"/>
                      <w:b w:val="0"/>
                      <w:bCs w:val="0"/>
                      <w:color w:val="auto"/>
                      <w:kern w:val="0"/>
                      <w:szCs w:val="21"/>
                      <w:lang w:val="en-US" w:eastAsia="zh-CN"/>
                    </w:rPr>
                  </w:pPr>
                  <w:r>
                    <w:rPr>
                      <w:rFonts w:hint="eastAsia" w:cs="Times New Roman"/>
                      <w:b w:val="0"/>
                      <w:bCs w:val="0"/>
                      <w:color w:val="auto"/>
                      <w:kern w:val="0"/>
                      <w:szCs w:val="21"/>
                      <w:lang w:val="en-US" w:eastAsia="zh-CN"/>
                    </w:rPr>
                    <w:t>/</w:t>
                  </w:r>
                </w:p>
              </w:tc>
              <w:tc>
                <w:tcPr>
                  <w:tcW w:w="1141" w:type="dxa"/>
                  <w:noWrap w:val="0"/>
                  <w:vAlign w:val="center"/>
                </w:tcPr>
                <w:p w14:paraId="14CC3299">
                  <w:pPr>
                    <w:adjustRightInd w:val="0"/>
                    <w:jc w:val="center"/>
                    <w:rPr>
                      <w:rFonts w:hint="eastAsia" w:cs="Times New Roman"/>
                      <w:b w:val="0"/>
                      <w:bCs w:val="0"/>
                      <w:color w:val="auto"/>
                      <w:kern w:val="0"/>
                      <w:szCs w:val="21"/>
                      <w:lang w:val="en-US" w:eastAsia="zh-CN"/>
                    </w:rPr>
                  </w:pPr>
                  <w:r>
                    <w:rPr>
                      <w:rFonts w:hint="eastAsia" w:cs="Times New Roman"/>
                      <w:b w:val="0"/>
                      <w:bCs w:val="0"/>
                      <w:color w:val="auto"/>
                      <w:kern w:val="0"/>
                      <w:szCs w:val="21"/>
                      <w:lang w:val="en-US" w:eastAsia="zh-CN"/>
                    </w:rPr>
                    <w:t>6-9</w:t>
                  </w:r>
                </w:p>
              </w:tc>
            </w:tr>
            <w:tr w14:paraId="16297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tcBorders>
                    <w:right w:val="single" w:color="auto" w:sz="2" w:space="0"/>
                  </w:tcBorders>
                  <w:noWrap w:val="0"/>
                  <w:vAlign w:val="center"/>
                </w:tcPr>
                <w:p w14:paraId="5324AEFB">
                  <w:pPr>
                    <w:adjustRightIn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Cs w:val="21"/>
                    </w:rPr>
                    <w:t>2</w:t>
                  </w:r>
                </w:p>
              </w:tc>
              <w:tc>
                <w:tcPr>
                  <w:tcW w:w="2097" w:type="dxa"/>
                  <w:tcBorders>
                    <w:left w:val="single" w:color="auto" w:sz="2" w:space="0"/>
                  </w:tcBorders>
                  <w:noWrap w:val="0"/>
                  <w:vAlign w:val="center"/>
                </w:tcPr>
                <w:p w14:paraId="6A4F2CB0">
                  <w:pPr>
                    <w:adjustRightInd w:val="0"/>
                    <w:jc w:val="center"/>
                    <w:rPr>
                      <w:rFonts w:hint="default" w:ascii="Times New Roman" w:hAnsi="Times New Roman" w:cs="Times New Roman"/>
                      <w:color w:val="auto"/>
                      <w:kern w:val="0"/>
                      <w:szCs w:val="21"/>
                    </w:rPr>
                  </w:pPr>
                  <w:r>
                    <w:rPr>
                      <w:rFonts w:hint="eastAsia" w:cs="Times New Roman"/>
                      <w:color w:val="auto"/>
                      <w:kern w:val="0"/>
                      <w:szCs w:val="21"/>
                      <w:lang w:eastAsia="zh-CN"/>
                    </w:rPr>
                    <w:t>化学需氧量</w:t>
                  </w:r>
                  <w:r>
                    <w:rPr>
                      <w:rFonts w:hint="default" w:ascii="Times New Roman" w:hAnsi="Times New Roman" w:cs="Times New Roman"/>
                      <w:color w:val="auto"/>
                      <w:kern w:val="0"/>
                      <w:szCs w:val="21"/>
                    </w:rPr>
                    <w:t>COD</w:t>
                  </w:r>
                </w:p>
              </w:tc>
              <w:tc>
                <w:tcPr>
                  <w:tcW w:w="2241" w:type="dxa"/>
                  <w:noWrap w:val="0"/>
                  <w:vAlign w:val="center"/>
                </w:tcPr>
                <w:p w14:paraId="300E1F33">
                  <w:pPr>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500</w:t>
                  </w:r>
                </w:p>
              </w:tc>
              <w:tc>
                <w:tcPr>
                  <w:tcW w:w="1843" w:type="dxa"/>
                  <w:noWrap w:val="0"/>
                  <w:vAlign w:val="center"/>
                </w:tcPr>
                <w:p w14:paraId="01C1622E">
                  <w:pPr>
                    <w:adjustRightInd w:val="0"/>
                    <w:jc w:val="center"/>
                    <w:rPr>
                      <w:rFonts w:hint="default" w:ascii="Times New Roman" w:hAnsi="Times New Roman" w:cs="Times New Roman"/>
                      <w:color w:val="auto"/>
                      <w:kern w:val="0"/>
                      <w:szCs w:val="21"/>
                    </w:rPr>
                  </w:pPr>
                  <w:r>
                    <w:rPr>
                      <w:rFonts w:hint="eastAsia" w:ascii="Times New Roman" w:hAnsi="Times New Roman" w:eastAsia="宋体" w:cs="Times New Roman"/>
                      <w:color w:val="auto"/>
                      <w:kern w:val="0"/>
                      <w:szCs w:val="21"/>
                      <w:lang w:val="en-US" w:eastAsia="zh-CN"/>
                    </w:rPr>
                    <w:t>400</w:t>
                  </w:r>
                </w:p>
              </w:tc>
              <w:tc>
                <w:tcPr>
                  <w:tcW w:w="1141" w:type="dxa"/>
                  <w:noWrap w:val="0"/>
                  <w:vAlign w:val="center"/>
                </w:tcPr>
                <w:p w14:paraId="5F0F67E9">
                  <w:pPr>
                    <w:adjustRightInd w:val="0"/>
                    <w:jc w:val="center"/>
                    <w:rPr>
                      <w:rFonts w:hint="default" w:ascii="Times New Roman" w:hAnsi="Times New Roman" w:cs="Times New Roman"/>
                      <w:color w:val="auto"/>
                      <w:kern w:val="0"/>
                      <w:szCs w:val="21"/>
                    </w:rPr>
                  </w:pPr>
                  <w:r>
                    <w:rPr>
                      <w:rFonts w:hint="eastAsia" w:ascii="Times New Roman" w:hAnsi="Times New Roman" w:eastAsia="宋体" w:cs="Times New Roman"/>
                      <w:color w:val="auto"/>
                      <w:kern w:val="0"/>
                      <w:szCs w:val="21"/>
                      <w:lang w:val="en-US" w:eastAsia="zh-CN"/>
                    </w:rPr>
                    <w:t>400</w:t>
                  </w:r>
                </w:p>
              </w:tc>
            </w:tr>
            <w:tr w14:paraId="32C22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tcBorders>
                    <w:right w:val="single" w:color="auto" w:sz="2" w:space="0"/>
                  </w:tcBorders>
                  <w:noWrap w:val="0"/>
                  <w:vAlign w:val="center"/>
                </w:tcPr>
                <w:p w14:paraId="11247C97">
                  <w:pPr>
                    <w:adjustRightIn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Cs w:val="21"/>
                    </w:rPr>
                    <w:t>3</w:t>
                  </w:r>
                </w:p>
              </w:tc>
              <w:tc>
                <w:tcPr>
                  <w:tcW w:w="2097" w:type="dxa"/>
                  <w:tcBorders>
                    <w:left w:val="single" w:color="auto" w:sz="2" w:space="0"/>
                  </w:tcBorders>
                  <w:noWrap w:val="0"/>
                  <w:vAlign w:val="center"/>
                </w:tcPr>
                <w:p w14:paraId="70EB18B4">
                  <w:pPr>
                    <w:adjustRightInd w:val="0"/>
                    <w:jc w:val="center"/>
                    <w:rPr>
                      <w:rFonts w:hint="default" w:ascii="Times New Roman" w:hAnsi="Times New Roman" w:cs="Times New Roman"/>
                      <w:color w:val="auto"/>
                      <w:kern w:val="0"/>
                      <w:szCs w:val="21"/>
                    </w:rPr>
                  </w:pPr>
                  <w:r>
                    <w:rPr>
                      <w:rFonts w:hint="eastAsia" w:cs="Times New Roman"/>
                      <w:color w:val="auto"/>
                      <w:kern w:val="0"/>
                      <w:szCs w:val="21"/>
                      <w:lang w:eastAsia="zh-CN"/>
                    </w:rPr>
                    <w:t>五日生化需氧量</w:t>
                  </w:r>
                  <w:r>
                    <w:rPr>
                      <w:rFonts w:hint="default" w:ascii="Times New Roman" w:hAnsi="Times New Roman" w:cs="Times New Roman"/>
                      <w:color w:val="auto"/>
                      <w:kern w:val="0"/>
                      <w:szCs w:val="21"/>
                    </w:rPr>
                    <w:t>BOD</w:t>
                  </w:r>
                  <w:r>
                    <w:rPr>
                      <w:rFonts w:hint="default" w:ascii="Times New Roman" w:hAnsi="Times New Roman" w:cs="Times New Roman"/>
                      <w:color w:val="auto"/>
                      <w:kern w:val="0"/>
                      <w:szCs w:val="21"/>
                      <w:vertAlign w:val="subscript"/>
                    </w:rPr>
                    <w:t>5</w:t>
                  </w:r>
                </w:p>
              </w:tc>
              <w:tc>
                <w:tcPr>
                  <w:tcW w:w="2241" w:type="dxa"/>
                  <w:noWrap w:val="0"/>
                  <w:vAlign w:val="center"/>
                </w:tcPr>
                <w:p w14:paraId="18AFD452">
                  <w:pPr>
                    <w:adjustRightInd w:val="0"/>
                    <w:jc w:val="center"/>
                    <w:rPr>
                      <w:rFonts w:hint="default" w:ascii="Times New Roman" w:hAnsi="Times New Roman" w:cs="Times New Roman"/>
                      <w:color w:val="auto"/>
                      <w:kern w:val="0"/>
                      <w:szCs w:val="21"/>
                    </w:rPr>
                  </w:pPr>
                  <w:r>
                    <w:rPr>
                      <w:rFonts w:hint="eastAsia" w:cs="Times New Roman"/>
                      <w:color w:val="auto"/>
                      <w:kern w:val="0"/>
                      <w:szCs w:val="21"/>
                      <w:lang w:val="en-US" w:eastAsia="zh-CN"/>
                    </w:rPr>
                    <w:t>300</w:t>
                  </w:r>
                </w:p>
              </w:tc>
              <w:tc>
                <w:tcPr>
                  <w:tcW w:w="1843" w:type="dxa"/>
                  <w:noWrap w:val="0"/>
                  <w:vAlign w:val="center"/>
                </w:tcPr>
                <w:p w14:paraId="2F919E56">
                  <w:pPr>
                    <w:adjustRightInd w:val="0"/>
                    <w:jc w:val="center"/>
                    <w:rPr>
                      <w:rFonts w:hint="eastAsia"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150</w:t>
                  </w:r>
                </w:p>
              </w:tc>
              <w:tc>
                <w:tcPr>
                  <w:tcW w:w="1141" w:type="dxa"/>
                  <w:noWrap w:val="0"/>
                  <w:vAlign w:val="center"/>
                </w:tcPr>
                <w:p w14:paraId="27F7ED46">
                  <w:pPr>
                    <w:adjustRightInd w:val="0"/>
                    <w:jc w:val="center"/>
                    <w:rPr>
                      <w:rFonts w:hint="eastAsia"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150</w:t>
                  </w:r>
                </w:p>
              </w:tc>
            </w:tr>
            <w:tr w14:paraId="04682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tcBorders>
                    <w:right w:val="single" w:color="auto" w:sz="2" w:space="0"/>
                  </w:tcBorders>
                  <w:noWrap w:val="0"/>
                  <w:vAlign w:val="center"/>
                </w:tcPr>
                <w:p w14:paraId="066877BE">
                  <w:pPr>
                    <w:adjustRightIn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Cs w:val="21"/>
                    </w:rPr>
                    <w:t>4</w:t>
                  </w:r>
                </w:p>
              </w:tc>
              <w:tc>
                <w:tcPr>
                  <w:tcW w:w="2097" w:type="dxa"/>
                  <w:tcBorders>
                    <w:left w:val="single" w:color="auto" w:sz="2" w:space="0"/>
                  </w:tcBorders>
                  <w:noWrap w:val="0"/>
                  <w:vAlign w:val="center"/>
                </w:tcPr>
                <w:p w14:paraId="02FEAC8F">
                  <w:pPr>
                    <w:adjustRightInd w:val="0"/>
                    <w:jc w:val="center"/>
                    <w:rPr>
                      <w:rFonts w:hint="default" w:ascii="Times New Roman" w:hAnsi="Times New Roman" w:cs="Times New Roman"/>
                      <w:color w:val="auto"/>
                      <w:kern w:val="0"/>
                      <w:szCs w:val="21"/>
                    </w:rPr>
                  </w:pPr>
                  <w:r>
                    <w:rPr>
                      <w:rFonts w:hint="eastAsia" w:cs="Times New Roman"/>
                      <w:color w:val="auto"/>
                      <w:kern w:val="0"/>
                      <w:szCs w:val="21"/>
                      <w:lang w:eastAsia="zh-CN"/>
                    </w:rPr>
                    <w:t>悬浮物</w:t>
                  </w:r>
                  <w:r>
                    <w:rPr>
                      <w:rFonts w:hint="default" w:ascii="Times New Roman" w:hAnsi="Times New Roman" w:cs="Times New Roman"/>
                      <w:color w:val="auto"/>
                      <w:kern w:val="0"/>
                      <w:szCs w:val="21"/>
                    </w:rPr>
                    <w:t>SS</w:t>
                  </w:r>
                </w:p>
              </w:tc>
              <w:tc>
                <w:tcPr>
                  <w:tcW w:w="2241" w:type="dxa"/>
                  <w:noWrap w:val="0"/>
                  <w:vAlign w:val="center"/>
                </w:tcPr>
                <w:p w14:paraId="20D61CF3">
                  <w:pPr>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1843" w:type="dxa"/>
                  <w:shd w:val="clear" w:color="auto" w:fill="auto"/>
                  <w:noWrap w:val="0"/>
                  <w:vAlign w:val="center"/>
                </w:tcPr>
                <w:p w14:paraId="0338C312">
                  <w:pPr>
                    <w:adjustRightIn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lang w:val="en-US" w:eastAsia="zh-CN"/>
                    </w:rPr>
                    <w:t>250</w:t>
                  </w:r>
                </w:p>
              </w:tc>
              <w:tc>
                <w:tcPr>
                  <w:tcW w:w="1141" w:type="dxa"/>
                  <w:noWrap w:val="0"/>
                  <w:vAlign w:val="center"/>
                </w:tcPr>
                <w:p w14:paraId="6F27D2A9">
                  <w:pPr>
                    <w:adjustRightInd w:val="0"/>
                    <w:jc w:val="center"/>
                    <w:rPr>
                      <w:rFonts w:hint="default" w:ascii="Times New Roman" w:hAnsi="Times New Roman" w:cs="Times New Roman"/>
                      <w:color w:val="auto"/>
                      <w:kern w:val="0"/>
                      <w:szCs w:val="21"/>
                    </w:rPr>
                  </w:pPr>
                  <w:r>
                    <w:rPr>
                      <w:rFonts w:hint="eastAsia" w:ascii="Times New Roman" w:hAnsi="Times New Roman" w:eastAsia="宋体" w:cs="Times New Roman"/>
                      <w:color w:val="auto"/>
                      <w:kern w:val="0"/>
                      <w:szCs w:val="21"/>
                      <w:lang w:val="en-US" w:eastAsia="zh-CN"/>
                    </w:rPr>
                    <w:t>250</w:t>
                  </w:r>
                </w:p>
              </w:tc>
            </w:tr>
            <w:tr w14:paraId="36118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tcBorders>
                    <w:right w:val="single" w:color="auto" w:sz="2" w:space="0"/>
                  </w:tcBorders>
                  <w:noWrap w:val="0"/>
                  <w:vAlign w:val="center"/>
                </w:tcPr>
                <w:p w14:paraId="42BAB5D9">
                  <w:pPr>
                    <w:adjustRightInd w:val="0"/>
                    <w:jc w:val="center"/>
                    <w:rPr>
                      <w:rFonts w:hint="eastAsia" w:ascii="Times New Roman" w:hAnsi="Times New Roman" w:eastAsia="宋体" w:cs="Times New Roman"/>
                      <w:b/>
                      <w:bCs/>
                      <w:color w:val="auto"/>
                      <w:kern w:val="0"/>
                      <w:szCs w:val="21"/>
                      <w:lang w:val="en-US" w:eastAsia="zh-CN"/>
                    </w:rPr>
                  </w:pPr>
                  <w:r>
                    <w:rPr>
                      <w:rFonts w:hint="eastAsia" w:cs="Times New Roman"/>
                      <w:b/>
                      <w:bCs/>
                      <w:color w:val="auto"/>
                      <w:kern w:val="0"/>
                      <w:szCs w:val="21"/>
                      <w:lang w:val="en-US" w:eastAsia="zh-CN"/>
                    </w:rPr>
                    <w:t>5</w:t>
                  </w:r>
                </w:p>
              </w:tc>
              <w:tc>
                <w:tcPr>
                  <w:tcW w:w="2097" w:type="dxa"/>
                  <w:tcBorders>
                    <w:left w:val="single" w:color="auto" w:sz="2" w:space="0"/>
                  </w:tcBorders>
                  <w:noWrap w:val="0"/>
                  <w:vAlign w:val="center"/>
                </w:tcPr>
                <w:p w14:paraId="6D72DE48">
                  <w:pPr>
                    <w:adjustRightInd w:val="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氨氮NH</w:t>
                  </w:r>
                  <w:r>
                    <w:rPr>
                      <w:rFonts w:hint="eastAsia" w:cs="Times New Roman"/>
                      <w:color w:val="auto"/>
                      <w:kern w:val="0"/>
                      <w:szCs w:val="21"/>
                      <w:vertAlign w:val="subscript"/>
                      <w:lang w:val="en-US" w:eastAsia="zh-CN"/>
                    </w:rPr>
                    <w:t>3</w:t>
                  </w:r>
                  <w:r>
                    <w:rPr>
                      <w:rFonts w:hint="eastAsia" w:cs="Times New Roman"/>
                      <w:color w:val="auto"/>
                      <w:kern w:val="0"/>
                      <w:szCs w:val="21"/>
                      <w:lang w:val="en-US" w:eastAsia="zh-CN"/>
                    </w:rPr>
                    <w:t>-N</w:t>
                  </w:r>
                </w:p>
              </w:tc>
              <w:tc>
                <w:tcPr>
                  <w:tcW w:w="2241" w:type="dxa"/>
                  <w:noWrap w:val="0"/>
                  <w:vAlign w:val="center"/>
                </w:tcPr>
                <w:p w14:paraId="18D0C74A">
                  <w:pPr>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45</w:t>
                  </w:r>
                </w:p>
              </w:tc>
              <w:tc>
                <w:tcPr>
                  <w:tcW w:w="1843" w:type="dxa"/>
                  <w:shd w:val="clear" w:color="auto" w:fill="auto"/>
                  <w:noWrap w:val="0"/>
                  <w:vAlign w:val="center"/>
                </w:tcPr>
                <w:p w14:paraId="53E2D3B7">
                  <w:pPr>
                    <w:adjustRightIn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lang w:val="en-US" w:eastAsia="zh-CN"/>
                    </w:rPr>
                    <w:t>45</w:t>
                  </w:r>
                </w:p>
              </w:tc>
              <w:tc>
                <w:tcPr>
                  <w:tcW w:w="1141" w:type="dxa"/>
                  <w:noWrap w:val="0"/>
                  <w:vAlign w:val="center"/>
                </w:tcPr>
                <w:p w14:paraId="2DCC5BB5">
                  <w:pPr>
                    <w:adjustRightInd w:val="0"/>
                    <w:jc w:val="center"/>
                    <w:rPr>
                      <w:rFonts w:hint="default" w:ascii="Times New Roman" w:hAnsi="Times New Roman" w:cs="Times New Roman"/>
                      <w:color w:val="auto"/>
                      <w:kern w:val="0"/>
                      <w:szCs w:val="21"/>
                    </w:rPr>
                  </w:pPr>
                  <w:r>
                    <w:rPr>
                      <w:rFonts w:hint="eastAsia" w:ascii="Times New Roman" w:hAnsi="Times New Roman" w:eastAsia="宋体" w:cs="Times New Roman"/>
                      <w:color w:val="auto"/>
                      <w:kern w:val="0"/>
                      <w:szCs w:val="21"/>
                      <w:lang w:val="en-US" w:eastAsia="zh-CN"/>
                    </w:rPr>
                    <w:t>45</w:t>
                  </w:r>
                </w:p>
              </w:tc>
            </w:tr>
            <w:tr w14:paraId="7F429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tcBorders>
                    <w:right w:val="single" w:color="auto" w:sz="2" w:space="0"/>
                  </w:tcBorders>
                  <w:noWrap w:val="0"/>
                  <w:vAlign w:val="center"/>
                </w:tcPr>
                <w:p w14:paraId="37A7590B">
                  <w:pPr>
                    <w:adjustRightInd w:val="0"/>
                    <w:jc w:val="center"/>
                    <w:rPr>
                      <w:rFonts w:hint="eastAsia" w:cs="Times New Roman"/>
                      <w:b/>
                      <w:bCs/>
                      <w:color w:val="auto"/>
                      <w:kern w:val="0"/>
                      <w:szCs w:val="21"/>
                      <w:lang w:val="en-US" w:eastAsia="zh-CN"/>
                    </w:rPr>
                  </w:pPr>
                  <w:r>
                    <w:rPr>
                      <w:rFonts w:hint="eastAsia" w:cs="Times New Roman"/>
                      <w:b/>
                      <w:bCs/>
                      <w:color w:val="auto"/>
                      <w:kern w:val="0"/>
                      <w:szCs w:val="21"/>
                      <w:lang w:val="en-US" w:eastAsia="zh-CN"/>
                    </w:rPr>
                    <w:t>6</w:t>
                  </w:r>
                </w:p>
              </w:tc>
              <w:tc>
                <w:tcPr>
                  <w:tcW w:w="2097" w:type="dxa"/>
                  <w:tcBorders>
                    <w:left w:val="single" w:color="auto" w:sz="2" w:space="0"/>
                  </w:tcBorders>
                  <w:noWrap w:val="0"/>
                  <w:vAlign w:val="center"/>
                </w:tcPr>
                <w:p w14:paraId="7C717A53">
                  <w:pPr>
                    <w:adjustRightInd w:val="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eastAsia="zh-CN"/>
                    </w:rPr>
                    <w:t>动植物油</w:t>
                  </w:r>
                </w:p>
              </w:tc>
              <w:tc>
                <w:tcPr>
                  <w:tcW w:w="2241" w:type="dxa"/>
                  <w:noWrap w:val="0"/>
                  <w:vAlign w:val="center"/>
                </w:tcPr>
                <w:p w14:paraId="2960F971">
                  <w:pPr>
                    <w:adjustRightInd w:val="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100</w:t>
                  </w:r>
                </w:p>
              </w:tc>
              <w:tc>
                <w:tcPr>
                  <w:tcW w:w="1843" w:type="dxa"/>
                  <w:noWrap w:val="0"/>
                  <w:vAlign w:val="center"/>
                </w:tcPr>
                <w:p w14:paraId="44DED567">
                  <w:pPr>
                    <w:adjustRightInd w:val="0"/>
                    <w:jc w:val="center"/>
                    <w:rPr>
                      <w:rFonts w:hint="default" w:cs="Times New Roman"/>
                      <w:color w:val="auto"/>
                      <w:kern w:val="0"/>
                      <w:szCs w:val="21"/>
                      <w:lang w:val="en-US" w:eastAsia="zh-CN"/>
                    </w:rPr>
                  </w:pPr>
                  <w:r>
                    <w:rPr>
                      <w:rFonts w:hint="eastAsia" w:cs="Times New Roman"/>
                      <w:color w:val="auto"/>
                      <w:kern w:val="0"/>
                      <w:szCs w:val="21"/>
                      <w:lang w:val="en-US" w:eastAsia="zh-CN"/>
                    </w:rPr>
                    <w:t>/</w:t>
                  </w:r>
                </w:p>
              </w:tc>
              <w:tc>
                <w:tcPr>
                  <w:tcW w:w="1141" w:type="dxa"/>
                  <w:noWrap w:val="0"/>
                  <w:vAlign w:val="center"/>
                </w:tcPr>
                <w:p w14:paraId="1C3BD0D2">
                  <w:pPr>
                    <w:adjustRightInd w:val="0"/>
                    <w:jc w:val="center"/>
                    <w:rPr>
                      <w:rFonts w:hint="eastAsia"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100</w:t>
                  </w:r>
                </w:p>
              </w:tc>
            </w:tr>
            <w:tr w14:paraId="1434E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tcBorders>
                    <w:right w:val="single" w:color="auto" w:sz="2" w:space="0"/>
                  </w:tcBorders>
                  <w:noWrap w:val="0"/>
                  <w:vAlign w:val="center"/>
                </w:tcPr>
                <w:p w14:paraId="0C82ADC8">
                  <w:pPr>
                    <w:adjustRightInd w:val="0"/>
                    <w:jc w:val="center"/>
                    <w:rPr>
                      <w:rFonts w:hint="default" w:cs="Times New Roman"/>
                      <w:b/>
                      <w:bCs/>
                      <w:color w:val="auto"/>
                      <w:kern w:val="0"/>
                      <w:szCs w:val="21"/>
                      <w:lang w:val="en-US" w:eastAsia="zh-CN"/>
                    </w:rPr>
                  </w:pPr>
                  <w:r>
                    <w:rPr>
                      <w:rFonts w:hint="eastAsia" w:cs="Times New Roman"/>
                      <w:b/>
                      <w:bCs/>
                      <w:color w:val="auto"/>
                      <w:kern w:val="0"/>
                      <w:szCs w:val="21"/>
                      <w:lang w:val="en-US" w:eastAsia="zh-CN"/>
                    </w:rPr>
                    <w:t>7</w:t>
                  </w:r>
                </w:p>
              </w:tc>
              <w:tc>
                <w:tcPr>
                  <w:tcW w:w="2097" w:type="dxa"/>
                  <w:tcBorders>
                    <w:left w:val="single" w:color="auto" w:sz="2" w:space="0"/>
                  </w:tcBorders>
                  <w:noWrap w:val="0"/>
                  <w:vAlign w:val="center"/>
                </w:tcPr>
                <w:p w14:paraId="4EDD99A3">
                  <w:pPr>
                    <w:adjustRightInd w:val="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eastAsia="zh-CN"/>
                    </w:rPr>
                    <w:t>阴离子表面活性剂</w:t>
                  </w:r>
                </w:p>
              </w:tc>
              <w:tc>
                <w:tcPr>
                  <w:tcW w:w="2241" w:type="dxa"/>
                  <w:noWrap w:val="0"/>
                  <w:vAlign w:val="center"/>
                </w:tcPr>
                <w:p w14:paraId="0F63D558">
                  <w:pPr>
                    <w:adjustRightInd w:val="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20</w:t>
                  </w:r>
                </w:p>
              </w:tc>
              <w:tc>
                <w:tcPr>
                  <w:tcW w:w="1843" w:type="dxa"/>
                  <w:noWrap w:val="0"/>
                  <w:vAlign w:val="center"/>
                </w:tcPr>
                <w:p w14:paraId="684BFD59">
                  <w:pPr>
                    <w:adjustRightInd w:val="0"/>
                    <w:jc w:val="center"/>
                    <w:rPr>
                      <w:rFonts w:hint="default" w:cs="Times New Roman"/>
                      <w:color w:val="auto"/>
                      <w:kern w:val="0"/>
                      <w:szCs w:val="21"/>
                      <w:lang w:val="en-US" w:eastAsia="zh-CN"/>
                    </w:rPr>
                  </w:pPr>
                  <w:r>
                    <w:rPr>
                      <w:rFonts w:hint="eastAsia" w:cs="Times New Roman"/>
                      <w:color w:val="auto"/>
                      <w:kern w:val="0"/>
                      <w:szCs w:val="21"/>
                      <w:lang w:val="en-US" w:eastAsia="zh-CN"/>
                    </w:rPr>
                    <w:t>/</w:t>
                  </w:r>
                </w:p>
              </w:tc>
              <w:tc>
                <w:tcPr>
                  <w:tcW w:w="1141" w:type="dxa"/>
                  <w:noWrap w:val="0"/>
                  <w:vAlign w:val="center"/>
                </w:tcPr>
                <w:p w14:paraId="097F3438">
                  <w:pPr>
                    <w:adjustRightInd w:val="0"/>
                    <w:jc w:val="center"/>
                    <w:rPr>
                      <w:rFonts w:hint="eastAsia"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20</w:t>
                  </w:r>
                </w:p>
              </w:tc>
            </w:tr>
            <w:tr w14:paraId="0CD9C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tcBorders>
                    <w:right w:val="single" w:color="auto" w:sz="2" w:space="0"/>
                  </w:tcBorders>
                  <w:noWrap w:val="0"/>
                  <w:vAlign w:val="center"/>
                </w:tcPr>
                <w:p w14:paraId="2E04564B">
                  <w:pPr>
                    <w:adjustRightInd w:val="0"/>
                    <w:jc w:val="center"/>
                    <w:rPr>
                      <w:rFonts w:hint="default" w:cs="Times New Roman"/>
                      <w:b/>
                      <w:bCs/>
                      <w:color w:val="auto"/>
                      <w:kern w:val="0"/>
                      <w:szCs w:val="21"/>
                      <w:lang w:val="en-US" w:eastAsia="zh-CN"/>
                    </w:rPr>
                  </w:pPr>
                  <w:r>
                    <w:rPr>
                      <w:rFonts w:hint="eastAsia" w:cs="Times New Roman"/>
                      <w:b/>
                      <w:bCs/>
                      <w:color w:val="auto"/>
                      <w:kern w:val="0"/>
                      <w:szCs w:val="21"/>
                      <w:lang w:val="en-US" w:eastAsia="zh-CN"/>
                    </w:rPr>
                    <w:t>8</w:t>
                  </w:r>
                </w:p>
              </w:tc>
              <w:tc>
                <w:tcPr>
                  <w:tcW w:w="2097" w:type="dxa"/>
                  <w:tcBorders>
                    <w:left w:val="single" w:color="auto" w:sz="2" w:space="0"/>
                  </w:tcBorders>
                  <w:noWrap w:val="0"/>
                  <w:vAlign w:val="center"/>
                </w:tcPr>
                <w:p w14:paraId="0595E9EB">
                  <w:pPr>
                    <w:adjustRightInd w:val="0"/>
                    <w:jc w:val="center"/>
                    <w:rPr>
                      <w:rFonts w:hint="eastAsia" w:cs="Times New Roman"/>
                      <w:color w:val="auto"/>
                      <w:kern w:val="0"/>
                      <w:szCs w:val="21"/>
                      <w:lang w:eastAsia="zh-CN"/>
                    </w:rPr>
                  </w:pPr>
                  <w:r>
                    <w:rPr>
                      <w:rFonts w:hint="eastAsia" w:cs="Times New Roman"/>
                      <w:color w:val="auto"/>
                      <w:kern w:val="0"/>
                      <w:szCs w:val="21"/>
                      <w:lang w:val="en-US" w:eastAsia="zh-CN"/>
                    </w:rPr>
                    <w:t>TN</w:t>
                  </w:r>
                </w:p>
              </w:tc>
              <w:tc>
                <w:tcPr>
                  <w:tcW w:w="2241" w:type="dxa"/>
                  <w:noWrap w:val="0"/>
                  <w:vAlign w:val="center"/>
                </w:tcPr>
                <w:p w14:paraId="2A5BF614">
                  <w:pPr>
                    <w:adjustRightInd w:val="0"/>
                    <w:jc w:val="center"/>
                    <w:rPr>
                      <w:rFonts w:hint="default" w:cs="Times New Roman"/>
                      <w:color w:val="auto"/>
                      <w:kern w:val="0"/>
                      <w:szCs w:val="21"/>
                      <w:lang w:val="en-US" w:eastAsia="zh-CN"/>
                    </w:rPr>
                  </w:pPr>
                  <w:r>
                    <w:rPr>
                      <w:rFonts w:hint="eastAsia" w:cs="Times New Roman"/>
                      <w:color w:val="auto"/>
                      <w:kern w:val="0"/>
                      <w:szCs w:val="21"/>
                      <w:lang w:val="en-US" w:eastAsia="zh-CN"/>
                    </w:rPr>
                    <w:t>/</w:t>
                  </w:r>
                </w:p>
              </w:tc>
              <w:tc>
                <w:tcPr>
                  <w:tcW w:w="1843" w:type="dxa"/>
                  <w:noWrap w:val="0"/>
                  <w:vAlign w:val="center"/>
                </w:tcPr>
                <w:p w14:paraId="580814E3">
                  <w:pPr>
                    <w:adjustRightInd w:val="0"/>
                    <w:jc w:val="center"/>
                    <w:rPr>
                      <w:rFonts w:hint="eastAsia"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50</w:t>
                  </w:r>
                </w:p>
              </w:tc>
              <w:tc>
                <w:tcPr>
                  <w:tcW w:w="1141" w:type="dxa"/>
                  <w:noWrap w:val="0"/>
                  <w:vAlign w:val="center"/>
                </w:tcPr>
                <w:p w14:paraId="04C4CFF5">
                  <w:pPr>
                    <w:adjustRightInd w:val="0"/>
                    <w:jc w:val="center"/>
                    <w:rPr>
                      <w:rFonts w:hint="eastAsia"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50</w:t>
                  </w:r>
                </w:p>
              </w:tc>
            </w:tr>
            <w:tr w14:paraId="2196B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tcBorders>
                    <w:right w:val="single" w:color="auto" w:sz="2" w:space="0"/>
                  </w:tcBorders>
                  <w:noWrap w:val="0"/>
                  <w:vAlign w:val="center"/>
                </w:tcPr>
                <w:p w14:paraId="44819457">
                  <w:pPr>
                    <w:adjustRightInd w:val="0"/>
                    <w:jc w:val="center"/>
                    <w:rPr>
                      <w:rFonts w:hint="default" w:cs="Times New Roman"/>
                      <w:b/>
                      <w:bCs/>
                      <w:color w:val="auto"/>
                      <w:kern w:val="0"/>
                      <w:szCs w:val="21"/>
                      <w:lang w:val="en-US" w:eastAsia="zh-CN"/>
                    </w:rPr>
                  </w:pPr>
                  <w:r>
                    <w:rPr>
                      <w:rFonts w:hint="eastAsia" w:cs="Times New Roman"/>
                      <w:b/>
                      <w:bCs/>
                      <w:color w:val="auto"/>
                      <w:kern w:val="0"/>
                      <w:szCs w:val="21"/>
                      <w:lang w:val="en-US" w:eastAsia="zh-CN"/>
                    </w:rPr>
                    <w:t>9</w:t>
                  </w:r>
                </w:p>
              </w:tc>
              <w:tc>
                <w:tcPr>
                  <w:tcW w:w="2097" w:type="dxa"/>
                  <w:tcBorders>
                    <w:left w:val="single" w:color="auto" w:sz="2" w:space="0"/>
                  </w:tcBorders>
                  <w:noWrap w:val="0"/>
                  <w:vAlign w:val="center"/>
                </w:tcPr>
                <w:p w14:paraId="4340F03F">
                  <w:pPr>
                    <w:adjustRightInd w:val="0"/>
                    <w:jc w:val="center"/>
                    <w:rPr>
                      <w:rFonts w:hint="eastAsia" w:cs="Times New Roman"/>
                      <w:color w:val="auto"/>
                      <w:kern w:val="0"/>
                      <w:szCs w:val="21"/>
                      <w:lang w:eastAsia="zh-CN"/>
                    </w:rPr>
                  </w:pPr>
                  <w:r>
                    <w:rPr>
                      <w:rFonts w:hint="eastAsia" w:cs="Times New Roman"/>
                      <w:color w:val="auto"/>
                      <w:kern w:val="0"/>
                      <w:szCs w:val="21"/>
                      <w:lang w:val="en-US" w:eastAsia="zh-CN"/>
                    </w:rPr>
                    <w:t>TP</w:t>
                  </w:r>
                </w:p>
              </w:tc>
              <w:tc>
                <w:tcPr>
                  <w:tcW w:w="2241" w:type="dxa"/>
                  <w:noWrap w:val="0"/>
                  <w:vAlign w:val="center"/>
                </w:tcPr>
                <w:p w14:paraId="296072AD">
                  <w:pPr>
                    <w:adjustRightInd w:val="0"/>
                    <w:jc w:val="center"/>
                    <w:rPr>
                      <w:rFonts w:hint="default" w:cs="Times New Roman"/>
                      <w:color w:val="auto"/>
                      <w:kern w:val="0"/>
                      <w:szCs w:val="21"/>
                      <w:lang w:val="en-US" w:eastAsia="zh-CN"/>
                    </w:rPr>
                  </w:pPr>
                  <w:r>
                    <w:rPr>
                      <w:rFonts w:hint="eastAsia" w:cs="Times New Roman"/>
                      <w:color w:val="auto"/>
                      <w:kern w:val="0"/>
                      <w:szCs w:val="21"/>
                      <w:lang w:val="en-US" w:eastAsia="zh-CN"/>
                    </w:rPr>
                    <w:t>/</w:t>
                  </w:r>
                </w:p>
              </w:tc>
              <w:tc>
                <w:tcPr>
                  <w:tcW w:w="1843" w:type="dxa"/>
                  <w:noWrap w:val="0"/>
                  <w:vAlign w:val="center"/>
                </w:tcPr>
                <w:p w14:paraId="6072F3AA">
                  <w:pPr>
                    <w:adjustRightInd w:val="0"/>
                    <w:jc w:val="center"/>
                    <w:rPr>
                      <w:rFonts w:hint="eastAsia"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5</w:t>
                  </w:r>
                </w:p>
              </w:tc>
              <w:tc>
                <w:tcPr>
                  <w:tcW w:w="1141" w:type="dxa"/>
                  <w:noWrap w:val="0"/>
                  <w:vAlign w:val="center"/>
                </w:tcPr>
                <w:p w14:paraId="3D827DE8">
                  <w:pPr>
                    <w:adjustRightInd w:val="0"/>
                    <w:jc w:val="center"/>
                    <w:rPr>
                      <w:rFonts w:hint="eastAsia"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5</w:t>
                  </w:r>
                </w:p>
              </w:tc>
            </w:tr>
          </w:tbl>
          <w:p w14:paraId="1ED898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5、运营期噪声排放标准</w:t>
            </w:r>
          </w:p>
          <w:p w14:paraId="7D5538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b/>
                <w:bCs/>
                <w:color w:val="auto"/>
                <w:sz w:val="24"/>
                <w:szCs w:val="24"/>
              </w:rPr>
            </w:pPr>
            <w:r>
              <w:rPr>
                <w:rFonts w:hint="default" w:ascii="Times New Roman" w:hAnsi="Times New Roman" w:eastAsia="仿宋_GB2312" w:cs="Times New Roman"/>
                <w:color w:val="auto"/>
                <w:kern w:val="0"/>
                <w:sz w:val="24"/>
                <w:szCs w:val="24"/>
                <w:lang w:val="en-US" w:eastAsia="zh-CN"/>
              </w:rPr>
              <w:t>本项目</w:t>
            </w:r>
            <w:r>
              <w:rPr>
                <w:rFonts w:hint="eastAsia" w:eastAsia="仿宋_GB2312" w:cs="Times New Roman"/>
                <w:color w:val="auto"/>
                <w:kern w:val="0"/>
                <w:sz w:val="24"/>
                <w:szCs w:val="24"/>
                <w:lang w:val="en-US" w:eastAsia="zh-CN"/>
              </w:rPr>
              <w:t>夜间不生产，因此</w:t>
            </w:r>
            <w:r>
              <w:rPr>
                <w:rFonts w:hint="default" w:ascii="Times New Roman" w:hAnsi="Times New Roman" w:eastAsia="仿宋_GB2312" w:cs="Times New Roman"/>
                <w:color w:val="auto"/>
                <w:kern w:val="0"/>
                <w:sz w:val="24"/>
                <w:szCs w:val="24"/>
                <w:lang w:val="en-US" w:eastAsia="zh-CN"/>
              </w:rPr>
              <w:t>运营期噪声执行《工业企业厂界环境噪声排放标准》（GB12348-2008）中的2类标准</w:t>
            </w:r>
            <w:r>
              <w:rPr>
                <w:rFonts w:hint="eastAsia" w:eastAsia="仿宋_GB2312" w:cs="Times New Roman"/>
                <w:color w:val="auto"/>
                <w:kern w:val="0"/>
                <w:sz w:val="24"/>
                <w:szCs w:val="24"/>
                <w:lang w:val="en-US" w:eastAsia="zh-CN"/>
              </w:rPr>
              <w:t>昼间</w:t>
            </w:r>
            <w:r>
              <w:rPr>
                <w:rFonts w:hint="default" w:ascii="Times New Roman" w:hAnsi="Times New Roman" w:eastAsia="仿宋_GB2312" w:cs="Times New Roman"/>
                <w:color w:val="auto"/>
                <w:kern w:val="0"/>
                <w:sz w:val="24"/>
                <w:szCs w:val="24"/>
                <w:lang w:val="en-US" w:eastAsia="zh-CN"/>
              </w:rPr>
              <w:t>要求。</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1309"/>
              <w:gridCol w:w="1454"/>
              <w:gridCol w:w="1008"/>
              <w:gridCol w:w="1530"/>
              <w:gridCol w:w="2643"/>
            </w:tblGrid>
            <w:tr w14:paraId="5166957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00" w:type="dxa"/>
                  <w:noWrap w:val="0"/>
                  <w:vAlign w:val="center"/>
                </w:tcPr>
                <w:p w14:paraId="10CC1479">
                  <w:pPr>
                    <w:bidi w:val="0"/>
                    <w:jc w:val="center"/>
                    <w:rPr>
                      <w:b/>
                      <w:bCs/>
                      <w:color w:val="auto"/>
                    </w:rPr>
                  </w:pPr>
                  <w:r>
                    <w:rPr>
                      <w:b/>
                      <w:bCs/>
                      <w:color w:val="auto"/>
                    </w:rPr>
                    <w:t>类别</w:t>
                  </w:r>
                </w:p>
              </w:tc>
              <w:tc>
                <w:tcPr>
                  <w:tcW w:w="1443" w:type="dxa"/>
                  <w:noWrap w:val="0"/>
                  <w:vAlign w:val="center"/>
                </w:tcPr>
                <w:p w14:paraId="0E9940BC">
                  <w:pPr>
                    <w:bidi w:val="0"/>
                    <w:jc w:val="center"/>
                    <w:rPr>
                      <w:b/>
                      <w:bCs/>
                      <w:color w:val="auto"/>
                    </w:rPr>
                  </w:pPr>
                  <w:r>
                    <w:rPr>
                      <w:b/>
                      <w:bCs/>
                      <w:color w:val="auto"/>
                    </w:rPr>
                    <w:t>昼间</w:t>
                  </w:r>
                </w:p>
              </w:tc>
              <w:tc>
                <w:tcPr>
                  <w:tcW w:w="1000" w:type="dxa"/>
                  <w:noWrap w:val="0"/>
                  <w:vAlign w:val="center"/>
                </w:tcPr>
                <w:p w14:paraId="43630F59">
                  <w:pPr>
                    <w:bidi w:val="0"/>
                    <w:jc w:val="center"/>
                    <w:rPr>
                      <w:b/>
                      <w:bCs/>
                      <w:color w:val="auto"/>
                    </w:rPr>
                  </w:pPr>
                  <w:r>
                    <w:rPr>
                      <w:b/>
                      <w:bCs/>
                      <w:color w:val="auto"/>
                    </w:rPr>
                    <w:t>夜间</w:t>
                  </w:r>
                </w:p>
              </w:tc>
              <w:tc>
                <w:tcPr>
                  <w:tcW w:w="1518" w:type="dxa"/>
                  <w:noWrap w:val="0"/>
                  <w:vAlign w:val="center"/>
                </w:tcPr>
                <w:p w14:paraId="6C1DF866">
                  <w:pPr>
                    <w:bidi w:val="0"/>
                    <w:jc w:val="center"/>
                    <w:rPr>
                      <w:b/>
                      <w:bCs/>
                      <w:color w:val="auto"/>
                    </w:rPr>
                  </w:pPr>
                  <w:r>
                    <w:rPr>
                      <w:b/>
                      <w:bCs/>
                      <w:color w:val="auto"/>
                    </w:rPr>
                    <w:t>等效声级</w:t>
                  </w:r>
                </w:p>
              </w:tc>
              <w:tc>
                <w:tcPr>
                  <w:tcW w:w="2623" w:type="dxa"/>
                  <w:noWrap w:val="0"/>
                  <w:vAlign w:val="center"/>
                </w:tcPr>
                <w:p w14:paraId="1D0635B6">
                  <w:pPr>
                    <w:bidi w:val="0"/>
                    <w:jc w:val="center"/>
                    <w:rPr>
                      <w:b/>
                      <w:bCs/>
                      <w:color w:val="auto"/>
                    </w:rPr>
                  </w:pPr>
                  <w:r>
                    <w:rPr>
                      <w:b/>
                      <w:bCs/>
                      <w:color w:val="auto"/>
                    </w:rPr>
                    <w:t>项目适用范围</w:t>
                  </w:r>
                </w:p>
              </w:tc>
            </w:tr>
            <w:tr w14:paraId="37FEDF8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00" w:type="dxa"/>
                  <w:noWrap w:val="0"/>
                  <w:vAlign w:val="center"/>
                </w:tcPr>
                <w:p w14:paraId="3403CAD5">
                  <w:pPr>
                    <w:bidi w:val="0"/>
                    <w:jc w:val="center"/>
                    <w:rPr>
                      <w:color w:val="auto"/>
                    </w:rPr>
                  </w:pPr>
                  <w:r>
                    <w:rPr>
                      <w:rFonts w:hint="eastAsia"/>
                      <w:color w:val="auto"/>
                      <w:lang w:val="en-US" w:eastAsia="zh-CN"/>
                    </w:rPr>
                    <w:t>2</w:t>
                  </w:r>
                  <w:r>
                    <w:rPr>
                      <w:color w:val="auto"/>
                    </w:rPr>
                    <w:t>类</w:t>
                  </w:r>
                </w:p>
              </w:tc>
              <w:tc>
                <w:tcPr>
                  <w:tcW w:w="1443" w:type="dxa"/>
                  <w:noWrap w:val="0"/>
                  <w:vAlign w:val="center"/>
                </w:tcPr>
                <w:p w14:paraId="220C6A6E">
                  <w:pPr>
                    <w:bidi w:val="0"/>
                    <w:jc w:val="center"/>
                    <w:rPr>
                      <w:rFonts w:hint="default" w:eastAsia="宋体"/>
                      <w:color w:val="auto"/>
                      <w:lang w:val="en-US" w:eastAsia="zh-CN"/>
                    </w:rPr>
                  </w:pPr>
                  <w:r>
                    <w:rPr>
                      <w:rFonts w:hint="eastAsia" w:eastAsia="宋体"/>
                      <w:color w:val="auto"/>
                      <w:lang w:val="en-US" w:eastAsia="zh-CN"/>
                    </w:rPr>
                    <w:t>60</w:t>
                  </w:r>
                </w:p>
              </w:tc>
              <w:tc>
                <w:tcPr>
                  <w:tcW w:w="1000" w:type="dxa"/>
                  <w:noWrap w:val="0"/>
                  <w:vAlign w:val="center"/>
                </w:tcPr>
                <w:p w14:paraId="5356571C">
                  <w:pPr>
                    <w:bidi w:val="0"/>
                    <w:jc w:val="center"/>
                    <w:rPr>
                      <w:rFonts w:hint="default" w:eastAsia="宋体"/>
                      <w:color w:val="auto"/>
                      <w:lang w:val="en-US" w:eastAsia="zh-CN"/>
                    </w:rPr>
                  </w:pPr>
                  <w:r>
                    <w:rPr>
                      <w:rFonts w:hint="eastAsia" w:eastAsia="宋体"/>
                      <w:color w:val="auto"/>
                      <w:lang w:val="en-US" w:eastAsia="zh-CN"/>
                    </w:rPr>
                    <w:t>50</w:t>
                  </w:r>
                </w:p>
              </w:tc>
              <w:tc>
                <w:tcPr>
                  <w:tcW w:w="1518" w:type="dxa"/>
                  <w:noWrap w:val="0"/>
                  <w:vAlign w:val="center"/>
                </w:tcPr>
                <w:p w14:paraId="1F293616">
                  <w:pPr>
                    <w:bidi w:val="0"/>
                    <w:jc w:val="center"/>
                    <w:rPr>
                      <w:color w:val="auto"/>
                    </w:rPr>
                  </w:pPr>
                  <w:r>
                    <w:rPr>
                      <w:color w:val="auto"/>
                    </w:rPr>
                    <w:t>dB（A）</w:t>
                  </w:r>
                </w:p>
              </w:tc>
              <w:tc>
                <w:tcPr>
                  <w:tcW w:w="2623" w:type="dxa"/>
                  <w:noWrap w:val="0"/>
                  <w:vAlign w:val="center"/>
                </w:tcPr>
                <w:p w14:paraId="48337C88">
                  <w:pPr>
                    <w:bidi w:val="0"/>
                    <w:jc w:val="center"/>
                    <w:rPr>
                      <w:color w:val="auto"/>
                    </w:rPr>
                  </w:pPr>
                  <w:r>
                    <w:rPr>
                      <w:color w:val="auto"/>
                    </w:rPr>
                    <w:t>东、南、北、西厂界</w:t>
                  </w:r>
                </w:p>
              </w:tc>
            </w:tr>
          </w:tbl>
          <w:p w14:paraId="379521F9">
            <w:pPr>
              <w:keepNext w:val="0"/>
              <w:keepLines w:val="0"/>
              <w:pageBreakBefore w:val="0"/>
              <w:widowControl w:val="0"/>
              <w:kinsoku/>
              <w:wordWrap/>
              <w:overflowPunct/>
              <w:topLinePunct w:val="0"/>
              <w:autoSpaceDE/>
              <w:autoSpaceDN/>
              <w:bidi w:val="0"/>
              <w:adjustRightInd/>
              <w:snapToGrid w:val="0"/>
              <w:spacing w:before="219" w:beforeLines="70" w:line="312" w:lineRule="auto"/>
              <w:ind w:firstLine="482" w:firstLineChars="200"/>
              <w:contextualSpacing/>
              <w:textAlignment w:val="auto"/>
              <w:rPr>
                <w:rFonts w:hint="eastAsia" w:ascii="Times New Roman" w:hAnsi="Times New Roman" w:eastAsia="仿宋_GB2312" w:cs="Times New Roman"/>
                <w:b/>
                <w:bCs/>
                <w:color w:val="auto"/>
                <w:sz w:val="24"/>
                <w:highlight w:val="none"/>
                <w:lang w:eastAsia="zh-CN"/>
              </w:rPr>
            </w:pPr>
            <w:r>
              <w:rPr>
                <w:rFonts w:hint="eastAsia" w:eastAsia="仿宋_GB2312" w:cs="Times New Roman"/>
                <w:b/>
                <w:bCs/>
                <w:color w:val="auto"/>
                <w:sz w:val="24"/>
                <w:highlight w:val="none"/>
                <w:lang w:val="en-US" w:eastAsia="zh-CN"/>
              </w:rPr>
              <w:t>6.</w:t>
            </w:r>
            <w:r>
              <w:rPr>
                <w:rFonts w:hint="default" w:ascii="Times New Roman" w:hAnsi="Times New Roman" w:eastAsia="仿宋_GB2312" w:cs="Times New Roman"/>
                <w:b/>
                <w:bCs/>
                <w:color w:val="auto"/>
                <w:sz w:val="24"/>
                <w:highlight w:val="none"/>
              </w:rPr>
              <w:t>运营期</w:t>
            </w:r>
            <w:r>
              <w:rPr>
                <w:rFonts w:hint="eastAsia" w:ascii="Times New Roman" w:hAnsi="Times New Roman" w:eastAsia="仿宋_GB2312" w:cs="Times New Roman"/>
                <w:b/>
                <w:bCs/>
                <w:color w:val="auto"/>
                <w:sz w:val="24"/>
                <w:highlight w:val="none"/>
                <w:lang w:eastAsia="zh-CN"/>
              </w:rPr>
              <w:t>固体废物管理</w:t>
            </w:r>
          </w:p>
          <w:p w14:paraId="571033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本项目运营期一般固体废物一般工业固废，其暂存、转运及处置需满足相关法律、法规中提到的防渗漏、防雨淋、防扬尘等环境保护要求。</w:t>
            </w:r>
          </w:p>
          <w:p w14:paraId="299A36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auto"/>
                <w:kern w:val="0"/>
                <w:sz w:val="24"/>
                <w:szCs w:val="24"/>
                <w:lang w:val="en-US" w:eastAsia="zh-CN"/>
              </w:rPr>
            </w:pPr>
          </w:p>
          <w:p w14:paraId="37998F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auto"/>
                <w:kern w:val="0"/>
                <w:sz w:val="24"/>
                <w:szCs w:val="24"/>
                <w:lang w:val="en-US" w:eastAsia="zh-CN"/>
              </w:rPr>
            </w:pPr>
          </w:p>
          <w:p w14:paraId="4BA043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仿宋_GB2312" w:cs="Times New Roman"/>
                <w:color w:val="auto"/>
                <w:kern w:val="0"/>
                <w:sz w:val="24"/>
                <w:szCs w:val="24"/>
                <w:lang w:val="en-US" w:eastAsia="zh-CN"/>
              </w:rPr>
            </w:pPr>
          </w:p>
        </w:tc>
      </w:tr>
      <w:tr w14:paraId="6202D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28" w:hRule="atLeast"/>
          <w:jc w:val="center"/>
        </w:trPr>
        <w:tc>
          <w:tcPr>
            <w:tcW w:w="800" w:type="dxa"/>
            <w:noWrap w:val="0"/>
            <w:vAlign w:val="center"/>
          </w:tcPr>
          <w:p w14:paraId="0A732A85">
            <w:pPr>
              <w:adjustRightInd w:val="0"/>
              <w:snapToGrid w:val="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总量</w:t>
            </w:r>
          </w:p>
          <w:p w14:paraId="53117E16">
            <w:pPr>
              <w:adjustRightInd w:val="0"/>
              <w:snapToGrid w:val="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控制</w:t>
            </w:r>
          </w:p>
          <w:p w14:paraId="7A96B1BD">
            <w:pPr>
              <w:adjustRightInd w:val="0"/>
              <w:snapToGrid w:val="0"/>
              <w:jc w:val="center"/>
              <w:rPr>
                <w:rFonts w:ascii="宋体" w:hAnsi="宋体" w:cs="宋体"/>
                <w:color w:val="auto"/>
                <w:kern w:val="0"/>
                <w:szCs w:val="21"/>
                <w:highlight w:val="none"/>
              </w:rPr>
            </w:pPr>
            <w:r>
              <w:rPr>
                <w:rFonts w:hint="eastAsia" w:ascii="宋体" w:hAnsi="宋体" w:cs="宋体"/>
                <w:b/>
                <w:bCs/>
                <w:color w:val="auto"/>
                <w:kern w:val="0"/>
                <w:sz w:val="24"/>
                <w:szCs w:val="24"/>
                <w:highlight w:val="none"/>
              </w:rPr>
              <w:t>指标</w:t>
            </w:r>
          </w:p>
        </w:tc>
        <w:tc>
          <w:tcPr>
            <w:tcW w:w="8190" w:type="dxa"/>
            <w:noWrap w:val="0"/>
            <w:vAlign w:val="center"/>
          </w:tcPr>
          <w:p w14:paraId="77ACA0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《宁夏回族自治区“十四五”主要污染物减排综合工作方案》（宁生态环保办[2021]14 号），大气污染物排放总量控制因子为NOx、VOCs，水污染物排放总量控制因子为COD、NH</w:t>
            </w:r>
            <w:r>
              <w:rPr>
                <w:rFonts w:hint="default" w:ascii="Times New Roman" w:hAnsi="Times New Roman" w:eastAsia="仿宋_GB2312" w:cs="Times New Roman"/>
                <w:color w:val="auto"/>
                <w:sz w:val="24"/>
                <w:szCs w:val="24"/>
                <w:vertAlign w:val="subscript"/>
                <w:lang w:val="en-US" w:eastAsia="zh-CN"/>
              </w:rPr>
              <w:t>3</w:t>
            </w:r>
            <w:r>
              <w:rPr>
                <w:rFonts w:hint="default" w:ascii="Times New Roman" w:hAnsi="Times New Roman" w:eastAsia="仿宋_GB2312" w:cs="Times New Roman"/>
                <w:color w:val="auto"/>
                <w:sz w:val="24"/>
                <w:szCs w:val="24"/>
                <w:lang w:val="en-US" w:eastAsia="zh-CN"/>
              </w:rPr>
              <w:t>-N。</w:t>
            </w:r>
          </w:p>
          <w:p w14:paraId="29EE0D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本项目大气污染物为颗粒物，属无组织排放；生产过程无废水排放，</w:t>
            </w:r>
            <w:r>
              <w:rPr>
                <w:rFonts w:hint="eastAsia" w:eastAsia="仿宋_GB2312" w:cs="Times New Roman"/>
                <w:color w:val="auto"/>
                <w:sz w:val="24"/>
                <w:szCs w:val="24"/>
                <w:lang w:val="en-US" w:eastAsia="zh-CN"/>
              </w:rPr>
              <w:t>食堂废水经隔油设施处理后，与</w:t>
            </w:r>
            <w:r>
              <w:rPr>
                <w:rFonts w:hint="default" w:ascii="Times New Roman" w:hAnsi="Times New Roman" w:eastAsia="仿宋_GB2312" w:cs="Times New Roman"/>
                <w:color w:val="auto"/>
                <w:sz w:val="24"/>
                <w:szCs w:val="24"/>
                <w:lang w:val="en-US" w:eastAsia="zh-CN"/>
              </w:rPr>
              <w:t>生活污水</w:t>
            </w:r>
            <w:r>
              <w:rPr>
                <w:rFonts w:hint="eastAsia" w:eastAsia="仿宋_GB2312" w:cs="Times New Roman"/>
                <w:color w:val="auto"/>
                <w:sz w:val="24"/>
                <w:szCs w:val="24"/>
                <w:lang w:val="en-US" w:eastAsia="zh-CN"/>
              </w:rPr>
              <w:t>一同</w:t>
            </w:r>
            <w:r>
              <w:rPr>
                <w:rFonts w:hint="default" w:ascii="Times New Roman" w:hAnsi="Times New Roman" w:eastAsia="仿宋_GB2312" w:cs="Times New Roman"/>
                <w:color w:val="auto"/>
                <w:sz w:val="24"/>
                <w:szCs w:val="24"/>
                <w:lang w:val="en-US" w:eastAsia="zh-CN"/>
              </w:rPr>
              <w:t>经化粪池处理后，</w:t>
            </w:r>
            <w:r>
              <w:rPr>
                <w:rFonts w:hint="default" w:ascii="Times New Roman" w:hAnsi="Times New Roman" w:eastAsia="仿宋_GB2312" w:cs="Times New Roman"/>
                <w:b w:val="0"/>
                <w:bCs w:val="0"/>
                <w:color w:val="auto"/>
                <w:kern w:val="2"/>
                <w:sz w:val="24"/>
                <w:szCs w:val="24"/>
                <w:lang w:val="en-US" w:eastAsia="zh-CN" w:bidi="ar-SA"/>
              </w:rPr>
              <w:t>定期通过吸污车拉运至中卫市沙坡头区兴仁镇污水处理厂进行处理</w:t>
            </w:r>
            <w:r>
              <w:rPr>
                <w:rFonts w:hint="default" w:ascii="Times New Roman" w:hAnsi="Times New Roman" w:eastAsia="仿宋_GB2312" w:cs="Times New Roman"/>
                <w:color w:val="auto"/>
                <w:sz w:val="24"/>
                <w:szCs w:val="24"/>
                <w:lang w:val="en-US" w:eastAsia="zh-CN"/>
              </w:rPr>
              <w:t>。</w:t>
            </w:r>
          </w:p>
          <w:p w14:paraId="378712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lang w:val="en-US" w:eastAsia="zh-CN"/>
              </w:rPr>
            </w:pPr>
            <w:r>
              <w:rPr>
                <w:rFonts w:hint="default" w:ascii="Times New Roman" w:hAnsi="Times New Roman" w:eastAsia="仿宋_GB2312" w:cs="Times New Roman"/>
                <w:color w:val="auto"/>
                <w:sz w:val="24"/>
                <w:szCs w:val="24"/>
                <w:lang w:val="en-US" w:eastAsia="zh-CN"/>
              </w:rPr>
              <w:t>因此，本项目无需申请总量控制指标。</w:t>
            </w:r>
          </w:p>
        </w:tc>
      </w:tr>
    </w:tbl>
    <w:p w14:paraId="24E1CB36">
      <w:pPr>
        <w:pStyle w:val="19"/>
        <w:numPr>
          <w:ilvl w:val="0"/>
          <w:numId w:val="2"/>
        </w:numPr>
        <w:jc w:val="center"/>
        <w:outlineLvl w:val="0"/>
        <w:rPr>
          <w:rFonts w:hint="eastAsia"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主要环境影响和保护措施</w:t>
      </w:r>
    </w:p>
    <w:tbl>
      <w:tblPr>
        <w:tblStyle w:val="23"/>
        <w:tblW w:w="508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
        <w:gridCol w:w="761"/>
        <w:gridCol w:w="5"/>
        <w:gridCol w:w="8359"/>
        <w:gridCol w:w="5"/>
      </w:tblGrid>
      <w:tr w14:paraId="0D282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778" w:hRule="atLeast"/>
          <w:jc w:val="center"/>
        </w:trPr>
        <w:tc>
          <w:tcPr>
            <w:tcW w:w="759" w:type="dxa"/>
            <w:gridSpan w:val="2"/>
            <w:noWrap w:val="0"/>
            <w:tcMar>
              <w:left w:w="28" w:type="dxa"/>
              <w:right w:w="28" w:type="dxa"/>
            </w:tcMar>
            <w:vAlign w:val="center"/>
          </w:tcPr>
          <w:p w14:paraId="11A64326">
            <w:pPr>
              <w:pStyle w:val="19"/>
              <w:adjustRightInd w:val="0"/>
              <w:snapToGrid w:val="0"/>
              <w:spacing w:before="0" w:beforeAutospacing="0" w:after="0" w:afterAutospacing="0"/>
              <w:jc w:val="center"/>
              <w:rPr>
                <w:rFonts w:hint="eastAsia" w:cs="宋体"/>
                <w:b/>
                <w:bCs/>
                <w:color w:val="auto"/>
                <w:kern w:val="2"/>
                <w:sz w:val="24"/>
                <w:szCs w:val="24"/>
              </w:rPr>
            </w:pPr>
            <w:r>
              <w:rPr>
                <w:rFonts w:hint="eastAsia" w:cs="宋体"/>
                <w:b/>
                <w:bCs/>
                <w:color w:val="auto"/>
                <w:kern w:val="2"/>
                <w:sz w:val="24"/>
                <w:szCs w:val="24"/>
              </w:rPr>
              <w:t>施工</w:t>
            </w:r>
          </w:p>
          <w:p w14:paraId="6B8D46A0">
            <w:pPr>
              <w:pStyle w:val="19"/>
              <w:adjustRightInd w:val="0"/>
              <w:snapToGrid w:val="0"/>
              <w:spacing w:before="0" w:beforeAutospacing="0" w:after="0" w:afterAutospacing="0"/>
              <w:jc w:val="center"/>
              <w:rPr>
                <w:rFonts w:hint="eastAsia" w:cs="宋体"/>
                <w:b/>
                <w:bCs/>
                <w:color w:val="auto"/>
                <w:kern w:val="2"/>
                <w:sz w:val="24"/>
                <w:szCs w:val="24"/>
              </w:rPr>
            </w:pPr>
            <w:r>
              <w:rPr>
                <w:rFonts w:hint="eastAsia" w:cs="宋体"/>
                <w:b/>
                <w:bCs/>
                <w:color w:val="auto"/>
                <w:kern w:val="2"/>
                <w:sz w:val="24"/>
                <w:szCs w:val="24"/>
              </w:rPr>
              <w:t>期环</w:t>
            </w:r>
          </w:p>
          <w:p w14:paraId="57CC8501">
            <w:pPr>
              <w:pStyle w:val="19"/>
              <w:adjustRightInd w:val="0"/>
              <w:snapToGrid w:val="0"/>
              <w:spacing w:before="0" w:beforeAutospacing="0" w:after="0" w:afterAutospacing="0"/>
              <w:jc w:val="center"/>
              <w:rPr>
                <w:rFonts w:hint="eastAsia" w:cs="宋体"/>
                <w:b/>
                <w:bCs/>
                <w:color w:val="auto"/>
                <w:kern w:val="2"/>
                <w:sz w:val="24"/>
                <w:szCs w:val="24"/>
              </w:rPr>
            </w:pPr>
            <w:r>
              <w:rPr>
                <w:rFonts w:hint="eastAsia" w:cs="宋体"/>
                <w:b/>
                <w:bCs/>
                <w:color w:val="auto"/>
                <w:kern w:val="2"/>
                <w:sz w:val="24"/>
                <w:szCs w:val="24"/>
              </w:rPr>
              <w:t>境保</w:t>
            </w:r>
          </w:p>
          <w:p w14:paraId="3E999511">
            <w:pPr>
              <w:pStyle w:val="19"/>
              <w:adjustRightInd w:val="0"/>
              <w:snapToGrid w:val="0"/>
              <w:spacing w:before="0" w:beforeAutospacing="0" w:after="0" w:afterAutospacing="0"/>
              <w:jc w:val="center"/>
              <w:rPr>
                <w:rFonts w:hint="eastAsia" w:cs="宋体"/>
                <w:b/>
                <w:bCs/>
                <w:color w:val="auto"/>
                <w:kern w:val="2"/>
                <w:sz w:val="24"/>
                <w:szCs w:val="24"/>
              </w:rPr>
            </w:pPr>
            <w:r>
              <w:rPr>
                <w:rFonts w:hint="eastAsia" w:cs="宋体"/>
                <w:b/>
                <w:bCs/>
                <w:color w:val="auto"/>
                <w:kern w:val="2"/>
                <w:sz w:val="24"/>
                <w:szCs w:val="24"/>
              </w:rPr>
              <w:t>护措</w:t>
            </w:r>
          </w:p>
          <w:p w14:paraId="2D5035C0">
            <w:pPr>
              <w:pStyle w:val="19"/>
              <w:adjustRightInd w:val="0"/>
              <w:snapToGrid w:val="0"/>
              <w:spacing w:before="0" w:beforeAutospacing="0" w:after="0" w:afterAutospacing="0"/>
              <w:jc w:val="center"/>
              <w:rPr>
                <w:rFonts w:hint="eastAsia" w:cs="宋体"/>
                <w:bCs/>
                <w:color w:val="auto"/>
                <w:kern w:val="2"/>
                <w:sz w:val="21"/>
                <w:szCs w:val="21"/>
              </w:rPr>
            </w:pPr>
            <w:r>
              <w:rPr>
                <w:rFonts w:hint="eastAsia" w:cs="宋体"/>
                <w:b/>
                <w:bCs/>
                <w:color w:val="auto"/>
                <w:kern w:val="2"/>
                <w:sz w:val="24"/>
                <w:szCs w:val="24"/>
              </w:rPr>
              <w:t>施</w:t>
            </w:r>
          </w:p>
        </w:tc>
        <w:tc>
          <w:tcPr>
            <w:tcW w:w="8291" w:type="dxa"/>
            <w:gridSpan w:val="2"/>
            <w:noWrap w:val="0"/>
            <w:vAlign w:val="center"/>
          </w:tcPr>
          <w:p w14:paraId="327C25A2">
            <w:pPr>
              <w:adjustRightInd w:val="0"/>
              <w:snapToGrid w:val="0"/>
              <w:spacing w:before="120" w:beforeLines="50" w:line="360" w:lineRule="auto"/>
              <w:rPr>
                <w:rFonts w:hint="default" w:ascii="Times New Roman" w:hAnsi="Times New Roman" w:eastAsia="宋体" w:cs="Times New Roman"/>
                <w:b/>
                <w:bCs/>
                <w:color w:val="auto"/>
                <w:sz w:val="24"/>
                <w:szCs w:val="24"/>
              </w:rPr>
            </w:pPr>
            <w:r>
              <w:rPr>
                <w:rFonts w:hint="eastAsia"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.施工期大气环境影响防治措施</w:t>
            </w:r>
          </w:p>
          <w:p w14:paraId="48EB03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施工期</w:t>
            </w:r>
            <w:r>
              <w:rPr>
                <w:rFonts w:hint="default" w:ascii="Times New Roman" w:hAnsi="Times New Roman" w:eastAsia="仿宋_GB2312" w:cs="Times New Roman"/>
                <w:color w:val="auto"/>
                <w:sz w:val="24"/>
                <w:szCs w:val="24"/>
              </w:rPr>
              <w:t>大气环境影响</w:t>
            </w:r>
            <w:r>
              <w:rPr>
                <w:rFonts w:hint="default" w:ascii="Times New Roman" w:hAnsi="Times New Roman" w:eastAsia="仿宋_GB2312" w:cs="Times New Roman"/>
                <w:color w:val="auto"/>
                <w:sz w:val="24"/>
                <w:szCs w:val="24"/>
                <w:lang w:eastAsia="zh-CN"/>
              </w:rPr>
              <w:t>主要包括施工扬尘及施工车辆废气污染。</w:t>
            </w:r>
          </w:p>
          <w:p w14:paraId="28F49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项目施工期扬尘主要来源于土方的开挖、回填和场地平整等过程</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建筑材料</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土方等装卸、运输、堆放</w:t>
            </w:r>
            <w:r>
              <w:rPr>
                <w:rFonts w:hint="default" w:ascii="Times New Roman" w:hAnsi="Times New Roman" w:eastAsia="仿宋_GB2312" w:cs="Times New Roman"/>
                <w:color w:val="auto"/>
                <w:sz w:val="24"/>
                <w:szCs w:val="24"/>
                <w:lang w:eastAsia="zh-CN"/>
              </w:rPr>
              <w:t>以及</w:t>
            </w:r>
            <w:r>
              <w:rPr>
                <w:rFonts w:hint="default" w:ascii="Times New Roman" w:hAnsi="Times New Roman" w:eastAsia="仿宋_GB2312" w:cs="Times New Roman"/>
                <w:color w:val="auto"/>
                <w:sz w:val="24"/>
                <w:szCs w:val="24"/>
              </w:rPr>
              <w:t>运输车辆往来造成地面扬尘；施工垃圾堆放及清运过程中产生扬尘。</w:t>
            </w:r>
            <w:r>
              <w:rPr>
                <w:rFonts w:hint="default" w:ascii="Times New Roman" w:hAnsi="Times New Roman" w:eastAsia="仿宋_GB2312" w:cs="Times New Roman"/>
                <w:color w:val="auto"/>
                <w:sz w:val="24"/>
                <w:szCs w:val="24"/>
                <w:lang w:eastAsia="zh-CN"/>
              </w:rPr>
              <w:t>因此</w:t>
            </w:r>
            <w:r>
              <w:rPr>
                <w:rFonts w:hint="default" w:ascii="Times New Roman" w:hAnsi="Times New Roman" w:eastAsia="仿宋_GB2312" w:cs="Times New Roman"/>
                <w:color w:val="auto"/>
                <w:sz w:val="24"/>
                <w:szCs w:val="24"/>
              </w:rPr>
              <w:t>须采取合理可行的控制措施减轻</w:t>
            </w:r>
            <w:r>
              <w:rPr>
                <w:rFonts w:hint="default" w:ascii="Times New Roman" w:hAnsi="Times New Roman" w:eastAsia="仿宋_GB2312" w:cs="Times New Roman"/>
                <w:color w:val="auto"/>
                <w:sz w:val="24"/>
                <w:szCs w:val="24"/>
                <w:lang w:eastAsia="zh-CN"/>
              </w:rPr>
              <w:t>扬尘</w:t>
            </w:r>
            <w:r>
              <w:rPr>
                <w:rFonts w:hint="default" w:ascii="Times New Roman" w:hAnsi="Times New Roman" w:eastAsia="仿宋_GB2312" w:cs="Times New Roman"/>
                <w:color w:val="auto"/>
                <w:sz w:val="24"/>
                <w:szCs w:val="24"/>
              </w:rPr>
              <w:t>污染。同时，为减少施工扬尘，施工时须满足《关于进一步加强施工工地和道路扬尘管控工作的通知》（建办质[2019]23号）、《宁夏回族自治区大气污染防治条例》相关要求，采取“六个百分百”防尘措施：做到施工工地100%落实围挡，施工现场地面100%硬化，出入口100%设置冲洗设施，驶出车辆100%冲洗，沙石渣土车辆100%遮盖，施工区域裸露空地堆场100%遮盖防尘网或喷洒抑尘剂，施工作业避开大风天气等措施。本项目施工期扬尘采取的主要防治措施有：</w:t>
            </w:r>
          </w:p>
          <w:p w14:paraId="67CB1F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①施工现场设置2.5m高围挡，进行开挖作业及装卸易产生扬尘的物料时，对作业面及物料适当喷水，使其保持一定湿度，控制施工扬尘产生量；</w:t>
            </w:r>
          </w:p>
          <w:p w14:paraId="32A106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②运输土方、粉状物料等易产生扬尘污染的车辆，装载高度不得超过车辆护栏，并采取遮盖措施，减少沿途抛洒，易产生扬尘的路段车辆应慢速行驶，保持车辆进出施工现场出入口路面清洁、湿润，同时在车辆出入口竖立减速标牌，限制行车速度；</w:t>
            </w:r>
          </w:p>
          <w:p w14:paraId="00880C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③施工场地出口处铺装道路上可见粘带泥土长度不得超过10m，工地出口处配备运输车辆轮胎冲洗台，运输车辆出场前对轮胎进行冲洗，合理安排车辆运输时间和运输路线，不得带泥上路，污染路面应及时清扫冲洗；</w:t>
            </w:r>
          </w:p>
          <w:p w14:paraId="323057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④施工材料集中堆放，施工时开挖的土方及时回填，土方不能及时回填时，在有风或大雨天气应采取临时遮盖措施，避免或减少因工程施工引起的扬尘对周围环境的不利影响；</w:t>
            </w:r>
          </w:p>
          <w:p w14:paraId="3CC117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⑤当风速过大时，停止施工作业，并进行洒水抑尘，对堆存易产生扬尘的施工材料采取遮盖措施</w:t>
            </w:r>
            <w:r>
              <w:rPr>
                <w:rFonts w:hint="default" w:ascii="Times New Roman" w:hAnsi="Times New Roman" w:eastAsia="仿宋_GB2312" w:cs="Times New Roman"/>
                <w:color w:val="auto"/>
                <w:sz w:val="24"/>
                <w:szCs w:val="24"/>
                <w:lang w:eastAsia="zh-CN"/>
              </w:rPr>
              <w:t>；</w:t>
            </w:r>
          </w:p>
          <w:p w14:paraId="7AF06B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⑥工程完工后及时清理施工场地，减缓扬尘污染</w:t>
            </w:r>
            <w:r>
              <w:rPr>
                <w:rFonts w:hint="default" w:ascii="Times New Roman" w:hAnsi="Times New Roman" w:eastAsia="仿宋_GB2312" w:cs="Times New Roman"/>
                <w:color w:val="auto"/>
                <w:sz w:val="24"/>
                <w:szCs w:val="24"/>
                <w:lang w:eastAsia="zh-CN"/>
              </w:rPr>
              <w:t>。同时，施工期</w:t>
            </w:r>
            <w:r>
              <w:rPr>
                <w:rFonts w:hint="default" w:ascii="Times New Roman" w:hAnsi="Times New Roman" w:eastAsia="仿宋_GB2312" w:cs="Times New Roman"/>
                <w:color w:val="auto"/>
                <w:sz w:val="24"/>
                <w:szCs w:val="24"/>
              </w:rPr>
              <w:t>选用低能耗、低污染排放的运输车辆；注意车辆维修保养，减少</w:t>
            </w:r>
            <w:r>
              <w:rPr>
                <w:rFonts w:hint="default" w:ascii="Times New Roman" w:hAnsi="Times New Roman" w:eastAsia="仿宋_GB2312" w:cs="Times New Roman"/>
                <w:color w:val="auto"/>
                <w:sz w:val="24"/>
                <w:szCs w:val="24"/>
                <w:lang w:eastAsia="zh-CN"/>
              </w:rPr>
              <w:t>运输车辆废气造成的</w:t>
            </w:r>
            <w:r>
              <w:rPr>
                <w:rFonts w:hint="default" w:ascii="Times New Roman" w:hAnsi="Times New Roman" w:eastAsia="仿宋_GB2312" w:cs="Times New Roman"/>
                <w:color w:val="auto"/>
                <w:sz w:val="24"/>
                <w:szCs w:val="24"/>
              </w:rPr>
              <w:t>空气污染。</w:t>
            </w:r>
          </w:p>
          <w:p w14:paraId="204CD8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color w:val="auto"/>
                <w:sz w:val="24"/>
                <w:szCs w:val="24"/>
                <w:lang w:val="en-US" w:eastAsia="zh-CN"/>
              </w:rPr>
              <w:instrText xml:space="preserve"> = 7 \* GB3 \* MERGEFORMAT </w:instrText>
            </w:r>
            <w:r>
              <w:rPr>
                <w:rFonts w:hint="default" w:ascii="Times New Roman" w:hAnsi="Times New Roman" w:eastAsia="仿宋_GB2312" w:cs="Times New Roman"/>
                <w:color w:val="auto"/>
                <w:sz w:val="24"/>
                <w:szCs w:val="24"/>
                <w:lang w:val="en-US" w:eastAsia="zh-CN"/>
              </w:rPr>
              <w:fldChar w:fldCharType="separate"/>
            </w:r>
            <w:r>
              <w:rPr>
                <w:rFonts w:hint="default" w:ascii="Times New Roman" w:hAnsi="Times New Roman" w:eastAsia="仿宋_GB2312" w:cs="Times New Roman"/>
                <w:color w:val="auto"/>
                <w:sz w:val="24"/>
                <w:szCs w:val="24"/>
                <w:lang w:val="en-US" w:eastAsia="zh-CN"/>
              </w:rPr>
              <w:t>⑦</w:t>
            </w:r>
            <w:r>
              <w:rPr>
                <w:rFonts w:hint="default" w:ascii="Times New Roman" w:hAnsi="Times New Roman" w:eastAsia="仿宋_GB2312" w:cs="Times New Roman"/>
                <w:color w:val="auto"/>
                <w:sz w:val="24"/>
                <w:szCs w:val="24"/>
                <w:lang w:val="en-US" w:eastAsia="zh-CN"/>
              </w:rPr>
              <w:fldChar w:fldCharType="end"/>
            </w:r>
            <w:r>
              <w:rPr>
                <w:rFonts w:hint="default" w:ascii="Times New Roman" w:hAnsi="Times New Roman" w:eastAsia="仿宋_GB2312" w:cs="Times New Roman"/>
                <w:color w:val="auto"/>
                <w:sz w:val="24"/>
                <w:szCs w:val="24"/>
                <w:lang w:val="en-US" w:eastAsia="zh-CN"/>
              </w:rPr>
              <w:t>敏感点保护</w:t>
            </w:r>
          </w:p>
          <w:p w14:paraId="2A343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 xml:space="preserve">临近敏感点作业应缩短施工时间、控制施工面积，及时采取有效的围挡、遮盖措施，降低对居民生活的影响。 </w:t>
            </w:r>
          </w:p>
          <w:p w14:paraId="7E35D5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运输车辆途经人口密集居民区时，车速不得超过15km/h；施工区应配备洒水车，在干燥季节每日对施工运输车辆经过的环境敏感地段洒水4～6次，同时道路应及时洒扫，减少物料运输扬尘对道路两侧居民影响。</w:t>
            </w:r>
          </w:p>
          <w:p w14:paraId="16FB5D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项目对施工期废气严格采取上述防治措施后，可得到有效控制，对环境影响较小。</w:t>
            </w:r>
          </w:p>
          <w:p w14:paraId="7C1C2EF0">
            <w:pPr>
              <w:keepNext w:val="0"/>
              <w:keepLines w:val="0"/>
              <w:pageBreakBefore w:val="0"/>
              <w:widowControl w:val="0"/>
              <w:kinsoku/>
              <w:wordWrap/>
              <w:topLinePunct w:val="0"/>
              <w:autoSpaceDE/>
              <w:autoSpaceDN/>
              <w:bidi w:val="0"/>
              <w:adjustRightInd w:val="0"/>
              <w:snapToGrid w:val="0"/>
              <w:spacing w:before="120" w:beforeLines="50" w:line="336" w:lineRule="auto"/>
              <w:textAlignment w:val="auto"/>
              <w:rPr>
                <w:rFonts w:hint="default" w:ascii="Times New Roman" w:hAnsi="Times New Roman" w:eastAsia="宋体" w:cs="Times New Roman"/>
                <w:b/>
                <w:bCs/>
                <w:color w:val="auto"/>
                <w:sz w:val="24"/>
                <w:szCs w:val="24"/>
              </w:rPr>
            </w:pPr>
            <w:r>
              <w:rPr>
                <w:rFonts w:hint="eastAsia"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.施工期水环境影响防治措施</w:t>
            </w:r>
          </w:p>
          <w:p w14:paraId="7D408C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rPr>
            </w:pPr>
            <w:r>
              <w:rPr>
                <w:rFonts w:hint="eastAsia" w:ascii="仿宋_GB2312" w:hAnsi="仿宋_GB2312" w:eastAsia="仿宋_GB2312" w:cs="仿宋_GB2312"/>
                <w:color w:val="auto"/>
                <w:sz w:val="24"/>
                <w:szCs w:val="24"/>
              </w:rPr>
              <w:t>本项目施工期建设1座临时沉淀池，施工废水经沉淀处理后用于施工场地泼洒抑尘；工人生活产生的少量洗漱废水，用于施工场地泼洒抑尘，同时拟建设的1座防渗型环保旱厕供工人如厕使用。施工期严格控制施工废水排放，不会对水环境产生影响。</w:t>
            </w:r>
          </w:p>
          <w:p w14:paraId="0DCDABCE">
            <w:pPr>
              <w:keepNext w:val="0"/>
              <w:keepLines w:val="0"/>
              <w:pageBreakBefore w:val="0"/>
              <w:widowControl w:val="0"/>
              <w:kinsoku/>
              <w:wordWrap/>
              <w:topLinePunct w:val="0"/>
              <w:autoSpaceDE/>
              <w:autoSpaceDN/>
              <w:bidi w:val="0"/>
              <w:adjustRightInd w:val="0"/>
              <w:snapToGrid w:val="0"/>
              <w:spacing w:before="120" w:beforeLines="50" w:line="336" w:lineRule="auto"/>
              <w:textAlignment w:val="auto"/>
              <w:rPr>
                <w:rFonts w:hint="default" w:ascii="Times New Roman" w:hAnsi="Times New Roman" w:eastAsia="宋体" w:cs="Times New Roman"/>
                <w:b/>
                <w:bCs/>
                <w:color w:val="auto"/>
                <w:sz w:val="24"/>
                <w:szCs w:val="24"/>
              </w:rPr>
            </w:pPr>
            <w:r>
              <w:rPr>
                <w:rFonts w:hint="eastAsia"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.施工期固体废物环境影响防治措施</w:t>
            </w:r>
          </w:p>
          <w:p w14:paraId="10262B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施工期产生的固体废物主要为建筑垃圾、沉淀池沉渣及生活垃圾</w:t>
            </w:r>
            <w:r>
              <w:rPr>
                <w:rFonts w:hint="eastAsia" w:ascii="仿宋_GB2312" w:hAnsi="仿宋_GB2312" w:eastAsia="仿宋_GB2312" w:cs="仿宋_GB2312"/>
                <w:color w:val="auto"/>
                <w:sz w:val="24"/>
                <w:szCs w:val="24"/>
                <w:lang w:eastAsia="zh-CN"/>
              </w:rPr>
              <w:t>。建筑垃圾、沉淀池沉渣及时清运至中卫市指定的建筑垃圾场，不能及时清运的建筑垃圾用防尘网遮盖；设置生活垃圾分类收集箱，垃圾集中收集后交由环卫部门统一处理。</w:t>
            </w:r>
          </w:p>
          <w:p w14:paraId="6BD3F797">
            <w:pPr>
              <w:keepNext w:val="0"/>
              <w:keepLines w:val="0"/>
              <w:pageBreakBefore w:val="0"/>
              <w:widowControl w:val="0"/>
              <w:kinsoku/>
              <w:wordWrap/>
              <w:overflowPunct/>
              <w:topLinePunct w:val="0"/>
              <w:autoSpaceDE/>
              <w:autoSpaceDN/>
              <w:bidi w:val="0"/>
              <w:adjustRightInd w:val="0"/>
              <w:snapToGrid w:val="0"/>
              <w:spacing w:before="120" w:beforeLines="50" w:line="336" w:lineRule="auto"/>
              <w:textAlignment w:val="auto"/>
              <w:rPr>
                <w:rFonts w:hint="default" w:ascii="Times New Roman" w:hAnsi="Times New Roman" w:eastAsia="宋体" w:cs="Times New Roman"/>
                <w:b/>
                <w:bCs/>
                <w:color w:val="auto"/>
                <w:sz w:val="24"/>
                <w:szCs w:val="24"/>
              </w:rPr>
            </w:pPr>
            <w:r>
              <w:rPr>
                <w:rFonts w:hint="eastAsia"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.施工期声环境影响防治措施</w:t>
            </w:r>
          </w:p>
          <w:p w14:paraId="4E8D3F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本项目施工期噪声源</w:t>
            </w:r>
            <w:r>
              <w:rPr>
                <w:rFonts w:hint="default" w:ascii="Times New Roman" w:hAnsi="Times New Roman" w:eastAsia="仿宋_GB2312" w:cs="Times New Roman"/>
                <w:color w:val="auto"/>
                <w:sz w:val="24"/>
                <w:szCs w:val="24"/>
                <w:lang w:eastAsia="zh-CN"/>
              </w:rPr>
              <w:t>主要</w:t>
            </w:r>
            <w:r>
              <w:rPr>
                <w:rFonts w:hint="default" w:ascii="Times New Roman" w:hAnsi="Times New Roman" w:eastAsia="仿宋_GB2312" w:cs="Times New Roman"/>
                <w:color w:val="auto"/>
                <w:sz w:val="24"/>
                <w:szCs w:val="24"/>
              </w:rPr>
              <w:t>为</w:t>
            </w:r>
            <w:r>
              <w:rPr>
                <w:rFonts w:hint="default" w:ascii="Times New Roman" w:hAnsi="Times New Roman" w:eastAsia="仿宋_GB2312" w:cs="Times New Roman"/>
                <w:color w:val="auto"/>
                <w:sz w:val="24"/>
                <w:szCs w:val="24"/>
                <w:lang w:eastAsia="zh-CN"/>
              </w:rPr>
              <w:t>施工机械</w:t>
            </w:r>
            <w:r>
              <w:rPr>
                <w:rFonts w:hint="default" w:ascii="Times New Roman" w:hAnsi="Times New Roman" w:eastAsia="仿宋_GB2312" w:cs="Times New Roman"/>
                <w:color w:val="auto"/>
                <w:sz w:val="24"/>
                <w:szCs w:val="24"/>
              </w:rPr>
              <w:t>以及施工运输车辆等，产生的噪声源强在85-95dB（A）之间。采取以下噪声防治措施：</w:t>
            </w:r>
          </w:p>
          <w:p w14:paraId="4328C8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①施工场地设置2.5m高围挡，并在围挡内设置防噪挡板；</w:t>
            </w:r>
          </w:p>
          <w:p w14:paraId="428D01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②优先选用低噪声施工机械，合理安排施工时间；</w:t>
            </w:r>
          </w:p>
          <w:p w14:paraId="7BC202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③施工现场设置禁止鸣笛、慢行标志牌及车辆指引牌</w:t>
            </w:r>
          </w:p>
          <w:p w14:paraId="436A40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④同一施工地点应避免安排大量动力机械设备，以免局部累积声级过高；</w:t>
            </w:r>
          </w:p>
          <w:p w14:paraId="11A678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⑤固定施工机械设备可通过安装排气管消声器和隔离发动机振动部件的方法降低噪声；对动力机械设备进行定期的维修、养护，设备用完或不用应立即关闭</w:t>
            </w:r>
            <w:r>
              <w:rPr>
                <w:rFonts w:hint="default" w:ascii="Times New Roman" w:hAnsi="Times New Roman" w:eastAsia="仿宋_GB2312" w:cs="Times New Roman"/>
                <w:color w:val="auto"/>
                <w:sz w:val="24"/>
                <w:szCs w:val="24"/>
                <w:lang w:eastAsia="zh-CN"/>
              </w:rPr>
              <w:t>；</w:t>
            </w:r>
          </w:p>
          <w:p w14:paraId="19D6B8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⑥加强管理，文明施工，建筑器械、材料轻拿轻放，尽量减少人为噪声。</w:t>
            </w:r>
          </w:p>
          <w:p w14:paraId="0420EA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 w:cs="Times New Roman"/>
                <w:color w:val="auto"/>
                <w:kern w:val="2"/>
                <w:szCs w:val="24"/>
                <w:lang w:val="en-US" w:eastAsia="zh-CN" w:bidi="ar-SA"/>
              </w:rPr>
            </w:pPr>
            <w:r>
              <w:rPr>
                <w:rFonts w:hint="default" w:ascii="Times New Roman" w:hAnsi="Times New Roman" w:eastAsia="仿宋_GB2312" w:cs="Times New Roman"/>
                <w:color w:val="auto"/>
                <w:sz w:val="24"/>
                <w:szCs w:val="24"/>
              </w:rPr>
              <w:t>采取以上措施后，施工期各类机械设备产生的噪声对周围环境影响较小。</w:t>
            </w:r>
          </w:p>
          <w:p w14:paraId="35994C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5、施工期环境管理要求</w:t>
            </w:r>
          </w:p>
          <w:p w14:paraId="394103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⑴项目在施工建设期间，必须切实落实各项污染防治措施，尤其是扬尘污染防治措施，严格加强施工管理，安排专人负责施工期的环境管理与监督，减少施工作业对周围环境的影响；</w:t>
            </w:r>
          </w:p>
          <w:p w14:paraId="4F179F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⑵项目施工期，建设单位应与建设施工单位签订环保责任合同，由施工单位负责场地环境管理，并接受当地环保部门监督、管理；</w:t>
            </w:r>
          </w:p>
          <w:p w14:paraId="01CA65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⑶针对施工扬尘，须在项目开工前十五日，到环境保护行政主管部门履行有关扬尘污染的排污申请登记，提交扬尘防治措施方案。</w:t>
            </w:r>
          </w:p>
          <w:p w14:paraId="44834C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⑷施工结束后，及时清理场地，减少对生态环境的影响。</w:t>
            </w:r>
          </w:p>
          <w:p w14:paraId="51CA77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综上所述，本项目施工期间会对外环境造成不同程度的影响，采取有效防治措施将施工期对外环境的影响降至最低，且施工期的影响随着施工的结束，也随之逐渐消失。</w:t>
            </w:r>
          </w:p>
          <w:p w14:paraId="20A4A139">
            <w:pPr>
              <w:pStyle w:val="4"/>
              <w:rPr>
                <w:rFonts w:hint="default" w:ascii="Times New Roman" w:hAnsi="Times New Roman" w:eastAsia="仿宋_GB2312" w:cs="Times New Roman"/>
                <w:color w:val="auto"/>
                <w:kern w:val="2"/>
                <w:sz w:val="24"/>
                <w:szCs w:val="24"/>
                <w:lang w:val="en-US" w:eastAsia="zh-CN" w:bidi="ar-SA"/>
              </w:rPr>
            </w:pPr>
          </w:p>
          <w:p w14:paraId="2C9C448B">
            <w:pPr>
              <w:pStyle w:val="5"/>
              <w:rPr>
                <w:rFonts w:hint="default" w:ascii="Times New Roman" w:hAnsi="Times New Roman" w:eastAsia="仿宋_GB2312" w:cs="Times New Roman"/>
                <w:color w:val="auto"/>
                <w:kern w:val="2"/>
                <w:sz w:val="24"/>
                <w:szCs w:val="24"/>
                <w:lang w:val="en-US" w:eastAsia="zh-CN" w:bidi="ar-SA"/>
              </w:rPr>
            </w:pPr>
          </w:p>
          <w:p w14:paraId="690E2E99">
            <w:pPr>
              <w:rPr>
                <w:rFonts w:hint="default" w:ascii="Times New Roman" w:hAnsi="Times New Roman" w:eastAsia="仿宋_GB2312" w:cs="Times New Roman"/>
                <w:color w:val="auto"/>
                <w:kern w:val="2"/>
                <w:sz w:val="24"/>
                <w:szCs w:val="24"/>
                <w:lang w:val="en-US" w:eastAsia="zh-CN" w:bidi="ar-SA"/>
              </w:rPr>
            </w:pPr>
          </w:p>
          <w:p w14:paraId="7045D766">
            <w:pPr>
              <w:pStyle w:val="4"/>
              <w:rPr>
                <w:rFonts w:hint="default" w:ascii="Times New Roman" w:hAnsi="Times New Roman" w:eastAsia="仿宋_GB2312" w:cs="Times New Roman"/>
                <w:color w:val="auto"/>
                <w:kern w:val="2"/>
                <w:sz w:val="24"/>
                <w:szCs w:val="24"/>
                <w:lang w:val="en-US" w:eastAsia="zh-CN" w:bidi="ar-SA"/>
              </w:rPr>
            </w:pPr>
          </w:p>
          <w:p w14:paraId="0F6BAB71">
            <w:pPr>
              <w:pStyle w:val="5"/>
              <w:rPr>
                <w:rFonts w:hint="default" w:ascii="Times New Roman" w:hAnsi="Times New Roman" w:eastAsia="仿宋_GB2312" w:cs="Times New Roman"/>
                <w:color w:val="auto"/>
                <w:kern w:val="2"/>
                <w:sz w:val="24"/>
                <w:szCs w:val="24"/>
                <w:lang w:val="en-US" w:eastAsia="zh-CN" w:bidi="ar-SA"/>
              </w:rPr>
            </w:pPr>
          </w:p>
          <w:p w14:paraId="576280E9">
            <w:pPr>
              <w:rPr>
                <w:rFonts w:hint="default" w:ascii="Times New Roman" w:hAnsi="Times New Roman" w:eastAsia="仿宋_GB2312" w:cs="Times New Roman"/>
                <w:color w:val="auto"/>
                <w:kern w:val="2"/>
                <w:sz w:val="24"/>
                <w:szCs w:val="24"/>
                <w:lang w:val="en-US" w:eastAsia="zh-CN" w:bidi="ar-SA"/>
              </w:rPr>
            </w:pPr>
          </w:p>
          <w:p w14:paraId="49DC4D18">
            <w:pPr>
              <w:pStyle w:val="4"/>
              <w:rPr>
                <w:rFonts w:hint="default" w:ascii="Times New Roman" w:hAnsi="Times New Roman" w:eastAsia="仿宋_GB2312" w:cs="Times New Roman"/>
                <w:color w:val="auto"/>
                <w:kern w:val="2"/>
                <w:sz w:val="24"/>
                <w:szCs w:val="24"/>
                <w:lang w:val="en-US" w:eastAsia="zh-CN" w:bidi="ar-SA"/>
              </w:rPr>
            </w:pPr>
          </w:p>
          <w:p w14:paraId="01D8FB4E">
            <w:pPr>
              <w:pStyle w:val="5"/>
              <w:rPr>
                <w:rFonts w:hint="default" w:ascii="Times New Roman" w:hAnsi="Times New Roman" w:eastAsia="仿宋_GB2312" w:cs="Times New Roman"/>
                <w:color w:val="auto"/>
                <w:kern w:val="2"/>
                <w:sz w:val="24"/>
                <w:szCs w:val="24"/>
                <w:lang w:val="en-US" w:eastAsia="zh-CN" w:bidi="ar-SA"/>
              </w:rPr>
            </w:pPr>
          </w:p>
          <w:p w14:paraId="52C477D1">
            <w:pPr>
              <w:rPr>
                <w:rFonts w:hint="default" w:ascii="Times New Roman" w:hAnsi="Times New Roman" w:eastAsia="仿宋_GB2312" w:cs="Times New Roman"/>
                <w:color w:val="auto"/>
                <w:kern w:val="2"/>
                <w:sz w:val="24"/>
                <w:szCs w:val="24"/>
                <w:lang w:val="en-US" w:eastAsia="zh-CN" w:bidi="ar-SA"/>
              </w:rPr>
            </w:pPr>
          </w:p>
          <w:p w14:paraId="1E4CDEDA">
            <w:pPr>
              <w:pStyle w:val="5"/>
              <w:jc w:val="both"/>
              <w:rPr>
                <w:color w:val="auto"/>
              </w:rPr>
            </w:pPr>
          </w:p>
          <w:p w14:paraId="37F0746F">
            <w:pPr>
              <w:rPr>
                <w:color w:val="auto"/>
              </w:rPr>
            </w:pPr>
          </w:p>
        </w:tc>
      </w:tr>
      <w:tr w14:paraId="2829C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801" w:hRule="atLeast"/>
          <w:jc w:val="center"/>
        </w:trPr>
        <w:tc>
          <w:tcPr>
            <w:tcW w:w="759" w:type="dxa"/>
            <w:gridSpan w:val="2"/>
            <w:noWrap w:val="0"/>
            <w:tcMar>
              <w:left w:w="28" w:type="dxa"/>
              <w:right w:w="28" w:type="dxa"/>
            </w:tcMar>
            <w:vAlign w:val="center"/>
          </w:tcPr>
          <w:p w14:paraId="75251008">
            <w:pPr>
              <w:adjustRightInd w:val="0"/>
              <w:snapToGrid w:val="0"/>
              <w:jc w:val="center"/>
              <w:rPr>
                <w:rFonts w:hint="eastAsia" w:ascii="宋体" w:hAnsi="宋体" w:cs="宋体"/>
                <w:b/>
                <w:bCs w:val="0"/>
                <w:color w:val="auto"/>
                <w:sz w:val="24"/>
                <w:szCs w:val="24"/>
              </w:rPr>
            </w:pPr>
            <w:r>
              <w:rPr>
                <w:rFonts w:hint="eastAsia" w:ascii="宋体" w:hAnsi="宋体" w:cs="宋体"/>
                <w:b/>
                <w:bCs w:val="0"/>
                <w:color w:val="auto"/>
                <w:sz w:val="24"/>
                <w:szCs w:val="24"/>
                <w:lang w:val="en-US" w:eastAsia="zh-CN"/>
              </w:rPr>
              <w:t>运营</w:t>
            </w:r>
            <w:r>
              <w:rPr>
                <w:rFonts w:hint="eastAsia" w:ascii="宋体" w:hAnsi="宋体" w:cs="宋体"/>
                <w:b/>
                <w:bCs w:val="0"/>
                <w:color w:val="auto"/>
                <w:sz w:val="24"/>
                <w:szCs w:val="24"/>
              </w:rPr>
              <w:t>期环</w:t>
            </w:r>
          </w:p>
          <w:p w14:paraId="06E1CC8A">
            <w:pPr>
              <w:adjustRightInd w:val="0"/>
              <w:snapToGrid w:val="0"/>
              <w:jc w:val="center"/>
              <w:rPr>
                <w:rFonts w:hint="eastAsia" w:ascii="宋体" w:hAnsi="宋体" w:cs="宋体"/>
                <w:b/>
                <w:bCs w:val="0"/>
                <w:color w:val="auto"/>
                <w:sz w:val="24"/>
                <w:szCs w:val="24"/>
              </w:rPr>
            </w:pPr>
            <w:r>
              <w:rPr>
                <w:rFonts w:hint="eastAsia" w:ascii="宋体" w:hAnsi="宋体" w:cs="宋体"/>
                <w:b/>
                <w:bCs w:val="0"/>
                <w:color w:val="auto"/>
                <w:sz w:val="24"/>
                <w:szCs w:val="24"/>
              </w:rPr>
              <w:t>境影</w:t>
            </w:r>
          </w:p>
          <w:p w14:paraId="3F5F71B7">
            <w:pPr>
              <w:adjustRightInd w:val="0"/>
              <w:snapToGrid w:val="0"/>
              <w:jc w:val="center"/>
              <w:rPr>
                <w:rFonts w:hint="eastAsia" w:ascii="宋体" w:hAnsi="宋体" w:cs="宋体"/>
                <w:b/>
                <w:bCs w:val="0"/>
                <w:color w:val="auto"/>
                <w:sz w:val="24"/>
                <w:szCs w:val="24"/>
              </w:rPr>
            </w:pPr>
            <w:r>
              <w:rPr>
                <w:rFonts w:hint="eastAsia" w:ascii="宋体" w:hAnsi="宋体" w:cs="宋体"/>
                <w:b/>
                <w:bCs w:val="0"/>
                <w:color w:val="auto"/>
                <w:sz w:val="24"/>
                <w:szCs w:val="24"/>
              </w:rPr>
              <w:t>响和</w:t>
            </w:r>
          </w:p>
          <w:p w14:paraId="2CCFE50F">
            <w:pPr>
              <w:adjustRightInd w:val="0"/>
              <w:snapToGrid w:val="0"/>
              <w:jc w:val="center"/>
              <w:rPr>
                <w:rFonts w:hint="eastAsia" w:ascii="宋体" w:hAnsi="宋体" w:cs="宋体"/>
                <w:b/>
                <w:bCs w:val="0"/>
                <w:color w:val="auto"/>
                <w:sz w:val="24"/>
                <w:szCs w:val="24"/>
              </w:rPr>
            </w:pPr>
            <w:r>
              <w:rPr>
                <w:rFonts w:hint="eastAsia" w:ascii="宋体" w:hAnsi="宋体" w:cs="宋体"/>
                <w:b/>
                <w:bCs w:val="0"/>
                <w:color w:val="auto"/>
                <w:sz w:val="24"/>
                <w:szCs w:val="24"/>
              </w:rPr>
              <w:t>保护</w:t>
            </w:r>
          </w:p>
          <w:p w14:paraId="1DF99B43">
            <w:pPr>
              <w:adjustRightInd w:val="0"/>
              <w:snapToGrid w:val="0"/>
              <w:jc w:val="center"/>
              <w:rPr>
                <w:rFonts w:ascii="宋体" w:hAnsi="宋体" w:cs="宋体"/>
                <w:bCs/>
                <w:color w:val="auto"/>
                <w:szCs w:val="21"/>
              </w:rPr>
            </w:pPr>
            <w:r>
              <w:rPr>
                <w:rFonts w:hint="eastAsia" w:ascii="宋体" w:hAnsi="宋体" w:cs="宋体"/>
                <w:b/>
                <w:bCs w:val="0"/>
                <w:color w:val="auto"/>
                <w:sz w:val="24"/>
                <w:szCs w:val="24"/>
              </w:rPr>
              <w:t>措施</w:t>
            </w:r>
          </w:p>
        </w:tc>
        <w:tc>
          <w:tcPr>
            <w:tcW w:w="8291" w:type="dxa"/>
            <w:gridSpan w:val="2"/>
            <w:noWrap w:val="0"/>
            <w:vAlign w:val="center"/>
          </w:tcPr>
          <w:p w14:paraId="616270EC">
            <w:pPr>
              <w:keepNext w:val="0"/>
              <w:keepLines w:val="0"/>
              <w:pageBreakBefore w:val="0"/>
              <w:widowControl w:val="0"/>
              <w:numPr>
                <w:ilvl w:val="0"/>
                <w:numId w:val="0"/>
              </w:numPr>
              <w:kinsoku/>
              <w:wordWrap/>
              <w:overflowPunct/>
              <w:topLinePunct w:val="0"/>
              <w:autoSpaceDE/>
              <w:autoSpaceDN/>
              <w:bidi w:val="0"/>
              <w:adjustRightInd w:val="0"/>
              <w:snapToGrid w:val="0"/>
              <w:spacing w:line="351" w:lineRule="auto"/>
              <w:jc w:val="both"/>
              <w:textAlignment w:val="auto"/>
              <w:rPr>
                <w:rFonts w:hint="eastAsia"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val="0"/>
                <w:color w:val="auto"/>
                <w:sz w:val="24"/>
                <w:szCs w:val="24"/>
                <w:lang w:val="en-US" w:eastAsia="zh-CN"/>
              </w:rPr>
              <w:t>1、</w:t>
            </w:r>
            <w:r>
              <w:rPr>
                <w:rFonts w:hint="eastAsia" w:eastAsia="仿宋_GB2312" w:cs="Times New Roman"/>
                <w:b/>
                <w:bCs w:val="0"/>
                <w:color w:val="auto"/>
                <w:sz w:val="24"/>
                <w:szCs w:val="24"/>
                <w:lang w:val="en-US" w:eastAsia="zh-CN"/>
              </w:rPr>
              <w:t>大气</w:t>
            </w:r>
            <w:r>
              <w:rPr>
                <w:rFonts w:hint="default" w:ascii="Times New Roman" w:hAnsi="Times New Roman" w:eastAsia="仿宋_GB2312" w:cs="Times New Roman"/>
                <w:b/>
                <w:bCs w:val="0"/>
                <w:color w:val="auto"/>
                <w:sz w:val="24"/>
                <w:szCs w:val="24"/>
                <w:lang w:val="en-US" w:eastAsia="zh-CN"/>
              </w:rPr>
              <w:t>环境影响和保护措施</w:t>
            </w:r>
          </w:p>
          <w:p w14:paraId="3E5A1469">
            <w:pPr>
              <w:keepNext w:val="0"/>
              <w:keepLines w:val="0"/>
              <w:pageBreakBefore w:val="0"/>
              <w:widowControl w:val="0"/>
              <w:kinsoku/>
              <w:wordWrap/>
              <w:overflowPunct/>
              <w:topLinePunct w:val="0"/>
              <w:autoSpaceDE/>
              <w:autoSpaceDN/>
              <w:bidi w:val="0"/>
              <w:adjustRightInd/>
              <w:snapToGrid/>
              <w:spacing w:line="351" w:lineRule="auto"/>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1.1产排污环节及污染物种类</w:t>
            </w:r>
          </w:p>
          <w:p w14:paraId="4D831CBC">
            <w:pPr>
              <w:keepNext w:val="0"/>
              <w:keepLines w:val="0"/>
              <w:pageBreakBefore w:val="0"/>
              <w:widowControl w:val="0"/>
              <w:kinsoku/>
              <w:wordWrap/>
              <w:overflowPunct/>
              <w:topLinePunct w:val="0"/>
              <w:autoSpaceDE/>
              <w:autoSpaceDN/>
              <w:bidi w:val="0"/>
              <w:adjustRightInd/>
              <w:snapToGrid/>
              <w:spacing w:line="351"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项目运营期无组织废气主要包括</w:t>
            </w:r>
            <w:r>
              <w:rPr>
                <w:rFonts w:hint="default" w:ascii="Times New Roman" w:hAnsi="Times New Roman" w:eastAsia="仿宋_GB2312" w:cs="Times New Roman"/>
                <w:color w:val="auto"/>
                <w:sz w:val="24"/>
                <w:szCs w:val="24"/>
                <w:lang w:val="en-US" w:eastAsia="zh-CN"/>
              </w:rPr>
              <w:t>堆料棚</w:t>
            </w:r>
            <w:r>
              <w:rPr>
                <w:rFonts w:hint="default" w:ascii="Times New Roman" w:hAnsi="Times New Roman" w:eastAsia="仿宋_GB2312" w:cs="Times New Roman"/>
                <w:color w:val="auto"/>
                <w:sz w:val="24"/>
                <w:szCs w:val="24"/>
              </w:rPr>
              <w:t>内卸料、</w:t>
            </w:r>
            <w:r>
              <w:rPr>
                <w:rFonts w:hint="default" w:ascii="Times New Roman" w:hAnsi="Times New Roman" w:eastAsia="仿宋_GB2312" w:cs="Times New Roman"/>
                <w:color w:val="auto"/>
                <w:sz w:val="24"/>
                <w:szCs w:val="24"/>
                <w:lang w:eastAsia="zh-CN"/>
              </w:rPr>
              <w:t>水泥筒仓产生的呼吸粉尘、</w:t>
            </w:r>
            <w:r>
              <w:rPr>
                <w:rFonts w:hint="default" w:ascii="Times New Roman" w:hAnsi="Times New Roman" w:eastAsia="仿宋_GB2312" w:cs="Times New Roman"/>
                <w:color w:val="auto"/>
                <w:sz w:val="24"/>
                <w:szCs w:val="24"/>
              </w:rPr>
              <w:t>上料产生的粉尘</w:t>
            </w:r>
            <w:r>
              <w:rPr>
                <w:rFonts w:hint="default" w:ascii="Times New Roman" w:hAnsi="Times New Roman" w:eastAsia="仿宋_GB2312" w:cs="Times New Roman"/>
                <w:color w:val="auto"/>
                <w:sz w:val="24"/>
                <w:szCs w:val="24"/>
                <w:lang w:eastAsia="zh-CN"/>
              </w:rPr>
              <w:t>、混凝土搅拌产生的粉尘。主要污染物为</w:t>
            </w:r>
            <w:r>
              <w:rPr>
                <w:rFonts w:hint="default" w:ascii="Times New Roman" w:hAnsi="Times New Roman" w:eastAsia="仿宋_GB2312" w:cs="Times New Roman"/>
                <w:color w:val="auto"/>
                <w:sz w:val="24"/>
                <w:szCs w:val="24"/>
                <w:lang w:val="en-US" w:eastAsia="zh-CN"/>
              </w:rPr>
              <w:t>颗粒物</w:t>
            </w:r>
            <w:r>
              <w:rPr>
                <w:rFonts w:hint="default" w:ascii="Times New Roman" w:hAnsi="Times New Roman" w:eastAsia="仿宋_GB2312" w:cs="Times New Roman"/>
                <w:color w:val="auto"/>
                <w:sz w:val="24"/>
                <w:szCs w:val="24"/>
                <w:lang w:eastAsia="zh-CN"/>
              </w:rPr>
              <w:t>，主要产污节点包括卸料、上料、搅拌等</w:t>
            </w:r>
            <w:r>
              <w:rPr>
                <w:rFonts w:hint="default" w:ascii="Times New Roman" w:hAnsi="Times New Roman" w:eastAsia="仿宋_GB2312" w:cs="Times New Roman"/>
                <w:color w:val="auto"/>
                <w:sz w:val="24"/>
                <w:szCs w:val="24"/>
                <w:lang w:val="en-US" w:eastAsia="zh-CN"/>
              </w:rPr>
              <w:t>。</w:t>
            </w:r>
          </w:p>
          <w:p w14:paraId="7901A796">
            <w:pPr>
              <w:keepNext w:val="0"/>
              <w:keepLines w:val="0"/>
              <w:pageBreakBefore w:val="0"/>
              <w:widowControl w:val="0"/>
              <w:kinsoku/>
              <w:wordWrap/>
              <w:overflowPunct/>
              <w:topLinePunct w:val="0"/>
              <w:autoSpaceDE/>
              <w:autoSpaceDN/>
              <w:bidi w:val="0"/>
              <w:adjustRightInd/>
              <w:snapToGrid/>
              <w:spacing w:line="351" w:lineRule="auto"/>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1.2污染物产排情况及防治措施</w:t>
            </w:r>
          </w:p>
          <w:p w14:paraId="1FC06391">
            <w:pPr>
              <w:keepNext w:val="0"/>
              <w:keepLines w:val="0"/>
              <w:pageBreakBefore w:val="0"/>
              <w:widowControl w:val="0"/>
              <w:kinsoku/>
              <w:wordWrap/>
              <w:overflowPunct/>
              <w:topLinePunct w:val="0"/>
              <w:autoSpaceDE/>
              <w:autoSpaceDN/>
              <w:bidi w:val="0"/>
              <w:adjustRightInd/>
              <w:snapToGrid/>
              <w:spacing w:line="351" w:lineRule="auto"/>
              <w:ind w:firstLine="480"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fldChar w:fldCharType="begin"/>
            </w:r>
            <w:r>
              <w:rPr>
                <w:rFonts w:hint="default" w:ascii="Times New Roman" w:hAnsi="Times New Roman" w:eastAsia="仿宋_GB2312" w:cs="Times New Roman"/>
                <w:color w:val="auto"/>
                <w:sz w:val="24"/>
                <w:szCs w:val="24"/>
                <w:lang w:eastAsia="zh-CN"/>
              </w:rPr>
              <w:instrText xml:space="preserve"> = 1 \* GB2 \* MERGEFORMAT </w:instrText>
            </w:r>
            <w:r>
              <w:rPr>
                <w:rFonts w:hint="default" w:ascii="Times New Roman" w:hAnsi="Times New Roman" w:eastAsia="仿宋_GB2312" w:cs="Times New Roman"/>
                <w:color w:val="auto"/>
                <w:sz w:val="24"/>
                <w:szCs w:val="24"/>
                <w:lang w:eastAsia="zh-CN"/>
              </w:rPr>
              <w:fldChar w:fldCharType="separate"/>
            </w:r>
            <w:r>
              <w:rPr>
                <w:rFonts w:hint="default" w:ascii="Times New Roman" w:hAnsi="Times New Roman" w:eastAsia="仿宋_GB2312" w:cs="Times New Roman"/>
                <w:color w:val="auto"/>
                <w:sz w:val="24"/>
                <w:szCs w:val="24"/>
              </w:rPr>
              <w:t>⑴</w:t>
            </w:r>
            <w:r>
              <w:rPr>
                <w:rFonts w:hint="default" w:ascii="Times New Roman" w:hAnsi="Times New Roman" w:eastAsia="仿宋_GB2312" w:cs="Times New Roman"/>
                <w:color w:val="auto"/>
                <w:sz w:val="24"/>
                <w:szCs w:val="24"/>
                <w:lang w:eastAsia="zh-CN"/>
              </w:rPr>
              <w:fldChar w:fldCharType="end"/>
            </w:r>
            <w:r>
              <w:rPr>
                <w:rFonts w:hint="default" w:ascii="Times New Roman" w:hAnsi="Times New Roman" w:eastAsia="仿宋_GB2312" w:cs="Times New Roman"/>
                <w:color w:val="auto"/>
                <w:sz w:val="24"/>
                <w:szCs w:val="24"/>
                <w:lang w:eastAsia="zh-CN"/>
              </w:rPr>
              <w:t>污染物产排情况分析</w:t>
            </w:r>
          </w:p>
          <w:p w14:paraId="37B5E3E9">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本项目运营期废气主要为水泥筒仓产生的粉尘（G</w:t>
            </w:r>
            <w:r>
              <w:rPr>
                <w:rFonts w:hint="default" w:ascii="Times New Roman" w:hAnsi="Times New Roman" w:eastAsia="仿宋_GB2312" w:cs="Times New Roman"/>
                <w:b w:val="0"/>
                <w:bCs w:val="0"/>
                <w:color w:val="auto"/>
                <w:kern w:val="2"/>
                <w:sz w:val="24"/>
                <w:szCs w:val="24"/>
                <w:vertAlign w:val="subscript"/>
                <w:lang w:val="en-US" w:eastAsia="zh-CN" w:bidi="ar-SA"/>
              </w:rPr>
              <w:t>1-1</w:t>
            </w:r>
            <w:r>
              <w:rPr>
                <w:rFonts w:hint="default" w:ascii="Times New Roman" w:hAnsi="Times New Roman" w:eastAsia="仿宋_GB2312" w:cs="Times New Roman"/>
                <w:b w:val="0"/>
                <w:bCs w:val="0"/>
                <w:color w:val="auto"/>
                <w:kern w:val="2"/>
                <w:sz w:val="24"/>
                <w:szCs w:val="24"/>
                <w:lang w:val="en-US" w:eastAsia="zh-CN" w:bidi="ar-SA"/>
              </w:rPr>
              <w:t>）、粉煤灰筒仓产生的粉尘（G</w:t>
            </w:r>
            <w:r>
              <w:rPr>
                <w:rFonts w:hint="default" w:ascii="Times New Roman" w:hAnsi="Times New Roman" w:eastAsia="仿宋_GB2312" w:cs="Times New Roman"/>
                <w:b w:val="0"/>
                <w:bCs w:val="0"/>
                <w:color w:val="auto"/>
                <w:kern w:val="2"/>
                <w:sz w:val="24"/>
                <w:szCs w:val="24"/>
                <w:vertAlign w:val="subscript"/>
                <w:lang w:val="en-US" w:eastAsia="zh-CN" w:bidi="ar-SA"/>
              </w:rPr>
              <w:t>1-</w:t>
            </w:r>
            <w:r>
              <w:rPr>
                <w:rFonts w:hint="eastAsia" w:eastAsia="仿宋_GB2312" w:cs="Times New Roman"/>
                <w:b w:val="0"/>
                <w:bCs w:val="0"/>
                <w:color w:val="auto"/>
                <w:kern w:val="2"/>
                <w:sz w:val="24"/>
                <w:szCs w:val="24"/>
                <w:vertAlign w:val="subscript"/>
                <w:lang w:val="en-US" w:eastAsia="zh-CN" w:bidi="ar-SA"/>
              </w:rPr>
              <w:t>2</w:t>
            </w:r>
            <w:r>
              <w:rPr>
                <w:rFonts w:hint="default" w:ascii="Times New Roman" w:hAnsi="Times New Roman" w:eastAsia="仿宋_GB2312" w:cs="Times New Roman"/>
                <w:b w:val="0"/>
                <w:bCs w:val="0"/>
                <w:color w:val="auto"/>
                <w:kern w:val="2"/>
                <w:sz w:val="24"/>
                <w:szCs w:val="24"/>
                <w:lang w:val="en-US" w:eastAsia="zh-CN" w:bidi="ar-SA"/>
              </w:rPr>
              <w:t>）</w:t>
            </w:r>
            <w:r>
              <w:rPr>
                <w:rFonts w:hint="eastAsia"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堆料棚产生的粉尘（G</w:t>
            </w:r>
            <w:r>
              <w:rPr>
                <w:rFonts w:hint="default" w:ascii="Times New Roman" w:hAnsi="Times New Roman" w:eastAsia="仿宋_GB2312" w:cs="Times New Roman"/>
                <w:b w:val="0"/>
                <w:bCs w:val="0"/>
                <w:color w:val="auto"/>
                <w:kern w:val="2"/>
                <w:sz w:val="24"/>
                <w:szCs w:val="24"/>
                <w:vertAlign w:val="subscript"/>
                <w:lang w:val="en-US" w:eastAsia="zh-CN" w:bidi="ar-SA"/>
              </w:rPr>
              <w:t>1-</w:t>
            </w:r>
            <w:r>
              <w:rPr>
                <w:rFonts w:hint="eastAsia" w:eastAsia="仿宋_GB2312" w:cs="Times New Roman"/>
                <w:b w:val="0"/>
                <w:bCs w:val="0"/>
                <w:color w:val="auto"/>
                <w:kern w:val="2"/>
                <w:sz w:val="24"/>
                <w:szCs w:val="24"/>
                <w:vertAlign w:val="subscript"/>
                <w:lang w:val="en-US" w:eastAsia="zh-CN" w:bidi="ar-SA"/>
              </w:rPr>
              <w:t>3</w:t>
            </w:r>
            <w:r>
              <w:rPr>
                <w:rFonts w:hint="default" w:ascii="Times New Roman" w:hAnsi="Times New Roman" w:eastAsia="仿宋_GB2312" w:cs="Times New Roman"/>
                <w:b w:val="0"/>
                <w:bCs w:val="0"/>
                <w:color w:val="auto"/>
                <w:kern w:val="2"/>
                <w:sz w:val="24"/>
                <w:szCs w:val="24"/>
                <w:lang w:val="en-US" w:eastAsia="zh-CN" w:bidi="ar-SA"/>
              </w:rPr>
              <w:t>）和搅拌机混合搅拌过程中产生的粉尘（G</w:t>
            </w:r>
            <w:r>
              <w:rPr>
                <w:rFonts w:hint="default" w:ascii="Times New Roman" w:hAnsi="Times New Roman" w:eastAsia="仿宋_GB2312" w:cs="Times New Roman"/>
                <w:b w:val="0"/>
                <w:bCs w:val="0"/>
                <w:color w:val="auto"/>
                <w:kern w:val="2"/>
                <w:sz w:val="24"/>
                <w:szCs w:val="24"/>
                <w:vertAlign w:val="subscript"/>
                <w:lang w:val="en-US" w:eastAsia="zh-CN" w:bidi="ar-SA"/>
              </w:rPr>
              <w:t>1-</w:t>
            </w:r>
            <w:r>
              <w:rPr>
                <w:rFonts w:hint="eastAsia" w:eastAsia="仿宋_GB2312" w:cs="Times New Roman"/>
                <w:b w:val="0"/>
                <w:bCs w:val="0"/>
                <w:color w:val="auto"/>
                <w:kern w:val="2"/>
                <w:sz w:val="24"/>
                <w:szCs w:val="24"/>
                <w:vertAlign w:val="subscript"/>
                <w:lang w:val="en-US" w:eastAsia="zh-CN" w:bidi="ar-SA"/>
              </w:rPr>
              <w:t>4</w:t>
            </w:r>
            <w:r>
              <w:rPr>
                <w:rFonts w:hint="default" w:ascii="Times New Roman" w:hAnsi="Times New Roman" w:eastAsia="仿宋_GB2312" w:cs="Times New Roman"/>
                <w:b w:val="0"/>
                <w:bCs w:val="0"/>
                <w:color w:val="auto"/>
                <w:kern w:val="2"/>
                <w:sz w:val="24"/>
                <w:szCs w:val="24"/>
                <w:lang w:val="en-US" w:eastAsia="zh-CN" w:bidi="ar-SA"/>
              </w:rPr>
              <w:t>）。</w:t>
            </w:r>
          </w:p>
          <w:p w14:paraId="2F5F271E">
            <w:pPr>
              <w:keepNext w:val="0"/>
              <w:keepLines w:val="0"/>
              <w:pageBreakBefore w:val="0"/>
              <w:widowControl w:val="0"/>
              <w:kinsoku/>
              <w:wordWrap/>
              <w:overflowPunct/>
              <w:topLinePunct w:val="0"/>
              <w:autoSpaceDE/>
              <w:autoSpaceDN/>
              <w:bidi w:val="0"/>
              <w:adjustRightInd w:val="0"/>
              <w:snapToGrid w:val="0"/>
              <w:spacing w:line="351" w:lineRule="auto"/>
              <w:ind w:firstLine="48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①水泥筒仓产生的粉尘（G</w:t>
            </w:r>
            <w:r>
              <w:rPr>
                <w:rFonts w:hint="default" w:ascii="Times New Roman" w:hAnsi="Times New Roman" w:eastAsia="仿宋_GB2312" w:cs="Times New Roman"/>
                <w:b/>
                <w:bCs/>
                <w:color w:val="auto"/>
                <w:kern w:val="2"/>
                <w:sz w:val="24"/>
                <w:szCs w:val="24"/>
                <w:vertAlign w:val="subscript"/>
                <w:lang w:val="en-US" w:eastAsia="zh-CN" w:bidi="ar-SA"/>
              </w:rPr>
              <w:t>1-1</w:t>
            </w:r>
            <w:r>
              <w:rPr>
                <w:rFonts w:hint="default" w:ascii="Times New Roman" w:hAnsi="Times New Roman" w:eastAsia="仿宋_GB2312" w:cs="Times New Roman"/>
                <w:b/>
                <w:bCs/>
                <w:color w:val="auto"/>
                <w:kern w:val="2"/>
                <w:sz w:val="24"/>
                <w:szCs w:val="24"/>
                <w:lang w:val="en-US" w:eastAsia="zh-CN" w:bidi="ar-SA"/>
              </w:rPr>
              <w:t>）</w:t>
            </w:r>
          </w:p>
          <w:p w14:paraId="18D6497C">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本项目水泥散装物料，通过气力输送进入相应筒仓，粉料在装卸、储存过程会产生粉尘。根据《排放源统计调查产排污核算方法和系数手册》中“3021水泥制品制造（含3022砼结构构件、3029其他水泥类似制品制造）行业系数表-混凝土制品”，物料输送储存颗粒物产污系数为0.12kg/t产品。</w:t>
            </w:r>
            <w:r>
              <w:rPr>
                <w:rFonts w:hint="default" w:ascii="Times New Roman" w:hAnsi="Times New Roman" w:eastAsia="仿宋_GB2312" w:cs="Times New Roman"/>
                <w:color w:val="auto"/>
                <w:kern w:val="2"/>
                <w:sz w:val="24"/>
                <w:szCs w:val="24"/>
                <w:lang w:val="en-US" w:eastAsia="zh-CN" w:bidi="ar-SA"/>
              </w:rPr>
              <w:t>本项目年运输水泥为</w:t>
            </w:r>
            <w:r>
              <w:rPr>
                <w:rFonts w:hint="eastAsia" w:eastAsia="仿宋_GB2312" w:cs="Times New Roman"/>
                <w:color w:val="auto"/>
                <w:kern w:val="2"/>
                <w:sz w:val="24"/>
                <w:szCs w:val="24"/>
                <w:lang w:val="en-US" w:eastAsia="zh-CN" w:bidi="ar-SA"/>
              </w:rPr>
              <w:t>6</w:t>
            </w:r>
            <w:r>
              <w:rPr>
                <w:rFonts w:hint="eastAsia" w:ascii="Times New Roman" w:hAnsi="Times New Roman" w:eastAsia="仿宋_GB2312" w:cs="Times New Roman"/>
                <w:color w:val="auto"/>
                <w:kern w:val="2"/>
                <w:sz w:val="24"/>
                <w:szCs w:val="24"/>
                <w:lang w:val="en-US" w:eastAsia="zh-CN" w:bidi="ar-SA"/>
              </w:rPr>
              <w:t>0000</w:t>
            </w:r>
            <w:r>
              <w:rPr>
                <w:rFonts w:hint="default" w:ascii="Times New Roman" w:hAnsi="Times New Roman" w:eastAsia="仿宋_GB2312" w:cs="Times New Roman"/>
                <w:color w:val="auto"/>
                <w:kern w:val="2"/>
                <w:sz w:val="24"/>
                <w:szCs w:val="24"/>
                <w:lang w:val="en-US" w:eastAsia="zh-CN" w:bidi="ar-SA"/>
              </w:rPr>
              <w:t>t，厂区共计有</w:t>
            </w:r>
            <w:r>
              <w:rPr>
                <w:rFonts w:hint="eastAsia" w:ascii="Times New Roman" w:hAnsi="Times New Roman" w:eastAsia="仿宋_GB2312" w:cs="Times New Roman"/>
                <w:color w:val="auto"/>
                <w:kern w:val="2"/>
                <w:sz w:val="24"/>
                <w:szCs w:val="24"/>
                <w:lang w:val="en-US" w:eastAsia="zh-CN" w:bidi="ar-SA"/>
              </w:rPr>
              <w:t>4座</w:t>
            </w:r>
            <w:r>
              <w:rPr>
                <w:rFonts w:hint="default" w:ascii="Times New Roman" w:hAnsi="Times New Roman" w:eastAsia="仿宋_GB2312" w:cs="Times New Roman"/>
                <w:color w:val="auto"/>
                <w:kern w:val="2"/>
                <w:sz w:val="24"/>
                <w:szCs w:val="24"/>
                <w:lang w:val="en-US" w:eastAsia="zh-CN" w:bidi="ar-SA"/>
              </w:rPr>
              <w:t>水泥筒仓，以每个筒仓每次填料</w:t>
            </w:r>
            <w:r>
              <w:rPr>
                <w:rFonts w:hint="eastAsia" w:ascii="Times New Roman" w:hAnsi="Times New Roman" w:eastAsia="仿宋_GB2312" w:cs="Times New Roman"/>
                <w:color w:val="auto"/>
                <w:kern w:val="2"/>
                <w:sz w:val="24"/>
                <w:szCs w:val="24"/>
                <w:lang w:val="en-US" w:eastAsia="zh-CN" w:bidi="ar-SA"/>
              </w:rPr>
              <w:t>200</w:t>
            </w:r>
            <w:r>
              <w:rPr>
                <w:rFonts w:hint="default" w:ascii="Times New Roman" w:hAnsi="Times New Roman" w:eastAsia="仿宋_GB2312" w:cs="Times New Roman"/>
                <w:color w:val="auto"/>
                <w:kern w:val="2"/>
                <w:sz w:val="24"/>
                <w:szCs w:val="24"/>
                <w:lang w:val="en-US" w:eastAsia="zh-CN" w:bidi="ar-SA"/>
              </w:rPr>
              <w:t>t计，卸料速率约为0.2</w:t>
            </w:r>
            <w:r>
              <w:rPr>
                <w:rFonts w:hint="eastAsia" w:ascii="Times New Roman" w:hAnsi="Times New Roman" w:eastAsia="仿宋_GB2312" w:cs="Times New Roman"/>
                <w:color w:val="auto"/>
                <w:kern w:val="2"/>
                <w:sz w:val="24"/>
                <w:szCs w:val="24"/>
                <w:lang w:val="en-US" w:eastAsia="zh-CN" w:bidi="ar-SA"/>
              </w:rPr>
              <w:t>0</w:t>
            </w:r>
            <w:r>
              <w:rPr>
                <w:rFonts w:hint="default" w:ascii="Times New Roman" w:hAnsi="Times New Roman" w:eastAsia="仿宋_GB2312" w:cs="Times New Roman"/>
                <w:color w:val="auto"/>
                <w:kern w:val="2"/>
                <w:sz w:val="24"/>
                <w:szCs w:val="24"/>
                <w:lang w:val="en-US" w:eastAsia="zh-CN" w:bidi="ar-SA"/>
              </w:rPr>
              <w:t>t/min，则每次管道对接时间</w:t>
            </w:r>
            <w:r>
              <w:rPr>
                <w:rFonts w:hint="eastAsia" w:ascii="Times New Roman" w:hAnsi="Times New Roman" w:eastAsia="仿宋_GB2312" w:cs="Times New Roman"/>
                <w:color w:val="auto"/>
                <w:kern w:val="2"/>
                <w:sz w:val="24"/>
                <w:szCs w:val="24"/>
                <w:lang w:val="en-US" w:eastAsia="zh-CN" w:bidi="ar-SA"/>
              </w:rPr>
              <w:t>16.67</w:t>
            </w:r>
            <w:r>
              <w:rPr>
                <w:rFonts w:hint="default" w:ascii="Times New Roman" w:hAnsi="Times New Roman" w:eastAsia="仿宋_GB2312" w:cs="Times New Roman"/>
                <w:color w:val="auto"/>
                <w:kern w:val="2"/>
                <w:sz w:val="24"/>
                <w:szCs w:val="24"/>
                <w:lang w:val="en-US" w:eastAsia="zh-CN" w:bidi="ar-SA"/>
              </w:rPr>
              <w:t>h，</w:t>
            </w:r>
            <w:r>
              <w:rPr>
                <w:rFonts w:hint="eastAsia" w:ascii="Times New Roman" w:hAnsi="Times New Roman" w:eastAsia="仿宋_GB2312" w:cs="Times New Roman"/>
                <w:color w:val="auto"/>
                <w:kern w:val="2"/>
                <w:sz w:val="24"/>
                <w:szCs w:val="24"/>
                <w:lang w:val="en-US" w:eastAsia="zh-CN" w:bidi="ar-SA"/>
              </w:rPr>
              <w:t>本项目填料次数为</w:t>
            </w:r>
            <w:r>
              <w:rPr>
                <w:rFonts w:hint="eastAsia" w:eastAsia="仿宋_GB2312" w:cs="Times New Roman"/>
                <w:color w:val="auto"/>
                <w:kern w:val="2"/>
                <w:sz w:val="24"/>
                <w:szCs w:val="24"/>
                <w:lang w:val="en-US" w:eastAsia="zh-CN" w:bidi="ar-SA"/>
              </w:rPr>
              <w:t>75</w:t>
            </w:r>
            <w:r>
              <w:rPr>
                <w:rFonts w:hint="eastAsia" w:ascii="Times New Roman" w:hAnsi="Times New Roman" w:eastAsia="仿宋_GB2312" w:cs="Times New Roman"/>
                <w:color w:val="auto"/>
                <w:kern w:val="2"/>
                <w:sz w:val="24"/>
                <w:szCs w:val="24"/>
                <w:lang w:val="en-US" w:eastAsia="zh-CN" w:bidi="ar-SA"/>
              </w:rPr>
              <w:t>次，</w:t>
            </w:r>
            <w:r>
              <w:rPr>
                <w:rFonts w:hint="default" w:ascii="Times New Roman" w:hAnsi="Times New Roman" w:eastAsia="仿宋_GB2312" w:cs="Times New Roman"/>
                <w:color w:val="auto"/>
                <w:kern w:val="2"/>
                <w:sz w:val="24"/>
                <w:szCs w:val="24"/>
                <w:lang w:val="en-US" w:eastAsia="zh-CN" w:bidi="ar-SA"/>
              </w:rPr>
              <w:t>则水泥筒仓配套脉冲除尘器年运行时间共计为</w:t>
            </w:r>
            <w:r>
              <w:rPr>
                <w:rFonts w:hint="eastAsia" w:eastAsia="仿宋_GB2312" w:cs="Times New Roman"/>
                <w:color w:val="auto"/>
                <w:kern w:val="2"/>
                <w:sz w:val="24"/>
                <w:szCs w:val="24"/>
                <w:lang w:val="en-US" w:eastAsia="zh-CN" w:bidi="ar-SA"/>
              </w:rPr>
              <w:t>1250.25</w:t>
            </w:r>
            <w:r>
              <w:rPr>
                <w:rFonts w:hint="default" w:ascii="Times New Roman" w:hAnsi="Times New Roman" w:eastAsia="仿宋_GB2312" w:cs="Times New Roman"/>
                <w:color w:val="auto"/>
                <w:kern w:val="2"/>
                <w:sz w:val="24"/>
                <w:szCs w:val="24"/>
                <w:lang w:val="en-US" w:eastAsia="zh-CN" w:bidi="ar-SA"/>
              </w:rPr>
              <w:t>h</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则水泥筒仓呼吸孔及放空口粉尘产生速率为</w:t>
            </w:r>
            <w:r>
              <w:rPr>
                <w:rFonts w:hint="eastAsia" w:eastAsia="仿宋_GB2312" w:cs="Times New Roman"/>
                <w:b w:val="0"/>
                <w:bCs w:val="0"/>
                <w:color w:val="auto"/>
                <w:kern w:val="2"/>
                <w:sz w:val="24"/>
                <w:szCs w:val="24"/>
                <w:lang w:val="en-US" w:eastAsia="zh-CN" w:bidi="ar-SA"/>
              </w:rPr>
              <w:t>5.76</w:t>
            </w:r>
            <w:r>
              <w:rPr>
                <w:rFonts w:hint="default" w:ascii="Times New Roman" w:hAnsi="Times New Roman" w:eastAsia="仿宋_GB2312" w:cs="Times New Roman"/>
                <w:b w:val="0"/>
                <w:bCs w:val="0"/>
                <w:color w:val="auto"/>
                <w:kern w:val="2"/>
                <w:sz w:val="24"/>
                <w:szCs w:val="24"/>
                <w:lang w:val="en-US" w:eastAsia="zh-CN" w:bidi="ar-SA"/>
              </w:rPr>
              <w:t>kg/h</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产生量为</w:t>
            </w:r>
            <w:r>
              <w:rPr>
                <w:rFonts w:hint="eastAsia" w:eastAsia="仿宋_GB2312" w:cs="Times New Roman"/>
                <w:b w:val="0"/>
                <w:bCs w:val="0"/>
                <w:color w:val="auto"/>
                <w:kern w:val="2"/>
                <w:sz w:val="24"/>
                <w:szCs w:val="24"/>
                <w:lang w:val="en-US" w:eastAsia="zh-CN" w:bidi="ar-SA"/>
              </w:rPr>
              <w:t>7.2</w:t>
            </w:r>
            <w:r>
              <w:rPr>
                <w:rFonts w:hint="default" w:ascii="Times New Roman" w:hAnsi="Times New Roman" w:eastAsia="仿宋_GB2312" w:cs="Times New Roman"/>
                <w:b w:val="0"/>
                <w:bCs w:val="0"/>
                <w:color w:val="auto"/>
                <w:kern w:val="2"/>
                <w:sz w:val="24"/>
                <w:szCs w:val="24"/>
                <w:lang w:val="en-US" w:eastAsia="zh-CN" w:bidi="ar-SA"/>
              </w:rPr>
              <w:t>t/a。</w:t>
            </w:r>
          </w:p>
          <w:p w14:paraId="035169A5">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bidi="ar-SA"/>
              </w:rPr>
              <w:t>项目各个水泥筒仓顶部均配套安装脉冲除尘器，产生的粉尘通过治理后（该工序密闭性极强，粉尘收集效率可达100%，除尘器除尘效率为99</w:t>
            </w:r>
            <w:r>
              <w:rPr>
                <w:rFonts w:hint="eastAsia" w:ascii="Times New Roman" w:hAnsi="Times New Roman" w:eastAsia="仿宋_GB2312" w:cs="Times New Roman"/>
                <w:b w:val="0"/>
                <w:bCs w:val="0"/>
                <w:color w:val="auto"/>
                <w:kern w:val="2"/>
                <w:sz w:val="24"/>
                <w:szCs w:val="24"/>
                <w:lang w:val="en-US" w:eastAsia="zh-CN" w:bidi="ar-SA"/>
              </w:rPr>
              <w:t>.7</w:t>
            </w:r>
            <w:r>
              <w:rPr>
                <w:rFonts w:hint="default" w:ascii="Times New Roman" w:hAnsi="Times New Roman" w:eastAsia="仿宋_GB2312" w:cs="Times New Roman"/>
                <w:b w:val="0"/>
                <w:bCs w:val="0"/>
                <w:color w:val="auto"/>
                <w:kern w:val="2"/>
                <w:sz w:val="24"/>
                <w:szCs w:val="24"/>
                <w:lang w:val="en-US" w:eastAsia="zh-CN" w:bidi="ar-SA"/>
              </w:rPr>
              <w:t>%），通过筒仓呼吸孔及放空口无组织排放，则筒仓呼吸孔及放空口粉尘排放速率为0.</w:t>
            </w:r>
            <w:r>
              <w:rPr>
                <w:rFonts w:hint="eastAsia" w:ascii="Times New Roman" w:hAnsi="Times New Roman" w:eastAsia="仿宋_GB2312" w:cs="Times New Roman"/>
                <w:b w:val="0"/>
                <w:bCs w:val="0"/>
                <w:color w:val="auto"/>
                <w:kern w:val="2"/>
                <w:sz w:val="24"/>
                <w:szCs w:val="24"/>
                <w:lang w:val="en-US" w:eastAsia="zh-CN" w:bidi="ar-SA"/>
              </w:rPr>
              <w:t>0</w:t>
            </w:r>
            <w:r>
              <w:rPr>
                <w:rFonts w:hint="eastAsia" w:eastAsia="仿宋_GB2312" w:cs="Times New Roman"/>
                <w:b w:val="0"/>
                <w:bCs w:val="0"/>
                <w:color w:val="auto"/>
                <w:kern w:val="2"/>
                <w:sz w:val="24"/>
                <w:szCs w:val="24"/>
                <w:lang w:val="en-US" w:eastAsia="zh-CN" w:bidi="ar-SA"/>
              </w:rPr>
              <w:t>17</w:t>
            </w:r>
            <w:r>
              <w:rPr>
                <w:rFonts w:hint="default" w:ascii="Times New Roman" w:hAnsi="Times New Roman" w:eastAsia="仿宋_GB2312" w:cs="Times New Roman"/>
                <w:b w:val="0"/>
                <w:bCs w:val="0"/>
                <w:color w:val="auto"/>
                <w:kern w:val="2"/>
                <w:sz w:val="24"/>
                <w:szCs w:val="24"/>
                <w:lang w:val="en-US" w:eastAsia="zh-CN" w:bidi="ar-SA"/>
              </w:rPr>
              <w:t>kg/h</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排放量为0.0</w:t>
            </w:r>
            <w:r>
              <w:rPr>
                <w:rFonts w:hint="eastAsia" w:ascii="Times New Roman" w:hAnsi="Times New Roman" w:eastAsia="仿宋_GB2312" w:cs="Times New Roman"/>
                <w:b w:val="0"/>
                <w:bCs w:val="0"/>
                <w:color w:val="auto"/>
                <w:kern w:val="2"/>
                <w:sz w:val="24"/>
                <w:szCs w:val="24"/>
                <w:lang w:val="en-US" w:eastAsia="zh-CN" w:bidi="ar-SA"/>
              </w:rPr>
              <w:t>2</w:t>
            </w:r>
            <w:r>
              <w:rPr>
                <w:rFonts w:hint="eastAsia" w:eastAsia="仿宋_GB2312" w:cs="Times New Roman"/>
                <w:b w:val="0"/>
                <w:bCs w:val="0"/>
                <w:color w:val="auto"/>
                <w:kern w:val="2"/>
                <w:sz w:val="24"/>
                <w:szCs w:val="24"/>
                <w:lang w:val="en-US" w:eastAsia="zh-CN" w:bidi="ar-SA"/>
              </w:rPr>
              <w:t>2</w:t>
            </w:r>
            <w:r>
              <w:rPr>
                <w:rFonts w:hint="default" w:ascii="Times New Roman" w:hAnsi="Times New Roman" w:eastAsia="仿宋_GB2312" w:cs="Times New Roman"/>
                <w:b w:val="0"/>
                <w:bCs w:val="0"/>
                <w:color w:val="auto"/>
                <w:kern w:val="2"/>
                <w:sz w:val="24"/>
                <w:szCs w:val="24"/>
                <w:lang w:val="en-US" w:eastAsia="zh-CN" w:bidi="ar-SA"/>
              </w:rPr>
              <w:t>t/a</w:t>
            </w:r>
            <w:r>
              <w:rPr>
                <w:rFonts w:hint="default" w:ascii="Times New Roman" w:hAnsi="Times New Roman" w:eastAsia="仿宋_GB2312" w:cs="Times New Roman"/>
                <w:color w:val="auto"/>
                <w:kern w:val="0"/>
                <w:sz w:val="24"/>
                <w:szCs w:val="24"/>
                <w:lang w:val="en-US" w:eastAsia="zh-CN"/>
              </w:rPr>
              <w:t>。</w:t>
            </w:r>
          </w:p>
          <w:p w14:paraId="556C2ECF">
            <w:pPr>
              <w:keepNext w:val="0"/>
              <w:keepLines w:val="0"/>
              <w:pageBreakBefore w:val="0"/>
              <w:widowControl w:val="0"/>
              <w:kinsoku/>
              <w:wordWrap/>
              <w:overflowPunct/>
              <w:topLinePunct w:val="0"/>
              <w:autoSpaceDE/>
              <w:autoSpaceDN/>
              <w:bidi w:val="0"/>
              <w:adjustRightInd w:val="0"/>
              <w:snapToGrid w:val="0"/>
              <w:spacing w:line="351" w:lineRule="auto"/>
              <w:ind w:firstLine="48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②粉煤灰筒仓产生的粉尘（G</w:t>
            </w:r>
            <w:r>
              <w:rPr>
                <w:rFonts w:hint="default" w:ascii="Times New Roman" w:hAnsi="Times New Roman" w:eastAsia="仿宋_GB2312" w:cs="Times New Roman"/>
                <w:b/>
                <w:bCs/>
                <w:color w:val="auto"/>
                <w:kern w:val="2"/>
                <w:sz w:val="24"/>
                <w:szCs w:val="24"/>
                <w:vertAlign w:val="subscript"/>
                <w:lang w:val="en-US" w:eastAsia="zh-CN" w:bidi="ar-SA"/>
              </w:rPr>
              <w:t>1-</w:t>
            </w:r>
            <w:r>
              <w:rPr>
                <w:rFonts w:hint="eastAsia" w:eastAsia="仿宋_GB2312" w:cs="Times New Roman"/>
                <w:b/>
                <w:bCs/>
                <w:color w:val="auto"/>
                <w:kern w:val="2"/>
                <w:sz w:val="24"/>
                <w:szCs w:val="24"/>
                <w:vertAlign w:val="subscript"/>
                <w:lang w:val="en-US" w:eastAsia="zh-CN" w:bidi="ar-SA"/>
              </w:rPr>
              <w:t>1</w:t>
            </w:r>
            <w:r>
              <w:rPr>
                <w:rFonts w:hint="default" w:ascii="Times New Roman" w:hAnsi="Times New Roman" w:eastAsia="仿宋_GB2312" w:cs="Times New Roman"/>
                <w:b/>
                <w:bCs/>
                <w:color w:val="auto"/>
                <w:kern w:val="2"/>
                <w:sz w:val="24"/>
                <w:szCs w:val="24"/>
                <w:lang w:val="en-US" w:eastAsia="zh-CN" w:bidi="ar-SA"/>
              </w:rPr>
              <w:t>）</w:t>
            </w:r>
          </w:p>
          <w:p w14:paraId="38F8D030">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本项目粉煤灰在装卸、储存过程会产生</w:t>
            </w:r>
            <w:r>
              <w:rPr>
                <w:rFonts w:hint="eastAsia" w:eastAsia="仿宋_GB2312" w:cs="Times New Roman"/>
                <w:b w:val="0"/>
                <w:bCs w:val="0"/>
                <w:color w:val="auto"/>
                <w:kern w:val="2"/>
                <w:sz w:val="24"/>
                <w:szCs w:val="24"/>
                <w:lang w:val="en-US" w:eastAsia="zh-CN" w:bidi="ar-SA"/>
              </w:rPr>
              <w:t>的</w:t>
            </w:r>
            <w:r>
              <w:rPr>
                <w:rFonts w:hint="default" w:ascii="Times New Roman" w:hAnsi="Times New Roman" w:eastAsia="仿宋_GB2312" w:cs="Times New Roman"/>
                <w:b w:val="0"/>
                <w:bCs w:val="0"/>
                <w:color w:val="auto"/>
                <w:kern w:val="2"/>
                <w:sz w:val="24"/>
                <w:szCs w:val="24"/>
                <w:lang w:val="en-US" w:eastAsia="zh-CN" w:bidi="ar-SA"/>
              </w:rPr>
              <w:t>粉尘</w:t>
            </w:r>
            <w:r>
              <w:rPr>
                <w:rFonts w:hint="eastAsia" w:eastAsia="仿宋_GB2312" w:cs="Times New Roman"/>
                <w:b w:val="0"/>
                <w:bCs w:val="0"/>
                <w:color w:val="auto"/>
                <w:kern w:val="2"/>
                <w:sz w:val="24"/>
                <w:szCs w:val="24"/>
                <w:lang w:val="en-US" w:eastAsia="zh-CN" w:bidi="ar-SA"/>
              </w:rPr>
              <w:t>与水泥</w:t>
            </w:r>
            <w:r>
              <w:rPr>
                <w:rFonts w:hint="default" w:ascii="Times New Roman" w:hAnsi="Times New Roman" w:eastAsia="仿宋_GB2312" w:cs="Times New Roman"/>
                <w:b w:val="0"/>
                <w:bCs w:val="0"/>
                <w:color w:val="auto"/>
                <w:kern w:val="2"/>
                <w:sz w:val="24"/>
                <w:szCs w:val="24"/>
                <w:lang w:val="en-US" w:eastAsia="zh-CN" w:bidi="ar-SA"/>
              </w:rPr>
              <w:t>装卸、储存过程会产生</w:t>
            </w:r>
            <w:r>
              <w:rPr>
                <w:rFonts w:hint="eastAsia" w:eastAsia="仿宋_GB2312" w:cs="Times New Roman"/>
                <w:b w:val="0"/>
                <w:bCs w:val="0"/>
                <w:color w:val="auto"/>
                <w:kern w:val="2"/>
                <w:sz w:val="24"/>
                <w:szCs w:val="24"/>
                <w:lang w:val="en-US" w:eastAsia="zh-CN" w:bidi="ar-SA"/>
              </w:rPr>
              <w:t>的</w:t>
            </w:r>
            <w:r>
              <w:rPr>
                <w:rFonts w:hint="default" w:ascii="Times New Roman" w:hAnsi="Times New Roman" w:eastAsia="仿宋_GB2312" w:cs="Times New Roman"/>
                <w:b w:val="0"/>
                <w:bCs w:val="0"/>
                <w:color w:val="auto"/>
                <w:kern w:val="2"/>
                <w:sz w:val="24"/>
                <w:szCs w:val="24"/>
                <w:lang w:val="en-US" w:eastAsia="zh-CN" w:bidi="ar-SA"/>
              </w:rPr>
              <w:t>粉尘</w:t>
            </w:r>
            <w:r>
              <w:rPr>
                <w:rFonts w:hint="eastAsia" w:eastAsia="仿宋_GB2312" w:cs="Times New Roman"/>
                <w:b w:val="0"/>
                <w:bCs w:val="0"/>
                <w:color w:val="auto"/>
                <w:kern w:val="2"/>
                <w:sz w:val="24"/>
                <w:szCs w:val="24"/>
                <w:lang w:val="en-US" w:eastAsia="zh-CN" w:bidi="ar-SA"/>
              </w:rPr>
              <w:t>计算方法一致，</w:t>
            </w:r>
            <w:r>
              <w:rPr>
                <w:rFonts w:hint="default" w:ascii="Times New Roman" w:hAnsi="Times New Roman" w:eastAsia="仿宋_GB2312" w:cs="Times New Roman"/>
                <w:b w:val="0"/>
                <w:bCs w:val="0"/>
                <w:color w:val="auto"/>
                <w:kern w:val="2"/>
                <w:sz w:val="24"/>
                <w:szCs w:val="24"/>
                <w:lang w:val="en-US" w:eastAsia="zh-CN" w:bidi="ar-SA"/>
              </w:rPr>
              <w:t>物料输送储存颗粒物产污系数为0.12kg/t产品。</w:t>
            </w:r>
            <w:r>
              <w:rPr>
                <w:rFonts w:hint="default" w:ascii="Times New Roman" w:hAnsi="Times New Roman" w:eastAsia="仿宋_GB2312" w:cs="Times New Roman"/>
                <w:color w:val="auto"/>
                <w:kern w:val="2"/>
                <w:sz w:val="24"/>
                <w:szCs w:val="24"/>
                <w:lang w:val="en-US" w:eastAsia="zh-CN" w:bidi="ar-SA"/>
              </w:rPr>
              <w:t>本项目年运输粉煤灰为</w:t>
            </w:r>
            <w:r>
              <w:rPr>
                <w:rFonts w:hint="eastAsia" w:eastAsia="仿宋_GB2312" w:cs="Times New Roman"/>
                <w:color w:val="auto"/>
                <w:kern w:val="2"/>
                <w:sz w:val="24"/>
                <w:szCs w:val="24"/>
                <w:lang w:val="en-US" w:eastAsia="zh-CN" w:bidi="ar-SA"/>
              </w:rPr>
              <w:t>2</w:t>
            </w:r>
            <w:r>
              <w:rPr>
                <w:rFonts w:hint="eastAsia" w:ascii="Times New Roman" w:hAnsi="Times New Roman" w:eastAsia="仿宋_GB2312" w:cs="Times New Roman"/>
                <w:color w:val="auto"/>
                <w:kern w:val="2"/>
                <w:sz w:val="24"/>
                <w:szCs w:val="24"/>
                <w:lang w:val="en-US" w:eastAsia="zh-CN" w:bidi="ar-SA"/>
              </w:rPr>
              <w:t>0000</w:t>
            </w:r>
            <w:r>
              <w:rPr>
                <w:rFonts w:hint="default" w:ascii="Times New Roman" w:hAnsi="Times New Roman" w:eastAsia="仿宋_GB2312" w:cs="Times New Roman"/>
                <w:color w:val="auto"/>
                <w:kern w:val="2"/>
                <w:sz w:val="24"/>
                <w:szCs w:val="24"/>
                <w:lang w:val="en-US" w:eastAsia="zh-CN" w:bidi="ar-SA"/>
              </w:rPr>
              <w:t>t，厂区共计有</w:t>
            </w:r>
            <w:r>
              <w:rPr>
                <w:rFonts w:hint="eastAsia" w:ascii="Times New Roman" w:hAnsi="Times New Roman" w:eastAsia="仿宋_GB2312" w:cs="Times New Roman"/>
                <w:color w:val="auto"/>
                <w:kern w:val="2"/>
                <w:sz w:val="24"/>
                <w:szCs w:val="24"/>
                <w:lang w:val="en-US" w:eastAsia="zh-CN" w:bidi="ar-SA"/>
              </w:rPr>
              <w:t>4座</w:t>
            </w:r>
            <w:r>
              <w:rPr>
                <w:rFonts w:hint="default" w:ascii="Times New Roman" w:hAnsi="Times New Roman" w:eastAsia="仿宋_GB2312" w:cs="Times New Roman"/>
                <w:color w:val="auto"/>
                <w:kern w:val="2"/>
                <w:sz w:val="24"/>
                <w:szCs w:val="24"/>
                <w:lang w:val="en-US" w:eastAsia="zh-CN" w:bidi="ar-SA"/>
              </w:rPr>
              <w:t>粉煤灰筒仓，以每个筒仓每次填料</w:t>
            </w:r>
            <w:r>
              <w:rPr>
                <w:rFonts w:hint="eastAsia" w:ascii="Times New Roman" w:hAnsi="Times New Roman" w:eastAsia="仿宋_GB2312" w:cs="Times New Roman"/>
                <w:color w:val="auto"/>
                <w:kern w:val="2"/>
                <w:sz w:val="24"/>
                <w:szCs w:val="24"/>
                <w:lang w:val="en-US" w:eastAsia="zh-CN" w:bidi="ar-SA"/>
              </w:rPr>
              <w:t>200</w:t>
            </w:r>
            <w:r>
              <w:rPr>
                <w:rFonts w:hint="default" w:ascii="Times New Roman" w:hAnsi="Times New Roman" w:eastAsia="仿宋_GB2312" w:cs="Times New Roman"/>
                <w:color w:val="auto"/>
                <w:kern w:val="2"/>
                <w:sz w:val="24"/>
                <w:szCs w:val="24"/>
                <w:lang w:val="en-US" w:eastAsia="zh-CN" w:bidi="ar-SA"/>
              </w:rPr>
              <w:t>t计，卸料速率约为0.2</w:t>
            </w:r>
            <w:r>
              <w:rPr>
                <w:rFonts w:hint="eastAsia" w:ascii="Times New Roman" w:hAnsi="Times New Roman" w:eastAsia="仿宋_GB2312" w:cs="Times New Roman"/>
                <w:color w:val="auto"/>
                <w:kern w:val="2"/>
                <w:sz w:val="24"/>
                <w:szCs w:val="24"/>
                <w:lang w:val="en-US" w:eastAsia="zh-CN" w:bidi="ar-SA"/>
              </w:rPr>
              <w:t>0</w:t>
            </w:r>
            <w:r>
              <w:rPr>
                <w:rFonts w:hint="default" w:ascii="Times New Roman" w:hAnsi="Times New Roman" w:eastAsia="仿宋_GB2312" w:cs="Times New Roman"/>
                <w:color w:val="auto"/>
                <w:kern w:val="2"/>
                <w:sz w:val="24"/>
                <w:szCs w:val="24"/>
                <w:lang w:val="en-US" w:eastAsia="zh-CN" w:bidi="ar-SA"/>
              </w:rPr>
              <w:t>t/min，则每次管道对接时间</w:t>
            </w:r>
            <w:r>
              <w:rPr>
                <w:rFonts w:hint="eastAsia" w:ascii="Times New Roman" w:hAnsi="Times New Roman" w:eastAsia="仿宋_GB2312" w:cs="Times New Roman"/>
                <w:color w:val="auto"/>
                <w:kern w:val="2"/>
                <w:sz w:val="24"/>
                <w:szCs w:val="24"/>
                <w:lang w:val="en-US" w:eastAsia="zh-CN" w:bidi="ar-SA"/>
              </w:rPr>
              <w:t>16.67</w:t>
            </w:r>
            <w:r>
              <w:rPr>
                <w:rFonts w:hint="default" w:ascii="Times New Roman" w:hAnsi="Times New Roman" w:eastAsia="仿宋_GB2312" w:cs="Times New Roman"/>
                <w:color w:val="auto"/>
                <w:kern w:val="2"/>
                <w:sz w:val="24"/>
                <w:szCs w:val="24"/>
                <w:lang w:val="en-US" w:eastAsia="zh-CN" w:bidi="ar-SA"/>
              </w:rPr>
              <w:t>h，</w:t>
            </w:r>
            <w:r>
              <w:rPr>
                <w:rFonts w:hint="eastAsia" w:ascii="Times New Roman" w:hAnsi="Times New Roman" w:eastAsia="仿宋_GB2312" w:cs="Times New Roman"/>
                <w:color w:val="auto"/>
                <w:kern w:val="2"/>
                <w:sz w:val="24"/>
                <w:szCs w:val="24"/>
                <w:lang w:val="en-US" w:eastAsia="zh-CN" w:bidi="ar-SA"/>
              </w:rPr>
              <w:t>本项目填料次数为</w:t>
            </w:r>
            <w:r>
              <w:rPr>
                <w:rFonts w:hint="eastAsia" w:eastAsia="仿宋_GB2312" w:cs="Times New Roman"/>
                <w:color w:val="auto"/>
                <w:kern w:val="2"/>
                <w:sz w:val="24"/>
                <w:szCs w:val="24"/>
                <w:lang w:val="en-US" w:eastAsia="zh-CN" w:bidi="ar-SA"/>
              </w:rPr>
              <w:t>25</w:t>
            </w:r>
            <w:r>
              <w:rPr>
                <w:rFonts w:hint="eastAsia" w:ascii="Times New Roman" w:hAnsi="Times New Roman" w:eastAsia="仿宋_GB2312" w:cs="Times New Roman"/>
                <w:color w:val="auto"/>
                <w:kern w:val="2"/>
                <w:sz w:val="24"/>
                <w:szCs w:val="24"/>
                <w:lang w:val="en-US" w:eastAsia="zh-CN" w:bidi="ar-SA"/>
              </w:rPr>
              <w:t>次，</w:t>
            </w:r>
            <w:r>
              <w:rPr>
                <w:rFonts w:hint="default" w:ascii="Times New Roman" w:hAnsi="Times New Roman" w:eastAsia="仿宋_GB2312" w:cs="Times New Roman"/>
                <w:color w:val="auto"/>
                <w:kern w:val="2"/>
                <w:sz w:val="24"/>
                <w:szCs w:val="24"/>
                <w:lang w:val="en-US" w:eastAsia="zh-CN" w:bidi="ar-SA"/>
              </w:rPr>
              <w:t>则水泥、粉煤灰筒仓配套脉冲除尘器年运行时间共计为</w:t>
            </w:r>
            <w:r>
              <w:rPr>
                <w:rFonts w:hint="eastAsia" w:eastAsia="仿宋_GB2312" w:cs="Times New Roman"/>
                <w:color w:val="auto"/>
                <w:kern w:val="2"/>
                <w:sz w:val="24"/>
                <w:szCs w:val="24"/>
                <w:lang w:val="en-US" w:eastAsia="zh-CN" w:bidi="ar-SA"/>
              </w:rPr>
              <w:t>416.75</w:t>
            </w:r>
            <w:r>
              <w:rPr>
                <w:rFonts w:hint="default" w:ascii="Times New Roman" w:hAnsi="Times New Roman" w:eastAsia="仿宋_GB2312" w:cs="Times New Roman"/>
                <w:color w:val="auto"/>
                <w:kern w:val="2"/>
                <w:sz w:val="24"/>
                <w:szCs w:val="24"/>
                <w:lang w:val="en-US" w:eastAsia="zh-CN" w:bidi="ar-SA"/>
              </w:rPr>
              <w:t>h</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则水泥、粉煤灰筒仓呼吸孔及放空口粉尘产生速率为</w:t>
            </w:r>
            <w:r>
              <w:rPr>
                <w:rFonts w:hint="eastAsia" w:eastAsia="仿宋_GB2312" w:cs="Times New Roman"/>
                <w:b w:val="0"/>
                <w:bCs w:val="0"/>
                <w:color w:val="auto"/>
                <w:kern w:val="2"/>
                <w:sz w:val="24"/>
                <w:szCs w:val="24"/>
                <w:lang w:val="en-US" w:eastAsia="zh-CN" w:bidi="ar-SA"/>
              </w:rPr>
              <w:t>5.76</w:t>
            </w:r>
            <w:r>
              <w:rPr>
                <w:rFonts w:hint="default" w:ascii="Times New Roman" w:hAnsi="Times New Roman" w:eastAsia="仿宋_GB2312" w:cs="Times New Roman"/>
                <w:b w:val="0"/>
                <w:bCs w:val="0"/>
                <w:color w:val="auto"/>
                <w:kern w:val="2"/>
                <w:sz w:val="24"/>
                <w:szCs w:val="24"/>
                <w:lang w:val="en-US" w:eastAsia="zh-CN" w:bidi="ar-SA"/>
              </w:rPr>
              <w:t>kg/h</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产生量为</w:t>
            </w:r>
            <w:r>
              <w:rPr>
                <w:rFonts w:hint="eastAsia" w:eastAsia="仿宋_GB2312" w:cs="Times New Roman"/>
                <w:b w:val="0"/>
                <w:bCs w:val="0"/>
                <w:color w:val="auto"/>
                <w:kern w:val="2"/>
                <w:sz w:val="24"/>
                <w:szCs w:val="24"/>
                <w:lang w:val="en-US" w:eastAsia="zh-CN" w:bidi="ar-SA"/>
              </w:rPr>
              <w:t>2.40</w:t>
            </w:r>
            <w:r>
              <w:rPr>
                <w:rFonts w:hint="default" w:ascii="Times New Roman" w:hAnsi="Times New Roman" w:eastAsia="仿宋_GB2312" w:cs="Times New Roman"/>
                <w:b w:val="0"/>
                <w:bCs w:val="0"/>
                <w:color w:val="auto"/>
                <w:kern w:val="2"/>
                <w:sz w:val="24"/>
                <w:szCs w:val="24"/>
                <w:lang w:val="en-US" w:eastAsia="zh-CN" w:bidi="ar-SA"/>
              </w:rPr>
              <w:t>t/a。</w:t>
            </w:r>
          </w:p>
          <w:p w14:paraId="720881D6">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bidi="ar-SA"/>
              </w:rPr>
              <w:t>项目各个粉煤灰筒仓顶部均配套安装脉冲除尘器，产生的粉尘通过治理后（该工序密闭性极强，粉尘收集效率可达100%，除尘器除尘效率为99</w:t>
            </w:r>
            <w:r>
              <w:rPr>
                <w:rFonts w:hint="eastAsia" w:ascii="Times New Roman" w:hAnsi="Times New Roman" w:eastAsia="仿宋_GB2312" w:cs="Times New Roman"/>
                <w:b w:val="0"/>
                <w:bCs w:val="0"/>
                <w:color w:val="auto"/>
                <w:kern w:val="2"/>
                <w:sz w:val="24"/>
                <w:szCs w:val="24"/>
                <w:lang w:val="en-US" w:eastAsia="zh-CN" w:bidi="ar-SA"/>
              </w:rPr>
              <w:t>.7</w:t>
            </w:r>
            <w:r>
              <w:rPr>
                <w:rFonts w:hint="default" w:ascii="Times New Roman" w:hAnsi="Times New Roman" w:eastAsia="仿宋_GB2312" w:cs="Times New Roman"/>
                <w:b w:val="0"/>
                <w:bCs w:val="0"/>
                <w:color w:val="auto"/>
                <w:kern w:val="2"/>
                <w:sz w:val="24"/>
                <w:szCs w:val="24"/>
                <w:lang w:val="en-US" w:eastAsia="zh-CN" w:bidi="ar-SA"/>
              </w:rPr>
              <w:t>%），通过筒仓呼吸孔及放空口无组织排放，则筒仓呼吸孔及放空口粉尘排放速率为0.</w:t>
            </w:r>
            <w:r>
              <w:rPr>
                <w:rFonts w:hint="eastAsia" w:ascii="Times New Roman" w:hAnsi="Times New Roman" w:eastAsia="仿宋_GB2312" w:cs="Times New Roman"/>
                <w:b w:val="0"/>
                <w:bCs w:val="0"/>
                <w:color w:val="auto"/>
                <w:kern w:val="2"/>
                <w:sz w:val="24"/>
                <w:szCs w:val="24"/>
                <w:lang w:val="en-US" w:eastAsia="zh-CN" w:bidi="ar-SA"/>
              </w:rPr>
              <w:t>0</w:t>
            </w:r>
            <w:r>
              <w:rPr>
                <w:rFonts w:hint="eastAsia" w:eastAsia="仿宋_GB2312" w:cs="Times New Roman"/>
                <w:b w:val="0"/>
                <w:bCs w:val="0"/>
                <w:color w:val="auto"/>
                <w:kern w:val="2"/>
                <w:sz w:val="24"/>
                <w:szCs w:val="24"/>
                <w:lang w:val="en-US" w:eastAsia="zh-CN" w:bidi="ar-SA"/>
              </w:rPr>
              <w:t>072</w:t>
            </w:r>
            <w:r>
              <w:rPr>
                <w:rFonts w:hint="default" w:ascii="Times New Roman" w:hAnsi="Times New Roman" w:eastAsia="仿宋_GB2312" w:cs="Times New Roman"/>
                <w:b w:val="0"/>
                <w:bCs w:val="0"/>
                <w:color w:val="auto"/>
                <w:kern w:val="2"/>
                <w:sz w:val="24"/>
                <w:szCs w:val="24"/>
                <w:lang w:val="en-US" w:eastAsia="zh-CN" w:bidi="ar-SA"/>
              </w:rPr>
              <w:t>kg/h</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排放量为0.0</w:t>
            </w:r>
            <w:r>
              <w:rPr>
                <w:rFonts w:hint="eastAsia" w:eastAsia="仿宋_GB2312" w:cs="Times New Roman"/>
                <w:b w:val="0"/>
                <w:bCs w:val="0"/>
                <w:color w:val="auto"/>
                <w:kern w:val="2"/>
                <w:sz w:val="24"/>
                <w:szCs w:val="24"/>
                <w:lang w:val="en-US" w:eastAsia="zh-CN" w:bidi="ar-SA"/>
              </w:rPr>
              <w:t>17</w:t>
            </w:r>
            <w:r>
              <w:rPr>
                <w:rFonts w:hint="default" w:ascii="Times New Roman" w:hAnsi="Times New Roman" w:eastAsia="仿宋_GB2312" w:cs="Times New Roman"/>
                <w:b w:val="0"/>
                <w:bCs w:val="0"/>
                <w:color w:val="auto"/>
                <w:kern w:val="2"/>
                <w:sz w:val="24"/>
                <w:szCs w:val="24"/>
                <w:lang w:val="en-US" w:eastAsia="zh-CN" w:bidi="ar-SA"/>
              </w:rPr>
              <w:t>t/a</w:t>
            </w:r>
            <w:r>
              <w:rPr>
                <w:rFonts w:hint="default" w:ascii="Times New Roman" w:hAnsi="Times New Roman" w:eastAsia="仿宋_GB2312" w:cs="Times New Roman"/>
                <w:color w:val="auto"/>
                <w:kern w:val="0"/>
                <w:sz w:val="24"/>
                <w:szCs w:val="24"/>
                <w:lang w:val="en-US" w:eastAsia="zh-CN"/>
              </w:rPr>
              <w:t>。</w:t>
            </w:r>
          </w:p>
          <w:p w14:paraId="1A2AF689">
            <w:pPr>
              <w:pStyle w:val="57"/>
              <w:keepNext w:val="0"/>
              <w:keepLines w:val="0"/>
              <w:pageBreakBefore w:val="0"/>
              <w:kinsoku/>
              <w:wordWrap/>
              <w:overflowPunct/>
              <w:topLinePunct w:val="0"/>
              <w:autoSpaceDE/>
              <w:autoSpaceDN/>
              <w:bidi w:val="0"/>
              <w:spacing w:line="351" w:lineRule="auto"/>
              <w:ind w:firstLine="480"/>
              <w:textAlignment w:val="auto"/>
              <w:rPr>
                <w:rFonts w:hint="default" w:ascii="Times New Roman" w:hAnsi="Times New Roman" w:eastAsia="仿宋_GB2312" w:cs="Times New Roman"/>
                <w:b/>
                <w:bCs/>
                <w:color w:val="auto"/>
                <w:kern w:val="0"/>
                <w:sz w:val="24"/>
                <w:szCs w:val="24"/>
                <w:lang w:val="en-US" w:eastAsia="zh-CN"/>
              </w:rPr>
            </w:pPr>
            <w:r>
              <w:rPr>
                <w:rFonts w:hint="default" w:ascii="Times New Roman" w:hAnsi="Times New Roman" w:eastAsia="仿宋_GB2312" w:cs="Times New Roman"/>
                <w:b/>
                <w:bCs/>
                <w:color w:val="auto"/>
                <w:kern w:val="2"/>
                <w:sz w:val="24"/>
                <w:szCs w:val="24"/>
                <w:lang w:val="en-US" w:eastAsia="zh-CN" w:bidi="ar-SA"/>
              </w:rPr>
              <w:t>③</w:t>
            </w:r>
            <w:r>
              <w:rPr>
                <w:rFonts w:hint="eastAsia" w:ascii="Times New Roman" w:hAnsi="Times New Roman" w:eastAsia="仿宋_GB2312" w:cs="Times New Roman"/>
                <w:b/>
                <w:bCs/>
                <w:color w:val="auto"/>
                <w:kern w:val="2"/>
                <w:sz w:val="24"/>
                <w:szCs w:val="24"/>
                <w:lang w:val="en-US" w:eastAsia="zh-CN" w:bidi="ar-SA"/>
              </w:rPr>
              <w:t>堆</w:t>
            </w:r>
            <w:r>
              <w:rPr>
                <w:rFonts w:hint="eastAsia" w:ascii="Times New Roman" w:hAnsi="Times New Roman" w:eastAsia="仿宋_GB2312" w:cs="Times New Roman"/>
                <w:b/>
                <w:bCs/>
                <w:color w:val="auto"/>
                <w:kern w:val="0"/>
                <w:sz w:val="24"/>
                <w:szCs w:val="24"/>
                <w:lang w:val="en-US" w:eastAsia="zh-CN"/>
              </w:rPr>
              <w:t>料棚</w:t>
            </w:r>
            <w:r>
              <w:rPr>
                <w:rFonts w:hint="default" w:ascii="Times New Roman" w:hAnsi="Times New Roman" w:eastAsia="仿宋_GB2312" w:cs="Times New Roman"/>
                <w:b/>
                <w:bCs/>
                <w:color w:val="auto"/>
                <w:kern w:val="0"/>
                <w:sz w:val="24"/>
                <w:szCs w:val="24"/>
                <w:lang w:val="en-US" w:eastAsia="zh-CN"/>
              </w:rPr>
              <w:t>产生的粉尘（G</w:t>
            </w:r>
            <w:r>
              <w:rPr>
                <w:rFonts w:hint="eastAsia" w:ascii="Times New Roman" w:hAnsi="Times New Roman" w:eastAsia="仿宋_GB2312" w:cs="Times New Roman"/>
                <w:b/>
                <w:bCs/>
                <w:color w:val="auto"/>
                <w:kern w:val="0"/>
                <w:sz w:val="24"/>
                <w:szCs w:val="24"/>
                <w:vertAlign w:val="subscript"/>
                <w:lang w:val="en-US" w:eastAsia="zh-CN"/>
              </w:rPr>
              <w:t>1</w:t>
            </w:r>
            <w:r>
              <w:rPr>
                <w:rFonts w:hint="default" w:ascii="Times New Roman" w:hAnsi="Times New Roman" w:eastAsia="仿宋_GB2312" w:cs="Times New Roman"/>
                <w:b/>
                <w:bCs/>
                <w:color w:val="auto"/>
                <w:kern w:val="0"/>
                <w:sz w:val="24"/>
                <w:szCs w:val="24"/>
                <w:vertAlign w:val="subscript"/>
                <w:lang w:val="en-US" w:eastAsia="zh-CN"/>
              </w:rPr>
              <w:t>-</w:t>
            </w:r>
            <w:r>
              <w:rPr>
                <w:rFonts w:hint="eastAsia" w:eastAsia="仿宋_GB2312" w:cs="Times New Roman"/>
                <w:b/>
                <w:bCs/>
                <w:color w:val="auto"/>
                <w:kern w:val="0"/>
                <w:sz w:val="24"/>
                <w:szCs w:val="24"/>
                <w:vertAlign w:val="subscript"/>
                <w:lang w:val="en-US" w:eastAsia="zh-CN"/>
              </w:rPr>
              <w:t>2</w:t>
            </w:r>
            <w:r>
              <w:rPr>
                <w:rFonts w:hint="default" w:ascii="Times New Roman" w:hAnsi="Times New Roman" w:eastAsia="仿宋_GB2312" w:cs="Times New Roman"/>
                <w:b/>
                <w:bCs/>
                <w:color w:val="auto"/>
                <w:kern w:val="0"/>
                <w:sz w:val="24"/>
                <w:szCs w:val="24"/>
                <w:lang w:val="en-US" w:eastAsia="zh-CN"/>
              </w:rPr>
              <w:t>）</w:t>
            </w:r>
          </w:p>
          <w:p w14:paraId="3A4222B0">
            <w:pPr>
              <w:pStyle w:val="57"/>
              <w:keepNext w:val="0"/>
              <w:keepLines w:val="0"/>
              <w:pageBreakBefore w:val="0"/>
              <w:kinsoku/>
              <w:wordWrap/>
              <w:overflowPunct/>
              <w:topLinePunct w:val="0"/>
              <w:autoSpaceDE/>
              <w:autoSpaceDN/>
              <w:bidi w:val="0"/>
              <w:spacing w:line="351" w:lineRule="auto"/>
              <w:ind w:firstLine="480"/>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lang w:val="en-US" w:eastAsia="zh-CN" w:bidi="ar-SA"/>
              </w:rPr>
              <w:t>本项目堆料棚为</w:t>
            </w:r>
            <w:r>
              <w:rPr>
                <w:rFonts w:hint="eastAsia" w:ascii="Times New Roman" w:hAnsi="Times New Roman" w:eastAsia="仿宋_GB2312" w:cs="Times New Roman"/>
                <w:color w:val="auto"/>
                <w:kern w:val="2"/>
                <w:sz w:val="24"/>
                <w:szCs w:val="24"/>
                <w:lang w:val="en-US" w:eastAsia="zh-CN" w:bidi="ar-SA"/>
              </w:rPr>
              <w:t>半</w:t>
            </w:r>
            <w:r>
              <w:rPr>
                <w:rFonts w:hint="default" w:ascii="Times New Roman" w:hAnsi="Times New Roman" w:eastAsia="仿宋_GB2312" w:cs="Times New Roman"/>
                <w:color w:val="auto"/>
                <w:kern w:val="2"/>
                <w:sz w:val="24"/>
                <w:szCs w:val="24"/>
                <w:lang w:val="en-US" w:eastAsia="zh-CN" w:bidi="ar-SA"/>
              </w:rPr>
              <w:t>封闭设计，项目所用</w:t>
            </w:r>
            <w:r>
              <w:rPr>
                <w:rFonts w:hint="eastAsia" w:eastAsia="仿宋_GB2312" w:cs="Times New Roman"/>
                <w:color w:val="auto"/>
                <w:kern w:val="2"/>
                <w:sz w:val="24"/>
                <w:szCs w:val="24"/>
                <w:lang w:val="en-US" w:eastAsia="zh-CN" w:bidi="ar-SA"/>
              </w:rPr>
              <w:t>碎石</w:t>
            </w:r>
            <w:r>
              <w:rPr>
                <w:rFonts w:hint="default" w:ascii="Times New Roman" w:hAnsi="Times New Roman" w:eastAsia="仿宋_GB2312" w:cs="Times New Roman"/>
                <w:color w:val="auto"/>
                <w:kern w:val="2"/>
                <w:sz w:val="24"/>
                <w:szCs w:val="24"/>
                <w:lang w:val="en-US" w:eastAsia="zh-CN" w:bidi="ar-SA"/>
              </w:rPr>
              <w:t>和</w:t>
            </w:r>
            <w:r>
              <w:rPr>
                <w:rFonts w:hint="eastAsia" w:eastAsia="仿宋_GB2312" w:cs="Times New Roman"/>
                <w:color w:val="auto"/>
                <w:kern w:val="2"/>
                <w:sz w:val="24"/>
                <w:szCs w:val="24"/>
                <w:lang w:val="en-US" w:eastAsia="zh-CN" w:bidi="ar-SA"/>
              </w:rPr>
              <w:t>水洗砂</w:t>
            </w:r>
            <w:r>
              <w:rPr>
                <w:rFonts w:hint="default" w:ascii="Times New Roman" w:hAnsi="Times New Roman" w:eastAsia="仿宋_GB2312" w:cs="Times New Roman"/>
                <w:color w:val="auto"/>
                <w:kern w:val="2"/>
                <w:sz w:val="24"/>
                <w:szCs w:val="24"/>
                <w:lang w:val="en-US" w:eastAsia="zh-CN" w:bidi="ar-SA"/>
              </w:rPr>
              <w:t>采用篷布遮盖通过汽车运至堆料棚，进行分区堆放，再用铲车送入进料口。</w:t>
            </w:r>
            <w:r>
              <w:rPr>
                <w:rFonts w:hint="eastAsia" w:eastAsia="仿宋_GB2312" w:cs="Times New Roman"/>
                <w:color w:val="auto"/>
                <w:kern w:val="2"/>
                <w:sz w:val="24"/>
                <w:szCs w:val="24"/>
                <w:lang w:val="en-US" w:eastAsia="zh-CN" w:bidi="ar-SA"/>
              </w:rPr>
              <w:t>参考</w:t>
            </w:r>
            <w:r>
              <w:rPr>
                <w:rFonts w:hint="default" w:ascii="Times New Roman" w:hAnsi="Times New Roman" w:eastAsia="仿宋_GB2312" w:cs="Times New Roman"/>
                <w:color w:val="auto"/>
                <w:kern w:val="2"/>
                <w:sz w:val="24"/>
                <w:szCs w:val="24"/>
                <w:lang w:val="en-US" w:eastAsia="zh-CN" w:bidi="ar-SA"/>
              </w:rPr>
              <w:t>《逸散性工业粉尘控制技术》中“表21-1沥青混凝土制造厂的逸散尘排放因子”，原材料砂石装卸到堆场过程中</w:t>
            </w:r>
            <w:r>
              <w:rPr>
                <w:rFonts w:hint="eastAsia" w:eastAsia="仿宋_GB2312" w:cs="Times New Roman"/>
                <w:color w:val="auto"/>
                <w:kern w:val="2"/>
                <w:sz w:val="24"/>
                <w:szCs w:val="24"/>
                <w:lang w:val="en-US" w:eastAsia="zh-CN" w:bidi="ar-SA"/>
              </w:rPr>
              <w:t>产生</w:t>
            </w:r>
            <w:r>
              <w:rPr>
                <w:rFonts w:hint="default" w:ascii="Times New Roman" w:hAnsi="Times New Roman" w:eastAsia="仿宋_GB2312" w:cs="Times New Roman"/>
                <w:color w:val="auto"/>
                <w:kern w:val="2"/>
                <w:sz w:val="24"/>
                <w:szCs w:val="24"/>
                <w:lang w:val="en-US" w:eastAsia="zh-CN" w:bidi="ar-SA"/>
              </w:rPr>
              <w:t>的粉尘排放系数按0.02kg/t计算，本项目装卸</w:t>
            </w:r>
            <w:r>
              <w:rPr>
                <w:rFonts w:hint="eastAsia" w:ascii="Times New Roman" w:hAnsi="Times New Roman" w:eastAsia="仿宋_GB2312" w:cs="Times New Roman"/>
                <w:color w:val="auto"/>
                <w:kern w:val="2"/>
                <w:sz w:val="24"/>
                <w:szCs w:val="24"/>
                <w:lang w:val="en-US" w:eastAsia="zh-CN" w:bidi="ar-SA"/>
              </w:rPr>
              <w:t>碎石</w:t>
            </w:r>
            <w:r>
              <w:rPr>
                <w:rFonts w:hint="default" w:ascii="Times New Roman" w:hAnsi="Times New Roman" w:eastAsia="仿宋_GB2312" w:cs="Times New Roman"/>
                <w:color w:val="auto"/>
                <w:kern w:val="2"/>
                <w:sz w:val="24"/>
                <w:szCs w:val="24"/>
                <w:lang w:val="en-US" w:eastAsia="zh-CN" w:bidi="ar-SA"/>
              </w:rPr>
              <w:t>和</w:t>
            </w:r>
            <w:r>
              <w:rPr>
                <w:rFonts w:hint="eastAsia" w:ascii="Times New Roman" w:hAnsi="Times New Roman" w:eastAsia="仿宋_GB2312" w:cs="Times New Roman"/>
                <w:color w:val="auto"/>
                <w:kern w:val="2"/>
                <w:sz w:val="24"/>
                <w:szCs w:val="24"/>
                <w:lang w:val="en-US" w:eastAsia="zh-CN" w:bidi="ar-SA"/>
              </w:rPr>
              <w:t>水洗砂</w:t>
            </w:r>
            <w:r>
              <w:rPr>
                <w:rFonts w:hint="eastAsia" w:ascii="Times New Roman" w:hAnsi="Times New Roman" w:eastAsia="仿宋_GB2312" w:cs="Times New Roman"/>
                <w:b w:val="0"/>
                <w:bCs w:val="0"/>
                <w:color w:val="auto"/>
                <w:kern w:val="2"/>
                <w:sz w:val="24"/>
                <w:szCs w:val="24"/>
                <w:lang w:val="en-US" w:eastAsia="zh-CN" w:bidi="ar-SA"/>
              </w:rPr>
              <w:t>360000</w:t>
            </w:r>
            <w:r>
              <w:rPr>
                <w:rFonts w:hint="default" w:ascii="Times New Roman" w:hAnsi="Times New Roman" w:eastAsia="仿宋_GB2312" w:cs="Times New Roman"/>
                <w:color w:val="auto"/>
                <w:kern w:val="2"/>
                <w:sz w:val="24"/>
                <w:szCs w:val="24"/>
                <w:lang w:val="en-US" w:eastAsia="zh-CN" w:bidi="ar-SA"/>
              </w:rPr>
              <w:t>t/a，则项目骨料堆放过程</w:t>
            </w:r>
            <w:r>
              <w:rPr>
                <w:rFonts w:hint="eastAsia" w:ascii="Times New Roman" w:hAnsi="Times New Roman" w:eastAsia="仿宋_GB2312" w:cs="Times New Roman"/>
                <w:color w:val="auto"/>
                <w:kern w:val="2"/>
                <w:sz w:val="24"/>
                <w:szCs w:val="24"/>
                <w:lang w:val="en-US" w:eastAsia="zh-CN" w:bidi="ar-SA"/>
              </w:rPr>
              <w:t>中</w:t>
            </w:r>
            <w:r>
              <w:rPr>
                <w:rFonts w:hint="default" w:ascii="Times New Roman" w:hAnsi="Times New Roman" w:eastAsia="仿宋_GB2312" w:cs="Times New Roman"/>
                <w:color w:val="auto"/>
                <w:kern w:val="2"/>
                <w:sz w:val="24"/>
                <w:szCs w:val="24"/>
                <w:lang w:val="en-US" w:eastAsia="zh-CN" w:bidi="ar-SA"/>
              </w:rPr>
              <w:t>粉尘产生速率为</w:t>
            </w:r>
            <w:r>
              <w:rPr>
                <w:rFonts w:hint="eastAsia" w:ascii="Times New Roman" w:hAnsi="Times New Roman" w:eastAsia="仿宋_GB2312" w:cs="Times New Roman"/>
                <w:color w:val="auto"/>
                <w:kern w:val="2"/>
                <w:sz w:val="24"/>
                <w:szCs w:val="24"/>
                <w:lang w:val="en-US" w:eastAsia="zh-CN" w:bidi="ar-SA"/>
              </w:rPr>
              <w:t>3.75</w:t>
            </w:r>
            <w:r>
              <w:rPr>
                <w:rFonts w:hint="default" w:ascii="Times New Roman" w:hAnsi="Times New Roman" w:eastAsia="仿宋_GB2312" w:cs="Times New Roman"/>
                <w:color w:val="auto"/>
                <w:kern w:val="2"/>
                <w:sz w:val="24"/>
                <w:szCs w:val="24"/>
                <w:lang w:val="en-US" w:eastAsia="zh-CN" w:bidi="ar-SA"/>
              </w:rPr>
              <w:t>kg/h</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产生量为</w:t>
            </w:r>
            <w:r>
              <w:rPr>
                <w:rFonts w:hint="eastAsia" w:ascii="Times New Roman" w:hAnsi="Times New Roman" w:eastAsia="仿宋_GB2312" w:cs="Times New Roman"/>
                <w:color w:val="auto"/>
                <w:kern w:val="2"/>
                <w:sz w:val="24"/>
                <w:szCs w:val="24"/>
                <w:lang w:val="en-US" w:eastAsia="zh-CN" w:bidi="ar-SA"/>
              </w:rPr>
              <w:t>7.2</w:t>
            </w:r>
            <w:r>
              <w:rPr>
                <w:rFonts w:hint="default" w:ascii="Times New Roman" w:hAnsi="Times New Roman" w:eastAsia="仿宋_GB2312" w:cs="Times New Roman"/>
                <w:color w:val="auto"/>
                <w:kern w:val="2"/>
                <w:sz w:val="24"/>
                <w:szCs w:val="24"/>
                <w:lang w:val="en-US" w:eastAsia="zh-CN" w:bidi="ar-SA"/>
              </w:rPr>
              <w:t>t/a。项目运营期采取地表硬化</w:t>
            </w:r>
            <w:r>
              <w:rPr>
                <w:rFonts w:hint="eastAsia"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保持砂石堆表层湿润</w:t>
            </w:r>
            <w:r>
              <w:rPr>
                <w:rFonts w:hint="eastAsia" w:eastAsia="仿宋_GB2312" w:cs="Times New Roman"/>
                <w:color w:val="auto"/>
                <w:kern w:val="2"/>
                <w:sz w:val="24"/>
                <w:szCs w:val="24"/>
                <w:lang w:val="en-US" w:eastAsia="zh-CN" w:bidi="ar-SA"/>
              </w:rPr>
              <w:t>，且骨料位于半封闭车间</w:t>
            </w:r>
            <w:r>
              <w:rPr>
                <w:rFonts w:hint="default" w:ascii="Times New Roman" w:hAnsi="Times New Roman" w:eastAsia="仿宋_GB2312" w:cs="Times New Roman"/>
                <w:b w:val="0"/>
                <w:bCs w:val="0"/>
                <w:color w:val="auto"/>
                <w:kern w:val="2"/>
                <w:sz w:val="24"/>
                <w:szCs w:val="24"/>
                <w:highlight w:val="none"/>
                <w:lang w:val="en-US" w:eastAsia="zh-CN" w:bidi="ar-SA"/>
              </w:rPr>
              <w:t>，定期进行洒水降尘</w:t>
            </w:r>
            <w:r>
              <w:rPr>
                <w:rFonts w:hint="eastAsia" w:eastAsia="仿宋_GB2312" w:cs="Times New Roman"/>
                <w:b w:val="0"/>
                <w:bCs w:val="0"/>
                <w:color w:val="auto"/>
                <w:kern w:val="2"/>
                <w:sz w:val="24"/>
                <w:szCs w:val="24"/>
                <w:highlight w:val="none"/>
                <w:lang w:val="en-US" w:eastAsia="zh-CN" w:bidi="ar-SA"/>
              </w:rPr>
              <w:t>，</w:t>
            </w:r>
            <w:r>
              <w:rPr>
                <w:rFonts w:hint="eastAsia" w:eastAsia="仿宋_GB2312" w:cs="Times New Roman"/>
                <w:b w:val="0"/>
                <w:bCs w:val="0"/>
                <w:color w:val="auto"/>
                <w:kern w:val="2"/>
                <w:sz w:val="24"/>
                <w:szCs w:val="24"/>
                <w:lang w:val="en-US" w:eastAsia="zh-CN" w:bidi="ar-SA"/>
              </w:rPr>
              <w:t>上料采用密闭廊道输送</w:t>
            </w:r>
            <w:r>
              <w:rPr>
                <w:rFonts w:hint="default" w:ascii="Times New Roman" w:hAnsi="Times New Roman" w:eastAsia="仿宋_GB2312" w:cs="Times New Roman"/>
                <w:b w:val="0"/>
                <w:bCs w:val="0"/>
                <w:color w:val="auto"/>
                <w:kern w:val="2"/>
                <w:sz w:val="24"/>
                <w:szCs w:val="24"/>
                <w:highlight w:val="none"/>
                <w:lang w:val="en-US" w:eastAsia="zh-CN" w:bidi="ar-SA"/>
              </w:rPr>
              <w:t>（综合降尘效率为</w:t>
            </w:r>
            <w:r>
              <w:rPr>
                <w:rFonts w:hint="eastAsia" w:eastAsia="仿宋_GB2312" w:cs="Times New Roman"/>
                <w:b w:val="0"/>
                <w:bCs w:val="0"/>
                <w:color w:val="auto"/>
                <w:kern w:val="2"/>
                <w:sz w:val="24"/>
                <w:szCs w:val="24"/>
                <w:highlight w:val="none"/>
                <w:lang w:val="en-US" w:eastAsia="zh-CN" w:bidi="ar-SA"/>
              </w:rPr>
              <w:t>85</w:t>
            </w:r>
            <w:r>
              <w:rPr>
                <w:rFonts w:hint="default" w:ascii="Times New Roman" w:hAnsi="Times New Roman" w:eastAsia="仿宋_GB2312" w:cs="Times New Roman"/>
                <w:b w:val="0"/>
                <w:bCs w:val="0"/>
                <w:color w:val="auto"/>
                <w:kern w:val="2"/>
                <w:sz w:val="24"/>
                <w:szCs w:val="24"/>
                <w:highlight w:val="none"/>
                <w:lang w:val="en-US" w:eastAsia="zh-CN" w:bidi="ar-SA"/>
              </w:rPr>
              <w:t>%），</w:t>
            </w:r>
            <w:r>
              <w:rPr>
                <w:rFonts w:hint="eastAsia" w:ascii="Times New Roman" w:hAnsi="Times New Roman" w:eastAsia="仿宋_GB2312" w:cs="Times New Roman"/>
                <w:b w:val="0"/>
                <w:bCs w:val="0"/>
                <w:color w:val="auto"/>
                <w:kern w:val="2"/>
                <w:sz w:val="24"/>
                <w:szCs w:val="24"/>
                <w:highlight w:val="none"/>
                <w:lang w:val="en-US" w:eastAsia="zh-CN" w:bidi="ar-SA"/>
              </w:rPr>
              <w:t>无组织排放，</w:t>
            </w:r>
            <w:r>
              <w:rPr>
                <w:rFonts w:hint="default" w:ascii="Times New Roman" w:hAnsi="Times New Roman" w:eastAsia="仿宋_GB2312" w:cs="Times New Roman"/>
                <w:b w:val="0"/>
                <w:bCs w:val="0"/>
                <w:color w:val="auto"/>
                <w:kern w:val="2"/>
                <w:sz w:val="24"/>
                <w:szCs w:val="24"/>
                <w:highlight w:val="none"/>
                <w:lang w:val="en-US" w:eastAsia="zh-CN" w:bidi="ar-SA"/>
              </w:rPr>
              <w:t>则</w:t>
            </w:r>
            <w:r>
              <w:rPr>
                <w:rFonts w:hint="default" w:ascii="Times New Roman" w:hAnsi="Times New Roman" w:eastAsia="仿宋_GB2312" w:cs="Times New Roman"/>
                <w:color w:val="auto"/>
                <w:kern w:val="2"/>
                <w:sz w:val="24"/>
                <w:szCs w:val="24"/>
                <w:highlight w:val="none"/>
                <w:lang w:val="en-US" w:eastAsia="zh-CN" w:bidi="ar-SA"/>
              </w:rPr>
              <w:t>骨料堆放过程</w:t>
            </w:r>
            <w:r>
              <w:rPr>
                <w:rFonts w:hint="eastAsia" w:ascii="Times New Roman" w:hAnsi="Times New Roman" w:eastAsia="仿宋_GB2312" w:cs="Times New Roman"/>
                <w:b w:val="0"/>
                <w:bCs w:val="0"/>
                <w:color w:val="auto"/>
                <w:kern w:val="2"/>
                <w:sz w:val="24"/>
                <w:szCs w:val="24"/>
                <w:highlight w:val="none"/>
                <w:lang w:val="en-US" w:eastAsia="zh-CN" w:bidi="ar-SA"/>
              </w:rPr>
              <w:t>中</w:t>
            </w:r>
            <w:r>
              <w:rPr>
                <w:rFonts w:hint="default" w:ascii="Times New Roman" w:hAnsi="Times New Roman" w:eastAsia="仿宋_GB2312" w:cs="Times New Roman"/>
                <w:b w:val="0"/>
                <w:bCs w:val="0"/>
                <w:color w:val="auto"/>
                <w:kern w:val="2"/>
                <w:sz w:val="24"/>
                <w:szCs w:val="24"/>
                <w:highlight w:val="none"/>
                <w:lang w:val="en-US" w:eastAsia="zh-CN" w:bidi="ar-SA"/>
              </w:rPr>
              <w:t>粉尘排放速率为0.</w:t>
            </w:r>
            <w:r>
              <w:rPr>
                <w:rFonts w:hint="eastAsia" w:eastAsia="仿宋_GB2312" w:cs="Times New Roman"/>
                <w:b w:val="0"/>
                <w:bCs w:val="0"/>
                <w:color w:val="auto"/>
                <w:kern w:val="2"/>
                <w:sz w:val="24"/>
                <w:szCs w:val="24"/>
                <w:highlight w:val="none"/>
                <w:lang w:val="en-US" w:eastAsia="zh-CN" w:bidi="ar-SA"/>
              </w:rPr>
              <w:t>563</w:t>
            </w:r>
            <w:r>
              <w:rPr>
                <w:rFonts w:hint="default" w:ascii="Times New Roman" w:hAnsi="Times New Roman" w:eastAsia="仿宋_GB2312" w:cs="Times New Roman"/>
                <w:b w:val="0"/>
                <w:bCs w:val="0"/>
                <w:color w:val="auto"/>
                <w:kern w:val="2"/>
                <w:sz w:val="24"/>
                <w:szCs w:val="24"/>
                <w:highlight w:val="none"/>
                <w:lang w:val="en-US" w:eastAsia="zh-CN" w:bidi="ar-SA"/>
              </w:rPr>
              <w:t>kg/h</w:t>
            </w:r>
            <w:r>
              <w:rPr>
                <w:rFonts w:hint="eastAsia" w:ascii="Times New Roman" w:hAnsi="Times New Roman" w:eastAsia="仿宋_GB2312" w:cs="Times New Roman"/>
                <w:b w:val="0"/>
                <w:bCs w:val="0"/>
                <w:color w:val="auto"/>
                <w:kern w:val="2"/>
                <w:sz w:val="24"/>
                <w:szCs w:val="24"/>
                <w:highlight w:val="none"/>
                <w:lang w:val="en-US" w:eastAsia="zh-CN" w:bidi="ar-SA"/>
              </w:rPr>
              <w:t>，</w:t>
            </w:r>
            <w:r>
              <w:rPr>
                <w:rFonts w:hint="default" w:ascii="Times New Roman" w:hAnsi="Times New Roman" w:eastAsia="仿宋_GB2312" w:cs="Times New Roman"/>
                <w:b w:val="0"/>
                <w:bCs w:val="0"/>
                <w:color w:val="auto"/>
                <w:kern w:val="2"/>
                <w:sz w:val="24"/>
                <w:szCs w:val="24"/>
                <w:highlight w:val="none"/>
                <w:lang w:val="en-US" w:eastAsia="zh-CN" w:bidi="ar-SA"/>
              </w:rPr>
              <w:t>排放量为</w:t>
            </w:r>
            <w:r>
              <w:rPr>
                <w:rFonts w:hint="eastAsia" w:eastAsia="仿宋_GB2312" w:cs="Times New Roman"/>
                <w:b w:val="0"/>
                <w:bCs w:val="0"/>
                <w:color w:val="auto"/>
                <w:kern w:val="2"/>
                <w:sz w:val="24"/>
                <w:szCs w:val="24"/>
                <w:highlight w:val="none"/>
                <w:lang w:val="en-US" w:eastAsia="zh-CN" w:bidi="ar-SA"/>
              </w:rPr>
              <w:t>1.08</w:t>
            </w:r>
            <w:r>
              <w:rPr>
                <w:rFonts w:hint="default" w:ascii="Times New Roman" w:hAnsi="Times New Roman" w:eastAsia="仿宋_GB2312" w:cs="Times New Roman"/>
                <w:b w:val="0"/>
                <w:bCs w:val="0"/>
                <w:color w:val="auto"/>
                <w:kern w:val="2"/>
                <w:sz w:val="24"/>
                <w:szCs w:val="24"/>
                <w:highlight w:val="none"/>
                <w:lang w:val="en-US" w:eastAsia="zh-CN" w:bidi="ar-SA"/>
              </w:rPr>
              <w:t>t/a。</w:t>
            </w:r>
          </w:p>
          <w:p w14:paraId="0D40F0B7">
            <w:pPr>
              <w:keepNext w:val="0"/>
              <w:keepLines w:val="0"/>
              <w:pageBreakBefore w:val="0"/>
              <w:widowControl w:val="0"/>
              <w:kinsoku/>
              <w:wordWrap/>
              <w:overflowPunct/>
              <w:topLinePunct w:val="0"/>
              <w:autoSpaceDE/>
              <w:autoSpaceDN/>
              <w:bidi w:val="0"/>
              <w:adjustRightInd w:val="0"/>
              <w:snapToGrid w:val="0"/>
              <w:spacing w:line="351" w:lineRule="auto"/>
              <w:ind w:firstLine="48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fldChar w:fldCharType="begin"/>
            </w:r>
            <w:r>
              <w:rPr>
                <w:rFonts w:hint="default" w:ascii="Times New Roman" w:hAnsi="Times New Roman" w:eastAsia="仿宋_GB2312" w:cs="Times New Roman"/>
                <w:b/>
                <w:bCs/>
                <w:color w:val="auto"/>
                <w:kern w:val="2"/>
                <w:sz w:val="24"/>
                <w:szCs w:val="24"/>
                <w:lang w:val="en-US" w:eastAsia="zh-CN" w:bidi="ar-SA"/>
              </w:rPr>
              <w:instrText xml:space="preserve"> = 4 \* GB3 \* MERGEFORMAT </w:instrText>
            </w:r>
            <w:r>
              <w:rPr>
                <w:rFonts w:hint="default" w:ascii="Times New Roman" w:hAnsi="Times New Roman" w:eastAsia="仿宋_GB2312" w:cs="Times New Roman"/>
                <w:b/>
                <w:bCs/>
                <w:color w:val="auto"/>
                <w:kern w:val="2"/>
                <w:sz w:val="24"/>
                <w:szCs w:val="24"/>
                <w:lang w:val="en-US" w:eastAsia="zh-CN" w:bidi="ar-SA"/>
              </w:rPr>
              <w:fldChar w:fldCharType="separate"/>
            </w:r>
            <w:r>
              <w:rPr>
                <w:rFonts w:hint="default" w:ascii="Times New Roman" w:hAnsi="Times New Roman" w:eastAsia="仿宋_GB2312" w:cs="Times New Roman"/>
                <w:b/>
                <w:bCs/>
                <w:color w:val="auto"/>
                <w:kern w:val="2"/>
                <w:sz w:val="24"/>
                <w:szCs w:val="24"/>
                <w:lang w:val="en-US" w:eastAsia="zh-CN" w:bidi="ar-SA"/>
              </w:rPr>
              <w:t>④</w:t>
            </w:r>
            <w:r>
              <w:rPr>
                <w:rFonts w:hint="default" w:ascii="Times New Roman" w:hAnsi="Times New Roman" w:eastAsia="仿宋_GB2312" w:cs="Times New Roman"/>
                <w:b/>
                <w:bCs/>
                <w:color w:val="auto"/>
                <w:kern w:val="2"/>
                <w:sz w:val="24"/>
                <w:szCs w:val="24"/>
                <w:lang w:val="en-US" w:eastAsia="zh-CN" w:bidi="ar-SA"/>
              </w:rPr>
              <w:fldChar w:fldCharType="end"/>
            </w:r>
            <w:r>
              <w:rPr>
                <w:rFonts w:hint="default" w:ascii="Times New Roman" w:hAnsi="Times New Roman" w:eastAsia="仿宋_GB2312" w:cs="Times New Roman"/>
                <w:b/>
                <w:bCs/>
                <w:color w:val="auto"/>
                <w:kern w:val="2"/>
                <w:sz w:val="24"/>
                <w:szCs w:val="24"/>
                <w:lang w:val="en-US" w:eastAsia="zh-CN" w:bidi="ar-SA"/>
              </w:rPr>
              <w:t>搅拌机混合搅拌过程中产生的粉尘（G</w:t>
            </w:r>
            <w:r>
              <w:rPr>
                <w:rFonts w:hint="default" w:ascii="Times New Roman" w:hAnsi="Times New Roman" w:eastAsia="仿宋_GB2312" w:cs="Times New Roman"/>
                <w:b/>
                <w:bCs/>
                <w:color w:val="auto"/>
                <w:kern w:val="2"/>
                <w:sz w:val="24"/>
                <w:szCs w:val="24"/>
                <w:vertAlign w:val="subscript"/>
                <w:lang w:val="en-US" w:eastAsia="zh-CN" w:bidi="ar-SA"/>
              </w:rPr>
              <w:t>1-</w:t>
            </w:r>
            <w:r>
              <w:rPr>
                <w:rFonts w:hint="eastAsia" w:eastAsia="仿宋_GB2312" w:cs="Times New Roman"/>
                <w:b/>
                <w:bCs/>
                <w:color w:val="auto"/>
                <w:kern w:val="2"/>
                <w:sz w:val="24"/>
                <w:szCs w:val="24"/>
                <w:vertAlign w:val="subscript"/>
                <w:lang w:val="en-US" w:eastAsia="zh-CN" w:bidi="ar-SA"/>
              </w:rPr>
              <w:t>4</w:t>
            </w:r>
            <w:r>
              <w:rPr>
                <w:rFonts w:hint="default" w:ascii="Times New Roman" w:hAnsi="Times New Roman" w:eastAsia="仿宋_GB2312" w:cs="Times New Roman"/>
                <w:b/>
                <w:bCs/>
                <w:color w:val="auto"/>
                <w:kern w:val="2"/>
                <w:sz w:val="24"/>
                <w:szCs w:val="24"/>
                <w:lang w:val="en-US" w:eastAsia="zh-CN" w:bidi="ar-SA"/>
              </w:rPr>
              <w:t>）</w:t>
            </w:r>
          </w:p>
          <w:p w14:paraId="729F7B2D">
            <w:pPr>
              <w:pStyle w:val="57"/>
              <w:keepNext w:val="0"/>
              <w:keepLines w:val="0"/>
              <w:pageBreakBefore w:val="0"/>
              <w:kinsoku/>
              <w:wordWrap/>
              <w:overflowPunct/>
              <w:topLinePunct w:val="0"/>
              <w:autoSpaceDE/>
              <w:autoSpaceDN/>
              <w:bidi w:val="0"/>
              <w:spacing w:line="351" w:lineRule="auto"/>
              <w:ind w:firstLine="48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本项目</w:t>
            </w:r>
            <w:r>
              <w:rPr>
                <w:rFonts w:hint="eastAsia" w:ascii="Times New Roman" w:hAnsi="Times New Roman" w:eastAsia="仿宋_GB2312" w:cs="Times New Roman"/>
                <w:b w:val="0"/>
                <w:bCs w:val="0"/>
                <w:color w:val="auto"/>
                <w:kern w:val="2"/>
                <w:sz w:val="24"/>
                <w:szCs w:val="24"/>
                <w:lang w:val="en-US" w:eastAsia="zh-CN" w:bidi="ar-SA"/>
              </w:rPr>
              <w:t>水泥</w:t>
            </w:r>
            <w:r>
              <w:rPr>
                <w:rFonts w:hint="default" w:ascii="Times New Roman" w:hAnsi="Times New Roman" w:eastAsia="仿宋_GB2312" w:cs="Times New Roman"/>
                <w:b w:val="0"/>
                <w:bCs w:val="0"/>
                <w:color w:val="auto"/>
                <w:kern w:val="2"/>
                <w:sz w:val="24"/>
                <w:szCs w:val="24"/>
                <w:lang w:val="en-US" w:eastAsia="zh-CN" w:bidi="ar-SA"/>
              </w:rPr>
              <w:t>混凝土生产线物料进入全密闭式搅拌机后，小粒径颗粒物会飘散形成粉尘。根据《排放源统计调查产排污核算方法和系数手册》中“3021水泥制品制造（含3022砼结构构件、3029其他水泥类似制品制造）行业系数表-混凝土制品”，物料混合搅拌颗粒物产污系数为0.13kg/t产品，项目年生产</w:t>
            </w:r>
            <w:r>
              <w:rPr>
                <w:rFonts w:hint="eastAsia" w:ascii="Times New Roman" w:hAnsi="Times New Roman" w:eastAsia="仿宋_GB2312" w:cs="Times New Roman"/>
                <w:b w:val="0"/>
                <w:bCs w:val="0"/>
                <w:color w:val="auto"/>
                <w:kern w:val="2"/>
                <w:sz w:val="24"/>
                <w:szCs w:val="24"/>
                <w:lang w:val="en-US" w:eastAsia="zh-CN" w:bidi="ar-SA"/>
              </w:rPr>
              <w:t>水泥混凝土20万</w:t>
            </w:r>
            <w:r>
              <w:rPr>
                <w:rFonts w:hint="default" w:ascii="Times New Roman" w:hAnsi="Times New Roman" w:eastAsia="仿宋_GB2312" w:cs="Times New Roman"/>
                <w:b w:val="0"/>
                <w:bCs w:val="0"/>
                <w:color w:val="auto"/>
                <w:kern w:val="2"/>
                <w:sz w:val="24"/>
                <w:szCs w:val="24"/>
                <w:lang w:val="en-US" w:eastAsia="zh-CN" w:bidi="ar-SA"/>
              </w:rPr>
              <w:t>m</w:t>
            </w:r>
            <w:r>
              <w:rPr>
                <w:rFonts w:hint="default" w:ascii="Times New Roman" w:hAnsi="Times New Roman" w:eastAsia="仿宋_GB2312" w:cs="Times New Roman"/>
                <w:b w:val="0"/>
                <w:bCs w:val="0"/>
                <w:color w:val="auto"/>
                <w:kern w:val="2"/>
                <w:sz w:val="24"/>
                <w:szCs w:val="24"/>
                <w:vertAlign w:val="superscript"/>
                <w:lang w:val="en-US" w:eastAsia="zh-CN" w:bidi="ar-SA"/>
              </w:rPr>
              <w:t>3</w:t>
            </w:r>
            <w:r>
              <w:rPr>
                <w:rFonts w:hint="default" w:ascii="Times New Roman" w:hAnsi="Times New Roman" w:eastAsia="仿宋_GB2312" w:cs="Times New Roman"/>
                <w:b w:val="0"/>
                <w:bCs w:val="0"/>
                <w:color w:val="auto"/>
                <w:kern w:val="2"/>
                <w:sz w:val="24"/>
                <w:szCs w:val="24"/>
                <w:lang w:val="en-US" w:eastAsia="zh-CN" w:bidi="ar-SA"/>
              </w:rPr>
              <w:t>（物料平衡折合为质量为</w:t>
            </w:r>
            <w:r>
              <w:rPr>
                <w:rFonts w:hint="eastAsia" w:ascii="Times New Roman" w:hAnsi="Times New Roman" w:eastAsia="仿宋_GB2312" w:cs="Times New Roman"/>
                <w:b w:val="0"/>
                <w:bCs w:val="0"/>
                <w:color w:val="auto"/>
                <w:kern w:val="2"/>
                <w:sz w:val="24"/>
                <w:szCs w:val="24"/>
                <w:lang w:val="en-US" w:eastAsia="zh-CN" w:bidi="ar-SA"/>
              </w:rPr>
              <w:t>480000</w:t>
            </w:r>
            <w:r>
              <w:rPr>
                <w:rFonts w:hint="default" w:ascii="Times New Roman" w:hAnsi="Times New Roman" w:eastAsia="仿宋_GB2312" w:cs="Times New Roman"/>
                <w:b w:val="0"/>
                <w:bCs w:val="0"/>
                <w:color w:val="auto"/>
                <w:kern w:val="2"/>
                <w:sz w:val="24"/>
                <w:szCs w:val="24"/>
                <w:lang w:val="en-US" w:eastAsia="zh-CN" w:bidi="ar-SA"/>
              </w:rPr>
              <w:t>t</w:t>
            </w:r>
            <w:r>
              <w:rPr>
                <w:rFonts w:hint="eastAsia" w:ascii="Times New Roman" w:hAnsi="Times New Roman" w:eastAsia="仿宋_GB2312" w:cs="Times New Roman"/>
                <w:b w:val="0"/>
                <w:bCs w:val="0"/>
                <w:color w:val="auto"/>
                <w:kern w:val="2"/>
                <w:sz w:val="24"/>
                <w:szCs w:val="24"/>
                <w:lang w:val="en-US" w:eastAsia="zh-CN" w:bidi="ar-SA"/>
              </w:rPr>
              <w:t>，搅拌过程中加入外加剂，则原辅料总用量为482000</w:t>
            </w:r>
            <w:r>
              <w:rPr>
                <w:rFonts w:hint="default" w:ascii="Times New Roman" w:hAnsi="Times New Roman" w:eastAsia="仿宋_GB2312" w:cs="Times New Roman"/>
                <w:b w:val="0"/>
                <w:bCs w:val="0"/>
                <w:color w:val="auto"/>
                <w:kern w:val="2"/>
                <w:sz w:val="24"/>
                <w:szCs w:val="24"/>
                <w:lang w:val="en-US" w:eastAsia="zh-CN" w:bidi="ar-SA"/>
              </w:rPr>
              <w:t>t），则搅拌工段粉尘产生速率为</w:t>
            </w:r>
            <w:r>
              <w:rPr>
                <w:rFonts w:hint="eastAsia" w:ascii="Times New Roman" w:hAnsi="Times New Roman" w:eastAsia="仿宋_GB2312" w:cs="Times New Roman"/>
                <w:b w:val="0"/>
                <w:bCs w:val="0"/>
                <w:color w:val="auto"/>
                <w:kern w:val="2"/>
                <w:sz w:val="24"/>
                <w:szCs w:val="24"/>
                <w:lang w:val="en-US" w:eastAsia="zh-CN" w:bidi="ar-SA"/>
              </w:rPr>
              <w:t>32.64</w:t>
            </w:r>
            <w:r>
              <w:rPr>
                <w:rFonts w:hint="default" w:ascii="Times New Roman" w:hAnsi="Times New Roman" w:eastAsia="仿宋_GB2312" w:cs="Times New Roman"/>
                <w:b w:val="0"/>
                <w:bCs w:val="0"/>
                <w:color w:val="auto"/>
                <w:kern w:val="2"/>
                <w:sz w:val="24"/>
                <w:szCs w:val="24"/>
                <w:lang w:val="en-US" w:eastAsia="zh-CN" w:bidi="ar-SA"/>
              </w:rPr>
              <w:t>kg/h</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产生量为</w:t>
            </w:r>
            <w:r>
              <w:rPr>
                <w:rFonts w:hint="eastAsia" w:ascii="Times New Roman" w:hAnsi="Times New Roman" w:eastAsia="仿宋_GB2312" w:cs="Times New Roman"/>
                <w:b w:val="0"/>
                <w:bCs w:val="0"/>
                <w:color w:val="auto"/>
                <w:kern w:val="2"/>
                <w:sz w:val="24"/>
                <w:szCs w:val="24"/>
                <w:lang w:val="en-US" w:eastAsia="zh-CN" w:bidi="ar-SA"/>
              </w:rPr>
              <w:t>62.66</w:t>
            </w:r>
            <w:r>
              <w:rPr>
                <w:rFonts w:hint="default" w:ascii="Times New Roman" w:hAnsi="Times New Roman" w:eastAsia="仿宋_GB2312" w:cs="Times New Roman"/>
                <w:b w:val="0"/>
                <w:bCs w:val="0"/>
                <w:color w:val="auto"/>
                <w:kern w:val="2"/>
                <w:sz w:val="24"/>
                <w:szCs w:val="24"/>
                <w:lang w:val="en-US" w:eastAsia="zh-CN" w:bidi="ar-SA"/>
              </w:rPr>
              <w:t>t/a。</w:t>
            </w:r>
          </w:p>
          <w:p w14:paraId="2EF1D327">
            <w:pPr>
              <w:pStyle w:val="57"/>
              <w:keepNext w:val="0"/>
              <w:keepLines w:val="0"/>
              <w:pageBreakBefore w:val="0"/>
              <w:kinsoku/>
              <w:wordWrap/>
              <w:overflowPunct/>
              <w:topLinePunct w:val="0"/>
              <w:autoSpaceDE/>
              <w:autoSpaceDN/>
              <w:bidi w:val="0"/>
              <w:spacing w:line="351" w:lineRule="auto"/>
              <w:ind w:firstLine="480"/>
              <w:textAlignment w:val="auto"/>
              <w:rPr>
                <w:rFonts w:hint="eastAsia" w:eastAsia="仿宋_GB2312"/>
                <w:color w:val="auto"/>
                <w:sz w:val="24"/>
                <w:lang w:eastAsia="zh-CN"/>
              </w:rPr>
            </w:pPr>
            <w:r>
              <w:rPr>
                <w:rFonts w:hint="default" w:ascii="Times New Roman" w:hAnsi="Times New Roman" w:eastAsia="仿宋_GB2312" w:cs="Times New Roman"/>
                <w:color w:val="auto"/>
                <w:sz w:val="24"/>
              </w:rPr>
              <w:t>本项目</w:t>
            </w:r>
            <w:r>
              <w:rPr>
                <w:rFonts w:hint="eastAsia" w:ascii="Times New Roman" w:hAnsi="Times New Roman" w:eastAsia="仿宋_GB2312" w:cs="Times New Roman"/>
                <w:color w:val="auto"/>
                <w:sz w:val="24"/>
                <w:lang w:eastAsia="zh-CN"/>
              </w:rPr>
              <w:t>混凝土生产在全封闭式拌合楼内进行，搅拌过程大量加入新鲜水，</w:t>
            </w:r>
            <w:r>
              <w:rPr>
                <w:rFonts w:ascii="Times New Roman" w:hAnsi="Times New Roman" w:eastAsia="仿宋_GB2312"/>
                <w:color w:val="auto"/>
                <w:sz w:val="24"/>
              </w:rPr>
              <w:t>可以减少</w:t>
            </w:r>
            <w:r>
              <w:rPr>
                <w:rFonts w:hint="eastAsia" w:eastAsia="仿宋_GB2312"/>
                <w:color w:val="auto"/>
                <w:sz w:val="24"/>
                <w:lang w:val="en-US" w:eastAsia="zh-CN"/>
              </w:rPr>
              <w:t>99</w:t>
            </w:r>
            <w:r>
              <w:rPr>
                <w:rFonts w:ascii="Times New Roman" w:hAnsi="Times New Roman" w:eastAsia="仿宋_GB2312"/>
                <w:color w:val="auto"/>
                <w:sz w:val="24"/>
              </w:rPr>
              <w:t>%以上的无组织粉尘排放</w:t>
            </w:r>
            <w:r>
              <w:rPr>
                <w:rFonts w:hint="eastAsia" w:ascii="Times New Roman" w:hAnsi="Times New Roman" w:eastAsia="仿宋_GB2312"/>
                <w:color w:val="auto"/>
                <w:sz w:val="24"/>
              </w:rPr>
              <w:t>，</w:t>
            </w:r>
            <w:r>
              <w:rPr>
                <w:rFonts w:ascii="Times New Roman" w:hAnsi="Times New Roman" w:eastAsia="仿宋_GB2312"/>
                <w:color w:val="auto"/>
                <w:sz w:val="24"/>
              </w:rPr>
              <w:t>即</w:t>
            </w:r>
            <w:r>
              <w:rPr>
                <w:rFonts w:hint="eastAsia" w:ascii="Times New Roman" w:hAnsi="Times New Roman" w:eastAsia="仿宋_GB2312"/>
                <w:color w:val="auto"/>
                <w:sz w:val="24"/>
                <w:lang w:eastAsia="zh-CN"/>
              </w:rPr>
              <w:t>搅拌粉尘</w:t>
            </w:r>
            <w:r>
              <w:rPr>
                <w:rFonts w:ascii="Times New Roman" w:hAnsi="Times New Roman" w:eastAsia="仿宋_GB2312"/>
                <w:color w:val="auto"/>
                <w:sz w:val="24"/>
              </w:rPr>
              <w:t>无组织</w:t>
            </w:r>
            <w:r>
              <w:rPr>
                <w:rFonts w:hint="eastAsia" w:ascii="Times New Roman" w:hAnsi="Times New Roman" w:eastAsia="仿宋_GB2312"/>
                <w:color w:val="auto"/>
                <w:sz w:val="24"/>
              </w:rPr>
              <w:t>排放速率为</w:t>
            </w:r>
            <w:r>
              <w:rPr>
                <w:rFonts w:hint="eastAsia" w:eastAsia="仿宋_GB2312"/>
                <w:color w:val="auto"/>
                <w:sz w:val="24"/>
                <w:lang w:val="en-US" w:eastAsia="zh-CN"/>
              </w:rPr>
              <w:t>0.33</w:t>
            </w:r>
            <w:r>
              <w:rPr>
                <w:rFonts w:hint="eastAsia" w:ascii="Times New Roman" w:hAnsi="Times New Roman" w:eastAsia="仿宋_GB2312"/>
                <w:color w:val="auto"/>
                <w:sz w:val="24"/>
              </w:rPr>
              <w:t>kg/h，</w:t>
            </w:r>
            <w:r>
              <w:rPr>
                <w:rFonts w:ascii="Times New Roman" w:hAnsi="Times New Roman" w:eastAsia="仿宋_GB2312"/>
                <w:color w:val="auto"/>
                <w:sz w:val="24"/>
              </w:rPr>
              <w:t>排放量为</w:t>
            </w:r>
            <w:r>
              <w:rPr>
                <w:rFonts w:hint="eastAsia" w:eastAsia="仿宋_GB2312"/>
                <w:color w:val="auto"/>
                <w:sz w:val="24"/>
                <w:lang w:val="en-US" w:eastAsia="zh-CN"/>
              </w:rPr>
              <w:t>0.63</w:t>
            </w:r>
            <w:r>
              <w:rPr>
                <w:rFonts w:ascii="Times New Roman" w:hAnsi="Times New Roman" w:eastAsia="仿宋_GB2312"/>
                <w:color w:val="auto"/>
                <w:sz w:val="24"/>
              </w:rPr>
              <w:t>t/a</w:t>
            </w:r>
            <w:r>
              <w:rPr>
                <w:rFonts w:hint="eastAsia" w:ascii="Times New Roman" w:hAnsi="Times New Roman" w:eastAsia="仿宋_GB2312"/>
                <w:color w:val="auto"/>
                <w:sz w:val="24"/>
              </w:rPr>
              <w:t>，</w:t>
            </w:r>
            <w:r>
              <w:rPr>
                <w:rFonts w:ascii="Times New Roman" w:hAnsi="Times New Roman" w:eastAsia="仿宋_GB2312"/>
                <w:color w:val="auto"/>
                <w:sz w:val="24"/>
              </w:rPr>
              <w:t>对周围环境影响较小</w:t>
            </w:r>
            <w:r>
              <w:rPr>
                <w:rFonts w:hint="eastAsia" w:eastAsia="仿宋_GB2312"/>
                <w:color w:val="auto"/>
                <w:sz w:val="24"/>
                <w:lang w:eastAsia="zh-CN"/>
              </w:rPr>
              <w:t>。</w:t>
            </w:r>
          </w:p>
          <w:p w14:paraId="6C862E28">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line="351" w:lineRule="auto"/>
              <w:ind w:right="0" w:rightChars="0" w:firstLine="482" w:firstLineChars="200"/>
              <w:textAlignment w:val="auto"/>
              <w:rPr>
                <w:rFonts w:hint="default" w:ascii="Times New Roman" w:hAnsi="Times New Roman" w:eastAsia="仿宋_GB2312" w:cs="Times New Roman"/>
                <w:b/>
                <w:bCs/>
                <w:color w:val="auto"/>
                <w:lang w:val="en-US" w:eastAsia="zh-CN"/>
              </w:rPr>
            </w:pPr>
            <w:r>
              <w:rPr>
                <w:rFonts w:hint="default" w:ascii="Times New Roman" w:hAnsi="Times New Roman" w:eastAsia="仿宋_GB2312" w:cs="Times New Roman"/>
                <w:b/>
                <w:bCs/>
                <w:color w:val="auto"/>
                <w:kern w:val="2"/>
                <w:sz w:val="24"/>
                <w:szCs w:val="24"/>
                <w:lang w:val="en-US" w:eastAsia="zh-CN" w:bidi="ar-SA"/>
              </w:rPr>
              <w:fldChar w:fldCharType="begin"/>
            </w:r>
            <w:r>
              <w:rPr>
                <w:rFonts w:hint="default" w:ascii="Times New Roman" w:hAnsi="Times New Roman" w:eastAsia="仿宋_GB2312" w:cs="Times New Roman"/>
                <w:b/>
                <w:bCs/>
                <w:color w:val="auto"/>
                <w:kern w:val="2"/>
                <w:sz w:val="24"/>
                <w:szCs w:val="24"/>
                <w:lang w:val="en-US" w:eastAsia="zh-CN" w:bidi="ar-SA"/>
              </w:rPr>
              <w:instrText xml:space="preserve"> = 4 \* GB3 \* MERGEFORMAT </w:instrText>
            </w:r>
            <w:r>
              <w:rPr>
                <w:rFonts w:hint="default" w:ascii="Times New Roman" w:hAnsi="Times New Roman" w:eastAsia="仿宋_GB2312" w:cs="Times New Roman"/>
                <w:b/>
                <w:bCs/>
                <w:color w:val="auto"/>
                <w:kern w:val="2"/>
                <w:sz w:val="24"/>
                <w:szCs w:val="24"/>
                <w:lang w:val="en-US" w:eastAsia="zh-CN" w:bidi="ar-SA"/>
              </w:rPr>
              <w:fldChar w:fldCharType="separate"/>
            </w:r>
            <w:r>
              <w:rPr>
                <w:rFonts w:hint="default" w:ascii="Times New Roman" w:hAnsi="Times New Roman" w:eastAsia="仿宋_GB2312" w:cs="Times New Roman"/>
                <w:b/>
                <w:bCs/>
                <w:color w:val="auto"/>
                <w:sz w:val="24"/>
                <w:szCs w:val="24"/>
              </w:rPr>
              <w:t>④</w:t>
            </w:r>
            <w:r>
              <w:rPr>
                <w:rFonts w:hint="default" w:ascii="Times New Roman" w:hAnsi="Times New Roman" w:eastAsia="仿宋_GB2312" w:cs="Times New Roman"/>
                <w:b/>
                <w:bCs/>
                <w:color w:val="auto"/>
                <w:kern w:val="2"/>
                <w:sz w:val="24"/>
                <w:szCs w:val="24"/>
                <w:lang w:val="en-US" w:eastAsia="zh-CN" w:bidi="ar-SA"/>
              </w:rPr>
              <w:fldChar w:fldCharType="end"/>
            </w:r>
            <w:r>
              <w:rPr>
                <w:rFonts w:hint="default" w:ascii="Times New Roman" w:hAnsi="Times New Roman" w:eastAsia="仿宋_GB2312" w:cs="Times New Roman"/>
                <w:b/>
                <w:bCs/>
                <w:color w:val="auto"/>
                <w:kern w:val="2"/>
                <w:sz w:val="24"/>
                <w:szCs w:val="24"/>
                <w:lang w:val="en-US" w:eastAsia="zh-CN" w:bidi="ar-SA"/>
              </w:rPr>
              <w:t>食堂烟气</w:t>
            </w:r>
            <w:r>
              <w:rPr>
                <w:rFonts w:hint="eastAsia" w:ascii="Times New Roman" w:hAnsi="Times New Roman" w:eastAsia="仿宋_GB2312" w:cs="Times New Roman"/>
                <w:b/>
                <w:bCs/>
                <w:color w:val="auto"/>
                <w:kern w:val="2"/>
                <w:sz w:val="24"/>
                <w:szCs w:val="24"/>
                <w:lang w:val="en-US" w:eastAsia="zh-CN" w:bidi="ar-SA"/>
              </w:rPr>
              <w:t>（G</w:t>
            </w:r>
            <w:r>
              <w:rPr>
                <w:rFonts w:hint="eastAsia" w:ascii="Times New Roman" w:hAnsi="Times New Roman" w:eastAsia="仿宋_GB2312" w:cs="Times New Roman"/>
                <w:b/>
                <w:bCs/>
                <w:color w:val="auto"/>
                <w:kern w:val="2"/>
                <w:sz w:val="24"/>
                <w:szCs w:val="24"/>
                <w:vertAlign w:val="subscript"/>
                <w:lang w:val="en-US" w:eastAsia="zh-CN" w:bidi="ar-SA"/>
              </w:rPr>
              <w:t>2</w:t>
            </w:r>
            <w:r>
              <w:rPr>
                <w:rFonts w:hint="eastAsia" w:ascii="Times New Roman" w:hAnsi="Times New Roman" w:eastAsia="仿宋_GB2312" w:cs="Times New Roman"/>
                <w:b/>
                <w:bCs/>
                <w:color w:val="auto"/>
                <w:kern w:val="2"/>
                <w:sz w:val="24"/>
                <w:szCs w:val="24"/>
                <w:lang w:val="en-US" w:eastAsia="zh-CN" w:bidi="ar-SA"/>
              </w:rPr>
              <w:t>）</w:t>
            </w:r>
          </w:p>
          <w:p w14:paraId="44072697">
            <w:pPr>
              <w:keepNext w:val="0"/>
              <w:keepLines w:val="0"/>
              <w:pageBreakBefore w:val="0"/>
              <w:widowControl w:val="0"/>
              <w:kinsoku/>
              <w:wordWrap/>
              <w:overflowPunct/>
              <w:topLinePunct w:val="0"/>
              <w:autoSpaceDE/>
              <w:autoSpaceDN/>
              <w:bidi w:val="0"/>
              <w:adjustRightInd/>
              <w:snapToGrid w:val="0"/>
              <w:spacing w:beforeLines="0" w:afterLines="0" w:line="351" w:lineRule="auto"/>
              <w:ind w:firstLine="480" w:firstLineChars="200"/>
              <w:jc w:val="both"/>
              <w:textAlignment w:val="auto"/>
              <w:outlineLvl w:val="9"/>
              <w:rPr>
                <w:rFonts w:hint="default"/>
                <w:color w:val="auto"/>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SA"/>
              </w:rPr>
              <w:t>本项目厂内食堂就餐人数以</w:t>
            </w:r>
            <w:r>
              <w:rPr>
                <w:rFonts w:hint="eastAsia" w:ascii="Times New Roman" w:hAnsi="Times New Roman" w:eastAsia="仿宋_GB2312" w:cs="Times New Roman"/>
                <w:color w:val="auto"/>
                <w:kern w:val="0"/>
                <w:sz w:val="24"/>
                <w:szCs w:val="24"/>
                <w:highlight w:val="none"/>
                <w:lang w:val="en-US" w:eastAsia="zh-CN" w:bidi="ar-SA"/>
              </w:rPr>
              <w:t>50</w:t>
            </w:r>
            <w:r>
              <w:rPr>
                <w:rFonts w:hint="default" w:ascii="Times New Roman" w:hAnsi="Times New Roman" w:eastAsia="仿宋_GB2312" w:cs="Times New Roman"/>
                <w:color w:val="auto"/>
                <w:kern w:val="0"/>
                <w:sz w:val="24"/>
                <w:szCs w:val="24"/>
                <w:highlight w:val="none"/>
                <w:lang w:val="en-US" w:eastAsia="zh-CN" w:bidi="ar-SA"/>
              </w:rPr>
              <w:t>人计，厂区食堂设置灶头1个，每个灶头排风量为2000m</w:t>
            </w:r>
            <w:r>
              <w:rPr>
                <w:rFonts w:hint="default" w:ascii="Times New Roman" w:hAnsi="Times New Roman" w:eastAsia="仿宋_GB2312" w:cs="Times New Roman"/>
                <w:color w:val="auto"/>
                <w:kern w:val="0"/>
                <w:sz w:val="24"/>
                <w:szCs w:val="24"/>
                <w:highlight w:val="none"/>
                <w:vertAlign w:val="superscript"/>
                <w:lang w:val="en-US" w:eastAsia="zh-CN" w:bidi="ar-SA"/>
              </w:rPr>
              <w:t>3</w:t>
            </w:r>
            <w:r>
              <w:rPr>
                <w:rFonts w:hint="default" w:ascii="Times New Roman" w:hAnsi="Times New Roman" w:eastAsia="仿宋_GB2312" w:cs="Times New Roman"/>
                <w:color w:val="auto"/>
                <w:kern w:val="0"/>
                <w:sz w:val="24"/>
                <w:szCs w:val="24"/>
                <w:highlight w:val="none"/>
                <w:lang w:val="en-US" w:eastAsia="zh-CN" w:bidi="ar-SA"/>
              </w:rPr>
              <w:t>/h计，年工作日为</w:t>
            </w:r>
            <w:r>
              <w:rPr>
                <w:rFonts w:hint="eastAsia" w:ascii="Times New Roman" w:hAnsi="Times New Roman" w:eastAsia="仿宋_GB2312" w:cs="Times New Roman"/>
                <w:color w:val="auto"/>
                <w:kern w:val="0"/>
                <w:sz w:val="24"/>
                <w:szCs w:val="24"/>
                <w:highlight w:val="none"/>
                <w:lang w:val="en-US" w:eastAsia="zh-CN" w:bidi="ar-SA"/>
              </w:rPr>
              <w:t>24</w:t>
            </w:r>
            <w:r>
              <w:rPr>
                <w:rFonts w:hint="default" w:ascii="Times New Roman" w:hAnsi="Times New Roman" w:eastAsia="仿宋_GB2312" w:cs="Times New Roman"/>
                <w:color w:val="auto"/>
                <w:kern w:val="0"/>
                <w:sz w:val="24"/>
                <w:szCs w:val="24"/>
                <w:highlight w:val="none"/>
                <w:lang w:val="en-US" w:eastAsia="zh-CN" w:bidi="ar-SA"/>
              </w:rPr>
              <w:t>0天，每天运行4h。员工人均食用油日用量按20g/人·d计，则年耗油量为0.</w:t>
            </w:r>
            <w:r>
              <w:rPr>
                <w:rFonts w:hint="eastAsia" w:ascii="Times New Roman" w:hAnsi="Times New Roman" w:eastAsia="仿宋_GB2312" w:cs="Times New Roman"/>
                <w:color w:val="auto"/>
                <w:kern w:val="0"/>
                <w:sz w:val="24"/>
                <w:szCs w:val="24"/>
                <w:highlight w:val="none"/>
                <w:lang w:val="en-US" w:eastAsia="zh-CN" w:bidi="ar-SA"/>
              </w:rPr>
              <w:t>24</w:t>
            </w:r>
            <w:r>
              <w:rPr>
                <w:rFonts w:hint="default" w:ascii="Times New Roman" w:hAnsi="Times New Roman" w:eastAsia="仿宋_GB2312" w:cs="Times New Roman"/>
                <w:color w:val="auto"/>
                <w:kern w:val="0"/>
                <w:sz w:val="24"/>
                <w:szCs w:val="24"/>
                <w:highlight w:val="none"/>
                <w:lang w:val="en-US" w:eastAsia="zh-CN" w:bidi="ar-SA"/>
              </w:rPr>
              <w:t>t/a，食堂一般油烟挥发量占总耗油量的2-4%，本次取3%计，则本项目食堂油烟总产生量为0.00</w:t>
            </w:r>
            <w:r>
              <w:rPr>
                <w:rFonts w:hint="eastAsia" w:ascii="Times New Roman" w:hAnsi="Times New Roman" w:eastAsia="仿宋_GB2312" w:cs="Times New Roman"/>
                <w:color w:val="auto"/>
                <w:kern w:val="0"/>
                <w:sz w:val="24"/>
                <w:szCs w:val="24"/>
                <w:highlight w:val="none"/>
                <w:lang w:val="en-US" w:eastAsia="zh-CN" w:bidi="ar-SA"/>
              </w:rPr>
              <w:t>72</w:t>
            </w:r>
            <w:r>
              <w:rPr>
                <w:rFonts w:hint="default" w:ascii="Times New Roman" w:hAnsi="Times New Roman" w:eastAsia="仿宋_GB2312" w:cs="Times New Roman"/>
                <w:color w:val="auto"/>
                <w:kern w:val="0"/>
                <w:sz w:val="24"/>
                <w:szCs w:val="24"/>
                <w:highlight w:val="none"/>
                <w:lang w:val="en-US" w:eastAsia="zh-CN" w:bidi="ar-SA"/>
              </w:rPr>
              <w:t>t/a，</w:t>
            </w:r>
            <w:r>
              <w:rPr>
                <w:rFonts w:hint="eastAsia" w:ascii="Times New Roman" w:hAnsi="Times New Roman" w:eastAsia="仿宋_GB2312" w:cs="Times New Roman"/>
                <w:color w:val="auto"/>
                <w:kern w:val="0"/>
                <w:sz w:val="24"/>
                <w:szCs w:val="24"/>
                <w:highlight w:val="none"/>
                <w:lang w:val="en-US" w:eastAsia="zh-CN" w:bidi="ar-SA"/>
              </w:rPr>
              <w:t>产生速率为0.007</w:t>
            </w:r>
            <w:r>
              <w:rPr>
                <w:rFonts w:hint="eastAsia" w:eastAsia="仿宋_GB2312" w:cs="Times New Roman"/>
                <w:color w:val="auto"/>
                <w:kern w:val="0"/>
                <w:sz w:val="24"/>
                <w:szCs w:val="24"/>
                <w:highlight w:val="none"/>
                <w:lang w:val="en-US" w:eastAsia="zh-CN" w:bidi="ar-SA"/>
              </w:rPr>
              <w:t>5</w:t>
            </w:r>
            <w:r>
              <w:rPr>
                <w:rFonts w:hint="eastAsia" w:ascii="Times New Roman" w:hAnsi="Times New Roman" w:eastAsia="仿宋_GB2312" w:cs="Times New Roman"/>
                <w:color w:val="auto"/>
                <w:kern w:val="0"/>
                <w:sz w:val="24"/>
                <w:szCs w:val="24"/>
                <w:highlight w:val="none"/>
                <w:lang w:val="en-US" w:eastAsia="zh-CN" w:bidi="ar-SA"/>
              </w:rPr>
              <w:t>kg/h，</w:t>
            </w:r>
            <w:r>
              <w:rPr>
                <w:rFonts w:hint="default" w:ascii="Times New Roman" w:hAnsi="Times New Roman" w:eastAsia="仿宋_GB2312" w:cs="Times New Roman"/>
                <w:color w:val="auto"/>
                <w:kern w:val="0"/>
                <w:sz w:val="24"/>
                <w:szCs w:val="24"/>
                <w:highlight w:val="none"/>
                <w:lang w:val="en-US" w:eastAsia="zh-CN" w:bidi="ar-SA"/>
              </w:rPr>
              <w:t>项目废气产生量为</w:t>
            </w:r>
            <w:r>
              <w:rPr>
                <w:rFonts w:hint="eastAsia" w:ascii="Times New Roman" w:hAnsi="Times New Roman" w:eastAsia="仿宋_GB2312" w:cs="Times New Roman"/>
                <w:color w:val="auto"/>
                <w:kern w:val="0"/>
                <w:sz w:val="24"/>
                <w:szCs w:val="24"/>
                <w:highlight w:val="none"/>
                <w:lang w:val="en-US" w:eastAsia="zh-CN" w:bidi="ar-SA"/>
              </w:rPr>
              <w:t>1.92</w:t>
            </w:r>
            <w:r>
              <w:rPr>
                <w:rFonts w:hint="default" w:ascii="Times New Roman" w:hAnsi="Times New Roman" w:eastAsia="仿宋_GB2312" w:cs="Times New Roman"/>
                <w:color w:val="auto"/>
                <w:kern w:val="0"/>
                <w:sz w:val="24"/>
                <w:szCs w:val="24"/>
                <w:highlight w:val="none"/>
                <w:lang w:val="en-US" w:eastAsia="zh-CN" w:bidi="ar-SA"/>
              </w:rPr>
              <w:t>×10</w:t>
            </w:r>
            <w:r>
              <w:rPr>
                <w:rFonts w:hint="default" w:ascii="Times New Roman" w:hAnsi="Times New Roman" w:eastAsia="仿宋_GB2312" w:cs="Times New Roman"/>
                <w:color w:val="auto"/>
                <w:kern w:val="0"/>
                <w:sz w:val="24"/>
                <w:szCs w:val="24"/>
                <w:highlight w:val="none"/>
                <w:vertAlign w:val="superscript"/>
                <w:lang w:val="en-US" w:eastAsia="zh-CN" w:bidi="ar-SA"/>
              </w:rPr>
              <w:t>6</w:t>
            </w:r>
            <w:r>
              <w:rPr>
                <w:rFonts w:hint="default" w:ascii="Times New Roman" w:hAnsi="Times New Roman" w:eastAsia="仿宋_GB2312" w:cs="Times New Roman"/>
                <w:color w:val="auto"/>
                <w:kern w:val="0"/>
                <w:sz w:val="24"/>
                <w:szCs w:val="24"/>
                <w:highlight w:val="none"/>
                <w:lang w:val="en-US" w:eastAsia="zh-CN" w:bidi="ar-SA"/>
              </w:rPr>
              <w:t>m</w:t>
            </w:r>
            <w:r>
              <w:rPr>
                <w:rFonts w:hint="default" w:ascii="Times New Roman" w:hAnsi="Times New Roman" w:eastAsia="仿宋_GB2312" w:cs="Times New Roman"/>
                <w:color w:val="auto"/>
                <w:kern w:val="0"/>
                <w:sz w:val="24"/>
                <w:szCs w:val="24"/>
                <w:highlight w:val="none"/>
                <w:vertAlign w:val="superscript"/>
                <w:lang w:val="en-US" w:eastAsia="zh-CN" w:bidi="ar-SA"/>
              </w:rPr>
              <w:t>3</w:t>
            </w:r>
            <w:r>
              <w:rPr>
                <w:rFonts w:hint="default" w:ascii="Times New Roman" w:hAnsi="Times New Roman" w:eastAsia="仿宋_GB2312" w:cs="Times New Roman"/>
                <w:color w:val="auto"/>
                <w:kern w:val="0"/>
                <w:sz w:val="24"/>
                <w:szCs w:val="24"/>
                <w:highlight w:val="none"/>
                <w:lang w:val="en-US" w:eastAsia="zh-CN" w:bidi="ar-SA"/>
              </w:rPr>
              <w:t>/a，经过60%的油烟净化器净化后，油烟排放量为0.00</w:t>
            </w:r>
            <w:r>
              <w:rPr>
                <w:rFonts w:hint="eastAsia" w:eastAsia="仿宋_GB2312" w:cs="Times New Roman"/>
                <w:color w:val="auto"/>
                <w:kern w:val="0"/>
                <w:sz w:val="24"/>
                <w:szCs w:val="24"/>
                <w:highlight w:val="none"/>
                <w:lang w:val="en-US" w:eastAsia="zh-CN" w:bidi="ar-SA"/>
              </w:rPr>
              <w:t>3</w:t>
            </w:r>
            <w:r>
              <w:rPr>
                <w:rFonts w:hint="default" w:ascii="Times New Roman" w:hAnsi="Times New Roman" w:eastAsia="仿宋_GB2312" w:cs="Times New Roman"/>
                <w:color w:val="auto"/>
                <w:kern w:val="0"/>
                <w:sz w:val="24"/>
                <w:szCs w:val="24"/>
                <w:highlight w:val="none"/>
                <w:lang w:val="en-US" w:eastAsia="zh-CN" w:bidi="ar-SA"/>
              </w:rPr>
              <w:t>t/a，</w:t>
            </w:r>
            <w:r>
              <w:rPr>
                <w:rFonts w:hint="eastAsia" w:ascii="Times New Roman" w:hAnsi="Times New Roman" w:eastAsia="仿宋_GB2312" w:cs="Times New Roman"/>
                <w:color w:val="auto"/>
                <w:kern w:val="0"/>
                <w:sz w:val="24"/>
                <w:szCs w:val="24"/>
                <w:highlight w:val="none"/>
                <w:lang w:val="en-US" w:eastAsia="zh-CN" w:bidi="ar-SA"/>
              </w:rPr>
              <w:t>排放速率为0.003kg/h，</w:t>
            </w:r>
            <w:r>
              <w:rPr>
                <w:rFonts w:hint="default" w:ascii="Times New Roman" w:hAnsi="Times New Roman" w:eastAsia="仿宋_GB2312" w:cs="Times New Roman"/>
                <w:color w:val="auto"/>
                <w:kern w:val="0"/>
                <w:sz w:val="24"/>
                <w:szCs w:val="24"/>
                <w:highlight w:val="none"/>
                <w:lang w:val="en-US" w:eastAsia="zh-CN" w:bidi="ar-SA"/>
              </w:rPr>
              <w:t>油烟排放浓度为0.</w:t>
            </w:r>
            <w:r>
              <w:rPr>
                <w:rFonts w:hint="eastAsia" w:ascii="Times New Roman" w:hAnsi="Times New Roman" w:eastAsia="仿宋_GB2312" w:cs="Times New Roman"/>
                <w:color w:val="auto"/>
                <w:kern w:val="0"/>
                <w:sz w:val="24"/>
                <w:szCs w:val="24"/>
                <w:highlight w:val="none"/>
                <w:lang w:val="en-US" w:eastAsia="zh-CN" w:bidi="ar-SA"/>
              </w:rPr>
              <w:t>6</w:t>
            </w:r>
            <w:r>
              <w:rPr>
                <w:rFonts w:hint="eastAsia" w:eastAsia="仿宋_GB2312" w:cs="Times New Roman"/>
                <w:color w:val="auto"/>
                <w:kern w:val="0"/>
                <w:sz w:val="24"/>
                <w:szCs w:val="24"/>
                <w:highlight w:val="none"/>
                <w:lang w:val="en-US" w:eastAsia="zh-CN" w:bidi="ar-SA"/>
              </w:rPr>
              <w:t>0</w:t>
            </w:r>
            <w:r>
              <w:rPr>
                <w:rFonts w:hint="default" w:ascii="Times New Roman" w:hAnsi="Times New Roman" w:eastAsia="仿宋_GB2312" w:cs="Times New Roman"/>
                <w:color w:val="auto"/>
                <w:kern w:val="0"/>
                <w:sz w:val="24"/>
                <w:szCs w:val="24"/>
                <w:highlight w:val="none"/>
                <w:lang w:val="en-US" w:eastAsia="zh-CN" w:bidi="ar-SA"/>
              </w:rPr>
              <w:t>mg/m</w:t>
            </w:r>
            <w:r>
              <w:rPr>
                <w:rFonts w:hint="default" w:ascii="Times New Roman" w:hAnsi="Times New Roman" w:eastAsia="仿宋_GB2312" w:cs="Times New Roman"/>
                <w:color w:val="auto"/>
                <w:kern w:val="0"/>
                <w:sz w:val="24"/>
                <w:szCs w:val="24"/>
                <w:highlight w:val="none"/>
                <w:vertAlign w:val="superscript"/>
                <w:lang w:val="en-US" w:eastAsia="zh-CN" w:bidi="ar-SA"/>
              </w:rPr>
              <w:t>3</w:t>
            </w:r>
            <w:r>
              <w:rPr>
                <w:rFonts w:hint="eastAsia" w:ascii="Times New Roman" w:hAnsi="Times New Roman" w:eastAsia="仿宋_GB2312" w:cs="Times New Roman"/>
                <w:color w:val="auto"/>
                <w:kern w:val="0"/>
                <w:sz w:val="24"/>
                <w:szCs w:val="24"/>
                <w:highlight w:val="none"/>
                <w:vertAlign w:val="baseline"/>
                <w:lang w:val="en-US" w:eastAsia="zh-CN" w:bidi="ar-SA"/>
              </w:rPr>
              <w:t>。</w:t>
            </w:r>
          </w:p>
          <w:p w14:paraId="20B90545">
            <w:pPr>
              <w:keepNext w:val="0"/>
              <w:keepLines w:val="0"/>
              <w:pageBreakBefore w:val="0"/>
              <w:kinsoku/>
              <w:wordWrap/>
              <w:overflowPunct/>
              <w:topLinePunct w:val="0"/>
              <w:autoSpaceDE/>
              <w:autoSpaceDN/>
              <w:bidi w:val="0"/>
              <w:spacing w:line="351" w:lineRule="auto"/>
              <w:ind w:firstLine="48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仿宋_GB2312" w:cs="Times New Roman"/>
                <w:bCs/>
                <w:color w:val="auto"/>
                <w:sz w:val="24"/>
                <w:highlight w:val="none"/>
                <w:lang w:val="en-US" w:eastAsia="zh-CN"/>
              </w:rPr>
              <w:t>项目无组织废气污染物产排情况见表</w:t>
            </w:r>
            <w:r>
              <w:rPr>
                <w:rFonts w:hint="eastAsia" w:eastAsia="仿宋_GB2312" w:cs="Times New Roman"/>
                <w:bCs/>
                <w:color w:val="auto"/>
                <w:sz w:val="24"/>
                <w:highlight w:val="none"/>
                <w:lang w:val="en-US" w:eastAsia="zh-CN"/>
              </w:rPr>
              <w:t>4-1</w:t>
            </w:r>
            <w:r>
              <w:rPr>
                <w:rFonts w:hint="eastAsia" w:ascii="Times New Roman" w:hAnsi="Times New Roman" w:eastAsia="仿宋_GB2312" w:cs="Times New Roman"/>
                <w:bCs/>
                <w:color w:val="auto"/>
                <w:sz w:val="24"/>
                <w:highlight w:val="none"/>
                <w:lang w:val="en-US" w:eastAsia="zh-CN"/>
              </w:rPr>
              <w:t>。</w:t>
            </w:r>
          </w:p>
          <w:p w14:paraId="3EBB16F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color w:val="auto"/>
                <w:sz w:val="21"/>
                <w:szCs w:val="21"/>
              </w:rPr>
              <w:t>表</w:t>
            </w:r>
            <w:r>
              <w:rPr>
                <w:rFonts w:hint="eastAsia" w:cs="Times New Roman"/>
                <w:color w:val="auto"/>
                <w:sz w:val="21"/>
                <w:szCs w:val="21"/>
                <w:lang w:val="en-US" w:eastAsia="zh-CN"/>
              </w:rPr>
              <w:t>4-1</w:t>
            </w:r>
            <w:r>
              <w:rPr>
                <w:rFonts w:hint="eastAsia" w:ascii="Times New Roman" w:hAnsi="Times New Roman" w:eastAsia="宋体" w:cs="Times New Roman"/>
                <w:color w:val="auto"/>
                <w:sz w:val="21"/>
                <w:szCs w:val="21"/>
              </w:rPr>
              <w:t xml:space="preserve">  </w:t>
            </w:r>
            <w:r>
              <w:rPr>
                <w:rFonts w:hint="eastAsia" w:cs="Times New Roman"/>
                <w:color w:val="auto"/>
                <w:sz w:val="21"/>
                <w:szCs w:val="21"/>
                <w:lang w:val="en-US" w:eastAsia="zh-CN"/>
              </w:rPr>
              <w:t xml:space="preserve">         </w:t>
            </w:r>
            <w:r>
              <w:rPr>
                <w:rFonts w:hint="eastAsia" w:ascii="Times New Roman" w:hAnsi="Times New Roman" w:eastAsia="宋体" w:cs="Times New Roman"/>
                <w:color w:val="auto"/>
                <w:sz w:val="21"/>
                <w:szCs w:val="21"/>
              </w:rPr>
              <w:t xml:space="preserve">  </w:t>
            </w:r>
            <w:r>
              <w:rPr>
                <w:rFonts w:hint="eastAsia" w:ascii="Times New Roman" w:hAnsi="Times New Roman" w:eastAsia="宋体" w:cs="Times New Roman"/>
                <w:b/>
                <w:bCs/>
                <w:color w:val="auto"/>
                <w:sz w:val="24"/>
                <w:szCs w:val="24"/>
                <w:lang w:eastAsia="zh-CN"/>
              </w:rPr>
              <w:t>项目</w:t>
            </w:r>
            <w:r>
              <w:rPr>
                <w:rFonts w:hint="eastAsia" w:eastAsia="宋体" w:cs="Times New Roman"/>
                <w:b/>
                <w:bCs/>
                <w:color w:val="auto"/>
                <w:sz w:val="24"/>
                <w:szCs w:val="24"/>
                <w:lang w:eastAsia="zh-CN"/>
              </w:rPr>
              <w:t>无组织废气</w:t>
            </w:r>
            <w:r>
              <w:rPr>
                <w:rFonts w:hint="eastAsia" w:ascii="Times New Roman" w:hAnsi="Times New Roman" w:eastAsia="宋体" w:cs="Times New Roman"/>
                <w:b/>
                <w:bCs/>
                <w:color w:val="auto"/>
                <w:sz w:val="24"/>
                <w:szCs w:val="24"/>
                <w:lang w:eastAsia="zh-CN"/>
              </w:rPr>
              <w:t>污染物产排情况</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103"/>
              <w:gridCol w:w="815"/>
              <w:gridCol w:w="883"/>
              <w:gridCol w:w="1513"/>
              <w:gridCol w:w="840"/>
              <w:gridCol w:w="757"/>
              <w:gridCol w:w="876"/>
            </w:tblGrid>
            <w:tr w14:paraId="23034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tcBorders>
                    <w:tl2br w:val="nil"/>
                    <w:tr2bl w:val="nil"/>
                  </w:tcBorders>
                  <w:vAlign w:val="center"/>
                </w:tcPr>
                <w:p w14:paraId="54F113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产污环节</w:t>
                  </w:r>
                </w:p>
              </w:tc>
              <w:tc>
                <w:tcPr>
                  <w:tcW w:w="1093" w:type="dxa"/>
                  <w:tcBorders>
                    <w:tl2br w:val="nil"/>
                    <w:tr2bl w:val="nil"/>
                  </w:tcBorders>
                  <w:vAlign w:val="center"/>
                </w:tcPr>
                <w:p w14:paraId="7978DA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污染因子</w:t>
                  </w:r>
                </w:p>
              </w:tc>
              <w:tc>
                <w:tcPr>
                  <w:tcW w:w="808" w:type="dxa"/>
                  <w:tcBorders>
                    <w:tl2br w:val="nil"/>
                    <w:tr2bl w:val="nil"/>
                  </w:tcBorders>
                  <w:vAlign w:val="center"/>
                </w:tcPr>
                <w:p w14:paraId="4F94B2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产生量t/a</w:t>
                  </w:r>
                </w:p>
              </w:tc>
              <w:tc>
                <w:tcPr>
                  <w:tcW w:w="875" w:type="dxa"/>
                  <w:tcBorders>
                    <w:tl2br w:val="nil"/>
                    <w:tr2bl w:val="nil"/>
                  </w:tcBorders>
                  <w:vAlign w:val="center"/>
                </w:tcPr>
                <w:p w14:paraId="5F94B6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产生速率kg/h</w:t>
                  </w:r>
                </w:p>
              </w:tc>
              <w:tc>
                <w:tcPr>
                  <w:tcW w:w="1500" w:type="dxa"/>
                  <w:tcBorders>
                    <w:tl2br w:val="nil"/>
                    <w:tr2bl w:val="nil"/>
                  </w:tcBorders>
                  <w:vAlign w:val="center"/>
                </w:tcPr>
                <w:p w14:paraId="6AFD35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治理措施</w:t>
                  </w:r>
                </w:p>
              </w:tc>
              <w:tc>
                <w:tcPr>
                  <w:tcW w:w="833" w:type="dxa"/>
                  <w:tcBorders>
                    <w:tl2br w:val="nil"/>
                    <w:tr2bl w:val="nil"/>
                  </w:tcBorders>
                  <w:vAlign w:val="center"/>
                </w:tcPr>
                <w:p w14:paraId="184D11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去除</w:t>
                  </w:r>
                </w:p>
                <w:p w14:paraId="2FB777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效率</w:t>
                  </w:r>
                </w:p>
              </w:tc>
              <w:tc>
                <w:tcPr>
                  <w:tcW w:w="750" w:type="dxa"/>
                  <w:tcBorders>
                    <w:tl2br w:val="nil"/>
                    <w:tr2bl w:val="nil"/>
                  </w:tcBorders>
                  <w:vAlign w:val="center"/>
                </w:tcPr>
                <w:p w14:paraId="2B32B7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排放量t/a</w:t>
                  </w:r>
                </w:p>
              </w:tc>
              <w:tc>
                <w:tcPr>
                  <w:tcW w:w="868" w:type="dxa"/>
                  <w:tcBorders>
                    <w:tl2br w:val="nil"/>
                    <w:tr2bl w:val="nil"/>
                  </w:tcBorders>
                  <w:vAlign w:val="center"/>
                </w:tcPr>
                <w:p w14:paraId="7594D2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排放速率kg/h</w:t>
                  </w:r>
                </w:p>
              </w:tc>
            </w:tr>
            <w:tr w14:paraId="0D07B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tcBorders>
                    <w:tl2br w:val="nil"/>
                    <w:tr2bl w:val="nil"/>
                  </w:tcBorders>
                  <w:vAlign w:val="center"/>
                </w:tcPr>
                <w:p w14:paraId="554949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水泥筒仓</w:t>
                  </w:r>
                </w:p>
              </w:tc>
              <w:tc>
                <w:tcPr>
                  <w:tcW w:w="1093" w:type="dxa"/>
                  <w:vMerge w:val="restart"/>
                  <w:tcBorders>
                    <w:tl2br w:val="nil"/>
                    <w:tr2bl w:val="nil"/>
                  </w:tcBorders>
                  <w:vAlign w:val="center"/>
                </w:tcPr>
                <w:p w14:paraId="72D1C2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颗粒物</w:t>
                  </w:r>
                </w:p>
              </w:tc>
              <w:tc>
                <w:tcPr>
                  <w:tcW w:w="808" w:type="dxa"/>
                  <w:tcBorders>
                    <w:tl2br w:val="nil"/>
                    <w:tr2bl w:val="nil"/>
                  </w:tcBorders>
                  <w:vAlign w:val="center"/>
                </w:tcPr>
                <w:p w14:paraId="6EF92E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7.200</w:t>
                  </w:r>
                </w:p>
              </w:tc>
              <w:tc>
                <w:tcPr>
                  <w:tcW w:w="875" w:type="dxa"/>
                  <w:tcBorders>
                    <w:tl2br w:val="nil"/>
                    <w:tr2bl w:val="nil"/>
                  </w:tcBorders>
                  <w:vAlign w:val="center"/>
                </w:tcPr>
                <w:p w14:paraId="0BE773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5.759</w:t>
                  </w:r>
                </w:p>
              </w:tc>
              <w:tc>
                <w:tcPr>
                  <w:tcW w:w="1500" w:type="dxa"/>
                  <w:tcBorders>
                    <w:tl2br w:val="nil"/>
                    <w:tr2bl w:val="nil"/>
                  </w:tcBorders>
                  <w:vAlign w:val="center"/>
                </w:tcPr>
                <w:p w14:paraId="6DCCC8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kern w:val="2"/>
                      <w:sz w:val="21"/>
                      <w:szCs w:val="21"/>
                      <w:lang w:val="en-US" w:eastAsia="zh-CN" w:bidi="ar-SA"/>
                    </w:rPr>
                    <w:t>筒仓配套脉冲除尘器</w:t>
                  </w:r>
                </w:p>
              </w:tc>
              <w:tc>
                <w:tcPr>
                  <w:tcW w:w="833" w:type="dxa"/>
                  <w:tcBorders>
                    <w:tl2br w:val="nil"/>
                    <w:tr2bl w:val="nil"/>
                  </w:tcBorders>
                  <w:vAlign w:val="center"/>
                </w:tcPr>
                <w:p w14:paraId="0AB431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99.7%</w:t>
                  </w:r>
                </w:p>
              </w:tc>
              <w:tc>
                <w:tcPr>
                  <w:tcW w:w="750" w:type="dxa"/>
                  <w:tcBorders>
                    <w:tl2br w:val="nil"/>
                    <w:tr2bl w:val="nil"/>
                  </w:tcBorders>
                  <w:vAlign w:val="center"/>
                </w:tcPr>
                <w:p w14:paraId="7FAC3C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0.022</w:t>
                  </w:r>
                </w:p>
              </w:tc>
              <w:tc>
                <w:tcPr>
                  <w:tcW w:w="868" w:type="dxa"/>
                  <w:tcBorders>
                    <w:tl2br w:val="nil"/>
                    <w:tr2bl w:val="nil"/>
                  </w:tcBorders>
                  <w:vAlign w:val="center"/>
                </w:tcPr>
                <w:p w14:paraId="1CF512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0.017</w:t>
                  </w:r>
                </w:p>
              </w:tc>
            </w:tr>
            <w:tr w14:paraId="61BD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tcBorders>
                    <w:tl2br w:val="nil"/>
                    <w:tr2bl w:val="nil"/>
                  </w:tcBorders>
                  <w:vAlign w:val="center"/>
                </w:tcPr>
                <w:p w14:paraId="11E0D9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粉煤灰筒仓</w:t>
                  </w:r>
                </w:p>
              </w:tc>
              <w:tc>
                <w:tcPr>
                  <w:tcW w:w="1093" w:type="dxa"/>
                  <w:vMerge w:val="continue"/>
                  <w:tcBorders>
                    <w:tl2br w:val="nil"/>
                    <w:tr2bl w:val="nil"/>
                  </w:tcBorders>
                  <w:vAlign w:val="center"/>
                </w:tcPr>
                <w:p w14:paraId="06BCB5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eastAsia="zh-CN"/>
                    </w:rPr>
                  </w:pPr>
                </w:p>
              </w:tc>
              <w:tc>
                <w:tcPr>
                  <w:tcW w:w="808" w:type="dxa"/>
                  <w:tcBorders>
                    <w:tl2br w:val="nil"/>
                    <w:tr2bl w:val="nil"/>
                  </w:tcBorders>
                  <w:vAlign w:val="center"/>
                </w:tcPr>
                <w:p w14:paraId="37B7FE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2.400</w:t>
                  </w:r>
                </w:p>
              </w:tc>
              <w:tc>
                <w:tcPr>
                  <w:tcW w:w="875" w:type="dxa"/>
                  <w:tcBorders>
                    <w:tl2br w:val="nil"/>
                    <w:tr2bl w:val="nil"/>
                  </w:tcBorders>
                  <w:vAlign w:val="center"/>
                </w:tcPr>
                <w:p w14:paraId="2414E3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5.759</w:t>
                  </w:r>
                </w:p>
              </w:tc>
              <w:tc>
                <w:tcPr>
                  <w:tcW w:w="1500" w:type="dxa"/>
                  <w:tcBorders>
                    <w:tl2br w:val="nil"/>
                    <w:tr2bl w:val="nil"/>
                  </w:tcBorders>
                  <w:vAlign w:val="center"/>
                </w:tcPr>
                <w:p w14:paraId="64E8E6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kern w:val="2"/>
                      <w:sz w:val="21"/>
                      <w:szCs w:val="21"/>
                      <w:lang w:val="en-US" w:eastAsia="zh-CN" w:bidi="ar-SA"/>
                    </w:rPr>
                    <w:t>筒仓配套脉冲除尘器</w:t>
                  </w:r>
                </w:p>
              </w:tc>
              <w:tc>
                <w:tcPr>
                  <w:tcW w:w="833" w:type="dxa"/>
                  <w:tcBorders>
                    <w:tl2br w:val="nil"/>
                    <w:tr2bl w:val="nil"/>
                  </w:tcBorders>
                  <w:vAlign w:val="center"/>
                </w:tcPr>
                <w:p w14:paraId="34FEA9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val="en-US" w:eastAsia="zh-CN"/>
                    </w:rPr>
                    <w:t>99.7%</w:t>
                  </w:r>
                </w:p>
              </w:tc>
              <w:tc>
                <w:tcPr>
                  <w:tcW w:w="750" w:type="dxa"/>
                  <w:tcBorders>
                    <w:tl2br w:val="nil"/>
                    <w:tr2bl w:val="nil"/>
                  </w:tcBorders>
                  <w:vAlign w:val="center"/>
                </w:tcPr>
                <w:p w14:paraId="6104CC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0.007</w:t>
                  </w:r>
                </w:p>
              </w:tc>
              <w:tc>
                <w:tcPr>
                  <w:tcW w:w="868" w:type="dxa"/>
                  <w:tcBorders>
                    <w:tl2br w:val="nil"/>
                    <w:tr2bl w:val="nil"/>
                  </w:tcBorders>
                  <w:vAlign w:val="center"/>
                </w:tcPr>
                <w:p w14:paraId="312584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0.017</w:t>
                  </w:r>
                </w:p>
              </w:tc>
            </w:tr>
            <w:tr w14:paraId="6CE6D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tcBorders>
                    <w:tl2br w:val="nil"/>
                    <w:tr2bl w:val="nil"/>
                  </w:tcBorders>
                  <w:vAlign w:val="center"/>
                </w:tcPr>
                <w:p w14:paraId="44BD9D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堆料棚</w:t>
                  </w:r>
                </w:p>
              </w:tc>
              <w:tc>
                <w:tcPr>
                  <w:tcW w:w="1093" w:type="dxa"/>
                  <w:vMerge w:val="continue"/>
                  <w:tcBorders>
                    <w:tl2br w:val="nil"/>
                    <w:tr2bl w:val="nil"/>
                  </w:tcBorders>
                  <w:vAlign w:val="center"/>
                </w:tcPr>
                <w:p w14:paraId="0D83DB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eastAsia="zh-CN"/>
                    </w:rPr>
                  </w:pPr>
                </w:p>
              </w:tc>
              <w:tc>
                <w:tcPr>
                  <w:tcW w:w="808" w:type="dxa"/>
                  <w:tcBorders>
                    <w:tl2br w:val="nil"/>
                    <w:tr2bl w:val="nil"/>
                  </w:tcBorders>
                  <w:vAlign w:val="center"/>
                </w:tcPr>
                <w:p w14:paraId="2D5768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7.200</w:t>
                  </w:r>
                </w:p>
              </w:tc>
              <w:tc>
                <w:tcPr>
                  <w:tcW w:w="875" w:type="dxa"/>
                  <w:tcBorders>
                    <w:tl2br w:val="nil"/>
                    <w:tr2bl w:val="nil"/>
                  </w:tcBorders>
                  <w:vAlign w:val="center"/>
                </w:tcPr>
                <w:p w14:paraId="7BC6B0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3.750</w:t>
                  </w:r>
                </w:p>
              </w:tc>
              <w:tc>
                <w:tcPr>
                  <w:tcW w:w="1500" w:type="dxa"/>
                  <w:tcBorders>
                    <w:tl2br w:val="nil"/>
                    <w:tr2bl w:val="nil"/>
                  </w:tcBorders>
                  <w:vAlign w:val="center"/>
                </w:tcPr>
                <w:p w14:paraId="265CC5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kern w:val="2"/>
                      <w:sz w:val="21"/>
                      <w:szCs w:val="21"/>
                      <w:lang w:val="en-US" w:eastAsia="zh-CN" w:bidi="ar-SA"/>
                    </w:rPr>
                    <w:t>篷布遮盖、地表硬化、定期喷水措施</w:t>
                  </w:r>
                </w:p>
              </w:tc>
              <w:tc>
                <w:tcPr>
                  <w:tcW w:w="833" w:type="dxa"/>
                  <w:tcBorders>
                    <w:tl2br w:val="nil"/>
                    <w:tr2bl w:val="nil"/>
                  </w:tcBorders>
                  <w:vAlign w:val="center"/>
                </w:tcPr>
                <w:p w14:paraId="4C5224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85</w:t>
                  </w:r>
                  <w:r>
                    <w:rPr>
                      <w:rFonts w:hint="eastAsia"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eastAsia="宋体" w:cs="Times New Roman"/>
                      <w:b w:val="0"/>
                      <w:bCs w:val="0"/>
                      <w:color w:val="auto"/>
                      <w:sz w:val="21"/>
                      <w:szCs w:val="21"/>
                      <w:vertAlign w:val="baseline"/>
                      <w:lang w:val="en-US" w:eastAsia="zh-CN"/>
                    </w:rPr>
                    <w:t>%</w:t>
                  </w:r>
                </w:p>
              </w:tc>
              <w:tc>
                <w:tcPr>
                  <w:tcW w:w="750" w:type="dxa"/>
                  <w:tcBorders>
                    <w:tl2br w:val="nil"/>
                    <w:tr2bl w:val="nil"/>
                  </w:tcBorders>
                  <w:vAlign w:val="center"/>
                </w:tcPr>
                <w:p w14:paraId="1D90A6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1.08</w:t>
                  </w:r>
                </w:p>
              </w:tc>
              <w:tc>
                <w:tcPr>
                  <w:tcW w:w="868" w:type="dxa"/>
                  <w:tcBorders>
                    <w:tl2br w:val="nil"/>
                    <w:tr2bl w:val="nil"/>
                  </w:tcBorders>
                  <w:vAlign w:val="center"/>
                </w:tcPr>
                <w:p w14:paraId="25EEBF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0.563</w:t>
                  </w:r>
                </w:p>
              </w:tc>
            </w:tr>
            <w:tr w14:paraId="05548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tcBorders>
                    <w:tl2br w:val="nil"/>
                    <w:tr2bl w:val="nil"/>
                  </w:tcBorders>
                  <w:vAlign w:val="center"/>
                </w:tcPr>
                <w:p w14:paraId="2B84FD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搅拌粉尘</w:t>
                  </w:r>
                </w:p>
              </w:tc>
              <w:tc>
                <w:tcPr>
                  <w:tcW w:w="1093" w:type="dxa"/>
                  <w:vMerge w:val="continue"/>
                  <w:tcBorders>
                    <w:tl2br w:val="nil"/>
                    <w:tr2bl w:val="nil"/>
                  </w:tcBorders>
                  <w:vAlign w:val="center"/>
                </w:tcPr>
                <w:p w14:paraId="381D83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eastAsia="zh-CN"/>
                    </w:rPr>
                  </w:pPr>
                </w:p>
              </w:tc>
              <w:tc>
                <w:tcPr>
                  <w:tcW w:w="808" w:type="dxa"/>
                  <w:tcBorders>
                    <w:tl2br w:val="nil"/>
                    <w:tr2bl w:val="nil"/>
                  </w:tcBorders>
                  <w:vAlign w:val="center"/>
                </w:tcPr>
                <w:p w14:paraId="2FC109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62.660</w:t>
                  </w:r>
                </w:p>
              </w:tc>
              <w:tc>
                <w:tcPr>
                  <w:tcW w:w="875" w:type="dxa"/>
                  <w:tcBorders>
                    <w:tl2br w:val="nil"/>
                    <w:tr2bl w:val="nil"/>
                  </w:tcBorders>
                  <w:vAlign w:val="center"/>
                </w:tcPr>
                <w:p w14:paraId="0EF7EE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32.635</w:t>
                  </w:r>
                </w:p>
              </w:tc>
              <w:tc>
                <w:tcPr>
                  <w:tcW w:w="1500" w:type="dxa"/>
                  <w:tcBorders>
                    <w:tl2br w:val="nil"/>
                    <w:tr2bl w:val="nil"/>
                  </w:tcBorders>
                  <w:vAlign w:val="center"/>
                </w:tcPr>
                <w:p w14:paraId="2D70AA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lang w:eastAsia="zh-CN"/>
                    </w:rPr>
                    <w:t>全封闭式拌合楼内进行，搅拌过程大量加入新鲜水</w:t>
                  </w:r>
                </w:p>
              </w:tc>
              <w:tc>
                <w:tcPr>
                  <w:tcW w:w="833" w:type="dxa"/>
                  <w:tcBorders>
                    <w:tl2br w:val="nil"/>
                    <w:tr2bl w:val="nil"/>
                  </w:tcBorders>
                  <w:vAlign w:val="center"/>
                </w:tcPr>
                <w:p w14:paraId="0EF93F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val="en-US" w:eastAsia="zh-CN"/>
                    </w:rPr>
                    <w:t>99</w:t>
                  </w:r>
                  <w:r>
                    <w:rPr>
                      <w:rFonts w:hint="eastAsia"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eastAsia="宋体" w:cs="Times New Roman"/>
                      <w:b w:val="0"/>
                      <w:bCs w:val="0"/>
                      <w:color w:val="auto"/>
                      <w:sz w:val="21"/>
                      <w:szCs w:val="21"/>
                      <w:vertAlign w:val="baseline"/>
                      <w:lang w:val="en-US" w:eastAsia="zh-CN"/>
                    </w:rPr>
                    <w:t>%</w:t>
                  </w:r>
                </w:p>
              </w:tc>
              <w:tc>
                <w:tcPr>
                  <w:tcW w:w="750" w:type="dxa"/>
                  <w:tcBorders>
                    <w:tl2br w:val="nil"/>
                    <w:tr2bl w:val="nil"/>
                  </w:tcBorders>
                  <w:vAlign w:val="center"/>
                </w:tcPr>
                <w:p w14:paraId="0E0CAD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0.627</w:t>
                  </w:r>
                </w:p>
              </w:tc>
              <w:tc>
                <w:tcPr>
                  <w:tcW w:w="868" w:type="dxa"/>
                  <w:tcBorders>
                    <w:tl2br w:val="nil"/>
                    <w:tr2bl w:val="nil"/>
                  </w:tcBorders>
                  <w:vAlign w:val="center"/>
                </w:tcPr>
                <w:p w14:paraId="38774C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0.326</w:t>
                  </w:r>
                </w:p>
              </w:tc>
            </w:tr>
            <w:tr w14:paraId="116E4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2" w:type="dxa"/>
                  <w:gridSpan w:val="2"/>
                  <w:tcBorders>
                    <w:tl2br w:val="nil"/>
                    <w:tr2bl w:val="nil"/>
                  </w:tcBorders>
                  <w:vAlign w:val="center"/>
                </w:tcPr>
                <w:p w14:paraId="7FED0A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厂区无组织颗粒物总计</w:t>
                  </w:r>
                </w:p>
              </w:tc>
              <w:tc>
                <w:tcPr>
                  <w:tcW w:w="808" w:type="dxa"/>
                  <w:tcBorders>
                    <w:tl2br w:val="nil"/>
                    <w:tr2bl w:val="nil"/>
                  </w:tcBorders>
                  <w:vAlign w:val="center"/>
                </w:tcPr>
                <w:p w14:paraId="19F300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79.46</w:t>
                  </w:r>
                </w:p>
              </w:tc>
              <w:tc>
                <w:tcPr>
                  <w:tcW w:w="875" w:type="dxa"/>
                  <w:tcBorders>
                    <w:tl2br w:val="nil"/>
                    <w:tr2bl w:val="nil"/>
                  </w:tcBorders>
                  <w:vAlign w:val="center"/>
                </w:tcPr>
                <w:p w14:paraId="5A4A68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w:t>
                  </w:r>
                </w:p>
              </w:tc>
              <w:tc>
                <w:tcPr>
                  <w:tcW w:w="1500" w:type="dxa"/>
                  <w:tcBorders>
                    <w:tl2br w:val="nil"/>
                    <w:tr2bl w:val="nil"/>
                  </w:tcBorders>
                  <w:vAlign w:val="center"/>
                </w:tcPr>
                <w:p w14:paraId="3475C6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w:t>
                  </w:r>
                </w:p>
              </w:tc>
              <w:tc>
                <w:tcPr>
                  <w:tcW w:w="833" w:type="dxa"/>
                  <w:tcBorders>
                    <w:tl2br w:val="nil"/>
                    <w:tr2bl w:val="nil"/>
                  </w:tcBorders>
                  <w:vAlign w:val="center"/>
                </w:tcPr>
                <w:p w14:paraId="1383C0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w:t>
                  </w:r>
                </w:p>
              </w:tc>
              <w:tc>
                <w:tcPr>
                  <w:tcW w:w="750" w:type="dxa"/>
                  <w:tcBorders>
                    <w:tl2br w:val="nil"/>
                    <w:tr2bl w:val="nil"/>
                  </w:tcBorders>
                  <w:vAlign w:val="center"/>
                </w:tcPr>
                <w:p w14:paraId="040020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1.735</w:t>
                  </w:r>
                </w:p>
              </w:tc>
              <w:tc>
                <w:tcPr>
                  <w:tcW w:w="868" w:type="dxa"/>
                  <w:tcBorders>
                    <w:tl2br w:val="nil"/>
                    <w:tr2bl w:val="nil"/>
                  </w:tcBorders>
                  <w:vAlign w:val="center"/>
                </w:tcPr>
                <w:p w14:paraId="22FA70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w:t>
                  </w:r>
                </w:p>
              </w:tc>
            </w:tr>
            <w:tr w14:paraId="2070D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9" w:type="dxa"/>
                  <w:tcBorders>
                    <w:tl2br w:val="nil"/>
                    <w:tr2bl w:val="nil"/>
                  </w:tcBorders>
                  <w:vAlign w:val="center"/>
                </w:tcPr>
                <w:p w14:paraId="0E4337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食堂废气</w:t>
                  </w:r>
                </w:p>
              </w:tc>
              <w:tc>
                <w:tcPr>
                  <w:tcW w:w="1093" w:type="dxa"/>
                  <w:tcBorders>
                    <w:tl2br w:val="nil"/>
                    <w:tr2bl w:val="nil"/>
                  </w:tcBorders>
                  <w:vAlign w:val="center"/>
                </w:tcPr>
                <w:p w14:paraId="154456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油烟</w:t>
                  </w:r>
                </w:p>
              </w:tc>
              <w:tc>
                <w:tcPr>
                  <w:tcW w:w="808" w:type="dxa"/>
                  <w:tcBorders>
                    <w:tl2br w:val="nil"/>
                    <w:tr2bl w:val="nil"/>
                  </w:tcBorders>
                  <w:vAlign w:val="center"/>
                </w:tcPr>
                <w:p w14:paraId="1D8969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0.0072</w:t>
                  </w:r>
                </w:p>
              </w:tc>
              <w:tc>
                <w:tcPr>
                  <w:tcW w:w="875" w:type="dxa"/>
                  <w:tcBorders>
                    <w:tl2br w:val="nil"/>
                    <w:tr2bl w:val="nil"/>
                  </w:tcBorders>
                  <w:vAlign w:val="center"/>
                </w:tcPr>
                <w:p w14:paraId="16A296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0.0075</w:t>
                  </w:r>
                </w:p>
              </w:tc>
              <w:tc>
                <w:tcPr>
                  <w:tcW w:w="1500" w:type="dxa"/>
                  <w:tcBorders>
                    <w:tl2br w:val="nil"/>
                    <w:tr2bl w:val="nil"/>
                  </w:tcBorders>
                  <w:vAlign w:val="center"/>
                </w:tcPr>
                <w:p w14:paraId="2DDEE3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油烟净化器</w:t>
                  </w:r>
                </w:p>
              </w:tc>
              <w:tc>
                <w:tcPr>
                  <w:tcW w:w="833" w:type="dxa"/>
                  <w:tcBorders>
                    <w:tl2br w:val="nil"/>
                    <w:tr2bl w:val="nil"/>
                  </w:tcBorders>
                  <w:vAlign w:val="center"/>
                </w:tcPr>
                <w:p w14:paraId="11BE09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60.0%</w:t>
                  </w:r>
                </w:p>
              </w:tc>
              <w:tc>
                <w:tcPr>
                  <w:tcW w:w="750" w:type="dxa"/>
                  <w:tcBorders>
                    <w:tl2br w:val="nil"/>
                    <w:tr2bl w:val="nil"/>
                  </w:tcBorders>
                  <w:vAlign w:val="center"/>
                </w:tcPr>
                <w:p w14:paraId="2C30B2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0.003</w:t>
                  </w:r>
                </w:p>
              </w:tc>
              <w:tc>
                <w:tcPr>
                  <w:tcW w:w="868" w:type="dxa"/>
                  <w:tcBorders>
                    <w:tl2br w:val="nil"/>
                    <w:tr2bl w:val="nil"/>
                  </w:tcBorders>
                  <w:vAlign w:val="center"/>
                </w:tcPr>
                <w:p w14:paraId="4652E3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0.003</w:t>
                  </w:r>
                </w:p>
              </w:tc>
            </w:tr>
          </w:tbl>
          <w:p w14:paraId="00AE3E7D">
            <w:pPr>
              <w:keepNext w:val="0"/>
              <w:keepLines w:val="0"/>
              <w:pageBreakBefore w:val="0"/>
              <w:widowControl w:val="0"/>
              <w:kinsoku/>
              <w:wordWrap/>
              <w:overflowPunct/>
              <w:topLinePunct w:val="0"/>
              <w:autoSpaceDE/>
              <w:autoSpaceDN/>
              <w:bidi w:val="0"/>
              <w:adjustRightInd w:val="0"/>
              <w:snapToGrid w:val="0"/>
              <w:spacing w:before="63" w:beforeLines="20" w:line="351" w:lineRule="auto"/>
              <w:ind w:firstLine="480" w:firstLineChars="200"/>
              <w:textAlignment w:val="auto"/>
              <w:rPr>
                <w:rFonts w:hint="eastAsia" w:eastAsia="仿宋_GB2312" w:cs="Times New Roman"/>
                <w:b w:val="0"/>
                <w:bCs w:val="0"/>
                <w:color w:val="auto"/>
                <w:kern w:val="2"/>
                <w:sz w:val="24"/>
                <w:szCs w:val="24"/>
                <w:lang w:val="en-US" w:eastAsia="zh-CN" w:bidi="ar-SA"/>
              </w:rPr>
            </w:pPr>
            <w:r>
              <w:rPr>
                <w:rFonts w:hint="eastAsia" w:eastAsia="仿宋_GB2312" w:cs="Times New Roman"/>
                <w:b w:val="0"/>
                <w:bCs w:val="0"/>
                <w:color w:val="auto"/>
                <w:kern w:val="2"/>
                <w:sz w:val="24"/>
                <w:szCs w:val="24"/>
                <w:lang w:val="en-US" w:eastAsia="zh-CN" w:bidi="ar-SA"/>
              </w:rPr>
              <w:fldChar w:fldCharType="begin"/>
            </w:r>
            <w:r>
              <w:rPr>
                <w:rFonts w:hint="eastAsia" w:eastAsia="仿宋_GB2312" w:cs="Times New Roman"/>
                <w:b w:val="0"/>
                <w:bCs w:val="0"/>
                <w:color w:val="auto"/>
                <w:kern w:val="2"/>
                <w:sz w:val="24"/>
                <w:szCs w:val="24"/>
                <w:lang w:val="en-US" w:eastAsia="zh-CN" w:bidi="ar-SA"/>
              </w:rPr>
              <w:instrText xml:space="preserve"> = 2 \* GB2 \* MERGEFORMAT </w:instrText>
            </w:r>
            <w:r>
              <w:rPr>
                <w:rFonts w:hint="eastAsia" w:eastAsia="仿宋_GB2312" w:cs="Times New Roman"/>
                <w:b w:val="0"/>
                <w:bCs w:val="0"/>
                <w:color w:val="auto"/>
                <w:kern w:val="2"/>
                <w:sz w:val="24"/>
                <w:szCs w:val="24"/>
                <w:lang w:val="en-US" w:eastAsia="zh-CN" w:bidi="ar-SA"/>
              </w:rPr>
              <w:fldChar w:fldCharType="separate"/>
            </w:r>
            <w:r>
              <w:rPr>
                <w:rFonts w:hint="eastAsia" w:eastAsia="仿宋_GB2312" w:cs="Times New Roman"/>
                <w:b w:val="0"/>
                <w:bCs w:val="0"/>
                <w:color w:val="auto"/>
                <w:kern w:val="2"/>
                <w:sz w:val="24"/>
                <w:szCs w:val="24"/>
                <w:lang w:val="en-US" w:eastAsia="zh-CN" w:bidi="ar-SA"/>
              </w:rPr>
              <w:t>⑵</w:t>
            </w:r>
            <w:r>
              <w:rPr>
                <w:rFonts w:hint="eastAsia" w:eastAsia="仿宋_GB2312" w:cs="Times New Roman"/>
                <w:b w:val="0"/>
                <w:bCs w:val="0"/>
                <w:color w:val="auto"/>
                <w:kern w:val="2"/>
                <w:sz w:val="24"/>
                <w:szCs w:val="24"/>
                <w:lang w:val="en-US" w:eastAsia="zh-CN" w:bidi="ar-SA"/>
              </w:rPr>
              <w:fldChar w:fldCharType="end"/>
            </w:r>
            <w:r>
              <w:rPr>
                <w:rFonts w:hint="eastAsia" w:eastAsia="仿宋_GB2312" w:cs="Times New Roman"/>
                <w:b w:val="0"/>
                <w:bCs w:val="0"/>
                <w:color w:val="auto"/>
                <w:kern w:val="2"/>
                <w:sz w:val="24"/>
                <w:szCs w:val="24"/>
                <w:lang w:val="en-US" w:eastAsia="zh-CN" w:bidi="ar-SA"/>
              </w:rPr>
              <w:t>治理措施可行性分析</w:t>
            </w:r>
          </w:p>
          <w:p w14:paraId="28361B27">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eastAsia="仿宋_GB2312" w:cs="Times New Roman"/>
                <w:b w:val="0"/>
                <w:bCs w:val="0"/>
                <w:color w:val="auto"/>
                <w:kern w:val="2"/>
                <w:sz w:val="24"/>
                <w:szCs w:val="24"/>
                <w:lang w:val="en-US" w:eastAsia="zh-CN" w:bidi="ar-SA"/>
              </w:rPr>
            </w:pPr>
            <w:r>
              <w:rPr>
                <w:rFonts w:hint="eastAsia" w:eastAsia="仿宋_GB2312" w:cs="Times New Roman"/>
                <w:b w:val="0"/>
                <w:bCs w:val="0"/>
                <w:color w:val="auto"/>
                <w:kern w:val="2"/>
                <w:sz w:val="24"/>
                <w:szCs w:val="24"/>
                <w:lang w:val="en-US" w:eastAsia="zh-CN" w:bidi="ar-SA"/>
              </w:rPr>
              <w:fldChar w:fldCharType="begin"/>
            </w:r>
            <w:r>
              <w:rPr>
                <w:rFonts w:hint="eastAsia" w:eastAsia="仿宋_GB2312" w:cs="Times New Roman"/>
                <w:b w:val="0"/>
                <w:bCs w:val="0"/>
                <w:color w:val="auto"/>
                <w:kern w:val="2"/>
                <w:sz w:val="24"/>
                <w:szCs w:val="24"/>
                <w:lang w:val="en-US" w:eastAsia="zh-CN" w:bidi="ar-SA"/>
              </w:rPr>
              <w:instrText xml:space="preserve"> = 1 \* GB3 \* MERGEFORMAT </w:instrText>
            </w:r>
            <w:r>
              <w:rPr>
                <w:rFonts w:hint="eastAsia" w:eastAsia="仿宋_GB2312" w:cs="Times New Roman"/>
                <w:b w:val="0"/>
                <w:bCs w:val="0"/>
                <w:color w:val="auto"/>
                <w:kern w:val="2"/>
                <w:sz w:val="24"/>
                <w:szCs w:val="24"/>
                <w:lang w:val="en-US" w:eastAsia="zh-CN" w:bidi="ar-SA"/>
              </w:rPr>
              <w:fldChar w:fldCharType="separate"/>
            </w:r>
            <w:r>
              <w:rPr>
                <w:color w:val="auto"/>
              </w:rPr>
              <w:t>①</w:t>
            </w:r>
            <w:r>
              <w:rPr>
                <w:rFonts w:hint="eastAsia" w:eastAsia="仿宋_GB2312" w:cs="Times New Roman"/>
                <w:b w:val="0"/>
                <w:bCs w:val="0"/>
                <w:color w:val="auto"/>
                <w:kern w:val="2"/>
                <w:sz w:val="24"/>
                <w:szCs w:val="24"/>
                <w:lang w:val="en-US" w:eastAsia="zh-CN" w:bidi="ar-SA"/>
              </w:rPr>
              <w:fldChar w:fldCharType="end"/>
            </w:r>
            <w:r>
              <w:rPr>
                <w:rFonts w:hint="eastAsia" w:eastAsia="仿宋_GB2312" w:cs="Times New Roman"/>
                <w:b w:val="0"/>
                <w:bCs w:val="0"/>
                <w:color w:val="auto"/>
                <w:kern w:val="2"/>
                <w:sz w:val="24"/>
                <w:szCs w:val="24"/>
                <w:lang w:val="en-US" w:eastAsia="zh-CN" w:bidi="ar-SA"/>
              </w:rPr>
              <w:t>水泥生产线废气</w:t>
            </w:r>
          </w:p>
          <w:p w14:paraId="21D5715D">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eastAsia" w:eastAsia="仿宋_GB2312" w:cs="Times New Roman"/>
                <w:b w:val="0"/>
                <w:bCs w:val="0"/>
                <w:color w:val="auto"/>
                <w:kern w:val="2"/>
                <w:sz w:val="24"/>
                <w:szCs w:val="24"/>
                <w:lang w:val="en-US" w:eastAsia="zh-CN" w:bidi="ar-SA"/>
              </w:rPr>
            </w:pPr>
            <w:r>
              <w:rPr>
                <w:rFonts w:hint="eastAsia" w:eastAsia="仿宋_GB2312" w:cs="Times New Roman"/>
                <w:b w:val="0"/>
                <w:bCs w:val="0"/>
                <w:color w:val="auto"/>
                <w:kern w:val="2"/>
                <w:sz w:val="24"/>
                <w:szCs w:val="24"/>
                <w:lang w:val="en-US" w:eastAsia="zh-CN" w:bidi="ar-SA"/>
              </w:rPr>
              <w:t>项目运营期无组织废气主要包括水泥、粉煤灰筒仓、堆料棚及混凝土搅拌产生的粉尘，产污节点包括卸料、上料、搅拌等。</w:t>
            </w:r>
          </w:p>
          <w:p w14:paraId="60EF300C">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eastAsia" w:eastAsia="仿宋_GB2312" w:cs="Times New Roman"/>
                <w:b w:val="0"/>
                <w:bCs w:val="0"/>
                <w:color w:val="auto"/>
                <w:kern w:val="2"/>
                <w:sz w:val="24"/>
                <w:szCs w:val="24"/>
                <w:lang w:val="en-US" w:eastAsia="zh-CN" w:bidi="ar-SA"/>
              </w:rPr>
            </w:pPr>
            <w:r>
              <w:rPr>
                <w:rFonts w:hint="eastAsia" w:eastAsia="仿宋_GB2312" w:cs="Times New Roman"/>
                <w:b w:val="0"/>
                <w:bCs w:val="0"/>
                <w:color w:val="auto"/>
                <w:kern w:val="2"/>
                <w:sz w:val="24"/>
                <w:szCs w:val="24"/>
                <w:lang w:val="en-US" w:eastAsia="zh-CN" w:bidi="ar-SA"/>
              </w:rPr>
              <w:t>本项目废气主要污染因子为颗粒物，根据《排污许可证申请与核发技术规范 总则》（HJ 942-2018），有组织废气污染治理设施应按国家和地方规范进行设计，无组织排放运行管理按照国家和地方污染物排放标准要求执行。同时参照《排污许可证申请与核发技术规范 水泥工业》（HJ 8472017），项目废气具体防治措施及可行性分析如下：</w:t>
            </w:r>
          </w:p>
          <w:p w14:paraId="3C84C766">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eastAsia" w:eastAsia="仿宋_GB2312" w:cs="Times New Roman"/>
                <w:b w:val="0"/>
                <w:bCs w:val="0"/>
                <w:color w:val="auto"/>
                <w:kern w:val="2"/>
                <w:sz w:val="24"/>
                <w:szCs w:val="24"/>
                <w:lang w:val="en-US" w:eastAsia="zh-CN" w:bidi="ar-SA"/>
              </w:rPr>
            </w:pPr>
            <w:r>
              <w:rPr>
                <w:rFonts w:hint="eastAsia" w:eastAsia="仿宋_GB2312" w:cs="Times New Roman"/>
                <w:b w:val="0"/>
                <w:bCs w:val="0"/>
                <w:color w:val="auto"/>
                <w:kern w:val="2"/>
                <w:sz w:val="24"/>
                <w:szCs w:val="24"/>
                <w:lang w:val="en-US" w:eastAsia="zh-CN" w:bidi="ar-SA"/>
              </w:rPr>
              <w:t>参照《排污许可证申请与核发技术规范 水泥工业》中无组织排放控制要求：“粉状物料应密闭储存”，“运输皮带、斗提等应封闭”，“厂区运输道路应全硬化，定期洒水，及时清扫”，“厂区设置车轮清洗、清扫装置”。</w:t>
            </w:r>
          </w:p>
          <w:p w14:paraId="1EA22C1E">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eastAsia" w:eastAsia="仿宋_GB2312" w:cs="Times New Roman"/>
                <w:b w:val="0"/>
                <w:bCs w:val="0"/>
                <w:color w:val="auto"/>
                <w:kern w:val="2"/>
                <w:sz w:val="24"/>
                <w:szCs w:val="24"/>
                <w:lang w:val="en-US" w:eastAsia="zh-CN" w:bidi="ar-SA"/>
              </w:rPr>
            </w:pPr>
            <w:r>
              <w:rPr>
                <w:rFonts w:hint="eastAsia" w:eastAsia="仿宋_GB2312" w:cs="Times New Roman"/>
                <w:b w:val="0"/>
                <w:bCs w:val="0"/>
                <w:color w:val="auto"/>
                <w:kern w:val="2"/>
                <w:sz w:val="24"/>
                <w:szCs w:val="24"/>
                <w:lang w:val="en-US" w:eastAsia="zh-CN" w:bidi="ar-SA"/>
              </w:rPr>
              <w:t>项目共配备4个水泥筒仓、4个粉煤灰筒仓，本项目各筒仓上方自带脉冲除尘器，除尘器的除尘效率为99.7%，为排污许可证申请与核发污染治理可行技术，废气处理后经筒仓顶部呼吸孔排放；项目物料装卸在半封闭堆料棚内进行，</w:t>
            </w:r>
            <w:r>
              <w:rPr>
                <w:rFonts w:hint="default" w:ascii="Times New Roman" w:hAnsi="Times New Roman" w:eastAsia="仿宋_GB2312" w:cs="Times New Roman"/>
                <w:color w:val="auto"/>
                <w:kern w:val="2"/>
                <w:sz w:val="24"/>
                <w:szCs w:val="24"/>
                <w:lang w:val="en-US" w:eastAsia="zh-CN" w:bidi="ar-SA"/>
              </w:rPr>
              <w:t>项目所用</w:t>
            </w:r>
            <w:r>
              <w:rPr>
                <w:rFonts w:hint="eastAsia" w:eastAsia="仿宋_GB2312" w:cs="Times New Roman"/>
                <w:color w:val="auto"/>
                <w:kern w:val="2"/>
                <w:sz w:val="24"/>
                <w:szCs w:val="24"/>
                <w:lang w:val="en-US" w:eastAsia="zh-CN" w:bidi="ar-SA"/>
              </w:rPr>
              <w:t>碎石</w:t>
            </w:r>
            <w:r>
              <w:rPr>
                <w:rFonts w:hint="default" w:ascii="Times New Roman" w:hAnsi="Times New Roman" w:eastAsia="仿宋_GB2312" w:cs="Times New Roman"/>
                <w:color w:val="auto"/>
                <w:kern w:val="2"/>
                <w:sz w:val="24"/>
                <w:szCs w:val="24"/>
                <w:lang w:val="en-US" w:eastAsia="zh-CN" w:bidi="ar-SA"/>
              </w:rPr>
              <w:t>和</w:t>
            </w:r>
            <w:r>
              <w:rPr>
                <w:rFonts w:hint="eastAsia" w:eastAsia="仿宋_GB2312" w:cs="Times New Roman"/>
                <w:color w:val="auto"/>
                <w:kern w:val="2"/>
                <w:sz w:val="24"/>
                <w:szCs w:val="24"/>
                <w:lang w:val="en-US" w:eastAsia="zh-CN" w:bidi="ar-SA"/>
              </w:rPr>
              <w:t>水洗砂</w:t>
            </w:r>
            <w:r>
              <w:rPr>
                <w:rFonts w:hint="default" w:ascii="Times New Roman" w:hAnsi="Times New Roman" w:eastAsia="仿宋_GB2312" w:cs="Times New Roman"/>
                <w:color w:val="auto"/>
                <w:kern w:val="2"/>
                <w:sz w:val="24"/>
                <w:szCs w:val="24"/>
                <w:lang w:val="en-US" w:eastAsia="zh-CN" w:bidi="ar-SA"/>
              </w:rPr>
              <w:t>采用篷布遮盖通过汽车运至堆料棚，进行分区堆放，再用铲车送入进料口。项目运营期采取地表硬化、定期喷水措施</w:t>
            </w:r>
            <w:r>
              <w:rPr>
                <w:rFonts w:hint="eastAsia" w:eastAsia="仿宋_GB2312" w:cs="Times New Roman"/>
                <w:b w:val="0"/>
                <w:bCs w:val="0"/>
                <w:color w:val="auto"/>
                <w:kern w:val="2"/>
                <w:sz w:val="24"/>
                <w:szCs w:val="24"/>
                <w:lang w:val="en-US" w:eastAsia="zh-CN" w:bidi="ar-SA"/>
              </w:rPr>
              <w:t>，水洗砂、碎石等原料上料采用密闭廊道输送；搅拌工序采用全封闭式拌合楼；厂区内运输便道全部硬化，定期洒水抑尘，原料运输车辆控制装载量并遮盖篷布，设置洗车区及相应设施，车辆出厂前清洗。无组织粉尘污染防治措施满足《排污许可证申请与核发技术规范 水泥工业》中控制要求。采取以上措施后，无组织粉尘排放量较小，能够</w:t>
            </w:r>
            <w:r>
              <w:rPr>
                <w:rFonts w:hint="eastAsia" w:ascii="Times New Roman" w:hAnsi="Times New Roman" w:eastAsia="仿宋_GB2312" w:cs="Times New Roman"/>
                <w:b w:val="0"/>
                <w:bCs w:val="0"/>
                <w:color w:val="auto"/>
                <w:kern w:val="2"/>
                <w:sz w:val="24"/>
                <w:szCs w:val="24"/>
                <w:highlight w:val="none"/>
                <w:lang w:val="en-US" w:eastAsia="zh-CN" w:bidi="ar-SA"/>
              </w:rPr>
              <w:t>满足</w:t>
            </w:r>
            <w:r>
              <w:rPr>
                <w:rFonts w:hint="default" w:ascii="Times New Roman" w:hAnsi="Times New Roman" w:eastAsia="仿宋_GB2312" w:cs="Times New Roman"/>
                <w:color w:val="auto"/>
                <w:kern w:val="0"/>
                <w:sz w:val="24"/>
                <w:szCs w:val="24"/>
                <w:lang w:val="en-US" w:eastAsia="zh-CN"/>
              </w:rPr>
              <w:t>《水泥工业大气污染物排放标准》（</w:t>
            </w:r>
            <w:r>
              <w:rPr>
                <w:rFonts w:hint="eastAsia" w:ascii="Times New Roman" w:hAnsi="Times New Roman" w:eastAsia="仿宋_GB2312" w:cs="Times New Roman"/>
                <w:color w:val="auto"/>
                <w:kern w:val="0"/>
                <w:sz w:val="24"/>
                <w:szCs w:val="24"/>
                <w:lang w:val="en-US" w:eastAsia="zh-CN"/>
              </w:rPr>
              <w:t>DB64/1995-2024</w:t>
            </w:r>
            <w:r>
              <w:rPr>
                <w:rFonts w:hint="default" w:ascii="Times New Roman" w:hAnsi="Times New Roman" w:eastAsia="仿宋_GB2312" w:cs="Times New Roman"/>
                <w:color w:val="auto"/>
                <w:kern w:val="0"/>
                <w:sz w:val="24"/>
                <w:szCs w:val="24"/>
                <w:lang w:val="en-US" w:eastAsia="zh-CN"/>
              </w:rPr>
              <w:t>）表</w:t>
            </w:r>
            <w:r>
              <w:rPr>
                <w:rFonts w:hint="eastAsia" w:ascii="Times New Roman" w:hAnsi="Times New Roman" w:eastAsia="仿宋_GB2312" w:cs="Times New Roman"/>
                <w:color w:val="auto"/>
                <w:kern w:val="0"/>
                <w:sz w:val="24"/>
                <w:szCs w:val="24"/>
                <w:lang w:val="en-US" w:eastAsia="zh-CN"/>
              </w:rPr>
              <w:t>2企业边界大气污染物浓度限值要求，</w:t>
            </w:r>
            <w:r>
              <w:rPr>
                <w:rFonts w:hint="eastAsia" w:eastAsia="仿宋_GB2312" w:cs="Times New Roman"/>
                <w:b w:val="0"/>
                <w:bCs w:val="0"/>
                <w:color w:val="auto"/>
                <w:kern w:val="2"/>
                <w:sz w:val="24"/>
                <w:szCs w:val="24"/>
                <w:lang w:val="en-US" w:eastAsia="zh-CN" w:bidi="ar-SA"/>
              </w:rPr>
              <w:t>对区域大气环境影响较小，措施可行。</w:t>
            </w:r>
          </w:p>
          <w:p w14:paraId="202CCBCC">
            <w:pPr>
              <w:keepNext w:val="0"/>
              <w:keepLines w:val="0"/>
              <w:pageBreakBefore w:val="0"/>
              <w:widowControl w:val="0"/>
              <w:numPr>
                <w:ilvl w:val="0"/>
                <w:numId w:val="0"/>
              </w:numPr>
              <w:kinsoku/>
              <w:wordWrap/>
              <w:overflowPunct/>
              <w:topLinePunct w:val="0"/>
              <w:autoSpaceDE/>
              <w:autoSpaceDN/>
              <w:bidi w:val="0"/>
              <w:adjustRightInd w:val="0"/>
              <w:snapToGrid w:val="0"/>
              <w:spacing w:line="351" w:lineRule="auto"/>
              <w:ind w:leftChars="200"/>
              <w:textAlignment w:val="auto"/>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fldChar w:fldCharType="begin"/>
            </w:r>
            <w:r>
              <w:rPr>
                <w:rFonts w:hint="eastAsia" w:ascii="Times New Roman" w:hAnsi="Times New Roman" w:eastAsia="仿宋_GB2312" w:cs="Times New Roman"/>
                <w:color w:val="auto"/>
                <w:kern w:val="0"/>
                <w:sz w:val="24"/>
                <w:szCs w:val="24"/>
                <w:lang w:val="en-US" w:eastAsia="zh-CN"/>
              </w:rPr>
              <w:instrText xml:space="preserve"> = 2 \* GB3 \* MERGEFORMAT </w:instrText>
            </w:r>
            <w:r>
              <w:rPr>
                <w:rFonts w:hint="eastAsia" w:ascii="Times New Roman" w:hAnsi="Times New Roman" w:eastAsia="仿宋_GB2312" w:cs="Times New Roman"/>
                <w:color w:val="auto"/>
                <w:kern w:val="0"/>
                <w:sz w:val="24"/>
                <w:szCs w:val="24"/>
                <w:lang w:val="en-US" w:eastAsia="zh-CN"/>
              </w:rPr>
              <w:fldChar w:fldCharType="separate"/>
            </w:r>
            <w:r>
              <w:rPr>
                <w:color w:val="auto"/>
                <w:sz w:val="24"/>
                <w:szCs w:val="24"/>
              </w:rPr>
              <w:t>②</w:t>
            </w:r>
            <w:r>
              <w:rPr>
                <w:rFonts w:hint="eastAsia" w:ascii="Times New Roman" w:hAnsi="Times New Roman" w:eastAsia="仿宋_GB2312" w:cs="Times New Roman"/>
                <w:color w:val="auto"/>
                <w:kern w:val="0"/>
                <w:sz w:val="24"/>
                <w:szCs w:val="24"/>
                <w:lang w:val="en-US" w:eastAsia="zh-CN"/>
              </w:rPr>
              <w:fldChar w:fldCharType="end"/>
            </w:r>
            <w:r>
              <w:rPr>
                <w:rFonts w:hint="eastAsia" w:ascii="Times New Roman" w:hAnsi="Times New Roman" w:eastAsia="仿宋_GB2312" w:cs="Times New Roman"/>
                <w:color w:val="auto"/>
                <w:kern w:val="0"/>
                <w:sz w:val="24"/>
                <w:szCs w:val="24"/>
                <w:lang w:val="en-US" w:eastAsia="zh-CN"/>
              </w:rPr>
              <w:t>食堂油烟</w:t>
            </w:r>
          </w:p>
          <w:p w14:paraId="6899D8CB">
            <w:pPr>
              <w:keepNext w:val="0"/>
              <w:keepLines w:val="0"/>
              <w:pageBreakBefore w:val="0"/>
              <w:widowControl w:val="0"/>
              <w:kinsoku/>
              <w:wordWrap/>
              <w:overflowPunct/>
              <w:topLinePunct w:val="0"/>
              <w:autoSpaceDE/>
              <w:autoSpaceDN/>
              <w:bidi w:val="0"/>
              <w:adjustRightInd/>
              <w:snapToGrid w:val="0"/>
              <w:spacing w:beforeLines="0" w:afterLines="0" w:line="351" w:lineRule="auto"/>
              <w:ind w:firstLine="480" w:firstLineChars="200"/>
              <w:jc w:val="both"/>
              <w:textAlignment w:val="auto"/>
              <w:outlineLvl w:val="9"/>
              <w:rPr>
                <w:rFonts w:hint="eastAsia"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食堂安装1台油烟净化器，净化效率为60%，处理风量为2000m</w:t>
            </w:r>
            <w:r>
              <w:rPr>
                <w:rFonts w:hint="default" w:ascii="Times New Roman" w:hAnsi="Times New Roman" w:eastAsia="仿宋_GB2312" w:cs="Times New Roman"/>
                <w:color w:val="auto"/>
                <w:kern w:val="2"/>
                <w:sz w:val="24"/>
                <w:szCs w:val="24"/>
                <w:highlight w:val="none"/>
                <w:vertAlign w:val="superscript"/>
                <w:lang w:val="en-US" w:eastAsia="zh-CN" w:bidi="ar-SA"/>
              </w:rPr>
              <w:t>3</w:t>
            </w:r>
            <w:r>
              <w:rPr>
                <w:rFonts w:hint="default" w:ascii="Times New Roman" w:hAnsi="Times New Roman" w:eastAsia="仿宋_GB2312" w:cs="Times New Roman"/>
                <w:color w:val="auto"/>
                <w:kern w:val="2"/>
                <w:sz w:val="24"/>
                <w:szCs w:val="24"/>
                <w:highlight w:val="none"/>
                <w:lang w:val="en-US" w:eastAsia="zh-CN" w:bidi="ar-SA"/>
              </w:rPr>
              <w:t>/h，油烟经油烟净化器处理后通过排气管道引至</w:t>
            </w:r>
            <w:r>
              <w:rPr>
                <w:rFonts w:hint="eastAsia" w:ascii="Times New Roman" w:hAnsi="Times New Roman" w:eastAsia="仿宋_GB2312" w:cs="Times New Roman"/>
                <w:color w:val="auto"/>
                <w:kern w:val="2"/>
                <w:sz w:val="24"/>
                <w:szCs w:val="24"/>
                <w:highlight w:val="none"/>
                <w:lang w:val="en-US" w:eastAsia="zh-CN" w:bidi="ar-SA"/>
              </w:rPr>
              <w:t>房</w:t>
            </w:r>
            <w:r>
              <w:rPr>
                <w:rFonts w:hint="default" w:ascii="Times New Roman" w:hAnsi="Times New Roman" w:eastAsia="仿宋_GB2312" w:cs="Times New Roman"/>
                <w:color w:val="auto"/>
                <w:kern w:val="2"/>
                <w:sz w:val="24"/>
                <w:szCs w:val="24"/>
                <w:highlight w:val="none"/>
                <w:lang w:val="en-US" w:eastAsia="zh-CN" w:bidi="ar-SA"/>
              </w:rPr>
              <w:t>顶排放，</w:t>
            </w:r>
            <w:r>
              <w:rPr>
                <w:rFonts w:hint="default" w:ascii="Times New Roman" w:hAnsi="Times New Roman" w:eastAsia="仿宋_GB2312" w:cs="Times New Roman"/>
                <w:color w:val="auto"/>
                <w:kern w:val="0"/>
                <w:sz w:val="24"/>
                <w:szCs w:val="24"/>
                <w:highlight w:val="none"/>
                <w:lang w:val="en-US" w:eastAsia="zh-CN" w:bidi="ar-SA"/>
              </w:rPr>
              <w:t>排放浓度满足《饮食业油烟排放标准</w:t>
            </w:r>
            <w:r>
              <w:rPr>
                <w:rFonts w:hint="eastAsia" w:ascii="Times New Roman" w:hAnsi="Times New Roman" w:eastAsia="仿宋_GB2312" w:cs="Times New Roman"/>
                <w:color w:val="auto"/>
                <w:kern w:val="0"/>
                <w:sz w:val="24"/>
                <w:szCs w:val="24"/>
                <w:highlight w:val="none"/>
                <w:lang w:val="en-US" w:eastAsia="zh-CN" w:bidi="ar-SA"/>
              </w:rPr>
              <w:t>（试行）</w:t>
            </w:r>
            <w:r>
              <w:rPr>
                <w:rFonts w:hint="default" w:ascii="Times New Roman" w:hAnsi="Times New Roman" w:eastAsia="仿宋_GB2312" w:cs="Times New Roman"/>
                <w:color w:val="auto"/>
                <w:kern w:val="0"/>
                <w:sz w:val="24"/>
                <w:szCs w:val="24"/>
                <w:highlight w:val="none"/>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val="en-US" w:eastAsia="zh-CN" w:bidi="ar-SA"/>
              </w:rPr>
              <w:t>GB18483-2001</w:t>
            </w:r>
            <w:r>
              <w:rPr>
                <w:rFonts w:hint="eastAsia"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val="en-US" w:eastAsia="zh-CN" w:bidi="ar-SA"/>
              </w:rPr>
              <w:t>标准要求</w:t>
            </w:r>
            <w:r>
              <w:rPr>
                <w:rFonts w:hint="default" w:ascii="Times New Roman" w:hAnsi="Times New Roman" w:eastAsia="仿宋_GB2312" w:cs="Times New Roman"/>
                <w:color w:val="auto"/>
                <w:kern w:val="2"/>
                <w:sz w:val="24"/>
                <w:szCs w:val="24"/>
                <w:highlight w:val="none"/>
                <w:lang w:val="en-US" w:eastAsia="zh-CN" w:bidi="ar-SA"/>
              </w:rPr>
              <w:t>，措施可行。</w:t>
            </w:r>
          </w:p>
          <w:p w14:paraId="45903A8D">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eastAsia" w:eastAsia="仿宋_GB2312" w:cs="Times New Roman"/>
                <w:b w:val="0"/>
                <w:bCs w:val="0"/>
                <w:color w:val="auto"/>
                <w:kern w:val="2"/>
                <w:sz w:val="24"/>
                <w:szCs w:val="24"/>
                <w:lang w:val="en-US" w:eastAsia="zh-CN" w:bidi="ar-SA"/>
              </w:rPr>
            </w:pPr>
            <w:r>
              <w:rPr>
                <w:rFonts w:hint="eastAsia" w:eastAsia="仿宋_GB2312" w:cs="Times New Roman"/>
                <w:b w:val="0"/>
                <w:bCs w:val="0"/>
                <w:color w:val="auto"/>
                <w:kern w:val="2"/>
                <w:sz w:val="24"/>
                <w:szCs w:val="24"/>
                <w:lang w:val="en-US" w:eastAsia="zh-CN" w:bidi="ar-SA"/>
              </w:rPr>
              <w:t>综上，项目废气处理措施有效可行。</w:t>
            </w:r>
          </w:p>
          <w:p w14:paraId="202CB686">
            <w:pPr>
              <w:keepNext w:val="0"/>
              <w:keepLines w:val="0"/>
              <w:pageBreakBefore w:val="0"/>
              <w:widowControl w:val="0"/>
              <w:kinsoku/>
              <w:wordWrap/>
              <w:overflowPunct/>
              <w:topLinePunct w:val="0"/>
              <w:autoSpaceDE/>
              <w:autoSpaceDN/>
              <w:bidi w:val="0"/>
              <w:adjustRightInd/>
              <w:snapToGrid/>
              <w:spacing w:line="351" w:lineRule="auto"/>
              <w:ind w:firstLine="482" w:firstLineChars="200"/>
              <w:textAlignment w:val="auto"/>
              <w:rPr>
                <w:rFonts w:hint="eastAsia"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1.3排污口设置情况及污染物产排情况汇总</w:t>
            </w:r>
          </w:p>
          <w:p w14:paraId="37618728">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b w:val="0"/>
                <w:bCs w:val="0"/>
                <w:color w:val="auto"/>
                <w:sz w:val="21"/>
                <w:szCs w:val="21"/>
                <w:lang w:eastAsia="zh-CN"/>
              </w:rPr>
            </w:pPr>
            <w:r>
              <w:rPr>
                <w:rFonts w:hint="eastAsia" w:eastAsia="仿宋_GB2312" w:cs="Times New Roman"/>
                <w:b w:val="0"/>
                <w:bCs w:val="0"/>
                <w:color w:val="auto"/>
                <w:kern w:val="2"/>
                <w:sz w:val="24"/>
                <w:szCs w:val="24"/>
                <w:lang w:val="en-US" w:eastAsia="zh-CN" w:bidi="ar-SA"/>
              </w:rPr>
              <w:t>项目运营期排污口设置及污染物产排情况见表4-2。</w:t>
            </w:r>
          </w:p>
          <w:p w14:paraId="6D99854B">
            <w:pPr>
              <w:pStyle w:val="2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val="0"/>
                <w:bCs w:val="0"/>
                <w:color w:val="auto"/>
                <w:sz w:val="21"/>
                <w:szCs w:val="21"/>
                <w:lang w:eastAsia="zh-CN"/>
              </w:rPr>
              <w:t>表</w:t>
            </w:r>
            <w:r>
              <w:rPr>
                <w:rFonts w:hint="eastAsia" w:eastAsia="宋体" w:cs="Times New Roman"/>
                <w:b w:val="0"/>
                <w:bCs w:val="0"/>
                <w:color w:val="auto"/>
                <w:sz w:val="21"/>
                <w:szCs w:val="21"/>
                <w:lang w:val="en-US" w:eastAsia="zh-CN"/>
              </w:rPr>
              <w:t>4-</w:t>
            </w:r>
            <w:r>
              <w:rPr>
                <w:rFonts w:hint="eastAsia" w:cs="Times New Roman"/>
                <w:b w:val="0"/>
                <w:bCs w:val="0"/>
                <w:color w:val="auto"/>
                <w:sz w:val="21"/>
                <w:szCs w:val="21"/>
                <w:lang w:val="en-US" w:eastAsia="zh-CN"/>
              </w:rPr>
              <w:t>2</w:t>
            </w:r>
            <w:r>
              <w:rPr>
                <w:rFonts w:hint="default" w:ascii="Times New Roman" w:hAnsi="Times New Roman" w:eastAsia="宋体" w:cs="Times New Roman"/>
                <w:b/>
                <w:bCs/>
                <w:color w:val="auto"/>
                <w:sz w:val="24"/>
                <w:szCs w:val="24"/>
                <w:lang w:val="en-US" w:eastAsia="zh-CN"/>
              </w:rPr>
              <w:t xml:space="preserve">  </w:t>
            </w:r>
            <w:r>
              <w:rPr>
                <w:rFonts w:hint="eastAsia"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 xml:space="preserve">  本项目排污口设置情况及污染物产排情况汇总表</w:t>
            </w:r>
          </w:p>
          <w:tbl>
            <w:tblPr>
              <w:tblStyle w:val="2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95"/>
              <w:gridCol w:w="116"/>
              <w:gridCol w:w="376"/>
              <w:gridCol w:w="530"/>
              <w:gridCol w:w="736"/>
              <w:gridCol w:w="1718"/>
              <w:gridCol w:w="577"/>
              <w:gridCol w:w="823"/>
              <w:gridCol w:w="782"/>
              <w:gridCol w:w="605"/>
              <w:gridCol w:w="505"/>
              <w:gridCol w:w="749"/>
              <w:gridCol w:w="5"/>
            </w:tblGrid>
            <w:tr w14:paraId="78DA73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57" w:hRule="atLeast"/>
                <w:tblHeader/>
                <w:jc w:val="center"/>
              </w:trPr>
              <w:tc>
                <w:tcPr>
                  <w:tcW w:w="438" w:type="pct"/>
                  <w:gridSpan w:val="2"/>
                  <w:vMerge w:val="restart"/>
                  <w:tcBorders>
                    <w:tl2br w:val="nil"/>
                    <w:tr2bl w:val="nil"/>
                  </w:tcBorders>
                  <w:noWrap w:val="0"/>
                  <w:tcMar>
                    <w:top w:w="15" w:type="dxa"/>
                    <w:left w:w="15" w:type="dxa"/>
                    <w:right w:w="15" w:type="dxa"/>
                  </w:tcMar>
                  <w:vAlign w:val="center"/>
                </w:tcPr>
                <w:p w14:paraId="59163E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eastAsia" w:cs="Times New Roman"/>
                      <w:b/>
                      <w:i w:val="0"/>
                      <w:color w:val="auto"/>
                      <w:kern w:val="0"/>
                      <w:sz w:val="21"/>
                      <w:szCs w:val="21"/>
                      <w:u w:val="none"/>
                      <w:lang w:val="en-US" w:eastAsia="zh-CN" w:bidi="ar"/>
                    </w:rPr>
                    <w:t>排污口/</w:t>
                  </w:r>
                  <w:r>
                    <w:rPr>
                      <w:rFonts w:hint="default" w:ascii="Times New Roman" w:hAnsi="Times New Roman" w:eastAsia="宋体" w:cs="Times New Roman"/>
                      <w:b/>
                      <w:i w:val="0"/>
                      <w:color w:val="auto"/>
                      <w:kern w:val="0"/>
                      <w:sz w:val="21"/>
                      <w:szCs w:val="21"/>
                      <w:u w:val="none"/>
                      <w:lang w:val="en-US" w:eastAsia="zh-CN" w:bidi="ar"/>
                    </w:rPr>
                    <w:t>污染源</w:t>
                  </w:r>
                  <w:r>
                    <w:rPr>
                      <w:rFonts w:hint="eastAsia" w:cs="Times New Roman"/>
                      <w:b/>
                      <w:i w:val="0"/>
                      <w:color w:val="auto"/>
                      <w:kern w:val="0"/>
                      <w:sz w:val="21"/>
                      <w:szCs w:val="21"/>
                      <w:u w:val="none"/>
                      <w:lang w:val="en-US" w:eastAsia="zh-CN" w:bidi="ar"/>
                    </w:rPr>
                    <w:t>编号及名称</w:t>
                  </w:r>
                </w:p>
              </w:tc>
              <w:tc>
                <w:tcPr>
                  <w:tcW w:w="231" w:type="pct"/>
                  <w:vMerge w:val="restart"/>
                  <w:tcBorders>
                    <w:tl2br w:val="nil"/>
                    <w:tr2bl w:val="nil"/>
                  </w:tcBorders>
                  <w:noWrap/>
                  <w:tcMar>
                    <w:top w:w="15" w:type="dxa"/>
                    <w:left w:w="15" w:type="dxa"/>
                    <w:right w:w="15" w:type="dxa"/>
                  </w:tcMar>
                  <w:vAlign w:val="center"/>
                </w:tcPr>
                <w:p w14:paraId="2AEEC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污染物</w:t>
                  </w:r>
                </w:p>
              </w:tc>
              <w:tc>
                <w:tcPr>
                  <w:tcW w:w="779" w:type="pct"/>
                  <w:gridSpan w:val="2"/>
                  <w:tcBorders>
                    <w:tl2br w:val="nil"/>
                    <w:tr2bl w:val="nil"/>
                  </w:tcBorders>
                  <w:noWrap/>
                  <w:tcMar>
                    <w:top w:w="15" w:type="dxa"/>
                    <w:left w:w="15" w:type="dxa"/>
                    <w:right w:w="15" w:type="dxa"/>
                  </w:tcMar>
                  <w:vAlign w:val="center"/>
                </w:tcPr>
                <w:p w14:paraId="408DDEF1">
                  <w:pPr>
                    <w:keepNext w:val="0"/>
                    <w:keepLines w:val="0"/>
                    <w:pageBreakBefore w:val="0"/>
                    <w:kinsoku/>
                    <w:wordWrap/>
                    <w:overflowPunct/>
                    <w:topLinePunct w:val="0"/>
                    <w:bidi w:val="0"/>
                    <w:adjustRightInd w:val="0"/>
                    <w:snapToGrid w:val="0"/>
                    <w:jc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污染物产生</w:t>
                  </w:r>
                </w:p>
              </w:tc>
              <w:tc>
                <w:tcPr>
                  <w:tcW w:w="1921" w:type="pct"/>
                  <w:gridSpan w:val="3"/>
                  <w:tcBorders>
                    <w:tl2br w:val="nil"/>
                    <w:tr2bl w:val="nil"/>
                  </w:tcBorders>
                  <w:noWrap/>
                  <w:tcMar>
                    <w:top w:w="15" w:type="dxa"/>
                    <w:left w:w="15" w:type="dxa"/>
                    <w:right w:w="15" w:type="dxa"/>
                  </w:tcMar>
                  <w:vAlign w:val="center"/>
                </w:tcPr>
                <w:p w14:paraId="670607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治理措施</w:t>
                  </w:r>
                </w:p>
              </w:tc>
              <w:tc>
                <w:tcPr>
                  <w:tcW w:w="854" w:type="pct"/>
                  <w:gridSpan w:val="2"/>
                  <w:tcBorders>
                    <w:tl2br w:val="nil"/>
                    <w:tr2bl w:val="nil"/>
                  </w:tcBorders>
                  <w:noWrap/>
                  <w:tcMar>
                    <w:top w:w="15" w:type="dxa"/>
                    <w:left w:w="15" w:type="dxa"/>
                    <w:right w:w="15" w:type="dxa"/>
                  </w:tcMar>
                  <w:vAlign w:val="center"/>
                </w:tcPr>
                <w:p w14:paraId="410872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污染物排放</w:t>
                  </w:r>
                </w:p>
              </w:tc>
              <w:tc>
                <w:tcPr>
                  <w:tcW w:w="310" w:type="pct"/>
                  <w:tcBorders>
                    <w:tl2br w:val="nil"/>
                    <w:tr2bl w:val="nil"/>
                  </w:tcBorders>
                  <w:noWrap/>
                  <w:tcMar>
                    <w:top w:w="15" w:type="dxa"/>
                    <w:left w:w="15" w:type="dxa"/>
                    <w:right w:w="15" w:type="dxa"/>
                  </w:tcMar>
                  <w:vAlign w:val="center"/>
                </w:tcPr>
                <w:p w14:paraId="31ECB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宋体" w:cs="Times New Roman"/>
                      <w:b/>
                      <w:i w:val="0"/>
                      <w:color w:val="auto"/>
                      <w:sz w:val="21"/>
                      <w:szCs w:val="21"/>
                      <w:u w:val="none"/>
                      <w:lang w:val="en-US" w:eastAsia="zh-CN"/>
                    </w:rPr>
                  </w:pPr>
                  <w:r>
                    <w:rPr>
                      <w:rFonts w:hint="eastAsia" w:ascii="Times New Roman" w:hAnsi="Times New Roman" w:eastAsia="宋体" w:cs="Times New Roman"/>
                      <w:b/>
                      <w:i w:val="0"/>
                      <w:color w:val="auto"/>
                      <w:sz w:val="21"/>
                      <w:szCs w:val="21"/>
                      <w:u w:val="none"/>
                      <w:lang w:val="en-US" w:eastAsia="zh-CN"/>
                    </w:rPr>
                    <w:t>排放形式</w:t>
                  </w:r>
                </w:p>
              </w:tc>
              <w:tc>
                <w:tcPr>
                  <w:tcW w:w="461" w:type="pct"/>
                  <w:tcBorders>
                    <w:tl2br w:val="nil"/>
                    <w:tr2bl w:val="nil"/>
                  </w:tcBorders>
                  <w:noWrap w:val="0"/>
                  <w:tcMar>
                    <w:top w:w="15" w:type="dxa"/>
                    <w:left w:w="15" w:type="dxa"/>
                    <w:right w:w="15" w:type="dxa"/>
                  </w:tcMar>
                  <w:vAlign w:val="center"/>
                </w:tcPr>
                <w:p w14:paraId="03864F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操作</w:t>
                  </w:r>
                </w:p>
                <w:p w14:paraId="256EF7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工时</w:t>
                  </w:r>
                </w:p>
              </w:tc>
            </w:tr>
            <w:tr w14:paraId="0C84C2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tblHeader/>
                <w:jc w:val="center"/>
              </w:trPr>
              <w:tc>
                <w:tcPr>
                  <w:tcW w:w="438" w:type="pct"/>
                  <w:gridSpan w:val="2"/>
                  <w:vMerge w:val="continue"/>
                  <w:tcBorders>
                    <w:tl2br w:val="nil"/>
                    <w:tr2bl w:val="nil"/>
                  </w:tcBorders>
                  <w:noWrap w:val="0"/>
                  <w:tcMar>
                    <w:top w:w="15" w:type="dxa"/>
                    <w:left w:w="15" w:type="dxa"/>
                    <w:right w:w="15" w:type="dxa"/>
                  </w:tcMar>
                  <w:vAlign w:val="center"/>
                </w:tcPr>
                <w:p w14:paraId="3E7AE81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i w:val="0"/>
                      <w:color w:val="auto"/>
                      <w:sz w:val="21"/>
                      <w:szCs w:val="21"/>
                      <w:u w:val="none"/>
                    </w:rPr>
                  </w:pPr>
                </w:p>
              </w:tc>
              <w:tc>
                <w:tcPr>
                  <w:tcW w:w="231" w:type="pct"/>
                  <w:vMerge w:val="continue"/>
                  <w:tcBorders>
                    <w:tl2br w:val="nil"/>
                    <w:tr2bl w:val="nil"/>
                  </w:tcBorders>
                  <w:noWrap/>
                  <w:tcMar>
                    <w:top w:w="15" w:type="dxa"/>
                    <w:left w:w="15" w:type="dxa"/>
                    <w:right w:w="15" w:type="dxa"/>
                  </w:tcMar>
                  <w:vAlign w:val="center"/>
                </w:tcPr>
                <w:p w14:paraId="2231DC7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i w:val="0"/>
                      <w:color w:val="auto"/>
                      <w:sz w:val="21"/>
                      <w:szCs w:val="21"/>
                      <w:u w:val="none"/>
                    </w:rPr>
                  </w:pPr>
                </w:p>
              </w:tc>
              <w:tc>
                <w:tcPr>
                  <w:tcW w:w="326" w:type="pct"/>
                  <w:vMerge w:val="restart"/>
                  <w:tcBorders>
                    <w:tl2br w:val="nil"/>
                    <w:tr2bl w:val="nil"/>
                  </w:tcBorders>
                  <w:noWrap/>
                  <w:tcMar>
                    <w:top w:w="15" w:type="dxa"/>
                    <w:left w:w="15" w:type="dxa"/>
                    <w:right w:w="15" w:type="dxa"/>
                  </w:tcMar>
                  <w:vAlign w:val="center"/>
                </w:tcPr>
                <w:p w14:paraId="13C470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kern w:val="0"/>
                      <w:sz w:val="21"/>
                      <w:szCs w:val="21"/>
                      <w:u w:val="none"/>
                      <w:lang w:val="en-US" w:eastAsia="zh-CN" w:bidi="ar"/>
                    </w:rPr>
                  </w:pPr>
                  <w:r>
                    <w:rPr>
                      <w:rFonts w:hint="default" w:ascii="Times New Roman" w:hAnsi="Times New Roman" w:eastAsia="宋体" w:cs="Times New Roman"/>
                      <w:b/>
                      <w:i w:val="0"/>
                      <w:color w:val="auto"/>
                      <w:kern w:val="0"/>
                      <w:sz w:val="21"/>
                      <w:szCs w:val="21"/>
                      <w:u w:val="none"/>
                      <w:lang w:val="en-US" w:eastAsia="zh-CN" w:bidi="ar"/>
                    </w:rPr>
                    <w:t>核算</w:t>
                  </w:r>
                </w:p>
                <w:p w14:paraId="371BF9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方法</w:t>
                  </w:r>
                </w:p>
              </w:tc>
              <w:tc>
                <w:tcPr>
                  <w:tcW w:w="453" w:type="pct"/>
                  <w:tcBorders>
                    <w:tl2br w:val="nil"/>
                    <w:tr2bl w:val="nil"/>
                  </w:tcBorders>
                  <w:noWrap/>
                  <w:tcMar>
                    <w:top w:w="15" w:type="dxa"/>
                    <w:left w:w="15" w:type="dxa"/>
                    <w:right w:w="15" w:type="dxa"/>
                  </w:tcMar>
                  <w:vAlign w:val="center"/>
                </w:tcPr>
                <w:p w14:paraId="6298CA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产生量</w:t>
                  </w:r>
                </w:p>
              </w:tc>
              <w:tc>
                <w:tcPr>
                  <w:tcW w:w="1058" w:type="pct"/>
                  <w:vMerge w:val="restart"/>
                  <w:tcBorders>
                    <w:tl2br w:val="nil"/>
                    <w:tr2bl w:val="nil"/>
                  </w:tcBorders>
                  <w:noWrap/>
                  <w:tcMar>
                    <w:top w:w="15" w:type="dxa"/>
                    <w:left w:w="15" w:type="dxa"/>
                    <w:right w:w="15" w:type="dxa"/>
                  </w:tcMar>
                  <w:vAlign w:val="center"/>
                </w:tcPr>
                <w:p w14:paraId="6BC31E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eastAsia" w:cs="Times New Roman"/>
                      <w:b/>
                      <w:i w:val="0"/>
                      <w:color w:val="auto"/>
                      <w:kern w:val="0"/>
                      <w:sz w:val="21"/>
                      <w:szCs w:val="21"/>
                      <w:u w:val="none"/>
                      <w:lang w:val="en-US" w:eastAsia="zh-CN" w:bidi="ar"/>
                    </w:rPr>
                    <w:t>抑尘措施</w:t>
                  </w:r>
                </w:p>
              </w:tc>
              <w:tc>
                <w:tcPr>
                  <w:tcW w:w="355" w:type="pct"/>
                  <w:tcBorders>
                    <w:tl2br w:val="nil"/>
                    <w:tr2bl w:val="nil"/>
                  </w:tcBorders>
                  <w:noWrap/>
                  <w:tcMar>
                    <w:top w:w="15" w:type="dxa"/>
                    <w:left w:w="15" w:type="dxa"/>
                    <w:right w:w="15" w:type="dxa"/>
                  </w:tcMar>
                  <w:vAlign w:val="center"/>
                </w:tcPr>
                <w:p w14:paraId="0380E1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eastAsia" w:cs="Times New Roman"/>
                      <w:b/>
                      <w:i w:val="0"/>
                      <w:color w:val="auto"/>
                      <w:kern w:val="0"/>
                      <w:sz w:val="21"/>
                      <w:szCs w:val="21"/>
                      <w:u w:val="none"/>
                      <w:lang w:val="en-US" w:eastAsia="zh-CN" w:bidi="ar"/>
                    </w:rPr>
                    <w:t>抑尘</w:t>
                  </w:r>
                  <w:r>
                    <w:rPr>
                      <w:rFonts w:hint="default" w:ascii="Times New Roman" w:hAnsi="Times New Roman" w:eastAsia="宋体" w:cs="Times New Roman"/>
                      <w:b/>
                      <w:i w:val="0"/>
                      <w:color w:val="auto"/>
                      <w:kern w:val="0"/>
                      <w:sz w:val="21"/>
                      <w:szCs w:val="21"/>
                      <w:u w:val="none"/>
                      <w:lang w:val="en-US" w:eastAsia="zh-CN" w:bidi="ar"/>
                    </w:rPr>
                    <w:t>效率</w:t>
                  </w:r>
                </w:p>
              </w:tc>
              <w:tc>
                <w:tcPr>
                  <w:tcW w:w="507" w:type="pct"/>
                  <w:vMerge w:val="restart"/>
                  <w:tcBorders>
                    <w:tl2br w:val="nil"/>
                    <w:tr2bl w:val="nil"/>
                  </w:tcBorders>
                  <w:noWrap/>
                  <w:tcMar>
                    <w:top w:w="15" w:type="dxa"/>
                    <w:left w:w="15" w:type="dxa"/>
                    <w:right w:w="15" w:type="dxa"/>
                  </w:tcMar>
                  <w:vAlign w:val="center"/>
                </w:tcPr>
                <w:p w14:paraId="6314EE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s="Times New Roman"/>
                      <w:b/>
                      <w:i w:val="0"/>
                      <w:color w:val="auto"/>
                      <w:kern w:val="0"/>
                      <w:sz w:val="21"/>
                      <w:szCs w:val="21"/>
                      <w:u w:val="none"/>
                      <w:lang w:val="en-US" w:eastAsia="zh-CN" w:bidi="ar"/>
                    </w:rPr>
                  </w:pPr>
                  <w:r>
                    <w:rPr>
                      <w:rFonts w:hint="eastAsia" w:cs="Times New Roman"/>
                      <w:b/>
                      <w:i w:val="0"/>
                      <w:color w:val="auto"/>
                      <w:kern w:val="0"/>
                      <w:sz w:val="21"/>
                      <w:szCs w:val="21"/>
                      <w:u w:val="none"/>
                      <w:lang w:val="en-US" w:eastAsia="zh-CN" w:bidi="ar"/>
                    </w:rPr>
                    <w:t>是否为可行技术</w:t>
                  </w:r>
                </w:p>
              </w:tc>
              <w:tc>
                <w:tcPr>
                  <w:tcW w:w="481" w:type="pct"/>
                  <w:tcBorders>
                    <w:tl2br w:val="nil"/>
                    <w:tr2bl w:val="nil"/>
                  </w:tcBorders>
                  <w:noWrap/>
                  <w:tcMar>
                    <w:top w:w="15" w:type="dxa"/>
                    <w:left w:w="15" w:type="dxa"/>
                    <w:right w:w="15" w:type="dxa"/>
                  </w:tcMar>
                  <w:vAlign w:val="center"/>
                </w:tcPr>
                <w:p w14:paraId="351414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排放量</w:t>
                  </w:r>
                </w:p>
              </w:tc>
              <w:tc>
                <w:tcPr>
                  <w:tcW w:w="372" w:type="pct"/>
                  <w:tcBorders>
                    <w:tl2br w:val="nil"/>
                    <w:tr2bl w:val="nil"/>
                  </w:tcBorders>
                  <w:noWrap/>
                  <w:tcMar>
                    <w:top w:w="15" w:type="dxa"/>
                    <w:left w:w="15" w:type="dxa"/>
                    <w:right w:w="15" w:type="dxa"/>
                  </w:tcMar>
                  <w:vAlign w:val="center"/>
                </w:tcPr>
                <w:p w14:paraId="06BED3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排放速率</w:t>
                  </w:r>
                </w:p>
              </w:tc>
              <w:tc>
                <w:tcPr>
                  <w:tcW w:w="310" w:type="pct"/>
                  <w:vMerge w:val="restart"/>
                  <w:tcBorders>
                    <w:tl2br w:val="nil"/>
                    <w:tr2bl w:val="nil"/>
                  </w:tcBorders>
                  <w:noWrap/>
                  <w:tcMar>
                    <w:top w:w="15" w:type="dxa"/>
                    <w:left w:w="15" w:type="dxa"/>
                    <w:right w:w="15" w:type="dxa"/>
                  </w:tcMar>
                  <w:vAlign w:val="center"/>
                </w:tcPr>
                <w:p w14:paraId="3C686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p>
              </w:tc>
              <w:tc>
                <w:tcPr>
                  <w:tcW w:w="464" w:type="pct"/>
                  <w:gridSpan w:val="2"/>
                  <w:vMerge w:val="restart"/>
                  <w:tcBorders>
                    <w:tl2br w:val="nil"/>
                    <w:tr2bl w:val="nil"/>
                  </w:tcBorders>
                  <w:noWrap w:val="0"/>
                  <w:tcMar>
                    <w:top w:w="15" w:type="dxa"/>
                    <w:left w:w="15" w:type="dxa"/>
                    <w:right w:w="15" w:type="dxa"/>
                  </w:tcMar>
                  <w:vAlign w:val="center"/>
                </w:tcPr>
                <w:p w14:paraId="5F1946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h</w:t>
                  </w:r>
                </w:p>
              </w:tc>
            </w:tr>
            <w:tr w14:paraId="4A0F58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438" w:type="pct"/>
                  <w:gridSpan w:val="2"/>
                  <w:vMerge w:val="continue"/>
                  <w:tcBorders>
                    <w:tl2br w:val="nil"/>
                    <w:tr2bl w:val="nil"/>
                  </w:tcBorders>
                  <w:noWrap w:val="0"/>
                  <w:tcMar>
                    <w:top w:w="15" w:type="dxa"/>
                    <w:left w:w="15" w:type="dxa"/>
                    <w:right w:w="15" w:type="dxa"/>
                  </w:tcMar>
                  <w:vAlign w:val="center"/>
                </w:tcPr>
                <w:p w14:paraId="25D8517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i w:val="0"/>
                      <w:color w:val="auto"/>
                      <w:sz w:val="21"/>
                      <w:szCs w:val="21"/>
                      <w:u w:val="none"/>
                    </w:rPr>
                  </w:pPr>
                </w:p>
              </w:tc>
              <w:tc>
                <w:tcPr>
                  <w:tcW w:w="231" w:type="pct"/>
                  <w:vMerge w:val="continue"/>
                  <w:tcBorders>
                    <w:tl2br w:val="nil"/>
                    <w:tr2bl w:val="nil"/>
                  </w:tcBorders>
                  <w:noWrap/>
                  <w:tcMar>
                    <w:top w:w="15" w:type="dxa"/>
                    <w:left w:w="15" w:type="dxa"/>
                    <w:right w:w="15" w:type="dxa"/>
                  </w:tcMar>
                  <w:vAlign w:val="center"/>
                </w:tcPr>
                <w:p w14:paraId="5A366EA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i w:val="0"/>
                      <w:color w:val="auto"/>
                      <w:sz w:val="21"/>
                      <w:szCs w:val="21"/>
                      <w:u w:val="none"/>
                    </w:rPr>
                  </w:pPr>
                </w:p>
              </w:tc>
              <w:tc>
                <w:tcPr>
                  <w:tcW w:w="326" w:type="pct"/>
                  <w:vMerge w:val="continue"/>
                  <w:tcBorders>
                    <w:tl2br w:val="nil"/>
                    <w:tr2bl w:val="nil"/>
                  </w:tcBorders>
                  <w:noWrap/>
                  <w:tcMar>
                    <w:top w:w="15" w:type="dxa"/>
                    <w:left w:w="15" w:type="dxa"/>
                    <w:right w:w="15" w:type="dxa"/>
                  </w:tcMar>
                  <w:vAlign w:val="center"/>
                </w:tcPr>
                <w:p w14:paraId="58573D5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i w:val="0"/>
                      <w:color w:val="auto"/>
                      <w:sz w:val="21"/>
                      <w:szCs w:val="21"/>
                      <w:u w:val="none"/>
                    </w:rPr>
                  </w:pPr>
                </w:p>
              </w:tc>
              <w:tc>
                <w:tcPr>
                  <w:tcW w:w="453" w:type="pct"/>
                  <w:tcBorders>
                    <w:tl2br w:val="nil"/>
                    <w:tr2bl w:val="nil"/>
                  </w:tcBorders>
                  <w:noWrap/>
                  <w:tcMar>
                    <w:top w:w="15" w:type="dxa"/>
                    <w:left w:w="15" w:type="dxa"/>
                    <w:right w:w="15" w:type="dxa"/>
                  </w:tcMar>
                  <w:vAlign w:val="center"/>
                </w:tcPr>
                <w:p w14:paraId="64766F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t/a</w:t>
                  </w:r>
                </w:p>
              </w:tc>
              <w:tc>
                <w:tcPr>
                  <w:tcW w:w="1058" w:type="pct"/>
                  <w:vMerge w:val="continue"/>
                  <w:tcBorders>
                    <w:tl2br w:val="nil"/>
                    <w:tr2bl w:val="nil"/>
                  </w:tcBorders>
                  <w:noWrap/>
                  <w:tcMar>
                    <w:top w:w="15" w:type="dxa"/>
                    <w:left w:w="15" w:type="dxa"/>
                    <w:right w:w="15" w:type="dxa"/>
                  </w:tcMar>
                  <w:vAlign w:val="center"/>
                </w:tcPr>
                <w:p w14:paraId="534019C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i w:val="0"/>
                      <w:color w:val="auto"/>
                      <w:sz w:val="21"/>
                      <w:szCs w:val="21"/>
                      <w:u w:val="none"/>
                    </w:rPr>
                  </w:pPr>
                </w:p>
              </w:tc>
              <w:tc>
                <w:tcPr>
                  <w:tcW w:w="355" w:type="pct"/>
                  <w:tcBorders>
                    <w:tl2br w:val="nil"/>
                    <w:tr2bl w:val="nil"/>
                  </w:tcBorders>
                  <w:noWrap/>
                  <w:tcMar>
                    <w:top w:w="15" w:type="dxa"/>
                    <w:left w:w="15" w:type="dxa"/>
                    <w:right w:w="15" w:type="dxa"/>
                  </w:tcMar>
                  <w:vAlign w:val="center"/>
                </w:tcPr>
                <w:p w14:paraId="013AAB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w:t>
                  </w:r>
                </w:p>
              </w:tc>
              <w:tc>
                <w:tcPr>
                  <w:tcW w:w="507" w:type="pct"/>
                  <w:vMerge w:val="continue"/>
                  <w:tcBorders>
                    <w:tl2br w:val="nil"/>
                    <w:tr2bl w:val="nil"/>
                  </w:tcBorders>
                  <w:noWrap/>
                  <w:tcMar>
                    <w:top w:w="15" w:type="dxa"/>
                    <w:left w:w="15" w:type="dxa"/>
                    <w:right w:w="15" w:type="dxa"/>
                  </w:tcMar>
                  <w:vAlign w:val="center"/>
                </w:tcPr>
                <w:p w14:paraId="393578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kern w:val="0"/>
                      <w:sz w:val="21"/>
                      <w:szCs w:val="21"/>
                      <w:u w:val="none"/>
                      <w:lang w:val="en-US" w:eastAsia="zh-CN" w:bidi="ar"/>
                    </w:rPr>
                  </w:pPr>
                </w:p>
              </w:tc>
              <w:tc>
                <w:tcPr>
                  <w:tcW w:w="481" w:type="pct"/>
                  <w:tcBorders>
                    <w:tl2br w:val="nil"/>
                    <w:tr2bl w:val="nil"/>
                  </w:tcBorders>
                  <w:noWrap/>
                  <w:tcMar>
                    <w:top w:w="15" w:type="dxa"/>
                    <w:left w:w="15" w:type="dxa"/>
                    <w:right w:w="15" w:type="dxa"/>
                  </w:tcMar>
                  <w:vAlign w:val="center"/>
                </w:tcPr>
                <w:p w14:paraId="28885F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t/a</w:t>
                  </w:r>
                </w:p>
              </w:tc>
              <w:tc>
                <w:tcPr>
                  <w:tcW w:w="372" w:type="pct"/>
                  <w:tcBorders>
                    <w:tl2br w:val="nil"/>
                    <w:tr2bl w:val="nil"/>
                  </w:tcBorders>
                  <w:noWrap/>
                  <w:tcMar>
                    <w:top w:w="15" w:type="dxa"/>
                    <w:left w:w="15" w:type="dxa"/>
                    <w:right w:w="15" w:type="dxa"/>
                  </w:tcMar>
                  <w:vAlign w:val="center"/>
                </w:tcPr>
                <w:p w14:paraId="2CB501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宋体" w:cs="Times New Roman"/>
                      <w:b/>
                      <w:i w:val="0"/>
                      <w:color w:val="auto"/>
                      <w:kern w:val="0"/>
                      <w:sz w:val="21"/>
                      <w:szCs w:val="21"/>
                      <w:u w:val="none"/>
                      <w:lang w:val="en-US" w:eastAsia="zh-CN" w:bidi="ar"/>
                    </w:rPr>
                    <w:t>kg/h</w:t>
                  </w:r>
                </w:p>
              </w:tc>
              <w:tc>
                <w:tcPr>
                  <w:tcW w:w="310" w:type="pct"/>
                  <w:vMerge w:val="continue"/>
                  <w:tcBorders>
                    <w:tl2br w:val="nil"/>
                    <w:tr2bl w:val="nil"/>
                  </w:tcBorders>
                  <w:noWrap/>
                  <w:tcMar>
                    <w:top w:w="15" w:type="dxa"/>
                    <w:left w:w="15" w:type="dxa"/>
                    <w:right w:w="15" w:type="dxa"/>
                  </w:tcMar>
                  <w:vAlign w:val="center"/>
                </w:tcPr>
                <w:p w14:paraId="34EA79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p>
              </w:tc>
              <w:tc>
                <w:tcPr>
                  <w:tcW w:w="464" w:type="pct"/>
                  <w:gridSpan w:val="2"/>
                  <w:vMerge w:val="continue"/>
                  <w:tcBorders>
                    <w:tl2br w:val="nil"/>
                    <w:tr2bl w:val="nil"/>
                  </w:tcBorders>
                  <w:noWrap/>
                  <w:tcMar>
                    <w:top w:w="15" w:type="dxa"/>
                    <w:left w:w="15" w:type="dxa"/>
                    <w:right w:w="15" w:type="dxa"/>
                  </w:tcMar>
                  <w:vAlign w:val="center"/>
                </w:tcPr>
                <w:p w14:paraId="170573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i w:val="0"/>
                      <w:color w:val="auto"/>
                      <w:sz w:val="21"/>
                      <w:szCs w:val="21"/>
                      <w:u w:val="none"/>
                    </w:rPr>
                  </w:pPr>
                </w:p>
              </w:tc>
            </w:tr>
            <w:tr w14:paraId="59C54D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38" w:type="pct"/>
                  <w:gridSpan w:val="2"/>
                  <w:tcBorders>
                    <w:tl2br w:val="nil"/>
                    <w:tr2bl w:val="nil"/>
                  </w:tcBorders>
                  <w:noWrap w:val="0"/>
                  <w:tcMar>
                    <w:top w:w="15" w:type="dxa"/>
                    <w:left w:w="15" w:type="dxa"/>
                    <w:right w:w="15" w:type="dxa"/>
                  </w:tcMar>
                  <w:vAlign w:val="center"/>
                </w:tcPr>
                <w:p w14:paraId="3F2C07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b/>
                      <w:bCs/>
                      <w:i w:val="0"/>
                      <w:color w:val="auto"/>
                      <w:sz w:val="21"/>
                      <w:szCs w:val="21"/>
                      <w:highlight w:val="none"/>
                      <w:u w:val="none"/>
                      <w:lang w:val="en-US" w:eastAsia="zh-CN"/>
                    </w:rPr>
                  </w:pPr>
                  <w:r>
                    <w:rPr>
                      <w:rFonts w:hint="eastAsia" w:cs="Times New Roman"/>
                      <w:b/>
                      <w:bCs/>
                      <w:i w:val="0"/>
                      <w:color w:val="auto"/>
                      <w:sz w:val="21"/>
                      <w:szCs w:val="21"/>
                      <w:highlight w:val="none"/>
                      <w:u w:val="none"/>
                      <w:lang w:val="en-US" w:eastAsia="zh-CN"/>
                    </w:rPr>
                    <w:t>水泥</w:t>
                  </w:r>
                </w:p>
                <w:p w14:paraId="6A797F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bCs/>
                      <w:i w:val="0"/>
                      <w:color w:val="auto"/>
                      <w:sz w:val="21"/>
                      <w:szCs w:val="21"/>
                      <w:highlight w:val="none"/>
                      <w:u w:val="none"/>
                      <w:lang w:val="en-US" w:eastAsia="zh-CN"/>
                    </w:rPr>
                  </w:pPr>
                  <w:r>
                    <w:rPr>
                      <w:rFonts w:hint="eastAsia" w:cs="Times New Roman"/>
                      <w:b/>
                      <w:bCs/>
                      <w:i w:val="0"/>
                      <w:color w:val="auto"/>
                      <w:sz w:val="21"/>
                      <w:szCs w:val="21"/>
                      <w:highlight w:val="none"/>
                      <w:u w:val="none"/>
                      <w:lang w:val="en-US" w:eastAsia="zh-CN"/>
                    </w:rPr>
                    <w:t>筒仓</w:t>
                  </w:r>
                </w:p>
              </w:tc>
              <w:tc>
                <w:tcPr>
                  <w:tcW w:w="231" w:type="pct"/>
                  <w:vMerge w:val="restart"/>
                  <w:tcBorders>
                    <w:tl2br w:val="nil"/>
                    <w:tr2bl w:val="nil"/>
                  </w:tcBorders>
                  <w:noWrap/>
                  <w:tcMar>
                    <w:top w:w="15" w:type="dxa"/>
                    <w:left w:w="15" w:type="dxa"/>
                    <w:right w:w="15" w:type="dxa"/>
                  </w:tcMar>
                  <w:vAlign w:val="center"/>
                </w:tcPr>
                <w:p w14:paraId="3A24A2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i w:val="0"/>
                      <w:color w:val="auto"/>
                      <w:sz w:val="21"/>
                      <w:szCs w:val="21"/>
                      <w:u w:val="none"/>
                      <w:lang w:eastAsia="zh-CN"/>
                    </w:rPr>
                    <w:t>颗粒物</w:t>
                  </w:r>
                </w:p>
              </w:tc>
              <w:tc>
                <w:tcPr>
                  <w:tcW w:w="326" w:type="pct"/>
                  <w:vMerge w:val="restart"/>
                  <w:tcBorders>
                    <w:tl2br w:val="nil"/>
                    <w:tr2bl w:val="nil"/>
                  </w:tcBorders>
                  <w:noWrap w:val="0"/>
                  <w:tcMar>
                    <w:top w:w="15" w:type="dxa"/>
                    <w:left w:w="15" w:type="dxa"/>
                    <w:right w:w="15" w:type="dxa"/>
                  </w:tcMar>
                  <w:vAlign w:val="center"/>
                </w:tcPr>
                <w:p w14:paraId="2503E5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系数</w:t>
                  </w:r>
                </w:p>
                <w:p w14:paraId="3FB801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s="Times New Roman"/>
                      <w:i w:val="0"/>
                      <w:color w:val="auto"/>
                      <w:sz w:val="21"/>
                      <w:szCs w:val="21"/>
                      <w:u w:val="none"/>
                      <w:lang w:val="en-US" w:eastAsia="zh-CN"/>
                    </w:rPr>
                  </w:pPr>
                </w:p>
              </w:tc>
              <w:tc>
                <w:tcPr>
                  <w:tcW w:w="453" w:type="pct"/>
                  <w:tcBorders>
                    <w:tl2br w:val="nil"/>
                    <w:tr2bl w:val="nil"/>
                  </w:tcBorders>
                  <w:noWrap/>
                  <w:tcMar>
                    <w:top w:w="15" w:type="dxa"/>
                    <w:left w:w="15" w:type="dxa"/>
                    <w:right w:w="15" w:type="dxa"/>
                  </w:tcMar>
                  <w:vAlign w:val="center"/>
                </w:tcPr>
                <w:p w14:paraId="31BD6E64">
                  <w:pPr>
                    <w:jc w:val="center"/>
                    <w:rPr>
                      <w:rFonts w:hint="default" w:cs="Times New Roman"/>
                      <w:color w:val="auto"/>
                      <w:spacing w:val="-11"/>
                      <w:sz w:val="21"/>
                      <w:szCs w:val="21"/>
                      <w:lang w:val="en-US" w:eastAsia="zh-CN"/>
                    </w:rPr>
                  </w:pPr>
                  <w:r>
                    <w:rPr>
                      <w:rFonts w:hint="eastAsia" w:cs="Times New Roman"/>
                      <w:i w:val="0"/>
                      <w:color w:val="auto"/>
                      <w:sz w:val="21"/>
                      <w:szCs w:val="21"/>
                      <w:highlight w:val="none"/>
                      <w:u w:val="none"/>
                      <w:lang w:val="en-US" w:eastAsia="zh-CN"/>
                    </w:rPr>
                    <w:t>7.20</w:t>
                  </w:r>
                </w:p>
              </w:tc>
              <w:tc>
                <w:tcPr>
                  <w:tcW w:w="1058" w:type="pct"/>
                  <w:tcBorders>
                    <w:tl2br w:val="nil"/>
                    <w:tr2bl w:val="nil"/>
                  </w:tcBorders>
                  <w:noWrap w:val="0"/>
                  <w:tcMar>
                    <w:top w:w="15" w:type="dxa"/>
                    <w:left w:w="15" w:type="dxa"/>
                    <w:right w:w="15" w:type="dxa"/>
                  </w:tcMar>
                  <w:vAlign w:val="center"/>
                </w:tcPr>
                <w:p w14:paraId="6B1A19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s="Times New Roman"/>
                      <w:snapToGrid w:val="0"/>
                      <w:color w:val="auto"/>
                      <w:spacing w:val="-11"/>
                      <w:kern w:val="0"/>
                      <w:sz w:val="21"/>
                      <w:szCs w:val="21"/>
                      <w:lang w:val="en-US" w:eastAsia="zh-CN"/>
                    </w:rPr>
                  </w:pPr>
                  <w:r>
                    <w:rPr>
                      <w:rFonts w:hint="eastAsia" w:cs="Times New Roman"/>
                      <w:snapToGrid w:val="0"/>
                      <w:color w:val="auto"/>
                      <w:spacing w:val="-11"/>
                      <w:kern w:val="0"/>
                      <w:sz w:val="21"/>
                      <w:szCs w:val="21"/>
                      <w:lang w:val="en-US" w:eastAsia="zh-CN"/>
                    </w:rPr>
                    <w:t>脉冲除尘器</w:t>
                  </w:r>
                </w:p>
              </w:tc>
              <w:tc>
                <w:tcPr>
                  <w:tcW w:w="355" w:type="pct"/>
                  <w:tcBorders>
                    <w:tl2br w:val="nil"/>
                    <w:tr2bl w:val="nil"/>
                  </w:tcBorders>
                  <w:noWrap/>
                  <w:tcMar>
                    <w:top w:w="15" w:type="dxa"/>
                    <w:left w:w="15" w:type="dxa"/>
                    <w:right w:w="15" w:type="dxa"/>
                  </w:tcMar>
                  <w:vAlign w:val="center"/>
                </w:tcPr>
                <w:p w14:paraId="29D75EBC">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cs="Times New Roman"/>
                      <w:color w:val="auto"/>
                      <w:highlight w:val="none"/>
                      <w:lang w:val="en-US" w:eastAsia="zh-CN"/>
                    </w:rPr>
                  </w:pPr>
                  <w:r>
                    <w:rPr>
                      <w:rFonts w:hint="eastAsia" w:cs="Times New Roman"/>
                      <w:color w:val="auto"/>
                      <w:highlight w:val="none"/>
                      <w:lang w:val="en-US" w:eastAsia="zh-CN"/>
                    </w:rPr>
                    <w:t>99.7</w:t>
                  </w:r>
                </w:p>
              </w:tc>
              <w:tc>
                <w:tcPr>
                  <w:tcW w:w="507" w:type="pct"/>
                  <w:tcBorders>
                    <w:tl2br w:val="nil"/>
                    <w:tr2bl w:val="nil"/>
                  </w:tcBorders>
                  <w:noWrap/>
                  <w:tcMar>
                    <w:top w:w="15" w:type="dxa"/>
                    <w:left w:w="15" w:type="dxa"/>
                    <w:right w:w="15" w:type="dxa"/>
                  </w:tcMar>
                  <w:vAlign w:val="center"/>
                </w:tcPr>
                <w:p w14:paraId="1EDA565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可行</w:t>
                  </w:r>
                </w:p>
              </w:tc>
              <w:tc>
                <w:tcPr>
                  <w:tcW w:w="481" w:type="pct"/>
                  <w:tcBorders>
                    <w:tl2br w:val="nil"/>
                    <w:tr2bl w:val="nil"/>
                  </w:tcBorders>
                  <w:noWrap/>
                  <w:tcMar>
                    <w:top w:w="15" w:type="dxa"/>
                    <w:left w:w="15" w:type="dxa"/>
                    <w:right w:w="15" w:type="dxa"/>
                  </w:tcMar>
                  <w:vAlign w:val="center"/>
                </w:tcPr>
                <w:p w14:paraId="04F18611">
                  <w:pPr>
                    <w:snapToGrid w:val="0"/>
                    <w:ind w:left="-105" w:leftChars="-50" w:right="-105" w:rightChars="-50"/>
                    <w:contextualSpacing/>
                    <w:jc w:val="center"/>
                    <w:rPr>
                      <w:rFonts w:hint="default" w:cs="Times New Roman"/>
                      <w:color w:val="auto"/>
                      <w:spacing w:val="-11"/>
                      <w:sz w:val="21"/>
                      <w:szCs w:val="21"/>
                      <w:lang w:val="en-US" w:eastAsia="zh-CN"/>
                    </w:rPr>
                  </w:pPr>
                  <w:r>
                    <w:rPr>
                      <w:rFonts w:hint="eastAsia" w:cs="Times New Roman"/>
                      <w:color w:val="auto"/>
                      <w:spacing w:val="-11"/>
                      <w:sz w:val="21"/>
                      <w:szCs w:val="21"/>
                      <w:lang w:val="en-US" w:eastAsia="zh-CN"/>
                    </w:rPr>
                    <w:t>0.022</w:t>
                  </w:r>
                </w:p>
              </w:tc>
              <w:tc>
                <w:tcPr>
                  <w:tcW w:w="372" w:type="pct"/>
                  <w:tcBorders>
                    <w:tl2br w:val="nil"/>
                    <w:tr2bl w:val="nil"/>
                  </w:tcBorders>
                  <w:noWrap/>
                  <w:tcMar>
                    <w:top w:w="15" w:type="dxa"/>
                    <w:left w:w="15" w:type="dxa"/>
                    <w:right w:w="15" w:type="dxa"/>
                  </w:tcMar>
                  <w:vAlign w:val="center"/>
                </w:tcPr>
                <w:p w14:paraId="7BC1E0BE">
                  <w:pPr>
                    <w:snapToGrid w:val="0"/>
                    <w:ind w:left="-105" w:leftChars="-50" w:right="-105" w:rightChars="-50"/>
                    <w:contextualSpacing/>
                    <w:jc w:val="center"/>
                    <w:rPr>
                      <w:rFonts w:hint="default" w:cs="Times New Roman"/>
                      <w:color w:val="auto"/>
                      <w:spacing w:val="-11"/>
                      <w:sz w:val="21"/>
                      <w:szCs w:val="21"/>
                      <w:lang w:val="en-US" w:eastAsia="zh-CN"/>
                    </w:rPr>
                  </w:pPr>
                  <w:r>
                    <w:rPr>
                      <w:rFonts w:hint="eastAsia" w:cs="Times New Roman"/>
                      <w:color w:val="auto"/>
                      <w:spacing w:val="-11"/>
                      <w:sz w:val="21"/>
                      <w:szCs w:val="21"/>
                      <w:lang w:val="en-US" w:eastAsia="zh-CN"/>
                    </w:rPr>
                    <w:t>0.017</w:t>
                  </w:r>
                </w:p>
              </w:tc>
              <w:tc>
                <w:tcPr>
                  <w:tcW w:w="310" w:type="pct"/>
                  <w:vMerge w:val="restart"/>
                  <w:tcBorders>
                    <w:tl2br w:val="nil"/>
                    <w:tr2bl w:val="nil"/>
                  </w:tcBorders>
                  <w:noWrap/>
                  <w:tcMar>
                    <w:top w:w="15" w:type="dxa"/>
                    <w:left w:w="15" w:type="dxa"/>
                    <w:right w:w="15" w:type="dxa"/>
                  </w:tcMar>
                  <w:vAlign w:val="center"/>
                </w:tcPr>
                <w:p w14:paraId="363FDBD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i w:val="0"/>
                      <w:color w:val="auto"/>
                      <w:sz w:val="21"/>
                      <w:szCs w:val="21"/>
                      <w:u w:val="none"/>
                      <w:lang w:val="en-US" w:eastAsia="zh-CN"/>
                    </w:rPr>
                  </w:pPr>
                  <w:r>
                    <w:rPr>
                      <w:rFonts w:hint="eastAsia" w:cs="Times New Roman"/>
                      <w:i w:val="0"/>
                      <w:color w:val="auto"/>
                      <w:sz w:val="21"/>
                      <w:szCs w:val="21"/>
                      <w:u w:val="none"/>
                      <w:lang w:val="en-US" w:eastAsia="zh-CN"/>
                    </w:rPr>
                    <w:t>无组织</w:t>
                  </w:r>
                </w:p>
              </w:tc>
              <w:tc>
                <w:tcPr>
                  <w:tcW w:w="464" w:type="pct"/>
                  <w:gridSpan w:val="2"/>
                  <w:tcBorders>
                    <w:bottom w:val="single" w:color="auto" w:sz="4" w:space="0"/>
                    <w:tl2br w:val="nil"/>
                    <w:tr2bl w:val="nil"/>
                  </w:tcBorders>
                  <w:noWrap/>
                  <w:tcMar>
                    <w:top w:w="15" w:type="dxa"/>
                    <w:left w:w="15" w:type="dxa"/>
                    <w:right w:w="15" w:type="dxa"/>
                  </w:tcMar>
                  <w:vAlign w:val="center"/>
                </w:tcPr>
                <w:p w14:paraId="709A5C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s="Times New Roman"/>
                      <w:i w:val="0"/>
                      <w:color w:val="auto"/>
                      <w:sz w:val="21"/>
                      <w:szCs w:val="21"/>
                      <w:u w:val="none"/>
                      <w:lang w:val="en-US" w:eastAsia="zh-CN"/>
                    </w:rPr>
                  </w:pPr>
                  <w:r>
                    <w:rPr>
                      <w:rFonts w:hint="eastAsia" w:cs="Times New Roman"/>
                      <w:i w:val="0"/>
                      <w:color w:val="auto"/>
                      <w:sz w:val="21"/>
                      <w:szCs w:val="21"/>
                      <w:u w:val="none"/>
                      <w:lang w:val="en-US" w:eastAsia="zh-CN"/>
                    </w:rPr>
                    <w:t>1250.25</w:t>
                  </w:r>
                </w:p>
              </w:tc>
            </w:tr>
            <w:tr w14:paraId="5C7E32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38" w:type="pct"/>
                  <w:gridSpan w:val="2"/>
                  <w:tcBorders>
                    <w:tl2br w:val="nil"/>
                    <w:tr2bl w:val="nil"/>
                  </w:tcBorders>
                  <w:noWrap w:val="0"/>
                  <w:tcMar>
                    <w:top w:w="15" w:type="dxa"/>
                    <w:left w:w="15" w:type="dxa"/>
                    <w:right w:w="15" w:type="dxa"/>
                  </w:tcMar>
                  <w:vAlign w:val="center"/>
                </w:tcPr>
                <w:p w14:paraId="2BAF2C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bCs/>
                      <w:i w:val="0"/>
                      <w:color w:val="auto"/>
                      <w:sz w:val="21"/>
                      <w:szCs w:val="21"/>
                      <w:highlight w:val="none"/>
                      <w:u w:val="none"/>
                      <w:lang w:val="en-US" w:eastAsia="zh-CN"/>
                    </w:rPr>
                  </w:pPr>
                  <w:r>
                    <w:rPr>
                      <w:rFonts w:hint="eastAsia" w:cs="Times New Roman"/>
                      <w:b/>
                      <w:bCs/>
                      <w:i w:val="0"/>
                      <w:color w:val="auto"/>
                      <w:sz w:val="21"/>
                      <w:szCs w:val="21"/>
                      <w:highlight w:val="none"/>
                      <w:u w:val="none"/>
                      <w:lang w:val="en-US" w:eastAsia="zh-CN"/>
                    </w:rPr>
                    <w:t>粉煤灰筒仓</w:t>
                  </w:r>
                </w:p>
              </w:tc>
              <w:tc>
                <w:tcPr>
                  <w:tcW w:w="231" w:type="pct"/>
                  <w:vMerge w:val="continue"/>
                  <w:tcBorders>
                    <w:tl2br w:val="nil"/>
                    <w:tr2bl w:val="nil"/>
                  </w:tcBorders>
                  <w:noWrap/>
                  <w:tcMar>
                    <w:top w:w="15" w:type="dxa"/>
                    <w:left w:w="15" w:type="dxa"/>
                    <w:right w:w="15" w:type="dxa"/>
                  </w:tcMar>
                  <w:vAlign w:val="center"/>
                </w:tcPr>
                <w:p w14:paraId="2FBBA4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s="Times New Roman"/>
                      <w:b w:val="0"/>
                      <w:bCs w:val="0"/>
                      <w:i w:val="0"/>
                      <w:color w:val="auto"/>
                      <w:sz w:val="21"/>
                      <w:szCs w:val="21"/>
                      <w:highlight w:val="none"/>
                      <w:u w:val="none"/>
                      <w:lang w:eastAsia="zh-CN"/>
                    </w:rPr>
                  </w:pPr>
                </w:p>
              </w:tc>
              <w:tc>
                <w:tcPr>
                  <w:tcW w:w="326" w:type="pct"/>
                  <w:vMerge w:val="continue"/>
                  <w:tcBorders>
                    <w:tl2br w:val="nil"/>
                    <w:tr2bl w:val="nil"/>
                  </w:tcBorders>
                  <w:noWrap w:val="0"/>
                  <w:tcMar>
                    <w:top w:w="15" w:type="dxa"/>
                    <w:left w:w="15" w:type="dxa"/>
                    <w:right w:w="15" w:type="dxa"/>
                  </w:tcMar>
                  <w:vAlign w:val="center"/>
                </w:tcPr>
                <w:p w14:paraId="28A7E4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s="Times New Roman"/>
                      <w:i w:val="0"/>
                      <w:color w:val="auto"/>
                      <w:sz w:val="21"/>
                      <w:szCs w:val="21"/>
                      <w:highlight w:val="none"/>
                      <w:u w:val="none"/>
                      <w:lang w:val="en-US" w:eastAsia="zh-CN"/>
                    </w:rPr>
                  </w:pPr>
                </w:p>
              </w:tc>
              <w:tc>
                <w:tcPr>
                  <w:tcW w:w="453" w:type="pct"/>
                  <w:tcBorders>
                    <w:tl2br w:val="nil"/>
                    <w:tr2bl w:val="nil"/>
                  </w:tcBorders>
                  <w:noWrap/>
                  <w:tcMar>
                    <w:top w:w="15" w:type="dxa"/>
                    <w:left w:w="15" w:type="dxa"/>
                    <w:right w:w="15" w:type="dxa"/>
                  </w:tcMar>
                  <w:vAlign w:val="center"/>
                </w:tcPr>
                <w:p w14:paraId="013F60BC">
                  <w:pPr>
                    <w:jc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2.40</w:t>
                  </w:r>
                </w:p>
              </w:tc>
              <w:tc>
                <w:tcPr>
                  <w:tcW w:w="1058" w:type="pct"/>
                  <w:tcBorders>
                    <w:tl2br w:val="nil"/>
                    <w:tr2bl w:val="nil"/>
                  </w:tcBorders>
                  <w:noWrap w:val="0"/>
                  <w:tcMar>
                    <w:top w:w="15" w:type="dxa"/>
                    <w:left w:w="15" w:type="dxa"/>
                    <w:right w:w="15" w:type="dxa"/>
                  </w:tcMar>
                  <w:vAlign w:val="center"/>
                </w:tcPr>
                <w:p w14:paraId="1EAE27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s="Times New Roman"/>
                      <w:color w:val="auto"/>
                      <w:highlight w:val="none"/>
                      <w:lang w:val="en-US" w:eastAsia="zh-CN"/>
                    </w:rPr>
                  </w:pPr>
                  <w:r>
                    <w:rPr>
                      <w:rFonts w:hint="eastAsia" w:cs="Times New Roman"/>
                      <w:snapToGrid w:val="0"/>
                      <w:color w:val="auto"/>
                      <w:spacing w:val="-11"/>
                      <w:kern w:val="0"/>
                      <w:sz w:val="21"/>
                      <w:szCs w:val="21"/>
                      <w:lang w:val="en-US" w:eastAsia="zh-CN"/>
                    </w:rPr>
                    <w:t>脉冲除尘器</w:t>
                  </w:r>
                </w:p>
              </w:tc>
              <w:tc>
                <w:tcPr>
                  <w:tcW w:w="355" w:type="pct"/>
                  <w:tcBorders>
                    <w:tl2br w:val="nil"/>
                    <w:tr2bl w:val="nil"/>
                  </w:tcBorders>
                  <w:noWrap/>
                  <w:tcMar>
                    <w:top w:w="15" w:type="dxa"/>
                    <w:left w:w="15" w:type="dxa"/>
                    <w:right w:w="15" w:type="dxa"/>
                  </w:tcMar>
                  <w:vAlign w:val="center"/>
                </w:tcPr>
                <w:p w14:paraId="37861DD7">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cs="Times New Roman"/>
                      <w:color w:val="auto"/>
                      <w:highlight w:val="none"/>
                      <w:lang w:val="en-US" w:eastAsia="zh-CN"/>
                    </w:rPr>
                  </w:pPr>
                  <w:r>
                    <w:rPr>
                      <w:rFonts w:hint="eastAsia" w:cs="Times New Roman"/>
                      <w:color w:val="auto"/>
                      <w:highlight w:val="none"/>
                      <w:lang w:val="en-US" w:eastAsia="zh-CN"/>
                    </w:rPr>
                    <w:t>99.7</w:t>
                  </w:r>
                </w:p>
              </w:tc>
              <w:tc>
                <w:tcPr>
                  <w:tcW w:w="507" w:type="pct"/>
                  <w:tcBorders>
                    <w:tl2br w:val="nil"/>
                    <w:tr2bl w:val="nil"/>
                  </w:tcBorders>
                  <w:noWrap/>
                  <w:tcMar>
                    <w:top w:w="15" w:type="dxa"/>
                    <w:left w:w="15" w:type="dxa"/>
                    <w:right w:w="15" w:type="dxa"/>
                  </w:tcMar>
                  <w:vAlign w:val="center"/>
                </w:tcPr>
                <w:p w14:paraId="764F1070">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可行</w:t>
                  </w:r>
                </w:p>
              </w:tc>
              <w:tc>
                <w:tcPr>
                  <w:tcW w:w="481" w:type="pct"/>
                  <w:tcBorders>
                    <w:tl2br w:val="nil"/>
                    <w:tr2bl w:val="nil"/>
                  </w:tcBorders>
                  <w:noWrap/>
                  <w:tcMar>
                    <w:top w:w="15" w:type="dxa"/>
                    <w:left w:w="15" w:type="dxa"/>
                    <w:right w:w="15" w:type="dxa"/>
                  </w:tcMar>
                  <w:vAlign w:val="center"/>
                </w:tcPr>
                <w:p w14:paraId="351A462D">
                  <w:pPr>
                    <w:snapToGrid w:val="0"/>
                    <w:ind w:left="-105" w:leftChars="-50" w:right="-105" w:rightChars="-50"/>
                    <w:contextualSpacing/>
                    <w:jc w:val="center"/>
                    <w:rPr>
                      <w:rFonts w:hint="default" w:cs="Times New Roman"/>
                      <w:color w:val="auto"/>
                      <w:spacing w:val="-11"/>
                      <w:sz w:val="21"/>
                      <w:szCs w:val="21"/>
                      <w:lang w:val="en-US" w:eastAsia="zh-CN"/>
                    </w:rPr>
                  </w:pPr>
                  <w:r>
                    <w:rPr>
                      <w:rFonts w:hint="eastAsia" w:cs="Times New Roman"/>
                      <w:color w:val="auto"/>
                      <w:spacing w:val="-11"/>
                      <w:sz w:val="21"/>
                      <w:szCs w:val="21"/>
                      <w:lang w:val="en-US" w:eastAsia="zh-CN"/>
                    </w:rPr>
                    <w:t>0.007</w:t>
                  </w:r>
                </w:p>
              </w:tc>
              <w:tc>
                <w:tcPr>
                  <w:tcW w:w="372" w:type="pct"/>
                  <w:tcBorders>
                    <w:tl2br w:val="nil"/>
                    <w:tr2bl w:val="nil"/>
                  </w:tcBorders>
                  <w:noWrap/>
                  <w:tcMar>
                    <w:top w:w="15" w:type="dxa"/>
                    <w:left w:w="15" w:type="dxa"/>
                    <w:right w:w="15" w:type="dxa"/>
                  </w:tcMar>
                  <w:vAlign w:val="center"/>
                </w:tcPr>
                <w:p w14:paraId="3D014FDA">
                  <w:pPr>
                    <w:snapToGrid w:val="0"/>
                    <w:ind w:left="-105" w:leftChars="-50" w:right="-105" w:rightChars="-50"/>
                    <w:contextualSpacing/>
                    <w:jc w:val="center"/>
                    <w:rPr>
                      <w:rFonts w:hint="eastAsia" w:cs="Times New Roman"/>
                      <w:color w:val="auto"/>
                      <w:spacing w:val="-11"/>
                      <w:sz w:val="21"/>
                      <w:szCs w:val="21"/>
                      <w:lang w:val="en-US" w:eastAsia="zh-CN"/>
                    </w:rPr>
                  </w:pPr>
                  <w:r>
                    <w:rPr>
                      <w:rFonts w:hint="eastAsia" w:cs="Times New Roman"/>
                      <w:color w:val="auto"/>
                      <w:spacing w:val="-11"/>
                      <w:sz w:val="21"/>
                      <w:szCs w:val="21"/>
                      <w:lang w:val="en-US" w:eastAsia="zh-CN"/>
                    </w:rPr>
                    <w:t>0.017</w:t>
                  </w:r>
                </w:p>
              </w:tc>
              <w:tc>
                <w:tcPr>
                  <w:tcW w:w="310" w:type="pct"/>
                  <w:vMerge w:val="continue"/>
                  <w:tcBorders>
                    <w:tl2br w:val="nil"/>
                    <w:tr2bl w:val="nil"/>
                  </w:tcBorders>
                  <w:noWrap/>
                  <w:tcMar>
                    <w:top w:w="15" w:type="dxa"/>
                    <w:left w:w="15" w:type="dxa"/>
                    <w:right w:w="15" w:type="dxa"/>
                  </w:tcMar>
                  <w:vAlign w:val="center"/>
                </w:tcPr>
                <w:p w14:paraId="11C79F34">
                  <w:pPr>
                    <w:keepNext w:val="0"/>
                    <w:keepLines w:val="0"/>
                    <w:pageBreakBefore w:val="0"/>
                    <w:widowControl/>
                    <w:kinsoku/>
                    <w:wordWrap/>
                    <w:overflowPunct/>
                    <w:topLinePunct w:val="0"/>
                    <w:autoSpaceDE/>
                    <w:autoSpaceDN/>
                    <w:bidi w:val="0"/>
                    <w:adjustRightInd w:val="0"/>
                    <w:snapToGrid w:val="0"/>
                    <w:jc w:val="center"/>
                    <w:rPr>
                      <w:rFonts w:hint="eastAsia" w:cs="Times New Roman"/>
                      <w:i w:val="0"/>
                      <w:color w:val="auto"/>
                      <w:sz w:val="21"/>
                      <w:szCs w:val="21"/>
                      <w:u w:val="none"/>
                      <w:lang w:val="en-US" w:eastAsia="zh-CN"/>
                    </w:rPr>
                  </w:pPr>
                </w:p>
              </w:tc>
              <w:tc>
                <w:tcPr>
                  <w:tcW w:w="464" w:type="pct"/>
                  <w:gridSpan w:val="2"/>
                  <w:tcBorders>
                    <w:bottom w:val="single" w:color="auto" w:sz="4" w:space="0"/>
                    <w:tl2br w:val="nil"/>
                    <w:tr2bl w:val="nil"/>
                  </w:tcBorders>
                  <w:noWrap/>
                  <w:tcMar>
                    <w:top w:w="15" w:type="dxa"/>
                    <w:left w:w="15" w:type="dxa"/>
                    <w:right w:w="15" w:type="dxa"/>
                  </w:tcMar>
                  <w:vAlign w:val="center"/>
                </w:tcPr>
                <w:p w14:paraId="1EC041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s="Times New Roman"/>
                      <w:i w:val="0"/>
                      <w:color w:val="auto"/>
                      <w:sz w:val="21"/>
                      <w:szCs w:val="21"/>
                      <w:u w:val="none"/>
                      <w:lang w:val="en-US" w:eastAsia="zh-CN"/>
                    </w:rPr>
                  </w:pPr>
                  <w:r>
                    <w:rPr>
                      <w:rFonts w:hint="eastAsia" w:cs="Times New Roman"/>
                      <w:i w:val="0"/>
                      <w:color w:val="auto"/>
                      <w:sz w:val="21"/>
                      <w:szCs w:val="21"/>
                      <w:u w:val="none"/>
                      <w:lang w:val="en-US" w:eastAsia="zh-CN"/>
                    </w:rPr>
                    <w:t>416.75</w:t>
                  </w:r>
                </w:p>
              </w:tc>
            </w:tr>
            <w:tr w14:paraId="01FFBD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38" w:type="pct"/>
                  <w:gridSpan w:val="2"/>
                  <w:tcBorders>
                    <w:tl2br w:val="nil"/>
                    <w:tr2bl w:val="nil"/>
                  </w:tcBorders>
                  <w:noWrap w:val="0"/>
                  <w:tcMar>
                    <w:top w:w="15" w:type="dxa"/>
                    <w:left w:w="15" w:type="dxa"/>
                    <w:right w:w="15" w:type="dxa"/>
                  </w:tcMar>
                  <w:vAlign w:val="center"/>
                </w:tcPr>
                <w:p w14:paraId="3CC4C3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b/>
                      <w:bCs/>
                      <w:color w:val="auto"/>
                      <w:kern w:val="0"/>
                      <w:highlight w:val="none"/>
                      <w:lang w:eastAsia="zh-CN" w:bidi="ar"/>
                    </w:rPr>
                  </w:pPr>
                  <w:r>
                    <w:rPr>
                      <w:rFonts w:hint="eastAsia" w:cs="Times New Roman"/>
                      <w:b/>
                      <w:bCs/>
                      <w:color w:val="auto"/>
                      <w:kern w:val="0"/>
                      <w:highlight w:val="none"/>
                      <w:lang w:eastAsia="zh-CN" w:bidi="ar"/>
                    </w:rPr>
                    <w:t>搅拌</w:t>
                  </w:r>
                </w:p>
                <w:p w14:paraId="7D5E14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i w:val="0"/>
                      <w:color w:val="auto"/>
                      <w:sz w:val="21"/>
                      <w:szCs w:val="21"/>
                      <w:u w:val="none"/>
                      <w:lang w:val="en-US" w:eastAsia="zh-CN"/>
                    </w:rPr>
                  </w:pPr>
                  <w:r>
                    <w:rPr>
                      <w:rFonts w:hint="eastAsia" w:cs="Times New Roman"/>
                      <w:b/>
                      <w:bCs/>
                      <w:color w:val="auto"/>
                      <w:kern w:val="0"/>
                      <w:highlight w:val="none"/>
                      <w:lang w:eastAsia="zh-CN" w:bidi="ar"/>
                    </w:rPr>
                    <w:t>粉尘</w:t>
                  </w:r>
                </w:p>
              </w:tc>
              <w:tc>
                <w:tcPr>
                  <w:tcW w:w="231" w:type="pct"/>
                  <w:vMerge w:val="continue"/>
                  <w:tcBorders>
                    <w:tl2br w:val="nil"/>
                    <w:tr2bl w:val="nil"/>
                  </w:tcBorders>
                  <w:noWrap/>
                  <w:tcMar>
                    <w:top w:w="15" w:type="dxa"/>
                    <w:left w:w="15" w:type="dxa"/>
                    <w:right w:w="15" w:type="dxa"/>
                  </w:tcMar>
                  <w:vAlign w:val="center"/>
                </w:tcPr>
                <w:p w14:paraId="6A6240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lang w:val="en-US" w:eastAsia="zh-CN"/>
                    </w:rPr>
                  </w:pPr>
                </w:p>
              </w:tc>
              <w:tc>
                <w:tcPr>
                  <w:tcW w:w="326" w:type="pct"/>
                  <w:vMerge w:val="continue"/>
                  <w:tcBorders>
                    <w:tl2br w:val="nil"/>
                    <w:tr2bl w:val="nil"/>
                  </w:tcBorders>
                  <w:noWrap w:val="0"/>
                  <w:tcMar>
                    <w:top w:w="15" w:type="dxa"/>
                    <w:left w:w="15" w:type="dxa"/>
                    <w:right w:w="15" w:type="dxa"/>
                  </w:tcMar>
                  <w:vAlign w:val="center"/>
                </w:tcPr>
                <w:p w14:paraId="53D55F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s="Times New Roman"/>
                      <w:i w:val="0"/>
                      <w:color w:val="auto"/>
                      <w:sz w:val="21"/>
                      <w:szCs w:val="21"/>
                      <w:u w:val="none"/>
                      <w:lang w:val="en-US" w:eastAsia="zh-CN"/>
                    </w:rPr>
                  </w:pPr>
                </w:p>
              </w:tc>
              <w:tc>
                <w:tcPr>
                  <w:tcW w:w="453" w:type="pct"/>
                  <w:tcBorders>
                    <w:tl2br w:val="nil"/>
                    <w:tr2bl w:val="nil"/>
                  </w:tcBorders>
                  <w:noWrap/>
                  <w:tcMar>
                    <w:top w:w="15" w:type="dxa"/>
                    <w:left w:w="15" w:type="dxa"/>
                    <w:right w:w="15" w:type="dxa"/>
                  </w:tcMar>
                  <w:vAlign w:val="center"/>
                </w:tcPr>
                <w:p w14:paraId="54A4A50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cs="Times New Roman"/>
                      <w:color w:val="auto"/>
                      <w:highlight w:val="none"/>
                      <w:lang w:val="en-US" w:eastAsia="zh-CN"/>
                    </w:rPr>
                  </w:pPr>
                  <w:r>
                    <w:rPr>
                      <w:rFonts w:hint="eastAsia" w:cs="Times New Roman"/>
                      <w:color w:val="auto"/>
                      <w:highlight w:val="none"/>
                      <w:lang w:val="en-US" w:eastAsia="zh-CN"/>
                    </w:rPr>
                    <w:t>62.66</w:t>
                  </w:r>
                </w:p>
              </w:tc>
              <w:tc>
                <w:tcPr>
                  <w:tcW w:w="1058" w:type="pct"/>
                  <w:tcBorders>
                    <w:tl2br w:val="nil"/>
                    <w:tr2bl w:val="nil"/>
                  </w:tcBorders>
                  <w:noWrap w:val="0"/>
                  <w:tcMar>
                    <w:top w:w="15" w:type="dxa"/>
                    <w:left w:w="15" w:type="dxa"/>
                    <w:right w:w="15" w:type="dxa"/>
                  </w:tcMar>
                  <w:vAlign w:val="center"/>
                </w:tcPr>
                <w:p w14:paraId="3AA8DA0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b w:val="0"/>
                      <w:bCs w:val="0"/>
                      <w:color w:val="auto"/>
                      <w:sz w:val="21"/>
                      <w:szCs w:val="21"/>
                      <w:lang w:eastAsia="zh-CN"/>
                    </w:rPr>
                    <w:t>全封闭式拌合楼内进行，搅拌过程大量加入新鲜水</w:t>
                  </w:r>
                </w:p>
              </w:tc>
              <w:tc>
                <w:tcPr>
                  <w:tcW w:w="355" w:type="pct"/>
                  <w:tcBorders>
                    <w:tl2br w:val="nil"/>
                    <w:tr2bl w:val="nil"/>
                  </w:tcBorders>
                  <w:noWrap/>
                  <w:tcMar>
                    <w:top w:w="15" w:type="dxa"/>
                    <w:left w:w="15" w:type="dxa"/>
                    <w:right w:w="15" w:type="dxa"/>
                  </w:tcMar>
                  <w:vAlign w:val="center"/>
                </w:tcPr>
                <w:p w14:paraId="48A9DC53">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cs="Times New Roman"/>
                      <w:i w:val="0"/>
                      <w:color w:val="auto"/>
                      <w:sz w:val="21"/>
                      <w:szCs w:val="21"/>
                      <w:u w:val="none"/>
                      <w:lang w:val="en-US" w:eastAsia="zh-CN"/>
                    </w:rPr>
                  </w:pPr>
                  <w:r>
                    <w:rPr>
                      <w:rFonts w:hint="eastAsia" w:cs="Times New Roman"/>
                      <w:color w:val="auto"/>
                      <w:highlight w:val="none"/>
                      <w:lang w:val="en-US" w:eastAsia="zh-CN"/>
                    </w:rPr>
                    <w:t>99.0</w:t>
                  </w:r>
                </w:p>
              </w:tc>
              <w:tc>
                <w:tcPr>
                  <w:tcW w:w="507" w:type="pct"/>
                  <w:tcBorders>
                    <w:tl2br w:val="nil"/>
                    <w:tr2bl w:val="nil"/>
                  </w:tcBorders>
                  <w:noWrap/>
                  <w:tcMar>
                    <w:top w:w="15" w:type="dxa"/>
                    <w:left w:w="15" w:type="dxa"/>
                    <w:right w:w="15" w:type="dxa"/>
                  </w:tcMar>
                  <w:vAlign w:val="center"/>
                </w:tcPr>
                <w:p w14:paraId="0F9FFE3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cs="Times New Roman"/>
                      <w:color w:val="auto"/>
                      <w:highlight w:val="none"/>
                      <w:lang w:val="en-US" w:eastAsia="zh-CN"/>
                    </w:rPr>
                  </w:pPr>
                  <w:r>
                    <w:rPr>
                      <w:rFonts w:hint="eastAsia" w:cs="Times New Roman"/>
                      <w:i w:val="0"/>
                      <w:color w:val="auto"/>
                      <w:kern w:val="2"/>
                      <w:sz w:val="21"/>
                      <w:szCs w:val="21"/>
                      <w:u w:val="none"/>
                      <w:lang w:val="en-US" w:eastAsia="zh-CN" w:bidi="ar-SA"/>
                    </w:rPr>
                    <w:t>可行</w:t>
                  </w:r>
                </w:p>
              </w:tc>
              <w:tc>
                <w:tcPr>
                  <w:tcW w:w="481" w:type="pct"/>
                  <w:tcBorders>
                    <w:tl2br w:val="nil"/>
                    <w:tr2bl w:val="nil"/>
                  </w:tcBorders>
                  <w:noWrap/>
                  <w:tcMar>
                    <w:top w:w="15" w:type="dxa"/>
                    <w:left w:w="15" w:type="dxa"/>
                    <w:right w:w="15" w:type="dxa"/>
                  </w:tcMar>
                  <w:vAlign w:val="center"/>
                </w:tcPr>
                <w:p w14:paraId="17B542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highlight w:val="none"/>
                      <w:lang w:val="en-US" w:eastAsia="zh-CN"/>
                    </w:rPr>
                  </w:pPr>
                  <w:r>
                    <w:rPr>
                      <w:rFonts w:hint="default" w:ascii="Times New Roman" w:hAnsi="Times New Roman" w:eastAsia="宋体" w:cs="Times New Roman"/>
                      <w:b w:val="0"/>
                      <w:bCs w:val="0"/>
                      <w:color w:val="auto"/>
                      <w:sz w:val="21"/>
                      <w:szCs w:val="21"/>
                      <w:vertAlign w:val="baseline"/>
                      <w:lang w:val="en-US" w:eastAsia="zh-CN"/>
                    </w:rPr>
                    <w:t>0.627</w:t>
                  </w:r>
                </w:p>
              </w:tc>
              <w:tc>
                <w:tcPr>
                  <w:tcW w:w="372" w:type="pct"/>
                  <w:tcBorders>
                    <w:tl2br w:val="nil"/>
                    <w:tr2bl w:val="nil"/>
                  </w:tcBorders>
                  <w:noWrap/>
                  <w:tcMar>
                    <w:top w:w="15" w:type="dxa"/>
                    <w:left w:w="15" w:type="dxa"/>
                    <w:right w:w="15" w:type="dxa"/>
                  </w:tcMar>
                  <w:vAlign w:val="center"/>
                </w:tcPr>
                <w:p w14:paraId="543A3B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highlight w:val="none"/>
                      <w:lang w:val="en-US" w:eastAsia="zh-CN"/>
                    </w:rPr>
                  </w:pPr>
                  <w:r>
                    <w:rPr>
                      <w:rFonts w:hint="default" w:ascii="Times New Roman" w:hAnsi="Times New Roman" w:eastAsia="宋体" w:cs="Times New Roman"/>
                      <w:b w:val="0"/>
                      <w:bCs w:val="0"/>
                      <w:color w:val="auto"/>
                      <w:sz w:val="21"/>
                      <w:szCs w:val="21"/>
                      <w:vertAlign w:val="baseline"/>
                      <w:lang w:val="en-US" w:eastAsia="zh-CN"/>
                    </w:rPr>
                    <w:t>0.326</w:t>
                  </w:r>
                </w:p>
              </w:tc>
              <w:tc>
                <w:tcPr>
                  <w:tcW w:w="310" w:type="pct"/>
                  <w:vMerge w:val="continue"/>
                  <w:tcBorders>
                    <w:tl2br w:val="nil"/>
                    <w:tr2bl w:val="nil"/>
                  </w:tcBorders>
                  <w:noWrap/>
                  <w:tcMar>
                    <w:top w:w="15" w:type="dxa"/>
                    <w:left w:w="15" w:type="dxa"/>
                    <w:right w:w="15" w:type="dxa"/>
                  </w:tcMar>
                  <w:vAlign w:val="center"/>
                </w:tcPr>
                <w:p w14:paraId="2FCE414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i w:val="0"/>
                      <w:color w:val="auto"/>
                      <w:sz w:val="21"/>
                      <w:szCs w:val="21"/>
                      <w:u w:val="none"/>
                      <w:lang w:val="en-US" w:eastAsia="zh-CN"/>
                    </w:rPr>
                  </w:pPr>
                </w:p>
              </w:tc>
              <w:tc>
                <w:tcPr>
                  <w:tcW w:w="464" w:type="pct"/>
                  <w:gridSpan w:val="2"/>
                  <w:tcBorders>
                    <w:top w:val="single" w:color="auto" w:sz="4" w:space="0"/>
                    <w:bottom w:val="single" w:color="auto" w:sz="4" w:space="0"/>
                    <w:tl2br w:val="nil"/>
                    <w:tr2bl w:val="nil"/>
                  </w:tcBorders>
                  <w:noWrap/>
                  <w:tcMar>
                    <w:top w:w="15" w:type="dxa"/>
                    <w:left w:w="15" w:type="dxa"/>
                    <w:right w:w="15" w:type="dxa"/>
                  </w:tcMar>
                  <w:vAlign w:val="center"/>
                </w:tcPr>
                <w:p w14:paraId="7444D92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1920</w:t>
                  </w:r>
                </w:p>
              </w:tc>
            </w:tr>
            <w:tr w14:paraId="19244F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38" w:type="pct"/>
                  <w:gridSpan w:val="2"/>
                  <w:tcBorders>
                    <w:tl2br w:val="nil"/>
                    <w:tr2bl w:val="nil"/>
                  </w:tcBorders>
                  <w:noWrap w:val="0"/>
                  <w:tcMar>
                    <w:top w:w="15" w:type="dxa"/>
                    <w:left w:w="15" w:type="dxa"/>
                    <w:right w:w="15" w:type="dxa"/>
                  </w:tcMar>
                  <w:vAlign w:val="center"/>
                </w:tcPr>
                <w:p w14:paraId="4D86E7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i w:val="0"/>
                      <w:color w:val="auto"/>
                      <w:sz w:val="21"/>
                      <w:szCs w:val="21"/>
                      <w:u w:val="none"/>
                      <w:lang w:val="en-US" w:eastAsia="zh-CN"/>
                    </w:rPr>
                  </w:pPr>
                  <w:r>
                    <w:rPr>
                      <w:rFonts w:hint="eastAsia" w:cs="Times New Roman"/>
                      <w:b/>
                      <w:bCs/>
                      <w:color w:val="auto"/>
                      <w:highlight w:val="none"/>
                      <w:lang w:val="en-US" w:eastAsia="zh-CN"/>
                    </w:rPr>
                    <w:t>堆料棚</w:t>
                  </w:r>
                </w:p>
              </w:tc>
              <w:tc>
                <w:tcPr>
                  <w:tcW w:w="231" w:type="pct"/>
                  <w:vMerge w:val="continue"/>
                  <w:tcBorders>
                    <w:tl2br w:val="nil"/>
                    <w:tr2bl w:val="nil"/>
                  </w:tcBorders>
                  <w:noWrap/>
                  <w:tcMar>
                    <w:top w:w="15" w:type="dxa"/>
                    <w:left w:w="15" w:type="dxa"/>
                    <w:right w:w="15" w:type="dxa"/>
                  </w:tcMar>
                  <w:vAlign w:val="center"/>
                </w:tcPr>
                <w:p w14:paraId="627637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lang w:val="en-US" w:eastAsia="zh-CN"/>
                    </w:rPr>
                  </w:pPr>
                </w:p>
              </w:tc>
              <w:tc>
                <w:tcPr>
                  <w:tcW w:w="326" w:type="pct"/>
                  <w:vMerge w:val="continue"/>
                  <w:tcBorders>
                    <w:tl2br w:val="nil"/>
                    <w:tr2bl w:val="nil"/>
                  </w:tcBorders>
                  <w:noWrap w:val="0"/>
                  <w:tcMar>
                    <w:top w:w="15" w:type="dxa"/>
                    <w:left w:w="15" w:type="dxa"/>
                    <w:right w:w="15" w:type="dxa"/>
                  </w:tcMar>
                  <w:vAlign w:val="center"/>
                </w:tcPr>
                <w:p w14:paraId="0B6454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s="Times New Roman"/>
                      <w:i w:val="0"/>
                      <w:color w:val="auto"/>
                      <w:sz w:val="21"/>
                      <w:szCs w:val="21"/>
                      <w:u w:val="none"/>
                      <w:lang w:val="en-US" w:eastAsia="zh-CN"/>
                    </w:rPr>
                  </w:pPr>
                </w:p>
              </w:tc>
              <w:tc>
                <w:tcPr>
                  <w:tcW w:w="453" w:type="pct"/>
                  <w:tcBorders>
                    <w:tl2br w:val="nil"/>
                    <w:tr2bl w:val="nil"/>
                  </w:tcBorders>
                  <w:noWrap/>
                  <w:tcMar>
                    <w:top w:w="15" w:type="dxa"/>
                    <w:left w:w="15" w:type="dxa"/>
                    <w:right w:w="15" w:type="dxa"/>
                  </w:tcMar>
                  <w:vAlign w:val="center"/>
                </w:tcPr>
                <w:p w14:paraId="6C6B4E58">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cs="Times New Roman"/>
                      <w:color w:val="auto"/>
                      <w:highlight w:val="none"/>
                      <w:lang w:val="en-US" w:eastAsia="zh-CN"/>
                    </w:rPr>
                  </w:pPr>
                  <w:r>
                    <w:rPr>
                      <w:rFonts w:hint="eastAsia" w:cs="Times New Roman"/>
                      <w:color w:val="auto"/>
                      <w:highlight w:val="none"/>
                      <w:lang w:val="en-US" w:eastAsia="zh-CN"/>
                    </w:rPr>
                    <w:t>7.2</w:t>
                  </w:r>
                </w:p>
              </w:tc>
              <w:tc>
                <w:tcPr>
                  <w:tcW w:w="1058" w:type="pct"/>
                  <w:tcBorders>
                    <w:tl2br w:val="nil"/>
                    <w:tr2bl w:val="nil"/>
                  </w:tcBorders>
                  <w:noWrap w:val="0"/>
                  <w:tcMar>
                    <w:top w:w="15" w:type="dxa"/>
                    <w:left w:w="15" w:type="dxa"/>
                    <w:right w:w="15" w:type="dxa"/>
                  </w:tcMar>
                  <w:vAlign w:val="center"/>
                </w:tcPr>
                <w:p w14:paraId="1293161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b w:val="0"/>
                      <w:bCs w:val="0"/>
                      <w:color w:val="auto"/>
                      <w:kern w:val="2"/>
                      <w:sz w:val="21"/>
                      <w:szCs w:val="21"/>
                      <w:lang w:val="en-US" w:eastAsia="zh-CN" w:bidi="ar-SA"/>
                    </w:rPr>
                    <w:t>篷布遮盖、地表硬化、定期喷水措施</w:t>
                  </w:r>
                </w:p>
              </w:tc>
              <w:tc>
                <w:tcPr>
                  <w:tcW w:w="355" w:type="pct"/>
                  <w:tcBorders>
                    <w:tl2br w:val="nil"/>
                    <w:tr2bl w:val="nil"/>
                  </w:tcBorders>
                  <w:noWrap/>
                  <w:tcMar>
                    <w:top w:w="15" w:type="dxa"/>
                    <w:left w:w="15" w:type="dxa"/>
                    <w:right w:w="15" w:type="dxa"/>
                  </w:tcMar>
                  <w:vAlign w:val="center"/>
                </w:tcPr>
                <w:p w14:paraId="2FC573A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cs="Times New Roman"/>
                      <w:i w:val="0"/>
                      <w:color w:val="auto"/>
                      <w:sz w:val="21"/>
                      <w:szCs w:val="21"/>
                      <w:u w:val="none"/>
                      <w:lang w:val="en-US" w:eastAsia="zh-CN"/>
                    </w:rPr>
                  </w:pPr>
                  <w:r>
                    <w:rPr>
                      <w:rFonts w:hint="eastAsia" w:cs="Times New Roman"/>
                      <w:color w:val="auto"/>
                      <w:highlight w:val="none"/>
                      <w:lang w:val="en-US" w:eastAsia="zh-CN"/>
                    </w:rPr>
                    <w:t>85.0</w:t>
                  </w:r>
                </w:p>
              </w:tc>
              <w:tc>
                <w:tcPr>
                  <w:tcW w:w="507" w:type="pct"/>
                  <w:tcBorders>
                    <w:tl2br w:val="nil"/>
                    <w:tr2bl w:val="nil"/>
                  </w:tcBorders>
                  <w:noWrap/>
                  <w:tcMar>
                    <w:top w:w="15" w:type="dxa"/>
                    <w:left w:w="15" w:type="dxa"/>
                    <w:right w:w="15" w:type="dxa"/>
                  </w:tcMar>
                  <w:vAlign w:val="center"/>
                </w:tcPr>
                <w:p w14:paraId="3A3F0AF3">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cs="Times New Roman"/>
                      <w:color w:val="auto"/>
                      <w:highlight w:val="none"/>
                      <w:lang w:val="en-US" w:eastAsia="zh-CN"/>
                    </w:rPr>
                  </w:pPr>
                  <w:r>
                    <w:rPr>
                      <w:rFonts w:hint="eastAsia" w:cs="Times New Roman"/>
                      <w:i w:val="0"/>
                      <w:color w:val="auto"/>
                      <w:kern w:val="2"/>
                      <w:sz w:val="21"/>
                      <w:szCs w:val="21"/>
                      <w:u w:val="none"/>
                      <w:lang w:val="en-US" w:eastAsia="zh-CN" w:bidi="ar-SA"/>
                    </w:rPr>
                    <w:t>可行</w:t>
                  </w:r>
                </w:p>
              </w:tc>
              <w:tc>
                <w:tcPr>
                  <w:tcW w:w="481" w:type="pct"/>
                  <w:tcBorders>
                    <w:tl2br w:val="nil"/>
                    <w:tr2bl w:val="nil"/>
                  </w:tcBorders>
                  <w:noWrap/>
                  <w:tcMar>
                    <w:top w:w="15" w:type="dxa"/>
                    <w:left w:w="15" w:type="dxa"/>
                    <w:right w:w="15" w:type="dxa"/>
                  </w:tcMar>
                  <w:vAlign w:val="center"/>
                </w:tcPr>
                <w:p w14:paraId="432E66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highlight w:val="none"/>
                      <w:lang w:val="en-US" w:eastAsia="zh-CN"/>
                    </w:rPr>
                  </w:pPr>
                  <w:r>
                    <w:rPr>
                      <w:rFonts w:hint="eastAsia" w:cs="Times New Roman"/>
                      <w:b w:val="0"/>
                      <w:bCs w:val="0"/>
                      <w:color w:val="auto"/>
                      <w:sz w:val="21"/>
                      <w:szCs w:val="21"/>
                      <w:vertAlign w:val="baseline"/>
                      <w:lang w:val="en-US" w:eastAsia="zh-CN"/>
                    </w:rPr>
                    <w:t>1.08</w:t>
                  </w:r>
                </w:p>
              </w:tc>
              <w:tc>
                <w:tcPr>
                  <w:tcW w:w="372" w:type="pct"/>
                  <w:tcBorders>
                    <w:tl2br w:val="nil"/>
                    <w:tr2bl w:val="nil"/>
                  </w:tcBorders>
                  <w:noWrap/>
                  <w:tcMar>
                    <w:top w:w="15" w:type="dxa"/>
                    <w:left w:w="15" w:type="dxa"/>
                    <w:right w:w="15" w:type="dxa"/>
                  </w:tcMar>
                  <w:vAlign w:val="center"/>
                </w:tcPr>
                <w:p w14:paraId="5FB81B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highlight w:val="none"/>
                      <w:lang w:val="en-US" w:eastAsia="zh-CN"/>
                    </w:rPr>
                  </w:pPr>
                  <w:r>
                    <w:rPr>
                      <w:rFonts w:hint="eastAsia" w:cs="Times New Roman"/>
                      <w:b w:val="0"/>
                      <w:bCs w:val="0"/>
                      <w:color w:val="auto"/>
                      <w:sz w:val="21"/>
                      <w:szCs w:val="21"/>
                      <w:vertAlign w:val="baseline"/>
                      <w:lang w:val="en-US" w:eastAsia="zh-CN"/>
                    </w:rPr>
                    <w:t>0.563</w:t>
                  </w:r>
                </w:p>
              </w:tc>
              <w:tc>
                <w:tcPr>
                  <w:tcW w:w="310" w:type="pct"/>
                  <w:vMerge w:val="continue"/>
                  <w:tcBorders>
                    <w:tl2br w:val="nil"/>
                    <w:tr2bl w:val="nil"/>
                  </w:tcBorders>
                  <w:noWrap/>
                  <w:tcMar>
                    <w:top w:w="15" w:type="dxa"/>
                    <w:left w:w="15" w:type="dxa"/>
                    <w:right w:w="15" w:type="dxa"/>
                  </w:tcMar>
                  <w:vAlign w:val="center"/>
                </w:tcPr>
                <w:p w14:paraId="094283D8">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宋体" w:cs="Times New Roman"/>
                      <w:i w:val="0"/>
                      <w:color w:val="auto"/>
                      <w:sz w:val="21"/>
                      <w:szCs w:val="21"/>
                      <w:u w:val="none"/>
                    </w:rPr>
                  </w:pPr>
                </w:p>
              </w:tc>
              <w:tc>
                <w:tcPr>
                  <w:tcW w:w="464" w:type="pct"/>
                  <w:gridSpan w:val="2"/>
                  <w:tcBorders>
                    <w:top w:val="single" w:color="auto" w:sz="4" w:space="0"/>
                    <w:bottom w:val="single" w:color="auto" w:sz="4" w:space="0"/>
                    <w:tl2br w:val="nil"/>
                    <w:tr2bl w:val="nil"/>
                  </w:tcBorders>
                  <w:noWrap/>
                  <w:tcMar>
                    <w:top w:w="15" w:type="dxa"/>
                    <w:left w:w="15" w:type="dxa"/>
                    <w:right w:w="15" w:type="dxa"/>
                  </w:tcMar>
                  <w:vAlign w:val="center"/>
                </w:tcPr>
                <w:p w14:paraId="620B695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1920</w:t>
                  </w:r>
                </w:p>
              </w:tc>
            </w:tr>
            <w:tr w14:paraId="2C7688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69" w:type="pct"/>
                  <w:gridSpan w:val="3"/>
                  <w:tcBorders>
                    <w:tl2br w:val="nil"/>
                    <w:tr2bl w:val="nil"/>
                  </w:tcBorders>
                  <w:noWrap w:val="0"/>
                  <w:tcMar>
                    <w:top w:w="15" w:type="dxa"/>
                    <w:left w:w="15" w:type="dxa"/>
                    <w:right w:w="15" w:type="dxa"/>
                  </w:tcMar>
                  <w:vAlign w:val="center"/>
                </w:tcPr>
                <w:p w14:paraId="4475002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color w:val="auto"/>
                      <w:sz w:val="21"/>
                      <w:szCs w:val="21"/>
                      <w:lang w:val="en-US" w:eastAsia="zh-CN"/>
                    </w:rPr>
                  </w:pPr>
                  <w:r>
                    <w:rPr>
                      <w:rFonts w:hint="eastAsia" w:cs="Times New Roman"/>
                      <w:b/>
                      <w:bCs/>
                      <w:i w:val="0"/>
                      <w:color w:val="auto"/>
                      <w:sz w:val="21"/>
                      <w:szCs w:val="21"/>
                      <w:u w:val="none"/>
                      <w:lang w:val="en-US" w:eastAsia="zh-CN"/>
                    </w:rPr>
                    <w:t>总计</w:t>
                  </w:r>
                </w:p>
              </w:tc>
              <w:tc>
                <w:tcPr>
                  <w:tcW w:w="326" w:type="pct"/>
                  <w:tcBorders>
                    <w:tl2br w:val="nil"/>
                    <w:tr2bl w:val="nil"/>
                  </w:tcBorders>
                  <w:noWrap w:val="0"/>
                  <w:tcMar>
                    <w:top w:w="15" w:type="dxa"/>
                    <w:left w:w="15" w:type="dxa"/>
                    <w:right w:w="15" w:type="dxa"/>
                  </w:tcMar>
                  <w:vAlign w:val="center"/>
                </w:tcPr>
                <w:p w14:paraId="081CCC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s="Times New Roman"/>
                      <w:b/>
                      <w:bCs/>
                      <w:i w:val="0"/>
                      <w:color w:val="auto"/>
                      <w:sz w:val="21"/>
                      <w:szCs w:val="21"/>
                      <w:u w:val="none"/>
                      <w:lang w:val="en-US" w:eastAsia="zh-CN"/>
                    </w:rPr>
                  </w:pPr>
                  <w:r>
                    <w:rPr>
                      <w:rFonts w:hint="eastAsia" w:cs="Times New Roman"/>
                      <w:b/>
                      <w:bCs/>
                      <w:i w:val="0"/>
                      <w:color w:val="auto"/>
                      <w:sz w:val="21"/>
                      <w:szCs w:val="21"/>
                      <w:u w:val="none"/>
                      <w:lang w:val="en-US" w:eastAsia="zh-CN"/>
                    </w:rPr>
                    <w:t>--</w:t>
                  </w:r>
                </w:p>
              </w:tc>
              <w:tc>
                <w:tcPr>
                  <w:tcW w:w="453" w:type="pct"/>
                  <w:tcBorders>
                    <w:tl2br w:val="nil"/>
                    <w:tr2bl w:val="nil"/>
                  </w:tcBorders>
                  <w:noWrap/>
                  <w:tcMar>
                    <w:top w:w="15" w:type="dxa"/>
                    <w:left w:w="15" w:type="dxa"/>
                    <w:right w:w="15" w:type="dxa"/>
                  </w:tcMar>
                  <w:vAlign w:val="center"/>
                </w:tcPr>
                <w:p w14:paraId="1343F5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val="0"/>
                      <w:color w:val="auto"/>
                      <w:kern w:val="2"/>
                      <w:sz w:val="24"/>
                      <w:szCs w:val="24"/>
                      <w:u w:val="none"/>
                      <w:lang w:val="en-US" w:eastAsia="zh-CN" w:bidi="ar-SA"/>
                    </w:rPr>
                  </w:pPr>
                  <w:r>
                    <w:rPr>
                      <w:rFonts w:hint="eastAsia" w:ascii="Times New Roman" w:hAnsi="Times New Roman" w:eastAsia="宋体" w:cs="Times New Roman"/>
                      <w:b/>
                      <w:bCs/>
                      <w:color w:val="auto"/>
                      <w:sz w:val="21"/>
                      <w:szCs w:val="21"/>
                      <w:vertAlign w:val="baseline"/>
                      <w:lang w:val="en-US" w:eastAsia="zh-CN"/>
                    </w:rPr>
                    <w:t>79.46</w:t>
                  </w:r>
                </w:p>
              </w:tc>
              <w:tc>
                <w:tcPr>
                  <w:tcW w:w="1058" w:type="pct"/>
                  <w:tcBorders>
                    <w:tl2br w:val="nil"/>
                    <w:tr2bl w:val="nil"/>
                  </w:tcBorders>
                  <w:noWrap w:val="0"/>
                  <w:tcMar>
                    <w:top w:w="15" w:type="dxa"/>
                    <w:left w:w="15" w:type="dxa"/>
                    <w:right w:w="15" w:type="dxa"/>
                  </w:tcMar>
                  <w:vAlign w:val="center"/>
                </w:tcPr>
                <w:p w14:paraId="7DD9DE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i w:val="0"/>
                      <w:color w:val="auto"/>
                      <w:sz w:val="21"/>
                      <w:szCs w:val="21"/>
                      <w:u w:val="none"/>
                      <w:lang w:val="en-US" w:eastAsia="zh-CN"/>
                    </w:rPr>
                  </w:pPr>
                  <w:r>
                    <w:rPr>
                      <w:rFonts w:hint="eastAsia" w:ascii="Times New Roman" w:hAnsi="Times New Roman" w:eastAsia="宋体" w:cs="Times New Roman"/>
                      <w:b/>
                      <w:bCs/>
                      <w:color w:val="auto"/>
                      <w:sz w:val="21"/>
                      <w:szCs w:val="21"/>
                      <w:vertAlign w:val="baseline"/>
                      <w:lang w:val="en-US" w:eastAsia="zh-CN"/>
                    </w:rPr>
                    <w:t>/</w:t>
                  </w:r>
                </w:p>
              </w:tc>
              <w:tc>
                <w:tcPr>
                  <w:tcW w:w="355" w:type="pct"/>
                  <w:tcBorders>
                    <w:tl2br w:val="nil"/>
                    <w:tr2bl w:val="nil"/>
                  </w:tcBorders>
                  <w:noWrap/>
                  <w:tcMar>
                    <w:top w:w="15" w:type="dxa"/>
                    <w:left w:w="15" w:type="dxa"/>
                    <w:right w:w="15" w:type="dxa"/>
                  </w:tcMar>
                  <w:vAlign w:val="center"/>
                </w:tcPr>
                <w:p w14:paraId="71CF71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i w:val="0"/>
                      <w:color w:val="auto"/>
                      <w:sz w:val="21"/>
                      <w:szCs w:val="21"/>
                      <w:u w:val="none"/>
                      <w:lang w:val="en-US" w:eastAsia="zh-CN"/>
                    </w:rPr>
                  </w:pPr>
                  <w:r>
                    <w:rPr>
                      <w:rFonts w:hint="eastAsia" w:ascii="Times New Roman" w:hAnsi="Times New Roman" w:eastAsia="宋体" w:cs="Times New Roman"/>
                      <w:b/>
                      <w:bCs/>
                      <w:color w:val="auto"/>
                      <w:sz w:val="21"/>
                      <w:szCs w:val="21"/>
                      <w:vertAlign w:val="baseline"/>
                      <w:lang w:val="en-US" w:eastAsia="zh-CN"/>
                    </w:rPr>
                    <w:t>/</w:t>
                  </w:r>
                </w:p>
              </w:tc>
              <w:tc>
                <w:tcPr>
                  <w:tcW w:w="507" w:type="pct"/>
                  <w:tcBorders>
                    <w:tl2br w:val="nil"/>
                    <w:tr2bl w:val="nil"/>
                  </w:tcBorders>
                  <w:noWrap/>
                  <w:tcMar>
                    <w:top w:w="15" w:type="dxa"/>
                    <w:left w:w="15" w:type="dxa"/>
                    <w:right w:w="15" w:type="dxa"/>
                  </w:tcMar>
                  <w:vAlign w:val="center"/>
                </w:tcPr>
                <w:p w14:paraId="37321B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i w:val="0"/>
                      <w:color w:val="auto"/>
                      <w:sz w:val="21"/>
                      <w:szCs w:val="21"/>
                      <w:u w:val="none"/>
                      <w:lang w:val="en-US" w:eastAsia="zh-CN"/>
                    </w:rPr>
                  </w:pPr>
                  <w:r>
                    <w:rPr>
                      <w:rFonts w:hint="eastAsia" w:ascii="Times New Roman" w:hAnsi="Times New Roman" w:eastAsia="宋体" w:cs="Times New Roman"/>
                      <w:b/>
                      <w:bCs/>
                      <w:color w:val="auto"/>
                      <w:sz w:val="21"/>
                      <w:szCs w:val="21"/>
                      <w:vertAlign w:val="baseline"/>
                      <w:lang w:val="en-US" w:eastAsia="zh-CN"/>
                    </w:rPr>
                    <w:t>/</w:t>
                  </w:r>
                </w:p>
              </w:tc>
              <w:tc>
                <w:tcPr>
                  <w:tcW w:w="481" w:type="pct"/>
                  <w:tcBorders>
                    <w:tl2br w:val="nil"/>
                    <w:tr2bl w:val="nil"/>
                  </w:tcBorders>
                  <w:noWrap/>
                  <w:tcMar>
                    <w:top w:w="15" w:type="dxa"/>
                    <w:left w:w="15" w:type="dxa"/>
                    <w:right w:w="15" w:type="dxa"/>
                  </w:tcMar>
                  <w:vAlign w:val="center"/>
                </w:tcPr>
                <w:p w14:paraId="3393DC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color w:val="auto"/>
                      <w:highlight w:val="none"/>
                      <w:lang w:val="en-US" w:eastAsia="zh-CN"/>
                    </w:rPr>
                  </w:pPr>
                  <w:r>
                    <w:rPr>
                      <w:rFonts w:hint="eastAsia" w:cs="Times New Roman"/>
                      <w:b/>
                      <w:bCs/>
                      <w:color w:val="auto"/>
                      <w:highlight w:val="none"/>
                      <w:lang w:val="en-US" w:eastAsia="zh-CN"/>
                    </w:rPr>
                    <w:t>1.735</w:t>
                  </w:r>
                </w:p>
              </w:tc>
              <w:tc>
                <w:tcPr>
                  <w:tcW w:w="372" w:type="pct"/>
                  <w:tcBorders>
                    <w:tl2br w:val="nil"/>
                    <w:tr2bl w:val="nil"/>
                  </w:tcBorders>
                  <w:noWrap/>
                  <w:tcMar>
                    <w:top w:w="15" w:type="dxa"/>
                    <w:left w:w="15" w:type="dxa"/>
                    <w:right w:w="15" w:type="dxa"/>
                  </w:tcMar>
                  <w:vAlign w:val="center"/>
                </w:tcPr>
                <w:p w14:paraId="78CDFC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color w:val="auto"/>
                      <w:highlight w:val="none"/>
                      <w:lang w:val="en-US" w:eastAsia="zh-CN"/>
                    </w:rPr>
                  </w:pPr>
                  <w:r>
                    <w:rPr>
                      <w:rFonts w:hint="eastAsia" w:ascii="Times New Roman" w:hAnsi="Times New Roman" w:eastAsia="宋体" w:cs="Times New Roman"/>
                      <w:b/>
                      <w:bCs/>
                      <w:color w:val="auto"/>
                      <w:sz w:val="21"/>
                      <w:szCs w:val="21"/>
                      <w:vertAlign w:val="baseline"/>
                      <w:lang w:val="en-US" w:eastAsia="zh-CN"/>
                    </w:rPr>
                    <w:t>/</w:t>
                  </w:r>
                </w:p>
              </w:tc>
              <w:tc>
                <w:tcPr>
                  <w:tcW w:w="310" w:type="pct"/>
                  <w:vMerge w:val="continue"/>
                  <w:tcBorders>
                    <w:tl2br w:val="nil"/>
                    <w:tr2bl w:val="nil"/>
                  </w:tcBorders>
                  <w:noWrap/>
                  <w:tcMar>
                    <w:top w:w="15" w:type="dxa"/>
                    <w:left w:w="15" w:type="dxa"/>
                    <w:right w:w="15" w:type="dxa"/>
                  </w:tcMar>
                  <w:vAlign w:val="center"/>
                </w:tcPr>
                <w:p w14:paraId="7D241FC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i w:val="0"/>
                      <w:color w:val="auto"/>
                      <w:sz w:val="21"/>
                      <w:szCs w:val="21"/>
                      <w:u w:val="none"/>
                      <w:lang w:val="en-US" w:eastAsia="zh-CN"/>
                    </w:rPr>
                  </w:pPr>
                </w:p>
              </w:tc>
              <w:tc>
                <w:tcPr>
                  <w:tcW w:w="464" w:type="pct"/>
                  <w:gridSpan w:val="2"/>
                  <w:tcBorders>
                    <w:tl2br w:val="nil"/>
                    <w:tr2bl w:val="nil"/>
                  </w:tcBorders>
                  <w:noWrap/>
                  <w:tcMar>
                    <w:top w:w="15" w:type="dxa"/>
                    <w:left w:w="15" w:type="dxa"/>
                    <w:right w:w="15" w:type="dxa"/>
                  </w:tcMar>
                  <w:vAlign w:val="center"/>
                </w:tcPr>
                <w:p w14:paraId="5752335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i w:val="0"/>
                      <w:color w:val="auto"/>
                      <w:sz w:val="21"/>
                      <w:szCs w:val="21"/>
                      <w:u w:val="none"/>
                      <w:lang w:val="en-US" w:eastAsia="zh-CN"/>
                    </w:rPr>
                  </w:pPr>
                  <w:r>
                    <w:rPr>
                      <w:rFonts w:hint="eastAsia" w:cs="Times New Roman"/>
                      <w:b/>
                      <w:bCs/>
                      <w:i w:val="0"/>
                      <w:color w:val="auto"/>
                      <w:sz w:val="21"/>
                      <w:szCs w:val="21"/>
                      <w:u w:val="none"/>
                      <w:lang w:val="en-US" w:eastAsia="zh-CN"/>
                    </w:rPr>
                    <w:t>/</w:t>
                  </w:r>
                </w:p>
              </w:tc>
            </w:tr>
            <w:tr w14:paraId="254C05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66" w:type="pct"/>
                  <w:tcBorders>
                    <w:tl2br w:val="nil"/>
                    <w:tr2bl w:val="nil"/>
                  </w:tcBorders>
                  <w:noWrap w:val="0"/>
                  <w:tcMar>
                    <w:top w:w="15" w:type="dxa"/>
                    <w:left w:w="15" w:type="dxa"/>
                    <w:right w:w="15" w:type="dxa"/>
                  </w:tcMar>
                  <w:vAlign w:val="center"/>
                </w:tcPr>
                <w:p w14:paraId="0C3182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bCs/>
                      <w:i w:val="0"/>
                      <w:color w:val="auto"/>
                      <w:sz w:val="21"/>
                      <w:szCs w:val="21"/>
                      <w:u w:val="none"/>
                      <w:lang w:val="en-US" w:eastAsia="zh-CN"/>
                    </w:rPr>
                  </w:pPr>
                  <w:r>
                    <w:rPr>
                      <w:rFonts w:hint="eastAsia" w:ascii="Times New Roman" w:hAnsi="Times New Roman" w:eastAsia="宋体" w:cs="Times New Roman"/>
                      <w:b w:val="0"/>
                      <w:bCs w:val="0"/>
                      <w:color w:val="auto"/>
                      <w:sz w:val="21"/>
                      <w:szCs w:val="21"/>
                      <w:vertAlign w:val="baseline"/>
                      <w:lang w:val="en-US" w:eastAsia="zh-CN"/>
                    </w:rPr>
                    <w:t>食堂废气</w:t>
                  </w:r>
                </w:p>
              </w:tc>
              <w:tc>
                <w:tcPr>
                  <w:tcW w:w="303" w:type="pct"/>
                  <w:gridSpan w:val="2"/>
                  <w:tcBorders>
                    <w:tl2br w:val="nil"/>
                    <w:tr2bl w:val="nil"/>
                  </w:tcBorders>
                  <w:noWrap w:val="0"/>
                  <w:tcMar>
                    <w:top w:w="15" w:type="dxa"/>
                    <w:left w:w="15" w:type="dxa"/>
                    <w:right w:w="15" w:type="dxa"/>
                  </w:tcMar>
                  <w:vAlign w:val="center"/>
                </w:tcPr>
                <w:p w14:paraId="1C98D1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油烟</w:t>
                  </w:r>
                </w:p>
              </w:tc>
              <w:tc>
                <w:tcPr>
                  <w:tcW w:w="326" w:type="pct"/>
                  <w:tcBorders>
                    <w:tl2br w:val="nil"/>
                    <w:tr2bl w:val="nil"/>
                  </w:tcBorders>
                  <w:noWrap w:val="0"/>
                  <w:tcMar>
                    <w:top w:w="15" w:type="dxa"/>
                    <w:left w:w="15" w:type="dxa"/>
                    <w:right w:w="15" w:type="dxa"/>
                  </w:tcMar>
                  <w:vAlign w:val="center"/>
                </w:tcPr>
                <w:p w14:paraId="642AE2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系数</w:t>
                  </w:r>
                </w:p>
              </w:tc>
              <w:tc>
                <w:tcPr>
                  <w:tcW w:w="453" w:type="pct"/>
                  <w:tcBorders>
                    <w:tl2br w:val="nil"/>
                    <w:tr2bl w:val="nil"/>
                  </w:tcBorders>
                  <w:noWrap/>
                  <w:tcMar>
                    <w:top w:w="15" w:type="dxa"/>
                    <w:left w:w="15" w:type="dxa"/>
                    <w:right w:w="15" w:type="dxa"/>
                  </w:tcMar>
                  <w:vAlign w:val="center"/>
                </w:tcPr>
                <w:p w14:paraId="0A58F0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0.0072</w:t>
                  </w:r>
                </w:p>
              </w:tc>
              <w:tc>
                <w:tcPr>
                  <w:tcW w:w="1058" w:type="pct"/>
                  <w:tcBorders>
                    <w:tl2br w:val="nil"/>
                    <w:tr2bl w:val="nil"/>
                  </w:tcBorders>
                  <w:noWrap w:val="0"/>
                  <w:tcMar>
                    <w:top w:w="15" w:type="dxa"/>
                    <w:left w:w="15" w:type="dxa"/>
                    <w:right w:w="15" w:type="dxa"/>
                  </w:tcMar>
                  <w:vAlign w:val="center"/>
                </w:tcPr>
                <w:p w14:paraId="33189D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油烟净化器</w:t>
                  </w:r>
                </w:p>
              </w:tc>
              <w:tc>
                <w:tcPr>
                  <w:tcW w:w="355" w:type="pct"/>
                  <w:tcBorders>
                    <w:tl2br w:val="nil"/>
                    <w:tr2bl w:val="nil"/>
                  </w:tcBorders>
                  <w:noWrap/>
                  <w:tcMar>
                    <w:top w:w="15" w:type="dxa"/>
                    <w:left w:w="15" w:type="dxa"/>
                    <w:right w:w="15" w:type="dxa"/>
                  </w:tcMar>
                  <w:vAlign w:val="center"/>
                </w:tcPr>
                <w:p w14:paraId="52CF46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60.0</w:t>
                  </w:r>
                </w:p>
              </w:tc>
              <w:tc>
                <w:tcPr>
                  <w:tcW w:w="507" w:type="pct"/>
                  <w:tcBorders>
                    <w:tl2br w:val="nil"/>
                    <w:tr2bl w:val="nil"/>
                  </w:tcBorders>
                  <w:noWrap/>
                  <w:tcMar>
                    <w:top w:w="15" w:type="dxa"/>
                    <w:left w:w="15" w:type="dxa"/>
                    <w:right w:w="15" w:type="dxa"/>
                  </w:tcMar>
                  <w:vAlign w:val="center"/>
                </w:tcPr>
                <w:p w14:paraId="509FA0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可行</w:t>
                  </w:r>
                </w:p>
              </w:tc>
              <w:tc>
                <w:tcPr>
                  <w:tcW w:w="481" w:type="pct"/>
                  <w:tcBorders>
                    <w:tl2br w:val="nil"/>
                    <w:tr2bl w:val="nil"/>
                  </w:tcBorders>
                  <w:noWrap/>
                  <w:tcMar>
                    <w:top w:w="15" w:type="dxa"/>
                    <w:left w:w="15" w:type="dxa"/>
                    <w:right w:w="15" w:type="dxa"/>
                  </w:tcMar>
                  <w:vAlign w:val="center"/>
                </w:tcPr>
                <w:p w14:paraId="7523A3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0.003</w:t>
                  </w:r>
                </w:p>
              </w:tc>
              <w:tc>
                <w:tcPr>
                  <w:tcW w:w="372" w:type="pct"/>
                  <w:tcBorders>
                    <w:tl2br w:val="nil"/>
                    <w:tr2bl w:val="nil"/>
                  </w:tcBorders>
                  <w:noWrap/>
                  <w:tcMar>
                    <w:top w:w="15" w:type="dxa"/>
                    <w:left w:w="15" w:type="dxa"/>
                    <w:right w:w="15" w:type="dxa"/>
                  </w:tcMar>
                  <w:vAlign w:val="center"/>
                </w:tcPr>
                <w:p w14:paraId="46ECAD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0.003</w:t>
                  </w:r>
                </w:p>
              </w:tc>
              <w:tc>
                <w:tcPr>
                  <w:tcW w:w="310" w:type="pct"/>
                  <w:tcBorders>
                    <w:tl2br w:val="nil"/>
                    <w:tr2bl w:val="nil"/>
                  </w:tcBorders>
                  <w:noWrap/>
                  <w:tcMar>
                    <w:top w:w="15" w:type="dxa"/>
                    <w:left w:w="15" w:type="dxa"/>
                    <w:right w:w="15" w:type="dxa"/>
                  </w:tcMar>
                  <w:vAlign w:val="center"/>
                </w:tcPr>
                <w:p w14:paraId="101C63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i w:val="0"/>
                      <w:color w:val="auto"/>
                      <w:sz w:val="21"/>
                      <w:szCs w:val="21"/>
                      <w:u w:val="none"/>
                      <w:lang w:val="en-US" w:eastAsia="zh-CN"/>
                    </w:rPr>
                  </w:pPr>
                  <w:r>
                    <w:rPr>
                      <w:rFonts w:hint="eastAsia" w:ascii="Times New Roman" w:hAnsi="Times New Roman" w:eastAsia="宋体" w:cs="Times New Roman"/>
                      <w:b w:val="0"/>
                      <w:bCs w:val="0"/>
                      <w:color w:val="auto"/>
                      <w:sz w:val="21"/>
                      <w:szCs w:val="21"/>
                      <w:vertAlign w:val="baseline"/>
                      <w:lang w:val="en-US" w:eastAsia="zh-CN"/>
                    </w:rPr>
                    <w:t>无组织</w:t>
                  </w:r>
                </w:p>
              </w:tc>
              <w:tc>
                <w:tcPr>
                  <w:tcW w:w="464" w:type="pct"/>
                  <w:gridSpan w:val="2"/>
                  <w:tcBorders>
                    <w:tl2br w:val="nil"/>
                    <w:tr2bl w:val="nil"/>
                  </w:tcBorders>
                  <w:noWrap/>
                  <w:tcMar>
                    <w:top w:w="15" w:type="dxa"/>
                    <w:left w:w="15" w:type="dxa"/>
                    <w:right w:w="15" w:type="dxa"/>
                  </w:tcMar>
                  <w:vAlign w:val="center"/>
                </w:tcPr>
                <w:p w14:paraId="1B2C39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i w:val="0"/>
                      <w:color w:val="auto"/>
                      <w:sz w:val="21"/>
                      <w:szCs w:val="21"/>
                      <w:u w:val="none"/>
                      <w:lang w:val="en-US" w:eastAsia="zh-CN"/>
                    </w:rPr>
                  </w:pPr>
                  <w:r>
                    <w:rPr>
                      <w:rFonts w:hint="eastAsia" w:ascii="Times New Roman" w:hAnsi="Times New Roman" w:eastAsia="宋体" w:cs="Times New Roman"/>
                      <w:b w:val="0"/>
                      <w:bCs w:val="0"/>
                      <w:color w:val="auto"/>
                      <w:sz w:val="21"/>
                      <w:szCs w:val="21"/>
                      <w:vertAlign w:val="baseline"/>
                      <w:lang w:val="en-US" w:eastAsia="zh-CN"/>
                    </w:rPr>
                    <w:t>960</w:t>
                  </w:r>
                </w:p>
              </w:tc>
            </w:tr>
          </w:tbl>
          <w:p w14:paraId="009C22B9">
            <w:pPr>
              <w:pStyle w:val="58"/>
              <w:keepNext w:val="0"/>
              <w:keepLines w:val="0"/>
              <w:pageBreakBefore w:val="0"/>
              <w:widowControl w:val="0"/>
              <w:kinsoku/>
              <w:wordWrap/>
              <w:overflowPunct w:val="0"/>
              <w:topLinePunct w:val="0"/>
              <w:autoSpaceDE/>
              <w:autoSpaceDN/>
              <w:bidi w:val="0"/>
              <w:adjustRightInd w:val="0"/>
              <w:snapToGrid w:val="0"/>
              <w:spacing w:before="157" w:beforeLines="50"/>
              <w:textAlignment w:val="auto"/>
              <w:rPr>
                <w:rFonts w:hint="default" w:cs="Times New Roman"/>
                <w:b/>
                <w:bCs/>
                <w:color w:val="auto"/>
                <w:kern w:val="2"/>
                <w:sz w:val="24"/>
                <w:szCs w:val="20"/>
                <w:lang w:val="en-US" w:eastAsia="zh-CN" w:bidi="ar-SA"/>
              </w:rPr>
            </w:pPr>
            <w:r>
              <w:rPr>
                <w:rFonts w:hint="eastAsia" w:cs="Times New Roman"/>
                <w:b w:val="0"/>
                <w:bCs w:val="0"/>
                <w:color w:val="auto"/>
                <w:kern w:val="2"/>
                <w:sz w:val="24"/>
                <w:szCs w:val="20"/>
                <w:lang w:val="en-US" w:eastAsia="zh-CN" w:bidi="ar-SA"/>
              </w:rPr>
              <w:t>根据本项目污染物产排情况汇总表，项目产生的颗粒物均无组织排放，且经相应措施处理后，满足</w:t>
            </w:r>
            <w:r>
              <w:rPr>
                <w:rFonts w:hint="default" w:ascii="Times New Roman" w:hAnsi="Times New Roman" w:eastAsia="仿宋_GB2312" w:cs="Times New Roman"/>
                <w:color w:val="auto"/>
                <w:kern w:val="0"/>
                <w:sz w:val="24"/>
                <w:szCs w:val="24"/>
                <w:lang w:val="en-US" w:eastAsia="zh-CN"/>
              </w:rPr>
              <w:t>《水泥工业大气污染物排放标准》（</w:t>
            </w:r>
            <w:r>
              <w:rPr>
                <w:rFonts w:hint="eastAsia" w:ascii="Times New Roman" w:hAnsi="Times New Roman" w:eastAsia="仿宋_GB2312" w:cs="Times New Roman"/>
                <w:color w:val="auto"/>
                <w:kern w:val="0"/>
                <w:sz w:val="24"/>
                <w:szCs w:val="24"/>
                <w:lang w:val="en-US" w:eastAsia="zh-CN"/>
              </w:rPr>
              <w:t>DB64/1995-2024</w:t>
            </w:r>
            <w:r>
              <w:rPr>
                <w:rFonts w:hint="default" w:ascii="Times New Roman" w:hAnsi="Times New Roman" w:eastAsia="仿宋_GB2312" w:cs="Times New Roman"/>
                <w:color w:val="auto"/>
                <w:kern w:val="0"/>
                <w:sz w:val="24"/>
                <w:szCs w:val="24"/>
                <w:lang w:val="en-US" w:eastAsia="zh-CN"/>
              </w:rPr>
              <w:t>）表</w:t>
            </w:r>
            <w:r>
              <w:rPr>
                <w:rFonts w:hint="eastAsia" w:ascii="Times New Roman" w:hAnsi="Times New Roman" w:eastAsia="仿宋_GB2312" w:cs="Times New Roman"/>
                <w:color w:val="auto"/>
                <w:kern w:val="0"/>
                <w:sz w:val="24"/>
                <w:szCs w:val="24"/>
                <w:lang w:val="en-US" w:eastAsia="zh-CN"/>
              </w:rPr>
              <w:t>2企业边界大气污染物浓度限值</w:t>
            </w:r>
            <w:r>
              <w:rPr>
                <w:rFonts w:hint="eastAsia" w:ascii="Times New Roman" w:hAnsi="Times New Roman" w:cs="Times New Roman"/>
                <w:color w:val="auto"/>
                <w:kern w:val="0"/>
                <w:sz w:val="24"/>
                <w:szCs w:val="24"/>
                <w:lang w:val="en-US" w:eastAsia="zh-CN"/>
              </w:rPr>
              <w:t>，食堂油烟满足</w:t>
            </w:r>
            <w:r>
              <w:rPr>
                <w:rFonts w:hint="default" w:ascii="Times New Roman" w:hAnsi="Times New Roman" w:eastAsia="仿宋_GB2312" w:cs="Times New Roman"/>
                <w:color w:val="auto"/>
                <w:sz w:val="24"/>
                <w:szCs w:val="24"/>
                <w:lang w:val="en-US" w:eastAsia="zh-CN"/>
              </w:rPr>
              <w:t>《饮食业油烟排放标准（试行）》 （GB18483-2001）小型规模限值要求</w:t>
            </w:r>
            <w:r>
              <w:rPr>
                <w:rFonts w:hint="eastAsia" w:ascii="Times New Roman" w:hAnsi="Times New Roman" w:cs="Times New Roman"/>
                <w:color w:val="auto"/>
                <w:sz w:val="24"/>
                <w:szCs w:val="24"/>
                <w:lang w:val="en-US" w:eastAsia="zh-CN"/>
              </w:rPr>
              <w:t>。</w:t>
            </w:r>
          </w:p>
          <w:p w14:paraId="6EA7B4B8">
            <w:pPr>
              <w:pStyle w:val="58"/>
              <w:keepNext w:val="0"/>
              <w:keepLines w:val="0"/>
              <w:pageBreakBefore w:val="0"/>
              <w:widowControl w:val="0"/>
              <w:kinsoku/>
              <w:wordWrap/>
              <w:overflowPunct w:val="0"/>
              <w:topLinePunct w:val="0"/>
              <w:autoSpaceDE/>
              <w:autoSpaceDN/>
              <w:bidi w:val="0"/>
              <w:adjustRightInd w:val="0"/>
              <w:snapToGrid w:val="0"/>
              <w:textAlignment w:val="auto"/>
              <w:rPr>
                <w:rFonts w:hint="eastAsia" w:ascii="Times New Roman" w:hAnsi="Times New Roman" w:eastAsia="仿宋_GB2312" w:cs="Times New Roman"/>
                <w:b/>
                <w:color w:val="auto"/>
                <w:kern w:val="2"/>
                <w:sz w:val="24"/>
                <w:szCs w:val="20"/>
                <w:lang w:val="en-US" w:eastAsia="zh-CN" w:bidi="ar-SA"/>
              </w:rPr>
            </w:pPr>
            <w:r>
              <w:rPr>
                <w:rFonts w:hint="eastAsia" w:cs="Times New Roman"/>
                <w:b/>
                <w:bCs/>
                <w:color w:val="auto"/>
                <w:kern w:val="2"/>
                <w:sz w:val="24"/>
                <w:szCs w:val="20"/>
                <w:lang w:val="en-US" w:eastAsia="zh-CN" w:bidi="ar-SA"/>
              </w:rPr>
              <w:t>1.4</w:t>
            </w:r>
            <w:r>
              <w:rPr>
                <w:rFonts w:hint="eastAsia" w:ascii="Times New Roman" w:hAnsi="Times New Roman" w:eastAsia="仿宋_GB2312" w:cs="Times New Roman"/>
                <w:b/>
                <w:color w:val="auto"/>
                <w:kern w:val="2"/>
                <w:sz w:val="24"/>
                <w:szCs w:val="20"/>
                <w:lang w:val="en-US" w:eastAsia="zh-CN" w:bidi="ar-SA"/>
              </w:rPr>
              <w:t>监测计划</w:t>
            </w:r>
          </w:p>
          <w:p w14:paraId="20B45BA7">
            <w:pPr>
              <w:pStyle w:val="58"/>
              <w:bidi w:val="0"/>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24"/>
                <w:szCs w:val="24"/>
                <w:highlight w:val="none"/>
                <w:lang w:eastAsia="zh-CN"/>
              </w:rPr>
              <w:t>参照《排污许可证申请与核发技术规范 水泥工业》（HJ 847</w:t>
            </w:r>
            <w:r>
              <w:rPr>
                <w:rFonts w:hint="eastAsia"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2017）</w:t>
            </w:r>
            <w:r>
              <w:rPr>
                <w:rFonts w:hint="eastAsia"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排污许可证申请与核发技术规范</w:t>
            </w:r>
            <w:r>
              <w:rPr>
                <w:rFonts w:hint="eastAsia" w:eastAsia="仿宋_GB2312" w:cs="Times New Roman"/>
                <w:color w:val="auto"/>
                <w:sz w:val="24"/>
                <w:szCs w:val="24"/>
                <w:highlight w:val="none"/>
                <w:lang w:val="en-US" w:eastAsia="zh-CN"/>
              </w:rPr>
              <w:t xml:space="preserve"> 总则</w:t>
            </w:r>
            <w:r>
              <w:rPr>
                <w:rFonts w:hint="eastAsia" w:cs="Times New Roman"/>
                <w:color w:val="auto"/>
                <w:sz w:val="24"/>
                <w:szCs w:val="24"/>
                <w:highlight w:val="none"/>
                <w:lang w:eastAsia="zh-CN"/>
              </w:rPr>
              <w:t>》（HJ9</w:t>
            </w:r>
            <w:r>
              <w:rPr>
                <w:rFonts w:hint="eastAsia" w:cs="Times New Roman"/>
                <w:color w:val="auto"/>
                <w:sz w:val="24"/>
                <w:szCs w:val="24"/>
                <w:highlight w:val="none"/>
                <w:lang w:val="en-US" w:eastAsia="zh-CN"/>
              </w:rPr>
              <w:t>42</w:t>
            </w:r>
            <w:r>
              <w:rPr>
                <w:rFonts w:hint="eastAsia" w:cs="Times New Roman"/>
                <w:color w:val="auto"/>
                <w:sz w:val="24"/>
                <w:szCs w:val="24"/>
                <w:highlight w:val="none"/>
                <w:lang w:eastAsia="zh-CN"/>
              </w:rPr>
              <w:t>-201</w:t>
            </w:r>
            <w:r>
              <w:rPr>
                <w:rFonts w:hint="eastAsia" w:ascii="Times New Roman" w:hAnsi="Times New Roman" w:eastAsia="仿宋_GB2312" w:cs="Times New Roman"/>
                <w:color w:val="auto"/>
                <w:sz w:val="24"/>
                <w:highlight w:val="none"/>
                <w:lang w:eastAsia="zh-CN"/>
              </w:rPr>
              <w:t>8）</w:t>
            </w:r>
            <w:r>
              <w:rPr>
                <w:rFonts w:hint="eastAsia" w:cs="Times New Roman"/>
                <w:color w:val="auto"/>
                <w:sz w:val="24"/>
                <w:szCs w:val="24"/>
                <w:highlight w:val="none"/>
                <w:lang w:eastAsia="zh-CN"/>
              </w:rPr>
              <w:t>及</w:t>
            </w:r>
            <w:r>
              <w:rPr>
                <w:rFonts w:hint="eastAsia" w:ascii="Times New Roman" w:hAnsi="Times New Roman" w:cs="Times New Roman"/>
                <w:color w:val="auto"/>
                <w:lang w:val="en-US" w:eastAsia="zh-CN"/>
              </w:rPr>
              <w:t>本项目实际运行资料，</w:t>
            </w:r>
            <w:r>
              <w:rPr>
                <w:rFonts w:hint="default" w:ascii="Times New Roman" w:hAnsi="Times New Roman" w:cs="Times New Roman"/>
                <w:color w:val="auto"/>
                <w:lang w:val="en-US" w:eastAsia="zh-CN"/>
              </w:rPr>
              <w:t>本项目大气环境监测内容及监测计划见表</w:t>
            </w:r>
            <w:r>
              <w:rPr>
                <w:rFonts w:hint="eastAsia" w:cs="Times New Roman"/>
                <w:color w:val="auto"/>
                <w:lang w:val="en-US" w:eastAsia="zh-CN"/>
              </w:rPr>
              <w:t>4-3</w:t>
            </w:r>
            <w:r>
              <w:rPr>
                <w:rFonts w:hint="default" w:ascii="Times New Roman" w:hAnsi="Times New Roman" w:cs="Times New Roman"/>
                <w:color w:val="auto"/>
                <w:lang w:val="en-US" w:eastAsia="zh-CN"/>
              </w:rPr>
              <w:t>。</w:t>
            </w:r>
          </w:p>
          <w:p w14:paraId="0B469568">
            <w:pPr>
              <w:pStyle w:val="2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val="0"/>
                <w:bCs w:val="0"/>
                <w:color w:val="auto"/>
                <w:sz w:val="21"/>
                <w:szCs w:val="21"/>
                <w:lang w:val="en-US" w:eastAsia="zh-CN"/>
              </w:rPr>
              <w:t>表</w:t>
            </w:r>
            <w:r>
              <w:rPr>
                <w:rFonts w:hint="eastAsia" w:eastAsia="宋体" w:cs="Times New Roman"/>
                <w:b w:val="0"/>
                <w:bCs w:val="0"/>
                <w:color w:val="auto"/>
                <w:sz w:val="21"/>
                <w:szCs w:val="21"/>
                <w:lang w:val="en-US" w:eastAsia="zh-CN"/>
              </w:rPr>
              <w:t>4-</w:t>
            </w:r>
            <w:r>
              <w:rPr>
                <w:rFonts w:hint="eastAsia" w:cs="Times New Roman"/>
                <w:b w:val="0"/>
                <w:bCs w:val="0"/>
                <w:color w:val="auto"/>
                <w:sz w:val="21"/>
                <w:szCs w:val="21"/>
                <w:lang w:val="en-US" w:eastAsia="zh-CN"/>
              </w:rPr>
              <w:t>3</w:t>
            </w:r>
            <w:r>
              <w:rPr>
                <w:rFonts w:hint="eastAsia" w:ascii="Times New Roman" w:hAnsi="Times New Roman" w:eastAsia="宋体"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 xml:space="preserve">          </w:t>
            </w:r>
            <w:r>
              <w:rPr>
                <w:rFonts w:hint="eastAsia" w:ascii="Times New Roman" w:hAnsi="Times New Roman" w:eastAsia="宋体" w:cs="Times New Roman"/>
                <w:b/>
                <w:bCs/>
                <w:color w:val="auto"/>
                <w:sz w:val="24"/>
                <w:szCs w:val="24"/>
                <w:lang w:val="en-US" w:eastAsia="zh-CN"/>
              </w:rPr>
              <w:t>本项目废气监测内容</w:t>
            </w:r>
            <w:r>
              <w:rPr>
                <w:rFonts w:hint="eastAsia" w:eastAsia="宋体" w:cs="Times New Roman"/>
                <w:b/>
                <w:bCs/>
                <w:color w:val="auto"/>
                <w:sz w:val="24"/>
                <w:szCs w:val="24"/>
                <w:lang w:val="en-US" w:eastAsia="zh-CN"/>
              </w:rPr>
              <w:t>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337"/>
              <w:gridCol w:w="1933"/>
              <w:gridCol w:w="3744"/>
            </w:tblGrid>
            <w:tr w14:paraId="4CF58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9" w:type="pct"/>
                  <w:tcBorders>
                    <w:tl2br w:val="nil"/>
                    <w:tr2bl w:val="nil"/>
                  </w:tcBorders>
                  <w:vAlign w:val="center"/>
                </w:tcPr>
                <w:p w14:paraId="5A443A08">
                  <w:pPr>
                    <w:pStyle w:val="6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val="0"/>
                      <w:color w:val="auto"/>
                      <w:sz w:val="21"/>
                      <w:szCs w:val="21"/>
                      <w:lang w:val="en-US" w:eastAsia="zh-CN"/>
                    </w:rPr>
                  </w:pPr>
                  <w:r>
                    <w:rPr>
                      <w:rFonts w:hint="eastAsia" w:cs="Times New Roman"/>
                      <w:b/>
                      <w:bCs w:val="0"/>
                      <w:color w:val="auto"/>
                      <w:sz w:val="21"/>
                      <w:szCs w:val="21"/>
                      <w:lang w:val="en-US" w:eastAsia="zh-CN"/>
                    </w:rPr>
                    <w:t>监测点位</w:t>
                  </w:r>
                </w:p>
              </w:tc>
              <w:tc>
                <w:tcPr>
                  <w:tcW w:w="823" w:type="pct"/>
                  <w:tcBorders>
                    <w:tl2br w:val="nil"/>
                    <w:tr2bl w:val="nil"/>
                  </w:tcBorders>
                  <w:vAlign w:val="center"/>
                </w:tcPr>
                <w:p w14:paraId="12BFA5D0">
                  <w:pPr>
                    <w:pStyle w:val="6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val="0"/>
                      <w:color w:val="auto"/>
                      <w:sz w:val="21"/>
                      <w:szCs w:val="21"/>
                      <w:lang w:val="en-US" w:eastAsia="zh-CN"/>
                    </w:rPr>
                  </w:pPr>
                  <w:r>
                    <w:rPr>
                      <w:rFonts w:hint="eastAsia" w:cs="Times New Roman"/>
                      <w:b/>
                      <w:bCs w:val="0"/>
                      <w:color w:val="auto"/>
                      <w:sz w:val="21"/>
                      <w:szCs w:val="21"/>
                      <w:lang w:val="en-US" w:eastAsia="zh-CN"/>
                    </w:rPr>
                    <w:t>监测项目</w:t>
                  </w:r>
                </w:p>
              </w:tc>
              <w:tc>
                <w:tcPr>
                  <w:tcW w:w="1190" w:type="pct"/>
                  <w:tcBorders>
                    <w:tl2br w:val="nil"/>
                    <w:tr2bl w:val="nil"/>
                  </w:tcBorders>
                  <w:vAlign w:val="center"/>
                </w:tcPr>
                <w:p w14:paraId="14A107AA">
                  <w:pPr>
                    <w:pStyle w:val="3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b/>
                      <w:bCs w:val="0"/>
                      <w:color w:val="auto"/>
                      <w:sz w:val="21"/>
                      <w:szCs w:val="21"/>
                      <w:lang w:val="en-US" w:eastAsia="zh-CN"/>
                    </w:rPr>
                  </w:pPr>
                  <w:r>
                    <w:rPr>
                      <w:rFonts w:hint="eastAsia"/>
                      <w:b/>
                      <w:bCs w:val="0"/>
                      <w:color w:val="auto"/>
                      <w:sz w:val="21"/>
                      <w:szCs w:val="21"/>
                      <w:lang w:val="en-US" w:eastAsia="zh-CN"/>
                    </w:rPr>
                    <w:t>监测频次</w:t>
                  </w:r>
                </w:p>
              </w:tc>
              <w:tc>
                <w:tcPr>
                  <w:tcW w:w="2305" w:type="pct"/>
                  <w:tcBorders>
                    <w:tl2br w:val="nil"/>
                    <w:tr2bl w:val="nil"/>
                  </w:tcBorders>
                  <w:vAlign w:val="center"/>
                </w:tcPr>
                <w:p w14:paraId="2EB954E3">
                  <w:pPr>
                    <w:pStyle w:val="3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eastAsia"/>
                      <w:b/>
                      <w:bCs w:val="0"/>
                      <w:color w:val="auto"/>
                      <w:sz w:val="21"/>
                      <w:szCs w:val="21"/>
                      <w:lang w:val="en-US" w:eastAsia="zh-CN"/>
                    </w:rPr>
                  </w:pPr>
                  <w:r>
                    <w:rPr>
                      <w:rFonts w:hint="eastAsia"/>
                      <w:b/>
                      <w:bCs w:val="0"/>
                      <w:color w:val="auto"/>
                      <w:sz w:val="21"/>
                      <w:szCs w:val="21"/>
                      <w:lang w:val="en-US" w:eastAsia="zh-CN"/>
                    </w:rPr>
                    <w:t>执行标准</w:t>
                  </w:r>
                </w:p>
              </w:tc>
            </w:tr>
            <w:tr w14:paraId="609F3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79" w:type="pct"/>
                  <w:tcBorders>
                    <w:tl2br w:val="nil"/>
                    <w:tr2bl w:val="nil"/>
                  </w:tcBorders>
                  <w:vAlign w:val="center"/>
                </w:tcPr>
                <w:p w14:paraId="79E9BF95">
                  <w:pPr>
                    <w:adjustRightInd w:val="0"/>
                    <w:snapToGrid w:val="0"/>
                    <w:spacing w:line="300" w:lineRule="exact"/>
                    <w:jc w:val="center"/>
                    <w:rPr>
                      <w:rFonts w:hint="default" w:ascii="Times New Roman" w:hAnsi="Times New Roman" w:eastAsia="宋体" w:cs="Times New Roman"/>
                      <w:b/>
                      <w:bCs/>
                      <w:color w:val="auto"/>
                      <w:kern w:val="2"/>
                      <w:sz w:val="21"/>
                      <w:szCs w:val="21"/>
                      <w:lang w:val="en-US" w:eastAsia="zh-CN" w:bidi="ar-SA"/>
                    </w:rPr>
                  </w:pPr>
                  <w:r>
                    <w:rPr>
                      <w:rFonts w:hint="eastAsia" w:cs="Times New Roman"/>
                      <w:color w:val="auto"/>
                      <w:sz w:val="21"/>
                      <w:szCs w:val="21"/>
                      <w:lang w:val="en-US" w:eastAsia="zh-CN"/>
                    </w:rPr>
                    <w:t>厂界</w:t>
                  </w:r>
                </w:p>
              </w:tc>
              <w:tc>
                <w:tcPr>
                  <w:tcW w:w="823" w:type="pct"/>
                  <w:tcBorders>
                    <w:tl2br w:val="nil"/>
                    <w:tr2bl w:val="nil"/>
                  </w:tcBorders>
                  <w:vAlign w:val="center"/>
                </w:tcPr>
                <w:p w14:paraId="316C1033">
                  <w:pPr>
                    <w:pStyle w:val="6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b w:val="0"/>
                      <w:bCs/>
                      <w:color w:val="auto"/>
                      <w:kern w:val="0"/>
                      <w:sz w:val="21"/>
                      <w:szCs w:val="21"/>
                      <w:lang w:val="en-US" w:eastAsia="zh-CN" w:bidi="ar-SA"/>
                    </w:rPr>
                  </w:pPr>
                  <w:r>
                    <w:rPr>
                      <w:rFonts w:hint="eastAsia" w:cs="Times New Roman"/>
                      <w:b w:val="0"/>
                      <w:bCs/>
                      <w:color w:val="auto"/>
                      <w:sz w:val="21"/>
                      <w:szCs w:val="21"/>
                      <w:lang w:val="en-US" w:eastAsia="zh-CN"/>
                    </w:rPr>
                    <w:t>颗粒物</w:t>
                  </w:r>
                </w:p>
              </w:tc>
              <w:tc>
                <w:tcPr>
                  <w:tcW w:w="1190" w:type="pct"/>
                  <w:tcBorders>
                    <w:tl2br w:val="nil"/>
                    <w:tr2bl w:val="nil"/>
                  </w:tcBorders>
                  <w:vAlign w:val="center"/>
                </w:tcPr>
                <w:p w14:paraId="454440CE">
                  <w:pPr>
                    <w:pStyle w:val="3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b w:val="0"/>
                      <w:bCs/>
                      <w:color w:val="auto"/>
                      <w:kern w:val="2"/>
                      <w:sz w:val="21"/>
                      <w:szCs w:val="21"/>
                      <w:lang w:val="en-US" w:eastAsia="zh-CN" w:bidi="ar-SA"/>
                    </w:rPr>
                  </w:pPr>
                  <w:r>
                    <w:rPr>
                      <w:rFonts w:hint="eastAsia"/>
                      <w:b w:val="0"/>
                      <w:bCs/>
                      <w:color w:val="auto"/>
                      <w:sz w:val="21"/>
                      <w:szCs w:val="21"/>
                      <w:lang w:val="en-US" w:eastAsia="zh-CN"/>
                    </w:rPr>
                    <w:t>1次/季度</w:t>
                  </w:r>
                </w:p>
              </w:tc>
              <w:tc>
                <w:tcPr>
                  <w:tcW w:w="2305" w:type="pct"/>
                  <w:tcBorders>
                    <w:tl2br w:val="nil"/>
                    <w:tr2bl w:val="nil"/>
                  </w:tcBorders>
                  <w:vAlign w:val="center"/>
                </w:tcPr>
                <w:p w14:paraId="13269F3B">
                  <w:pPr>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lang w:val="en-US" w:eastAsia="zh-CN"/>
                    </w:rPr>
                    <w:t>《水泥工业大气污染物排放标准》（DB64/1995-2024）表2企业边界大气污染物浓度限值</w:t>
                  </w:r>
                </w:p>
              </w:tc>
            </w:tr>
          </w:tbl>
          <w:p w14:paraId="0B810E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2、废水环境影响和保护措施</w:t>
            </w:r>
          </w:p>
          <w:p w14:paraId="5613E8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本项目运营期</w:t>
            </w:r>
            <w:r>
              <w:rPr>
                <w:rFonts w:hint="eastAsia" w:eastAsia="仿宋_GB2312" w:cs="Times New Roman"/>
                <w:b w:val="0"/>
                <w:bCs/>
                <w:color w:val="auto"/>
                <w:sz w:val="24"/>
                <w:szCs w:val="24"/>
                <w:highlight w:val="none"/>
                <w:lang w:val="en-US" w:eastAsia="zh-CN"/>
              </w:rPr>
              <w:t>食堂</w:t>
            </w:r>
            <w:r>
              <w:rPr>
                <w:rFonts w:hint="eastAsia" w:eastAsia="仿宋_GB2312" w:cs="Times New Roman"/>
                <w:b w:val="0"/>
                <w:bCs w:val="0"/>
                <w:color w:val="auto"/>
                <w:kern w:val="2"/>
                <w:sz w:val="24"/>
                <w:szCs w:val="24"/>
                <w:lang w:val="en-US" w:eastAsia="zh-CN" w:bidi="ar-SA"/>
              </w:rPr>
              <w:t>废水经隔油设施隔油后，与</w:t>
            </w:r>
            <w:r>
              <w:rPr>
                <w:rFonts w:hint="default" w:ascii="Times New Roman" w:hAnsi="Times New Roman" w:eastAsia="仿宋_GB2312" w:cs="Times New Roman"/>
                <w:b w:val="0"/>
                <w:bCs w:val="0"/>
                <w:color w:val="auto"/>
                <w:kern w:val="2"/>
                <w:sz w:val="24"/>
                <w:szCs w:val="24"/>
                <w:lang w:val="en-US" w:eastAsia="zh-CN" w:bidi="ar-SA"/>
              </w:rPr>
              <w:t>生活污水</w:t>
            </w:r>
            <w:r>
              <w:rPr>
                <w:rFonts w:hint="eastAsia" w:eastAsia="仿宋_GB2312" w:cs="Times New Roman"/>
                <w:b w:val="0"/>
                <w:bCs w:val="0"/>
                <w:color w:val="auto"/>
                <w:kern w:val="2"/>
                <w:sz w:val="24"/>
                <w:szCs w:val="24"/>
                <w:lang w:val="en-US" w:eastAsia="zh-CN" w:bidi="ar-SA"/>
              </w:rPr>
              <w:t>一同</w:t>
            </w:r>
            <w:r>
              <w:rPr>
                <w:rFonts w:hint="default" w:ascii="Times New Roman" w:hAnsi="Times New Roman" w:eastAsia="仿宋_GB2312" w:cs="Times New Roman"/>
                <w:b w:val="0"/>
                <w:bCs w:val="0"/>
                <w:color w:val="auto"/>
                <w:kern w:val="2"/>
                <w:sz w:val="24"/>
                <w:szCs w:val="24"/>
                <w:lang w:val="en-US" w:eastAsia="zh-CN" w:bidi="ar-SA"/>
              </w:rPr>
              <w:t>经化粪池（</w:t>
            </w:r>
            <w:r>
              <w:rPr>
                <w:rFonts w:hint="eastAsia" w:eastAsia="仿宋_GB2312" w:cs="Times New Roman"/>
                <w:b w:val="0"/>
                <w:bCs w:val="0"/>
                <w:color w:val="auto"/>
                <w:kern w:val="2"/>
                <w:sz w:val="24"/>
                <w:szCs w:val="24"/>
                <w:lang w:val="en-US" w:eastAsia="zh-CN" w:bidi="ar-SA"/>
              </w:rPr>
              <w:t>16</w:t>
            </w:r>
            <w:r>
              <w:rPr>
                <w:rFonts w:hint="default" w:ascii="Times New Roman" w:hAnsi="Times New Roman" w:eastAsia="仿宋_GB2312" w:cs="Times New Roman"/>
                <w:b w:val="0"/>
                <w:bCs w:val="0"/>
                <w:color w:val="auto"/>
                <w:kern w:val="2"/>
                <w:sz w:val="24"/>
                <w:szCs w:val="24"/>
                <w:lang w:val="en-US" w:eastAsia="zh-CN" w:bidi="ar-SA"/>
              </w:rPr>
              <w:t>m</w:t>
            </w:r>
            <w:r>
              <w:rPr>
                <w:rFonts w:hint="default" w:ascii="Times New Roman" w:hAnsi="Times New Roman" w:eastAsia="仿宋_GB2312" w:cs="Times New Roman"/>
                <w:b w:val="0"/>
                <w:bCs w:val="0"/>
                <w:color w:val="auto"/>
                <w:kern w:val="2"/>
                <w:sz w:val="24"/>
                <w:szCs w:val="24"/>
                <w:vertAlign w:val="superscript"/>
                <w:lang w:val="en-US" w:eastAsia="zh-CN" w:bidi="ar-SA"/>
              </w:rPr>
              <w:t>3</w:t>
            </w:r>
            <w:r>
              <w:rPr>
                <w:rFonts w:hint="default" w:ascii="Times New Roman" w:hAnsi="Times New Roman" w:eastAsia="仿宋_GB2312" w:cs="Times New Roman"/>
                <w:b w:val="0"/>
                <w:bCs w:val="0"/>
                <w:color w:val="auto"/>
                <w:kern w:val="2"/>
                <w:sz w:val="24"/>
                <w:szCs w:val="24"/>
                <w:lang w:val="en-US" w:eastAsia="zh-CN" w:bidi="ar-SA"/>
              </w:rPr>
              <w:t>）处理后，定期拉运至</w:t>
            </w:r>
            <w:r>
              <w:rPr>
                <w:rFonts w:hint="eastAsia" w:eastAsia="仿宋_GB2312" w:cs="Times New Roman"/>
                <w:b w:val="0"/>
                <w:bCs w:val="0"/>
                <w:color w:val="auto"/>
                <w:kern w:val="2"/>
                <w:sz w:val="24"/>
                <w:szCs w:val="24"/>
                <w:lang w:val="en-US" w:eastAsia="zh-CN" w:bidi="ar-SA"/>
              </w:rPr>
              <w:t>中卫市沙坡头区兴仁镇污水</w:t>
            </w:r>
            <w:r>
              <w:rPr>
                <w:rFonts w:hint="default" w:ascii="Times New Roman" w:hAnsi="Times New Roman" w:eastAsia="仿宋_GB2312" w:cs="Times New Roman"/>
                <w:b w:val="0"/>
                <w:bCs w:val="0"/>
                <w:color w:val="auto"/>
                <w:kern w:val="2"/>
                <w:sz w:val="24"/>
                <w:szCs w:val="24"/>
                <w:lang w:val="en-US" w:eastAsia="zh-CN" w:bidi="ar-SA"/>
              </w:rPr>
              <w:t>处理厂进行处理。车辆冲洗废水、清洗搅拌机废水经沉淀后回用，不外排</w:t>
            </w:r>
            <w:r>
              <w:rPr>
                <w:rFonts w:hint="eastAsia" w:ascii="Times New Roman" w:hAnsi="Times New Roman" w:eastAsia="仿宋" w:cs="Times New Roman"/>
                <w:b w:val="0"/>
                <w:bCs w:val="0"/>
                <w:color w:val="auto"/>
                <w:kern w:val="2"/>
                <w:sz w:val="24"/>
                <w:szCs w:val="24"/>
                <w:lang w:val="en-US" w:eastAsia="zh-CN" w:bidi="ar-SA"/>
              </w:rPr>
              <w:t>。</w:t>
            </w:r>
          </w:p>
          <w:p w14:paraId="18E3703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⑴源强分析及防治措施</w:t>
            </w:r>
          </w:p>
          <w:p w14:paraId="650229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本项目运营期无生产废水产生，废水主要为生活污水</w:t>
            </w:r>
            <w:r>
              <w:rPr>
                <w:rFonts w:hint="eastAsia" w:eastAsia="仿宋_GB2312" w:cs="Times New Roman"/>
                <w:color w:val="auto"/>
                <w:kern w:val="2"/>
                <w:sz w:val="24"/>
                <w:szCs w:val="24"/>
                <w:lang w:val="en-US" w:eastAsia="zh-CN" w:bidi="ar-SA"/>
              </w:rPr>
              <w:t>及</w:t>
            </w:r>
            <w:r>
              <w:rPr>
                <w:rFonts w:hint="eastAsia" w:eastAsia="仿宋_GB2312" w:cs="Times New Roman"/>
                <w:b w:val="0"/>
                <w:bCs/>
                <w:color w:val="auto"/>
                <w:sz w:val="24"/>
                <w:szCs w:val="24"/>
                <w:highlight w:val="none"/>
                <w:lang w:val="en-US" w:eastAsia="zh-CN"/>
              </w:rPr>
              <w:t>食堂</w:t>
            </w:r>
            <w:r>
              <w:rPr>
                <w:rFonts w:hint="eastAsia" w:eastAsia="仿宋_GB2312" w:cs="Times New Roman"/>
                <w:color w:val="auto"/>
                <w:kern w:val="2"/>
                <w:sz w:val="24"/>
                <w:szCs w:val="24"/>
                <w:lang w:val="en-US" w:eastAsia="zh-CN" w:bidi="ar-SA"/>
              </w:rPr>
              <w:t>废水</w:t>
            </w: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bCs/>
                <w:color w:val="auto"/>
                <w:sz w:val="24"/>
                <w:szCs w:val="24"/>
                <w:lang w:val="en-US" w:eastAsia="zh-CN"/>
              </w:rPr>
              <w:t>排水量为用水量的80%，则生活污水产生量为</w:t>
            </w:r>
            <w:r>
              <w:rPr>
                <w:rFonts w:hint="eastAsia" w:eastAsia="仿宋_GB2312" w:cs="Times New Roman"/>
                <w:bCs/>
                <w:color w:val="auto"/>
                <w:sz w:val="24"/>
                <w:szCs w:val="24"/>
                <w:lang w:val="en-US" w:eastAsia="zh-CN"/>
              </w:rPr>
              <w:t>672</w:t>
            </w:r>
            <w:r>
              <w:rPr>
                <w:rFonts w:hint="default" w:ascii="Times New Roman" w:hAnsi="Times New Roman" w:eastAsia="仿宋_GB2312" w:cs="Times New Roman"/>
                <w:bCs/>
                <w:color w:val="auto"/>
                <w:sz w:val="24"/>
                <w:szCs w:val="24"/>
                <w:lang w:val="en-US" w:eastAsia="zh-CN"/>
              </w:rPr>
              <w:t>m</w:t>
            </w:r>
            <w:r>
              <w:rPr>
                <w:rFonts w:hint="default" w:ascii="Times New Roman" w:hAnsi="Times New Roman" w:eastAsia="仿宋_GB2312" w:cs="Times New Roman"/>
                <w:bCs/>
                <w:color w:val="auto"/>
                <w:sz w:val="24"/>
                <w:szCs w:val="24"/>
                <w:vertAlign w:val="superscript"/>
                <w:lang w:val="en-US" w:eastAsia="zh-CN"/>
              </w:rPr>
              <w:t>3</w:t>
            </w:r>
            <w:r>
              <w:rPr>
                <w:rFonts w:hint="default" w:ascii="Times New Roman" w:hAnsi="Times New Roman" w:eastAsia="仿宋_GB2312" w:cs="Times New Roman"/>
                <w:bCs/>
                <w:color w:val="auto"/>
                <w:sz w:val="24"/>
                <w:szCs w:val="24"/>
                <w:lang w:val="en-US" w:eastAsia="zh-CN"/>
              </w:rPr>
              <w:t>/a（</w:t>
            </w:r>
            <w:r>
              <w:rPr>
                <w:rFonts w:hint="eastAsia" w:eastAsia="仿宋_GB2312" w:cs="Times New Roman"/>
                <w:bCs/>
                <w:color w:val="auto"/>
                <w:sz w:val="24"/>
                <w:szCs w:val="24"/>
                <w:lang w:val="en-US" w:eastAsia="zh-CN"/>
              </w:rPr>
              <w:t>2.8</w:t>
            </w:r>
            <w:r>
              <w:rPr>
                <w:rFonts w:hint="default" w:ascii="Times New Roman" w:hAnsi="Times New Roman" w:eastAsia="仿宋_GB2312" w:cs="Times New Roman"/>
                <w:bCs/>
                <w:color w:val="auto"/>
                <w:sz w:val="24"/>
                <w:szCs w:val="24"/>
                <w:lang w:val="en-US" w:eastAsia="zh-CN"/>
              </w:rPr>
              <w:t>m</w:t>
            </w:r>
            <w:r>
              <w:rPr>
                <w:rFonts w:hint="default" w:ascii="Times New Roman" w:hAnsi="Times New Roman" w:eastAsia="仿宋_GB2312" w:cs="Times New Roman"/>
                <w:bCs/>
                <w:color w:val="auto"/>
                <w:sz w:val="24"/>
                <w:szCs w:val="24"/>
                <w:vertAlign w:val="superscript"/>
                <w:lang w:val="en-US" w:eastAsia="zh-CN"/>
              </w:rPr>
              <w:t>3</w:t>
            </w:r>
            <w:r>
              <w:rPr>
                <w:rFonts w:hint="default" w:ascii="Times New Roman" w:hAnsi="Times New Roman" w:eastAsia="仿宋_GB2312" w:cs="Times New Roman"/>
                <w:bCs/>
                <w:color w:val="auto"/>
                <w:sz w:val="24"/>
                <w:szCs w:val="24"/>
                <w:lang w:val="en-US" w:eastAsia="zh-CN"/>
              </w:rPr>
              <w:t>/d）</w:t>
            </w:r>
            <w:r>
              <w:rPr>
                <w:rFonts w:hint="eastAsia" w:eastAsia="仿宋_GB2312" w:cs="Times New Roman"/>
                <w:bCs/>
                <w:color w:val="auto"/>
                <w:sz w:val="24"/>
                <w:szCs w:val="24"/>
                <w:lang w:val="en-US" w:eastAsia="zh-CN"/>
              </w:rPr>
              <w:t>，</w:t>
            </w:r>
            <w:r>
              <w:rPr>
                <w:rFonts w:hint="eastAsia" w:eastAsia="仿宋_GB2312" w:cs="Times New Roman"/>
                <w:b w:val="0"/>
                <w:bCs/>
                <w:color w:val="auto"/>
                <w:sz w:val="24"/>
                <w:szCs w:val="24"/>
                <w:highlight w:val="none"/>
                <w:lang w:val="en-US" w:eastAsia="zh-CN"/>
              </w:rPr>
              <w:t>食堂</w:t>
            </w:r>
            <w:r>
              <w:rPr>
                <w:rFonts w:hint="eastAsia" w:eastAsia="仿宋_GB2312" w:cs="Times New Roman"/>
                <w:bCs/>
                <w:color w:val="auto"/>
                <w:sz w:val="24"/>
                <w:szCs w:val="24"/>
                <w:lang w:val="en-US" w:eastAsia="zh-CN"/>
              </w:rPr>
              <w:t>废水产生量为192</w:t>
            </w:r>
            <w:r>
              <w:rPr>
                <w:rFonts w:hint="default" w:ascii="Times New Roman" w:hAnsi="Times New Roman" w:eastAsia="仿宋_GB2312" w:cs="Times New Roman"/>
                <w:bCs/>
                <w:color w:val="auto"/>
                <w:sz w:val="24"/>
                <w:szCs w:val="24"/>
                <w:lang w:val="en-US" w:eastAsia="zh-CN"/>
              </w:rPr>
              <w:t>m</w:t>
            </w:r>
            <w:r>
              <w:rPr>
                <w:rFonts w:hint="default" w:ascii="Times New Roman" w:hAnsi="Times New Roman" w:eastAsia="仿宋_GB2312" w:cs="Times New Roman"/>
                <w:bCs/>
                <w:color w:val="auto"/>
                <w:sz w:val="24"/>
                <w:szCs w:val="24"/>
                <w:vertAlign w:val="superscript"/>
                <w:lang w:val="en-US" w:eastAsia="zh-CN"/>
              </w:rPr>
              <w:t>3</w:t>
            </w:r>
            <w:r>
              <w:rPr>
                <w:rFonts w:hint="default" w:ascii="Times New Roman" w:hAnsi="Times New Roman" w:eastAsia="仿宋_GB2312" w:cs="Times New Roman"/>
                <w:bCs/>
                <w:color w:val="auto"/>
                <w:sz w:val="24"/>
                <w:szCs w:val="24"/>
                <w:lang w:val="en-US" w:eastAsia="zh-CN"/>
              </w:rPr>
              <w:t>/a（</w:t>
            </w:r>
            <w:r>
              <w:rPr>
                <w:rFonts w:hint="eastAsia" w:eastAsia="仿宋_GB2312" w:cs="Times New Roman"/>
                <w:bCs/>
                <w:color w:val="auto"/>
                <w:sz w:val="24"/>
                <w:szCs w:val="24"/>
                <w:lang w:val="en-US" w:eastAsia="zh-CN"/>
              </w:rPr>
              <w:t>0.8</w:t>
            </w:r>
            <w:r>
              <w:rPr>
                <w:rFonts w:hint="default" w:ascii="Times New Roman" w:hAnsi="Times New Roman" w:eastAsia="仿宋_GB2312" w:cs="Times New Roman"/>
                <w:bCs/>
                <w:color w:val="auto"/>
                <w:sz w:val="24"/>
                <w:szCs w:val="24"/>
                <w:lang w:val="en-US" w:eastAsia="zh-CN"/>
              </w:rPr>
              <w:t>m</w:t>
            </w:r>
            <w:r>
              <w:rPr>
                <w:rFonts w:hint="default" w:ascii="Times New Roman" w:hAnsi="Times New Roman" w:eastAsia="仿宋_GB2312" w:cs="Times New Roman"/>
                <w:bCs/>
                <w:color w:val="auto"/>
                <w:sz w:val="24"/>
                <w:szCs w:val="24"/>
                <w:vertAlign w:val="superscript"/>
                <w:lang w:val="en-US" w:eastAsia="zh-CN"/>
              </w:rPr>
              <w:t>3</w:t>
            </w:r>
            <w:r>
              <w:rPr>
                <w:rFonts w:hint="default" w:ascii="Times New Roman" w:hAnsi="Times New Roman" w:eastAsia="仿宋_GB2312" w:cs="Times New Roman"/>
                <w:bCs/>
                <w:color w:val="auto"/>
                <w:sz w:val="24"/>
                <w:szCs w:val="24"/>
                <w:lang w:val="en-US" w:eastAsia="zh-CN"/>
              </w:rPr>
              <w:t>/d）</w:t>
            </w:r>
            <w:r>
              <w:rPr>
                <w:rFonts w:hint="eastAsia" w:ascii="Times New Roman" w:hAnsi="Times New Roman" w:eastAsia="仿宋_GB2312" w:cs="Times New Roman"/>
                <w:bCs/>
                <w:color w:val="auto"/>
                <w:sz w:val="24"/>
                <w:szCs w:val="24"/>
                <w:lang w:val="en-US" w:eastAsia="zh-CN"/>
              </w:rPr>
              <w:t>，</w:t>
            </w:r>
            <w:r>
              <w:rPr>
                <w:rFonts w:hint="default" w:ascii="Times New Roman" w:hAnsi="Times New Roman" w:eastAsia="仿宋_GB2312" w:cs="Times New Roman"/>
                <w:bCs/>
                <w:color w:val="auto"/>
                <w:sz w:val="24"/>
                <w:szCs w:val="24"/>
                <w:lang w:val="en-US" w:eastAsia="zh-CN"/>
              </w:rPr>
              <w:t>主要污染物为COD</w:t>
            </w:r>
            <w:r>
              <w:rPr>
                <w:rFonts w:hint="default" w:ascii="Times New Roman" w:hAnsi="Times New Roman" w:eastAsia="仿宋_GB2312" w:cs="Times New Roman"/>
                <w:bCs/>
                <w:color w:val="auto"/>
                <w:sz w:val="24"/>
                <w:szCs w:val="24"/>
                <w:vertAlign w:val="subscript"/>
                <w:lang w:val="en-US" w:eastAsia="zh-CN"/>
              </w:rPr>
              <w:t>Cr</w:t>
            </w:r>
            <w:r>
              <w:rPr>
                <w:rFonts w:hint="default" w:ascii="Times New Roman" w:hAnsi="Times New Roman" w:eastAsia="仿宋_GB2312" w:cs="Times New Roman"/>
                <w:bCs/>
                <w:color w:val="auto"/>
                <w:sz w:val="24"/>
                <w:szCs w:val="24"/>
                <w:lang w:val="en-US" w:eastAsia="zh-CN"/>
              </w:rPr>
              <w:t>、BOD</w:t>
            </w:r>
            <w:r>
              <w:rPr>
                <w:rFonts w:hint="default" w:ascii="Times New Roman" w:hAnsi="Times New Roman" w:eastAsia="仿宋_GB2312" w:cs="Times New Roman"/>
                <w:bCs/>
                <w:color w:val="auto"/>
                <w:sz w:val="24"/>
                <w:szCs w:val="24"/>
                <w:vertAlign w:val="subscript"/>
                <w:lang w:val="en-US" w:eastAsia="zh-CN"/>
              </w:rPr>
              <w:t>5</w:t>
            </w:r>
            <w:r>
              <w:rPr>
                <w:rFonts w:hint="default" w:ascii="Times New Roman" w:hAnsi="Times New Roman" w:eastAsia="仿宋_GB2312" w:cs="Times New Roman"/>
                <w:bCs/>
                <w:color w:val="auto"/>
                <w:sz w:val="24"/>
                <w:szCs w:val="24"/>
                <w:lang w:val="en-US" w:eastAsia="zh-CN"/>
              </w:rPr>
              <w:t>、SS、NH</w:t>
            </w:r>
            <w:r>
              <w:rPr>
                <w:rFonts w:hint="default" w:ascii="Times New Roman" w:hAnsi="Times New Roman" w:eastAsia="仿宋_GB2312" w:cs="Times New Roman"/>
                <w:bCs/>
                <w:color w:val="auto"/>
                <w:sz w:val="24"/>
                <w:szCs w:val="24"/>
                <w:vertAlign w:val="subscript"/>
                <w:lang w:val="en-US" w:eastAsia="zh-CN"/>
              </w:rPr>
              <w:t>3</w:t>
            </w:r>
            <w:r>
              <w:rPr>
                <w:rFonts w:hint="default" w:ascii="Times New Roman" w:hAnsi="Times New Roman" w:eastAsia="仿宋_GB2312" w:cs="Times New Roman"/>
                <w:bCs/>
                <w:color w:val="auto"/>
                <w:sz w:val="24"/>
                <w:szCs w:val="24"/>
                <w:lang w:val="en-US" w:eastAsia="zh-CN"/>
              </w:rPr>
              <w:t>-N，根据《水处理工程手册》（化学工业出版社，2000年4月），COD</w:t>
            </w:r>
            <w:r>
              <w:rPr>
                <w:rFonts w:hint="default" w:ascii="Times New Roman" w:hAnsi="Times New Roman" w:eastAsia="仿宋_GB2312" w:cs="Times New Roman"/>
                <w:bCs/>
                <w:color w:val="auto"/>
                <w:sz w:val="24"/>
                <w:szCs w:val="24"/>
                <w:vertAlign w:val="subscript"/>
                <w:lang w:val="en-US" w:eastAsia="zh-CN"/>
              </w:rPr>
              <w:t>Cr</w:t>
            </w:r>
            <w:r>
              <w:rPr>
                <w:rFonts w:hint="default" w:ascii="Times New Roman" w:hAnsi="Times New Roman" w:eastAsia="仿宋_GB2312" w:cs="Times New Roman"/>
                <w:bCs/>
                <w:color w:val="auto"/>
                <w:sz w:val="24"/>
                <w:szCs w:val="24"/>
                <w:lang w:val="en-US" w:eastAsia="zh-CN"/>
              </w:rPr>
              <w:t>、BOD</w:t>
            </w:r>
            <w:r>
              <w:rPr>
                <w:rFonts w:hint="default" w:ascii="Times New Roman" w:hAnsi="Times New Roman" w:eastAsia="仿宋_GB2312" w:cs="Times New Roman"/>
                <w:bCs/>
                <w:color w:val="auto"/>
                <w:sz w:val="24"/>
                <w:szCs w:val="24"/>
                <w:vertAlign w:val="subscript"/>
                <w:lang w:val="en-US" w:eastAsia="zh-CN"/>
              </w:rPr>
              <w:t>5</w:t>
            </w:r>
            <w:r>
              <w:rPr>
                <w:rFonts w:hint="default" w:ascii="Times New Roman" w:hAnsi="Times New Roman" w:eastAsia="仿宋_GB2312" w:cs="Times New Roman"/>
                <w:bCs/>
                <w:color w:val="auto"/>
                <w:sz w:val="24"/>
                <w:szCs w:val="24"/>
                <w:lang w:val="en-US" w:eastAsia="zh-CN"/>
              </w:rPr>
              <w:t>、SS、NH</w:t>
            </w:r>
            <w:r>
              <w:rPr>
                <w:rFonts w:hint="default" w:ascii="Times New Roman" w:hAnsi="Times New Roman" w:eastAsia="仿宋_GB2312" w:cs="Times New Roman"/>
                <w:bCs/>
                <w:color w:val="auto"/>
                <w:sz w:val="24"/>
                <w:szCs w:val="24"/>
                <w:vertAlign w:val="subscript"/>
                <w:lang w:val="en-US" w:eastAsia="zh-CN"/>
              </w:rPr>
              <w:t>3</w:t>
            </w:r>
            <w:r>
              <w:rPr>
                <w:rFonts w:hint="default" w:ascii="Times New Roman" w:hAnsi="Times New Roman" w:eastAsia="仿宋_GB2312" w:cs="Times New Roman"/>
                <w:bCs/>
                <w:color w:val="auto"/>
                <w:sz w:val="24"/>
                <w:szCs w:val="24"/>
                <w:lang w:val="en-US" w:eastAsia="zh-CN"/>
              </w:rPr>
              <w:t>-N产生浓度分别为350mg/L、200mg/L、300mg/L、30mg/L。</w:t>
            </w:r>
          </w:p>
          <w:p w14:paraId="08E004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⑵</w:t>
            </w:r>
            <w:r>
              <w:rPr>
                <w:rFonts w:hint="eastAsia" w:eastAsia="仿宋"/>
                <w:b/>
                <w:bCs/>
                <w:color w:val="auto"/>
                <w:sz w:val="24"/>
              </w:rPr>
              <w:t>废水环境影响及治理措施</w:t>
            </w:r>
          </w:p>
          <w:p w14:paraId="57499AF6">
            <w:pPr>
              <w:adjustRightInd w:val="0"/>
              <w:snapToGrid w:val="0"/>
              <w:spacing w:line="360" w:lineRule="auto"/>
              <w:ind w:firstLine="480" w:firstLineChars="200"/>
              <w:rPr>
                <w:rFonts w:hint="eastAsia" w:ascii="Times New Roman" w:hAnsi="Times New Roman" w:eastAsia="仿宋_GB2312" w:cs="Times New Roman"/>
                <w:bCs/>
                <w:color w:val="auto"/>
                <w:sz w:val="22"/>
                <w:szCs w:val="18"/>
                <w:lang w:val="en-US" w:eastAsia="zh-CN"/>
              </w:rPr>
            </w:pPr>
            <w:r>
              <w:rPr>
                <w:rFonts w:hint="default" w:ascii="Times New Roman" w:hAnsi="Times New Roman" w:eastAsia="仿宋_GB2312" w:cs="Times New Roman"/>
                <w:bCs/>
                <w:color w:val="auto"/>
                <w:sz w:val="24"/>
                <w:szCs w:val="24"/>
                <w:lang w:eastAsia="zh-CN"/>
              </w:rPr>
              <w:t>本项目</w:t>
            </w:r>
            <w:r>
              <w:rPr>
                <w:rFonts w:hint="default" w:ascii="Times New Roman" w:hAnsi="Times New Roman" w:eastAsia="仿宋_GB2312" w:cs="Times New Roman"/>
                <w:b w:val="0"/>
                <w:bCs/>
                <w:color w:val="auto"/>
                <w:sz w:val="24"/>
                <w:szCs w:val="24"/>
                <w:highlight w:val="none"/>
                <w:lang w:val="en-US" w:eastAsia="zh-CN"/>
              </w:rPr>
              <w:t>食堂</w:t>
            </w:r>
            <w:r>
              <w:rPr>
                <w:rFonts w:hint="default" w:ascii="Times New Roman" w:hAnsi="Times New Roman" w:eastAsia="仿宋_GB2312" w:cs="Times New Roman"/>
                <w:bCs/>
                <w:color w:val="auto"/>
                <w:sz w:val="24"/>
                <w:szCs w:val="24"/>
                <w:lang w:val="en-US" w:eastAsia="zh-CN"/>
              </w:rPr>
              <w:t>废水经隔油设施隔油后，与</w:t>
            </w:r>
            <w:r>
              <w:rPr>
                <w:rFonts w:hint="default" w:ascii="Times New Roman" w:hAnsi="Times New Roman" w:eastAsia="仿宋_GB2312" w:cs="Times New Roman"/>
                <w:bCs/>
                <w:color w:val="auto"/>
                <w:sz w:val="24"/>
                <w:szCs w:val="24"/>
              </w:rPr>
              <w:t>生活污水</w:t>
            </w:r>
            <w:r>
              <w:rPr>
                <w:rFonts w:hint="default" w:ascii="Times New Roman" w:hAnsi="Times New Roman" w:eastAsia="仿宋_GB2312" w:cs="Times New Roman"/>
                <w:bCs/>
                <w:color w:val="auto"/>
                <w:sz w:val="24"/>
                <w:szCs w:val="24"/>
                <w:lang w:val="en-US" w:eastAsia="zh-CN"/>
              </w:rPr>
              <w:t>一同</w:t>
            </w:r>
            <w:r>
              <w:rPr>
                <w:rFonts w:hint="default" w:ascii="Times New Roman" w:hAnsi="Times New Roman" w:eastAsia="仿宋_GB2312" w:cs="Times New Roman"/>
                <w:bCs/>
                <w:color w:val="auto"/>
                <w:sz w:val="24"/>
                <w:szCs w:val="24"/>
              </w:rPr>
              <w:t>经化粪池</w:t>
            </w:r>
            <w:r>
              <w:rPr>
                <w:rFonts w:hint="default" w:ascii="Times New Roman" w:hAnsi="Times New Roman" w:eastAsia="仿宋_GB2312" w:cs="Times New Roman"/>
                <w:bCs/>
                <w:color w:val="auto"/>
                <w:sz w:val="24"/>
                <w:szCs w:val="24"/>
                <w:lang w:eastAsia="zh-CN"/>
              </w:rPr>
              <w:t>（</w:t>
            </w:r>
            <w:r>
              <w:rPr>
                <w:rFonts w:hint="eastAsia" w:eastAsia="仿宋_GB2312" w:cs="Times New Roman"/>
                <w:bCs/>
                <w:color w:val="auto"/>
                <w:sz w:val="24"/>
                <w:szCs w:val="24"/>
                <w:lang w:val="en-US" w:eastAsia="zh-CN"/>
              </w:rPr>
              <w:t>16</w:t>
            </w:r>
            <w:r>
              <w:rPr>
                <w:rFonts w:hint="default" w:ascii="Times New Roman" w:hAnsi="Times New Roman" w:eastAsia="仿宋_GB2312" w:cs="Times New Roman"/>
                <w:bCs/>
                <w:color w:val="auto"/>
                <w:sz w:val="24"/>
                <w:szCs w:val="24"/>
                <w:lang w:val="en-US" w:eastAsia="zh-CN"/>
              </w:rPr>
              <w:t>m</w:t>
            </w:r>
            <w:r>
              <w:rPr>
                <w:rFonts w:hint="default" w:ascii="Times New Roman" w:hAnsi="Times New Roman" w:eastAsia="仿宋_GB2312" w:cs="Times New Roman"/>
                <w:bCs/>
                <w:color w:val="auto"/>
                <w:sz w:val="24"/>
                <w:szCs w:val="24"/>
                <w:vertAlign w:val="superscript"/>
                <w:lang w:val="en-US" w:eastAsia="zh-CN"/>
              </w:rPr>
              <w:t>3</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处理后</w:t>
            </w:r>
            <w:r>
              <w:rPr>
                <w:rFonts w:hint="default" w:ascii="Times New Roman" w:hAnsi="Times New Roman" w:eastAsia="仿宋_GB2312" w:cs="Times New Roman"/>
                <w:bCs/>
                <w:color w:val="auto"/>
                <w:sz w:val="24"/>
                <w:szCs w:val="24"/>
                <w:lang w:eastAsia="zh-CN"/>
              </w:rPr>
              <w:t>满足《</w:t>
            </w:r>
            <w:r>
              <w:rPr>
                <w:rFonts w:hint="default" w:ascii="Times New Roman" w:hAnsi="Times New Roman" w:eastAsia="仿宋_GB2312" w:cs="Times New Roman"/>
                <w:color w:val="auto"/>
                <w:kern w:val="0"/>
                <w:sz w:val="24"/>
                <w:szCs w:val="24"/>
                <w:lang w:eastAsia="zh-CN"/>
              </w:rPr>
              <w:t>污水综合排放标准》（GB</w:t>
            </w:r>
            <w:r>
              <w:rPr>
                <w:rFonts w:hint="default" w:ascii="Times New Roman" w:hAnsi="Times New Roman" w:eastAsia="仿宋_GB2312" w:cs="Times New Roman"/>
                <w:color w:val="auto"/>
                <w:kern w:val="0"/>
                <w:sz w:val="24"/>
                <w:szCs w:val="24"/>
                <w:lang w:val="en-US" w:eastAsia="zh-CN"/>
              </w:rPr>
              <w:t>8978</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1996</w:t>
            </w:r>
            <w:r>
              <w:rPr>
                <w:rFonts w:hint="default" w:ascii="Times New Roman" w:hAnsi="Times New Roman" w:eastAsia="仿宋_GB2312" w:cs="Times New Roman"/>
                <w:color w:val="auto"/>
                <w:kern w:val="0"/>
                <w:sz w:val="24"/>
                <w:szCs w:val="24"/>
                <w:lang w:eastAsia="zh-CN"/>
              </w:rPr>
              <w:t>）中</w:t>
            </w:r>
            <w:r>
              <w:rPr>
                <w:rFonts w:hint="default" w:ascii="Times New Roman" w:hAnsi="Times New Roman" w:eastAsia="仿宋_GB2312" w:cs="Times New Roman"/>
                <w:color w:val="auto"/>
                <w:kern w:val="0"/>
                <w:sz w:val="24"/>
                <w:szCs w:val="24"/>
                <w:lang w:val="en-US" w:eastAsia="zh-CN"/>
              </w:rPr>
              <w:t>三</w:t>
            </w:r>
            <w:r>
              <w:rPr>
                <w:rFonts w:hint="default" w:ascii="Times New Roman" w:hAnsi="Times New Roman" w:eastAsia="仿宋_GB2312" w:cs="Times New Roman"/>
                <w:color w:val="auto"/>
                <w:kern w:val="0"/>
                <w:sz w:val="24"/>
                <w:szCs w:val="24"/>
                <w:lang w:eastAsia="zh-CN"/>
              </w:rPr>
              <w:t>级标准</w:t>
            </w:r>
            <w:r>
              <w:rPr>
                <w:rFonts w:hint="eastAsia" w:eastAsia="仿宋_GB2312" w:cs="Times New Roman"/>
                <w:color w:val="auto"/>
                <w:kern w:val="0"/>
                <w:sz w:val="24"/>
                <w:szCs w:val="24"/>
                <w:lang w:eastAsia="zh-CN"/>
              </w:rPr>
              <w:t>、</w:t>
            </w:r>
            <w:r>
              <w:rPr>
                <w:rFonts w:hint="default" w:ascii="Times New Roman" w:hAnsi="Times New Roman" w:eastAsia="仿宋_GB2312" w:cs="Times New Roman"/>
                <w:b w:val="0"/>
                <w:bCs w:val="0"/>
                <w:color w:val="auto"/>
                <w:kern w:val="2"/>
                <w:sz w:val="24"/>
                <w:szCs w:val="24"/>
                <w:lang w:val="en-US" w:eastAsia="zh-CN" w:bidi="ar-SA"/>
              </w:rPr>
              <w:t>中卫市沙坡头区兴仁镇污水处理厂</w:t>
            </w:r>
            <w:r>
              <w:rPr>
                <w:rFonts w:hint="default" w:ascii="Times New Roman" w:hAnsi="Times New Roman" w:eastAsia="仿宋_GB2312" w:cs="Times New Roman"/>
                <w:color w:val="auto"/>
                <w:kern w:val="2"/>
                <w:sz w:val="24"/>
                <w:szCs w:val="24"/>
                <w:lang w:val="en-US" w:eastAsia="zh-CN"/>
              </w:rPr>
              <w:t>进水水质标准</w:t>
            </w:r>
            <w:r>
              <w:rPr>
                <w:rFonts w:hint="default" w:ascii="Times New Roman" w:hAnsi="Times New Roman" w:eastAsia="仿宋_GB2312" w:cs="Times New Roman"/>
                <w:color w:val="auto"/>
                <w:kern w:val="2"/>
                <w:sz w:val="24"/>
                <w:szCs w:val="24"/>
                <w:lang w:eastAsia="zh-CN"/>
              </w:rPr>
              <w:t>后，</w:t>
            </w:r>
            <w:r>
              <w:rPr>
                <w:rFonts w:hint="default" w:ascii="Times New Roman" w:hAnsi="Times New Roman" w:eastAsia="仿宋_GB2312" w:cs="Times New Roman"/>
                <w:b w:val="0"/>
                <w:bCs w:val="0"/>
                <w:color w:val="auto"/>
                <w:kern w:val="2"/>
                <w:sz w:val="24"/>
                <w:szCs w:val="24"/>
                <w:lang w:val="en-US" w:eastAsia="zh-CN" w:bidi="ar-SA"/>
              </w:rPr>
              <w:t>通过吸污车定期拉运至该污水处理厂进行处理</w:t>
            </w:r>
            <w:r>
              <w:rPr>
                <w:rFonts w:hint="default" w:ascii="Times New Roman" w:hAnsi="Times New Roman" w:eastAsia="仿宋_GB2312" w:cs="Times New Roman"/>
                <w:color w:val="auto"/>
                <w:kern w:val="2"/>
                <w:sz w:val="24"/>
                <w:szCs w:val="24"/>
                <w:lang w:eastAsia="zh-CN"/>
              </w:rPr>
              <w:t>。相应预处理</w:t>
            </w:r>
            <w:r>
              <w:rPr>
                <w:rFonts w:hint="default" w:ascii="Times New Roman" w:hAnsi="Times New Roman" w:eastAsia="仿宋_GB2312" w:cs="Times New Roman"/>
                <w:color w:val="auto"/>
                <w:sz w:val="24"/>
                <w:szCs w:val="24"/>
                <w:lang w:eastAsia="zh-CN"/>
              </w:rPr>
              <w:t>设施处理后</w:t>
            </w:r>
            <w:r>
              <w:rPr>
                <w:rFonts w:hint="default" w:ascii="Times New Roman" w:hAnsi="Times New Roman" w:eastAsia="仿宋_GB2312" w:cs="Times New Roman"/>
                <w:color w:val="auto"/>
                <w:sz w:val="24"/>
                <w:szCs w:val="24"/>
              </w:rPr>
              <w:t>排放情况见表</w:t>
            </w:r>
            <w:r>
              <w:rPr>
                <w:rFonts w:hint="default" w:ascii="Times New Roman" w:hAnsi="Times New Roman" w:eastAsia="仿宋_GB2312" w:cs="Times New Roman"/>
                <w:color w:val="auto"/>
                <w:sz w:val="24"/>
                <w:szCs w:val="24"/>
                <w:lang w:val="en-US" w:eastAsia="zh-CN"/>
              </w:rPr>
              <w:t>4-</w:t>
            </w:r>
            <w:r>
              <w:rPr>
                <w:rFonts w:hint="eastAsia"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w:t>
            </w:r>
          </w:p>
          <w:p w14:paraId="7DA0CE46">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仿宋_GB2312" w:cs="Times New Roman"/>
                <w:bCs/>
                <w:color w:val="auto"/>
                <w:sz w:val="22"/>
                <w:szCs w:val="18"/>
                <w:lang w:val="en-US" w:eastAsia="zh-CN"/>
              </w:rPr>
              <w:t>表4-</w:t>
            </w:r>
            <w:r>
              <w:rPr>
                <w:rFonts w:hint="eastAsia" w:eastAsia="仿宋_GB2312" w:cs="Times New Roman"/>
                <w:bCs/>
                <w:color w:val="auto"/>
                <w:sz w:val="22"/>
                <w:szCs w:val="18"/>
                <w:lang w:val="en-US" w:eastAsia="zh-CN"/>
              </w:rPr>
              <w:t>4</w:t>
            </w:r>
            <w:r>
              <w:rPr>
                <w:rFonts w:hint="eastAsia" w:ascii="Times New Roman" w:hAnsi="Times New Roman" w:eastAsia="仿宋_GB2312" w:cs="Times New Roman"/>
                <w:bCs/>
                <w:color w:val="auto"/>
                <w:sz w:val="24"/>
                <w:lang w:val="en-US" w:eastAsia="zh-CN"/>
              </w:rPr>
              <w:t xml:space="preserve">  </w:t>
            </w:r>
            <w:r>
              <w:rPr>
                <w:rFonts w:hint="eastAsia" w:eastAsia="仿宋_GB2312" w:cs="Times New Roman"/>
                <w:bCs/>
                <w:color w:val="auto"/>
                <w:sz w:val="24"/>
                <w:lang w:val="en-US" w:eastAsia="zh-CN"/>
              </w:rPr>
              <w:t xml:space="preserve">        </w:t>
            </w:r>
            <w:r>
              <w:rPr>
                <w:rFonts w:hint="eastAsia" w:ascii="Times New Roman" w:hAnsi="Times New Roman" w:eastAsia="仿宋_GB2312" w:cs="Times New Roman"/>
                <w:bCs/>
                <w:color w:val="auto"/>
                <w:sz w:val="24"/>
                <w:lang w:val="en-US" w:eastAsia="zh-CN"/>
              </w:rPr>
              <w:t xml:space="preserve">  </w:t>
            </w:r>
            <w:r>
              <w:rPr>
                <w:rFonts w:hint="eastAsia" w:ascii="Times New Roman" w:hAnsi="Times New Roman" w:eastAsia="宋体" w:cs="Times New Roman"/>
                <w:b/>
                <w:bCs/>
                <w:color w:val="auto"/>
                <w:kern w:val="2"/>
                <w:sz w:val="24"/>
                <w:szCs w:val="24"/>
                <w:lang w:val="en-US" w:eastAsia="zh-CN" w:bidi="ar-SA"/>
              </w:rPr>
              <w:t>本项目水污染物排放情况表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11"/>
              <w:gridCol w:w="811"/>
              <w:gridCol w:w="811"/>
              <w:gridCol w:w="929"/>
              <w:gridCol w:w="640"/>
              <w:gridCol w:w="668"/>
              <w:gridCol w:w="883"/>
              <w:gridCol w:w="939"/>
              <w:gridCol w:w="813"/>
            </w:tblGrid>
            <w:tr w14:paraId="2AEAB05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restart"/>
                  <w:vAlign w:val="center"/>
                </w:tcPr>
                <w:p w14:paraId="05093DC5">
                  <w:pPr>
                    <w:keepNext w:val="0"/>
                    <w:keepLines w:val="0"/>
                    <w:widowControl/>
                    <w:suppressLineNumbers w:val="0"/>
                    <w:adjustRightInd w:val="0"/>
                    <w:snapToGrid w:val="0"/>
                    <w:jc w:val="center"/>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废水排放量</w:t>
                  </w:r>
                  <w:r>
                    <w:rPr>
                      <w:rFonts w:hint="default" w:ascii="Times New Roman" w:hAnsi="Times New Roman" w:eastAsia="宋体" w:cs="宋体"/>
                      <w:b/>
                      <w:bCs/>
                      <w:color w:val="auto"/>
                      <w:kern w:val="0"/>
                      <w:sz w:val="21"/>
                      <w:szCs w:val="21"/>
                      <w:highlight w:val="none"/>
                      <w:lang w:val="en-US" w:eastAsia="zh-CN" w:bidi="ar"/>
                    </w:rPr>
                    <w:t>m</w:t>
                  </w:r>
                  <w:r>
                    <w:rPr>
                      <w:rFonts w:hint="default" w:ascii="Times New Roman" w:hAnsi="Times New Roman" w:eastAsia="宋体" w:cs="宋体"/>
                      <w:b/>
                      <w:bCs/>
                      <w:color w:val="auto"/>
                      <w:kern w:val="0"/>
                      <w:sz w:val="21"/>
                      <w:szCs w:val="21"/>
                      <w:highlight w:val="none"/>
                      <w:vertAlign w:val="superscript"/>
                      <w:lang w:val="en-US" w:eastAsia="zh-CN" w:bidi="ar"/>
                    </w:rPr>
                    <w:t>3</w:t>
                  </w:r>
                  <w:r>
                    <w:rPr>
                      <w:rFonts w:hint="default" w:ascii="Times New Roman" w:hAnsi="Times New Roman" w:eastAsia="宋体" w:cs="宋体"/>
                      <w:b/>
                      <w:bCs/>
                      <w:color w:val="auto"/>
                      <w:kern w:val="0"/>
                      <w:sz w:val="21"/>
                      <w:szCs w:val="21"/>
                      <w:highlight w:val="none"/>
                      <w:lang w:val="en-US" w:eastAsia="zh-CN" w:bidi="ar"/>
                    </w:rPr>
                    <w:t>/a</w:t>
                  </w:r>
                </w:p>
              </w:tc>
              <w:tc>
                <w:tcPr>
                  <w:tcW w:w="841" w:type="dxa"/>
                  <w:vMerge w:val="restart"/>
                  <w:vAlign w:val="center"/>
                </w:tcPr>
                <w:p w14:paraId="4C954A7A">
                  <w:pPr>
                    <w:widowControl/>
                    <w:adjustRightInd w:val="0"/>
                    <w:snapToGrid w:val="0"/>
                    <w:jc w:val="center"/>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产排污环节</w:t>
                  </w:r>
                </w:p>
              </w:tc>
              <w:tc>
                <w:tcPr>
                  <w:tcW w:w="841" w:type="dxa"/>
                  <w:vMerge w:val="restart"/>
                  <w:vAlign w:val="center"/>
                </w:tcPr>
                <w:p w14:paraId="01941DED">
                  <w:pPr>
                    <w:widowControl/>
                    <w:adjustRightInd w:val="0"/>
                    <w:snapToGrid w:val="0"/>
                    <w:jc w:val="center"/>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污染物种类</w:t>
                  </w:r>
                </w:p>
              </w:tc>
              <w:tc>
                <w:tcPr>
                  <w:tcW w:w="1806" w:type="dxa"/>
                  <w:gridSpan w:val="2"/>
                  <w:vAlign w:val="center"/>
                </w:tcPr>
                <w:p w14:paraId="6C587E94">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污染物产生情况</w:t>
                  </w:r>
                </w:p>
              </w:tc>
              <w:tc>
                <w:tcPr>
                  <w:tcW w:w="660" w:type="dxa"/>
                  <w:vMerge w:val="restart"/>
                  <w:vAlign w:val="center"/>
                </w:tcPr>
                <w:p w14:paraId="32B494D4">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治理措施</w:t>
                  </w:r>
                </w:p>
              </w:tc>
              <w:tc>
                <w:tcPr>
                  <w:tcW w:w="690" w:type="dxa"/>
                  <w:vMerge w:val="restart"/>
                  <w:vAlign w:val="center"/>
                </w:tcPr>
                <w:p w14:paraId="4410DF0D">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处理效率</w:t>
                  </w:r>
                  <w:r>
                    <w:rPr>
                      <w:rFonts w:hint="default" w:ascii="Times New Roman" w:hAnsi="Times New Roman" w:eastAsia="宋体" w:cs="宋体"/>
                      <w:b/>
                      <w:bCs/>
                      <w:color w:val="auto"/>
                      <w:kern w:val="0"/>
                      <w:sz w:val="21"/>
                      <w:szCs w:val="21"/>
                      <w:highlight w:val="none"/>
                      <w:lang w:val="en-US" w:eastAsia="zh-CN" w:bidi="ar"/>
                    </w:rPr>
                    <w:t>%</w:t>
                  </w:r>
                </w:p>
              </w:tc>
              <w:tc>
                <w:tcPr>
                  <w:tcW w:w="1890" w:type="dxa"/>
                  <w:gridSpan w:val="2"/>
                  <w:vAlign w:val="center"/>
                </w:tcPr>
                <w:p w14:paraId="3C600B25">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污染物排放情况</w:t>
                  </w:r>
                </w:p>
              </w:tc>
              <w:tc>
                <w:tcPr>
                  <w:tcW w:w="842" w:type="dxa"/>
                  <w:vMerge w:val="restart"/>
                  <w:vAlign w:val="center"/>
                </w:tcPr>
                <w:p w14:paraId="64C14211">
                  <w:pPr>
                    <w:widowControl/>
                    <w:adjustRightInd w:val="0"/>
                    <w:snapToGrid w:val="0"/>
                    <w:jc w:val="center"/>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标准限值</w:t>
                  </w:r>
                  <w:r>
                    <w:rPr>
                      <w:rFonts w:hint="default" w:ascii="Times New Roman" w:hAnsi="Times New Roman" w:eastAsia="宋体" w:cs="宋体"/>
                      <w:b/>
                      <w:bCs/>
                      <w:color w:val="auto"/>
                      <w:kern w:val="0"/>
                      <w:sz w:val="21"/>
                      <w:szCs w:val="21"/>
                      <w:highlight w:val="none"/>
                      <w:lang w:val="en-US" w:eastAsia="zh-CN" w:bidi="ar"/>
                    </w:rPr>
                    <w:t>mg/L</w:t>
                  </w:r>
                </w:p>
              </w:tc>
            </w:tr>
            <w:tr w14:paraId="32AE90B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14:paraId="19272815">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841" w:type="dxa"/>
                  <w:vMerge w:val="continue"/>
                  <w:vAlign w:val="center"/>
                </w:tcPr>
                <w:p w14:paraId="2AECEC51">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841" w:type="dxa"/>
                  <w:vMerge w:val="continue"/>
                  <w:vAlign w:val="center"/>
                </w:tcPr>
                <w:p w14:paraId="4EE11B6F">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841" w:type="dxa"/>
                  <w:vAlign w:val="center"/>
                </w:tcPr>
                <w:p w14:paraId="0D47ED3D">
                  <w:pPr>
                    <w:widowControl/>
                    <w:adjustRightInd w:val="0"/>
                    <w:snapToGrid w:val="0"/>
                    <w:jc w:val="center"/>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产生浓度</w:t>
                  </w:r>
                  <w:r>
                    <w:rPr>
                      <w:rFonts w:hint="default" w:ascii="Times New Roman" w:hAnsi="Times New Roman" w:eastAsia="宋体" w:cs="宋体"/>
                      <w:b/>
                      <w:bCs/>
                      <w:color w:val="auto"/>
                      <w:kern w:val="0"/>
                      <w:sz w:val="21"/>
                      <w:szCs w:val="21"/>
                      <w:highlight w:val="none"/>
                      <w:lang w:val="en-US" w:eastAsia="zh-CN" w:bidi="ar"/>
                    </w:rPr>
                    <w:t>mg/L</w:t>
                  </w:r>
                </w:p>
              </w:tc>
              <w:tc>
                <w:tcPr>
                  <w:tcW w:w="965" w:type="dxa"/>
                  <w:vAlign w:val="center"/>
                </w:tcPr>
                <w:p w14:paraId="1F2EECE5">
                  <w:pPr>
                    <w:widowControl/>
                    <w:adjustRightInd w:val="0"/>
                    <w:snapToGrid w:val="0"/>
                    <w:jc w:val="center"/>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污染物产生量</w:t>
                  </w:r>
                  <w:r>
                    <w:rPr>
                      <w:rFonts w:hint="default" w:ascii="Times New Roman" w:hAnsi="Times New Roman" w:eastAsia="宋体" w:cs="宋体"/>
                      <w:b/>
                      <w:bCs/>
                      <w:color w:val="auto"/>
                      <w:kern w:val="0"/>
                      <w:sz w:val="21"/>
                      <w:szCs w:val="21"/>
                      <w:highlight w:val="none"/>
                      <w:lang w:val="en-US" w:eastAsia="zh-CN" w:bidi="ar"/>
                    </w:rPr>
                    <w:t>t/a</w:t>
                  </w:r>
                </w:p>
              </w:tc>
              <w:tc>
                <w:tcPr>
                  <w:tcW w:w="660" w:type="dxa"/>
                  <w:vMerge w:val="continue"/>
                  <w:vAlign w:val="center"/>
                </w:tcPr>
                <w:p w14:paraId="562C5A62">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690" w:type="dxa"/>
                  <w:vMerge w:val="continue"/>
                  <w:vAlign w:val="center"/>
                </w:tcPr>
                <w:p w14:paraId="46C841F3">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915" w:type="dxa"/>
                  <w:vAlign w:val="center"/>
                </w:tcPr>
                <w:p w14:paraId="2C7323A8">
                  <w:pPr>
                    <w:widowControl/>
                    <w:adjustRightInd w:val="0"/>
                    <w:snapToGrid w:val="0"/>
                    <w:jc w:val="center"/>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排放浓度</w:t>
                  </w:r>
                  <w:r>
                    <w:rPr>
                      <w:rFonts w:hint="default" w:ascii="Times New Roman" w:hAnsi="Times New Roman" w:eastAsia="宋体" w:cs="宋体"/>
                      <w:b/>
                      <w:bCs/>
                      <w:color w:val="auto"/>
                      <w:kern w:val="0"/>
                      <w:sz w:val="21"/>
                      <w:szCs w:val="21"/>
                      <w:highlight w:val="none"/>
                      <w:lang w:val="en-US" w:eastAsia="zh-CN" w:bidi="ar"/>
                    </w:rPr>
                    <w:t>mg/L</w:t>
                  </w:r>
                </w:p>
              </w:tc>
              <w:tc>
                <w:tcPr>
                  <w:tcW w:w="975" w:type="dxa"/>
                  <w:vAlign w:val="center"/>
                </w:tcPr>
                <w:p w14:paraId="56AB13B4">
                  <w:pPr>
                    <w:widowControl/>
                    <w:adjustRightInd w:val="0"/>
                    <w:snapToGrid w:val="0"/>
                    <w:jc w:val="center"/>
                    <w:rPr>
                      <w:rFonts w:hint="eastAsia"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b/>
                      <w:bCs/>
                      <w:color w:val="auto"/>
                      <w:kern w:val="0"/>
                      <w:sz w:val="21"/>
                      <w:szCs w:val="21"/>
                      <w:highlight w:val="none"/>
                      <w:lang w:val="en-US" w:eastAsia="zh-CN" w:bidi="ar"/>
                    </w:rPr>
                    <w:t>污染物排放量</w:t>
                  </w:r>
                  <w:r>
                    <w:rPr>
                      <w:rFonts w:hint="default" w:ascii="Times New Roman" w:hAnsi="Times New Roman" w:eastAsia="宋体" w:cs="宋体"/>
                      <w:b/>
                      <w:bCs/>
                      <w:color w:val="auto"/>
                      <w:kern w:val="0"/>
                      <w:sz w:val="21"/>
                      <w:szCs w:val="21"/>
                      <w:highlight w:val="none"/>
                      <w:lang w:val="en-US" w:eastAsia="zh-CN" w:bidi="ar"/>
                    </w:rPr>
                    <w:t>t/a</w:t>
                  </w:r>
                </w:p>
              </w:tc>
              <w:tc>
                <w:tcPr>
                  <w:tcW w:w="842" w:type="dxa"/>
                  <w:vMerge w:val="continue"/>
                  <w:vAlign w:val="center"/>
                </w:tcPr>
                <w:p w14:paraId="014C3A1B">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r>
            <w:tr w14:paraId="79B79B5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restart"/>
                  <w:vAlign w:val="center"/>
                </w:tcPr>
                <w:p w14:paraId="29614731">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864</w:t>
                  </w:r>
                </w:p>
              </w:tc>
              <w:tc>
                <w:tcPr>
                  <w:tcW w:w="841" w:type="dxa"/>
                  <w:vMerge w:val="restart"/>
                  <w:vAlign w:val="center"/>
                </w:tcPr>
                <w:p w14:paraId="5CAFAE69">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混合废水</w:t>
                  </w:r>
                </w:p>
              </w:tc>
              <w:tc>
                <w:tcPr>
                  <w:tcW w:w="841" w:type="dxa"/>
                  <w:vAlign w:val="center"/>
                </w:tcPr>
                <w:p w14:paraId="02CA45A7">
                  <w:pPr>
                    <w:pStyle w:val="61"/>
                    <w:pageBreakBefore w:val="0"/>
                    <w:widowControl w:val="0"/>
                    <w:kinsoku/>
                    <w:wordWrap/>
                    <w:bidi w:val="0"/>
                    <w:rPr>
                      <w:rFonts w:hint="eastAsia" w:ascii="Times New Roman" w:hAnsi="Times New Roman" w:eastAsia="宋体" w:cs="宋体"/>
                      <w:color w:val="auto"/>
                      <w:kern w:val="0"/>
                      <w:sz w:val="21"/>
                      <w:szCs w:val="21"/>
                      <w:highlight w:val="none"/>
                      <w:vertAlign w:val="baseline"/>
                      <w:lang w:val="en-US" w:eastAsia="zh-CN" w:bidi="ar-SA"/>
                    </w:rPr>
                  </w:pPr>
                  <w:r>
                    <w:rPr>
                      <w:rFonts w:ascii="Times New Roman" w:hAnsi="Times New Roman"/>
                      <w:color w:val="auto"/>
                      <w:sz w:val="21"/>
                      <w:szCs w:val="21"/>
                      <w:highlight w:val="none"/>
                    </w:rPr>
                    <w:t>COD</w:t>
                  </w:r>
                </w:p>
              </w:tc>
              <w:tc>
                <w:tcPr>
                  <w:tcW w:w="841" w:type="dxa"/>
                  <w:vAlign w:val="center"/>
                </w:tcPr>
                <w:p w14:paraId="21FBBC74">
                  <w:pPr>
                    <w:pStyle w:val="61"/>
                    <w:pageBreakBefore w:val="0"/>
                    <w:widowControl w:val="0"/>
                    <w:kinsoku/>
                    <w:wordWrap/>
                    <w:bidi w:val="0"/>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350</w:t>
                  </w:r>
                </w:p>
              </w:tc>
              <w:tc>
                <w:tcPr>
                  <w:tcW w:w="965" w:type="dxa"/>
                  <w:vAlign w:val="center"/>
                </w:tcPr>
                <w:p w14:paraId="3CF9E560">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color w:val="auto"/>
                      <w:kern w:val="0"/>
                      <w:sz w:val="21"/>
                      <w:szCs w:val="21"/>
                      <w:highlight w:val="none"/>
                      <w:vertAlign w:val="baseline"/>
                      <w:lang w:val="en-US" w:eastAsia="zh-CN" w:bidi="ar-SA"/>
                    </w:rPr>
                    <w:t>0.</w:t>
                  </w:r>
                  <w:r>
                    <w:rPr>
                      <w:rFonts w:hint="eastAsia" w:cs="宋体"/>
                      <w:color w:val="auto"/>
                      <w:kern w:val="0"/>
                      <w:sz w:val="21"/>
                      <w:szCs w:val="21"/>
                      <w:highlight w:val="none"/>
                      <w:vertAlign w:val="baseline"/>
                      <w:lang w:val="en-US" w:eastAsia="zh-CN" w:bidi="ar-SA"/>
                    </w:rPr>
                    <w:t>30</w:t>
                  </w:r>
                </w:p>
              </w:tc>
              <w:tc>
                <w:tcPr>
                  <w:tcW w:w="660" w:type="dxa"/>
                  <w:vMerge w:val="restart"/>
                  <w:vAlign w:val="center"/>
                </w:tcPr>
                <w:p w14:paraId="075B9F77">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color w:val="auto"/>
                      <w:kern w:val="0"/>
                      <w:sz w:val="21"/>
                      <w:szCs w:val="21"/>
                      <w:highlight w:val="none"/>
                      <w:vertAlign w:val="baseline"/>
                      <w:lang w:val="en-US" w:eastAsia="zh-CN" w:bidi="ar-SA"/>
                    </w:rPr>
                    <w:t>化粪池</w:t>
                  </w:r>
                </w:p>
              </w:tc>
              <w:tc>
                <w:tcPr>
                  <w:tcW w:w="690" w:type="dxa"/>
                  <w:vAlign w:val="center"/>
                </w:tcPr>
                <w:p w14:paraId="617F3586">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10</w:t>
                  </w:r>
                </w:p>
              </w:tc>
              <w:tc>
                <w:tcPr>
                  <w:tcW w:w="915" w:type="dxa"/>
                  <w:vAlign w:val="center"/>
                </w:tcPr>
                <w:p w14:paraId="6BFFA65F">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315</w:t>
                  </w:r>
                </w:p>
              </w:tc>
              <w:tc>
                <w:tcPr>
                  <w:tcW w:w="975" w:type="dxa"/>
                  <w:vAlign w:val="center"/>
                </w:tcPr>
                <w:p w14:paraId="315871A1">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0.27</w:t>
                  </w:r>
                </w:p>
              </w:tc>
              <w:tc>
                <w:tcPr>
                  <w:tcW w:w="842" w:type="dxa"/>
                  <w:vAlign w:val="center"/>
                </w:tcPr>
                <w:p w14:paraId="2642A757">
                  <w:pPr>
                    <w:pStyle w:val="61"/>
                    <w:pageBreakBefore w:val="0"/>
                    <w:widowControl w:val="0"/>
                    <w:kinsoku/>
                    <w:wordWrap/>
                    <w:bidi w:val="0"/>
                    <w:rPr>
                      <w:rFonts w:hint="default" w:ascii="Times New Roman" w:hAnsi="Times New Roman" w:eastAsia="宋体" w:cs="宋体"/>
                      <w:color w:val="auto"/>
                      <w:kern w:val="0"/>
                      <w:sz w:val="21"/>
                      <w:szCs w:val="21"/>
                      <w:highlight w:val="none"/>
                      <w:vertAlign w:val="baseline"/>
                      <w:lang w:val="en-US" w:eastAsia="zh-CN" w:bidi="ar-SA"/>
                    </w:rPr>
                  </w:pPr>
                  <w:r>
                    <w:rPr>
                      <w:rFonts w:hint="eastAsia"/>
                      <w:color w:val="auto"/>
                      <w:sz w:val="21"/>
                      <w:szCs w:val="21"/>
                      <w:highlight w:val="none"/>
                      <w:lang w:val="en-US" w:eastAsia="zh-CN"/>
                    </w:rPr>
                    <w:t>400</w:t>
                  </w:r>
                </w:p>
              </w:tc>
            </w:tr>
            <w:tr w14:paraId="5ABBD43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14:paraId="29F922C7">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841" w:type="dxa"/>
                  <w:vMerge w:val="continue"/>
                  <w:vAlign w:val="center"/>
                </w:tcPr>
                <w:p w14:paraId="719C132D">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841" w:type="dxa"/>
                  <w:vAlign w:val="center"/>
                </w:tcPr>
                <w:p w14:paraId="15CED317">
                  <w:pPr>
                    <w:pStyle w:val="61"/>
                    <w:pageBreakBefore w:val="0"/>
                    <w:widowControl w:val="0"/>
                    <w:kinsoku/>
                    <w:wordWrap/>
                    <w:bidi w:val="0"/>
                    <w:rPr>
                      <w:rFonts w:hint="eastAsia" w:ascii="Times New Roman" w:hAnsi="Times New Roman" w:eastAsia="宋体" w:cs="宋体"/>
                      <w:color w:val="auto"/>
                      <w:kern w:val="0"/>
                      <w:sz w:val="21"/>
                      <w:szCs w:val="21"/>
                      <w:highlight w:val="none"/>
                      <w:vertAlign w:val="baseline"/>
                      <w:lang w:val="en-US" w:eastAsia="zh-CN" w:bidi="ar-SA"/>
                    </w:rPr>
                  </w:pPr>
                  <w:r>
                    <w:rPr>
                      <w:rFonts w:ascii="Times New Roman" w:hAnsi="Times New Roman"/>
                      <w:color w:val="auto"/>
                      <w:sz w:val="21"/>
                      <w:szCs w:val="21"/>
                      <w:highlight w:val="none"/>
                    </w:rPr>
                    <w:t>BOD</w:t>
                  </w:r>
                  <w:r>
                    <w:rPr>
                      <w:rFonts w:ascii="Times New Roman" w:hAnsi="Times New Roman"/>
                      <w:color w:val="auto"/>
                      <w:sz w:val="21"/>
                      <w:szCs w:val="21"/>
                      <w:highlight w:val="none"/>
                      <w:vertAlign w:val="subscript"/>
                    </w:rPr>
                    <w:t>5</w:t>
                  </w:r>
                </w:p>
              </w:tc>
              <w:tc>
                <w:tcPr>
                  <w:tcW w:w="841" w:type="dxa"/>
                  <w:vAlign w:val="center"/>
                </w:tcPr>
                <w:p w14:paraId="41108551">
                  <w:pPr>
                    <w:pStyle w:val="61"/>
                    <w:pageBreakBefore w:val="0"/>
                    <w:widowControl w:val="0"/>
                    <w:kinsoku/>
                    <w:wordWrap/>
                    <w:bidi w:val="0"/>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200</w:t>
                  </w:r>
                </w:p>
              </w:tc>
              <w:tc>
                <w:tcPr>
                  <w:tcW w:w="965" w:type="dxa"/>
                  <w:vAlign w:val="center"/>
                </w:tcPr>
                <w:p w14:paraId="2B6EFCD7">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color w:val="auto"/>
                      <w:kern w:val="0"/>
                      <w:sz w:val="21"/>
                      <w:szCs w:val="21"/>
                      <w:highlight w:val="none"/>
                      <w:vertAlign w:val="baseline"/>
                      <w:lang w:val="en-US" w:eastAsia="zh-CN" w:bidi="ar-SA"/>
                    </w:rPr>
                    <w:t>0.</w:t>
                  </w:r>
                  <w:r>
                    <w:rPr>
                      <w:rFonts w:hint="eastAsia" w:cs="宋体"/>
                      <w:color w:val="auto"/>
                      <w:kern w:val="0"/>
                      <w:sz w:val="21"/>
                      <w:szCs w:val="21"/>
                      <w:highlight w:val="none"/>
                      <w:vertAlign w:val="baseline"/>
                      <w:lang w:val="en-US" w:eastAsia="zh-CN" w:bidi="ar-SA"/>
                    </w:rPr>
                    <w:t>17</w:t>
                  </w:r>
                </w:p>
              </w:tc>
              <w:tc>
                <w:tcPr>
                  <w:tcW w:w="660" w:type="dxa"/>
                  <w:vMerge w:val="continue"/>
                  <w:vAlign w:val="center"/>
                </w:tcPr>
                <w:p w14:paraId="2BB6388C">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690" w:type="dxa"/>
                  <w:vAlign w:val="center"/>
                </w:tcPr>
                <w:p w14:paraId="196231A3">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30</w:t>
                  </w:r>
                </w:p>
              </w:tc>
              <w:tc>
                <w:tcPr>
                  <w:tcW w:w="915" w:type="dxa"/>
                  <w:vAlign w:val="center"/>
                </w:tcPr>
                <w:p w14:paraId="0C25F176">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140</w:t>
                  </w:r>
                </w:p>
              </w:tc>
              <w:tc>
                <w:tcPr>
                  <w:tcW w:w="975" w:type="dxa"/>
                  <w:vAlign w:val="center"/>
                </w:tcPr>
                <w:p w14:paraId="6C7B5A99">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0.12</w:t>
                  </w:r>
                </w:p>
              </w:tc>
              <w:tc>
                <w:tcPr>
                  <w:tcW w:w="842" w:type="dxa"/>
                  <w:vAlign w:val="center"/>
                </w:tcPr>
                <w:p w14:paraId="669D4202">
                  <w:pPr>
                    <w:pStyle w:val="61"/>
                    <w:pageBreakBefore w:val="0"/>
                    <w:widowControl w:val="0"/>
                    <w:kinsoku/>
                    <w:wordWrap/>
                    <w:bidi w:val="0"/>
                    <w:rPr>
                      <w:rFonts w:hint="default" w:ascii="Times New Roman" w:hAnsi="Times New Roman" w:eastAsia="宋体" w:cs="宋体"/>
                      <w:color w:val="auto"/>
                      <w:kern w:val="0"/>
                      <w:sz w:val="21"/>
                      <w:szCs w:val="21"/>
                      <w:highlight w:val="none"/>
                      <w:vertAlign w:val="baseline"/>
                      <w:lang w:val="en-US" w:eastAsia="zh-CN" w:bidi="ar-SA"/>
                    </w:rPr>
                  </w:pPr>
                  <w:r>
                    <w:rPr>
                      <w:rFonts w:hint="eastAsia"/>
                      <w:color w:val="auto"/>
                      <w:sz w:val="21"/>
                      <w:szCs w:val="21"/>
                      <w:highlight w:val="none"/>
                      <w:lang w:val="en-US" w:eastAsia="zh-CN"/>
                    </w:rPr>
                    <w:t>150</w:t>
                  </w:r>
                </w:p>
              </w:tc>
            </w:tr>
            <w:tr w14:paraId="6FE1352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14:paraId="1F3D6B3B">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841" w:type="dxa"/>
                  <w:vMerge w:val="continue"/>
                  <w:vAlign w:val="center"/>
                </w:tcPr>
                <w:p w14:paraId="4DD663FC">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841" w:type="dxa"/>
                  <w:vAlign w:val="center"/>
                </w:tcPr>
                <w:p w14:paraId="084EF12C">
                  <w:pPr>
                    <w:pStyle w:val="61"/>
                    <w:pageBreakBefore w:val="0"/>
                    <w:widowControl w:val="0"/>
                    <w:kinsoku/>
                    <w:wordWrap/>
                    <w:bidi w:val="0"/>
                    <w:rPr>
                      <w:rFonts w:hint="eastAsia" w:ascii="Times New Roman" w:hAnsi="Times New Roman" w:eastAsia="宋体" w:cs="宋体"/>
                      <w:color w:val="auto"/>
                      <w:kern w:val="0"/>
                      <w:sz w:val="21"/>
                      <w:szCs w:val="21"/>
                      <w:highlight w:val="none"/>
                      <w:vertAlign w:val="baseline"/>
                      <w:lang w:val="en-US" w:eastAsia="zh-CN" w:bidi="ar-SA"/>
                    </w:rPr>
                  </w:pPr>
                  <w:r>
                    <w:rPr>
                      <w:rFonts w:ascii="Times New Roman" w:hAnsi="Times New Roman"/>
                      <w:color w:val="auto"/>
                      <w:sz w:val="21"/>
                      <w:szCs w:val="21"/>
                      <w:highlight w:val="none"/>
                    </w:rPr>
                    <w:t>SS</w:t>
                  </w:r>
                </w:p>
              </w:tc>
              <w:tc>
                <w:tcPr>
                  <w:tcW w:w="841" w:type="dxa"/>
                  <w:vAlign w:val="center"/>
                </w:tcPr>
                <w:p w14:paraId="531CD96C">
                  <w:pPr>
                    <w:pStyle w:val="61"/>
                    <w:pageBreakBefore w:val="0"/>
                    <w:widowControl w:val="0"/>
                    <w:kinsoku/>
                    <w:wordWrap/>
                    <w:bidi w:val="0"/>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300</w:t>
                  </w:r>
                </w:p>
              </w:tc>
              <w:tc>
                <w:tcPr>
                  <w:tcW w:w="965" w:type="dxa"/>
                  <w:vAlign w:val="center"/>
                </w:tcPr>
                <w:p w14:paraId="67D55A90">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color w:val="auto"/>
                      <w:kern w:val="0"/>
                      <w:sz w:val="21"/>
                      <w:szCs w:val="21"/>
                      <w:highlight w:val="none"/>
                      <w:vertAlign w:val="baseline"/>
                      <w:lang w:val="en-US" w:eastAsia="zh-CN" w:bidi="ar-SA"/>
                    </w:rPr>
                    <w:t>0.</w:t>
                  </w:r>
                  <w:r>
                    <w:rPr>
                      <w:rFonts w:hint="eastAsia" w:cs="宋体"/>
                      <w:color w:val="auto"/>
                      <w:kern w:val="0"/>
                      <w:sz w:val="21"/>
                      <w:szCs w:val="21"/>
                      <w:highlight w:val="none"/>
                      <w:vertAlign w:val="baseline"/>
                      <w:lang w:val="en-US" w:eastAsia="zh-CN" w:bidi="ar-SA"/>
                    </w:rPr>
                    <w:t>26</w:t>
                  </w:r>
                </w:p>
              </w:tc>
              <w:tc>
                <w:tcPr>
                  <w:tcW w:w="660" w:type="dxa"/>
                  <w:vMerge w:val="continue"/>
                  <w:vAlign w:val="center"/>
                </w:tcPr>
                <w:p w14:paraId="0A71AB93">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690" w:type="dxa"/>
                  <w:vAlign w:val="center"/>
                </w:tcPr>
                <w:p w14:paraId="3EF7AA68">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30</w:t>
                  </w:r>
                </w:p>
              </w:tc>
              <w:tc>
                <w:tcPr>
                  <w:tcW w:w="915" w:type="dxa"/>
                  <w:vAlign w:val="center"/>
                </w:tcPr>
                <w:p w14:paraId="63B10F21">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210</w:t>
                  </w:r>
                </w:p>
              </w:tc>
              <w:tc>
                <w:tcPr>
                  <w:tcW w:w="975" w:type="dxa"/>
                  <w:vAlign w:val="center"/>
                </w:tcPr>
                <w:p w14:paraId="1DB5B5CE">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0.18</w:t>
                  </w:r>
                </w:p>
              </w:tc>
              <w:tc>
                <w:tcPr>
                  <w:tcW w:w="842" w:type="dxa"/>
                  <w:vAlign w:val="center"/>
                </w:tcPr>
                <w:p w14:paraId="376521BD">
                  <w:pPr>
                    <w:pStyle w:val="61"/>
                    <w:pageBreakBefore w:val="0"/>
                    <w:widowControl w:val="0"/>
                    <w:kinsoku/>
                    <w:wordWrap/>
                    <w:bidi w:val="0"/>
                    <w:rPr>
                      <w:rFonts w:hint="default" w:ascii="Times New Roman" w:hAnsi="Times New Roman" w:eastAsia="宋体" w:cs="宋体"/>
                      <w:color w:val="auto"/>
                      <w:kern w:val="0"/>
                      <w:sz w:val="21"/>
                      <w:szCs w:val="21"/>
                      <w:highlight w:val="none"/>
                      <w:vertAlign w:val="baseline"/>
                      <w:lang w:val="en-US" w:eastAsia="zh-CN" w:bidi="ar-SA"/>
                    </w:rPr>
                  </w:pPr>
                  <w:r>
                    <w:rPr>
                      <w:rFonts w:hint="eastAsia"/>
                      <w:color w:val="auto"/>
                      <w:sz w:val="21"/>
                      <w:szCs w:val="21"/>
                      <w:highlight w:val="none"/>
                      <w:lang w:val="en-US" w:eastAsia="zh-CN"/>
                    </w:rPr>
                    <w:t>250</w:t>
                  </w:r>
                </w:p>
              </w:tc>
            </w:tr>
            <w:tr w14:paraId="6C4CA45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vMerge w:val="continue"/>
                  <w:vAlign w:val="center"/>
                </w:tcPr>
                <w:p w14:paraId="5FE0AC45">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841" w:type="dxa"/>
                  <w:vMerge w:val="continue"/>
                  <w:vAlign w:val="center"/>
                </w:tcPr>
                <w:p w14:paraId="02C69176">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841" w:type="dxa"/>
                  <w:vAlign w:val="center"/>
                </w:tcPr>
                <w:p w14:paraId="1A395FEA">
                  <w:pPr>
                    <w:pStyle w:val="61"/>
                    <w:pageBreakBefore w:val="0"/>
                    <w:widowControl w:val="0"/>
                    <w:kinsoku/>
                    <w:wordWrap/>
                    <w:bidi w:val="0"/>
                    <w:rPr>
                      <w:rFonts w:hint="eastAsia" w:ascii="Times New Roman" w:hAnsi="Times New Roman" w:eastAsia="宋体" w:cs="宋体"/>
                      <w:color w:val="auto"/>
                      <w:kern w:val="0"/>
                      <w:sz w:val="21"/>
                      <w:szCs w:val="21"/>
                      <w:highlight w:val="none"/>
                      <w:vertAlign w:val="baseline"/>
                      <w:lang w:val="en-US" w:eastAsia="zh-CN" w:bidi="ar-SA"/>
                    </w:rPr>
                  </w:pPr>
                  <w:r>
                    <w:rPr>
                      <w:rFonts w:ascii="Times New Roman" w:hAnsi="Times New Roman"/>
                      <w:color w:val="auto"/>
                      <w:sz w:val="21"/>
                      <w:szCs w:val="21"/>
                      <w:highlight w:val="none"/>
                    </w:rPr>
                    <w:t>氨氮</w:t>
                  </w:r>
                </w:p>
              </w:tc>
              <w:tc>
                <w:tcPr>
                  <w:tcW w:w="841" w:type="dxa"/>
                  <w:vAlign w:val="center"/>
                </w:tcPr>
                <w:p w14:paraId="799A334E">
                  <w:pPr>
                    <w:pStyle w:val="61"/>
                    <w:pageBreakBefore w:val="0"/>
                    <w:widowControl w:val="0"/>
                    <w:kinsoku/>
                    <w:wordWrap/>
                    <w:bidi w:val="0"/>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30</w:t>
                  </w:r>
                </w:p>
              </w:tc>
              <w:tc>
                <w:tcPr>
                  <w:tcW w:w="965" w:type="dxa"/>
                  <w:vAlign w:val="center"/>
                </w:tcPr>
                <w:p w14:paraId="431E224E">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color w:val="auto"/>
                      <w:kern w:val="0"/>
                      <w:sz w:val="21"/>
                      <w:szCs w:val="21"/>
                      <w:highlight w:val="none"/>
                      <w:vertAlign w:val="baseline"/>
                      <w:lang w:val="en-US" w:eastAsia="zh-CN" w:bidi="ar-SA"/>
                    </w:rPr>
                    <w:t>0.0</w:t>
                  </w:r>
                  <w:r>
                    <w:rPr>
                      <w:rFonts w:hint="eastAsia" w:cs="宋体"/>
                      <w:color w:val="auto"/>
                      <w:kern w:val="0"/>
                      <w:sz w:val="21"/>
                      <w:szCs w:val="21"/>
                      <w:highlight w:val="none"/>
                      <w:vertAlign w:val="baseline"/>
                      <w:lang w:val="en-US" w:eastAsia="zh-CN" w:bidi="ar-SA"/>
                    </w:rPr>
                    <w:t>3</w:t>
                  </w:r>
                </w:p>
              </w:tc>
              <w:tc>
                <w:tcPr>
                  <w:tcW w:w="660" w:type="dxa"/>
                  <w:vMerge w:val="continue"/>
                  <w:vAlign w:val="center"/>
                </w:tcPr>
                <w:p w14:paraId="5C355222">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eastAsia" w:ascii="Times New Roman" w:hAnsi="Times New Roman" w:eastAsia="宋体" w:cs="宋体"/>
                      <w:color w:val="auto"/>
                      <w:kern w:val="0"/>
                      <w:sz w:val="21"/>
                      <w:szCs w:val="21"/>
                      <w:highlight w:val="none"/>
                      <w:vertAlign w:val="baseline"/>
                      <w:lang w:val="en-US" w:eastAsia="zh-CN" w:bidi="ar-SA"/>
                    </w:rPr>
                  </w:pPr>
                </w:p>
              </w:tc>
              <w:tc>
                <w:tcPr>
                  <w:tcW w:w="690" w:type="dxa"/>
                  <w:vAlign w:val="center"/>
                </w:tcPr>
                <w:p w14:paraId="4AFDAC31">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ascii="Times New Roman" w:hAnsi="Times New Roman" w:eastAsia="宋体" w:cs="宋体"/>
                      <w:color w:val="auto"/>
                      <w:kern w:val="0"/>
                      <w:sz w:val="21"/>
                      <w:szCs w:val="21"/>
                      <w:highlight w:val="none"/>
                      <w:vertAlign w:val="baseline"/>
                      <w:lang w:val="en-US" w:eastAsia="zh-CN" w:bidi="ar-SA"/>
                    </w:rPr>
                    <w:t>0</w:t>
                  </w:r>
                </w:p>
              </w:tc>
              <w:tc>
                <w:tcPr>
                  <w:tcW w:w="915" w:type="dxa"/>
                  <w:vAlign w:val="center"/>
                </w:tcPr>
                <w:p w14:paraId="612DBA35">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30</w:t>
                  </w:r>
                </w:p>
              </w:tc>
              <w:tc>
                <w:tcPr>
                  <w:tcW w:w="975" w:type="dxa"/>
                  <w:vAlign w:val="center"/>
                </w:tcPr>
                <w:p w14:paraId="75103839">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eastAsia="宋体" w:cs="宋体"/>
                      <w:color w:val="auto"/>
                      <w:kern w:val="0"/>
                      <w:sz w:val="21"/>
                      <w:szCs w:val="21"/>
                      <w:highlight w:val="none"/>
                      <w:vertAlign w:val="baseline"/>
                      <w:lang w:val="en-US" w:eastAsia="zh-CN" w:bidi="ar-SA"/>
                    </w:rPr>
                  </w:pPr>
                  <w:r>
                    <w:rPr>
                      <w:rFonts w:hint="eastAsia" w:cs="宋体"/>
                      <w:color w:val="auto"/>
                      <w:kern w:val="0"/>
                      <w:sz w:val="21"/>
                      <w:szCs w:val="21"/>
                      <w:highlight w:val="none"/>
                      <w:vertAlign w:val="baseline"/>
                      <w:lang w:val="en-US" w:eastAsia="zh-CN" w:bidi="ar-SA"/>
                    </w:rPr>
                    <w:t>0.03</w:t>
                  </w:r>
                </w:p>
              </w:tc>
              <w:tc>
                <w:tcPr>
                  <w:tcW w:w="842" w:type="dxa"/>
                  <w:vAlign w:val="center"/>
                </w:tcPr>
                <w:p w14:paraId="503018F7">
                  <w:pPr>
                    <w:pStyle w:val="61"/>
                    <w:pageBreakBefore w:val="0"/>
                    <w:widowControl w:val="0"/>
                    <w:kinsoku/>
                    <w:wordWrap/>
                    <w:bidi w:val="0"/>
                    <w:rPr>
                      <w:rFonts w:hint="eastAsia" w:ascii="Times New Roman" w:hAnsi="Times New Roman" w:eastAsia="宋体" w:cs="宋体"/>
                      <w:color w:val="auto"/>
                      <w:kern w:val="0"/>
                      <w:sz w:val="21"/>
                      <w:szCs w:val="21"/>
                      <w:highlight w:val="none"/>
                      <w:vertAlign w:val="baseline"/>
                      <w:lang w:val="en-US" w:eastAsia="zh-CN" w:bidi="ar-SA"/>
                    </w:rPr>
                  </w:pPr>
                  <w:r>
                    <w:rPr>
                      <w:rFonts w:hint="eastAsia"/>
                      <w:color w:val="auto"/>
                      <w:sz w:val="21"/>
                      <w:szCs w:val="21"/>
                      <w:highlight w:val="none"/>
                      <w:lang w:val="en-US" w:eastAsia="zh-CN"/>
                    </w:rPr>
                    <w:t>45</w:t>
                  </w:r>
                </w:p>
              </w:tc>
            </w:tr>
          </w:tbl>
          <w:p w14:paraId="62001255">
            <w:pPr>
              <w:adjustRightInd w:val="0"/>
              <w:snapToGrid w:val="0"/>
              <w:spacing w:line="360" w:lineRule="auto"/>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⑶本项目废水处理可行性分析</w:t>
            </w:r>
          </w:p>
          <w:p w14:paraId="3A772F97">
            <w:pPr>
              <w:snapToGrid w:val="0"/>
              <w:spacing w:line="360" w:lineRule="auto"/>
              <w:ind w:firstLine="480" w:firstLineChars="200"/>
              <w:contextualSpacing/>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kern w:val="2"/>
                <w:sz w:val="24"/>
                <w:szCs w:val="24"/>
                <w:lang w:val="en-US" w:eastAsia="zh-CN" w:bidi="ar-SA"/>
              </w:rPr>
              <w:t>本项目参考</w:t>
            </w:r>
            <w:r>
              <w:rPr>
                <w:rFonts w:hint="default" w:ascii="Times New Roman" w:hAnsi="Times New Roman" w:eastAsia="仿宋_GB2312" w:cs="Times New Roman"/>
                <w:color w:val="auto"/>
                <w:kern w:val="2"/>
                <w:sz w:val="24"/>
                <w:szCs w:val="24"/>
                <w:lang w:val="en-US" w:eastAsia="zh-CN" w:bidi="ar-SA"/>
              </w:rPr>
              <w:t>《排污许可证申请与核发技术规范-石墨及其他非金属矿物制品制造》（HJ1119-2020）中表A.9沥青混合料排污单位废水污染防治可行技术参考表可知，生活污水防治可行性技术为：化粪池、生化法。</w:t>
            </w:r>
            <w:r>
              <w:rPr>
                <w:rFonts w:hint="default" w:ascii="Times New Roman" w:hAnsi="Times New Roman" w:eastAsia="仿宋_GB2312" w:cs="Times New Roman"/>
                <w:bCs/>
                <w:color w:val="auto"/>
                <w:sz w:val="24"/>
                <w:lang w:eastAsia="zh-CN"/>
              </w:rPr>
              <w:t>本项目</w:t>
            </w:r>
            <w:r>
              <w:rPr>
                <w:rFonts w:hint="default" w:ascii="Times New Roman" w:hAnsi="Times New Roman" w:eastAsia="仿宋_GB2312" w:cs="Times New Roman"/>
                <w:b w:val="0"/>
                <w:bCs/>
                <w:color w:val="auto"/>
                <w:sz w:val="24"/>
                <w:szCs w:val="24"/>
                <w:highlight w:val="none"/>
                <w:lang w:val="en-US" w:eastAsia="zh-CN"/>
              </w:rPr>
              <w:t>食堂</w:t>
            </w:r>
            <w:r>
              <w:rPr>
                <w:rFonts w:hint="default" w:ascii="Times New Roman" w:hAnsi="Times New Roman" w:eastAsia="仿宋_GB2312" w:cs="Times New Roman"/>
                <w:bCs/>
                <w:color w:val="auto"/>
                <w:sz w:val="24"/>
                <w:lang w:val="en-US" w:eastAsia="zh-CN"/>
              </w:rPr>
              <w:t>废水经隔油设施隔油后，与</w:t>
            </w:r>
            <w:r>
              <w:rPr>
                <w:rFonts w:hint="default" w:ascii="Times New Roman" w:hAnsi="Times New Roman" w:eastAsia="仿宋_GB2312" w:cs="Times New Roman"/>
                <w:bCs/>
                <w:color w:val="auto"/>
                <w:sz w:val="24"/>
              </w:rPr>
              <w:t>生活污水</w:t>
            </w:r>
            <w:r>
              <w:rPr>
                <w:rFonts w:hint="default" w:ascii="Times New Roman" w:hAnsi="Times New Roman" w:eastAsia="仿宋_GB2312" w:cs="Times New Roman"/>
                <w:bCs/>
                <w:color w:val="auto"/>
                <w:sz w:val="24"/>
                <w:lang w:val="en-US" w:eastAsia="zh-CN"/>
              </w:rPr>
              <w:t>一同</w:t>
            </w:r>
            <w:r>
              <w:rPr>
                <w:rFonts w:hint="default" w:ascii="Times New Roman" w:hAnsi="Times New Roman" w:eastAsia="仿宋_GB2312" w:cs="Times New Roman"/>
                <w:bCs/>
                <w:color w:val="auto"/>
                <w:sz w:val="24"/>
              </w:rPr>
              <w:t>经化粪池处理</w:t>
            </w:r>
            <w:r>
              <w:rPr>
                <w:rFonts w:hint="default" w:ascii="Times New Roman" w:hAnsi="Times New Roman" w:eastAsia="仿宋_GB2312" w:cs="Times New Roman"/>
                <w:bCs/>
                <w:color w:val="auto"/>
                <w:sz w:val="24"/>
                <w:lang w:eastAsia="zh-CN"/>
              </w:rPr>
              <w:t>满足</w:t>
            </w:r>
            <w:r>
              <w:rPr>
                <w:rFonts w:hint="default" w:ascii="Times New Roman" w:hAnsi="Times New Roman" w:eastAsia="仿宋_GB2312" w:cs="Times New Roman"/>
                <w:color w:val="auto"/>
                <w:sz w:val="24"/>
                <w:highlight w:val="none"/>
              </w:rPr>
              <w:t>《</w:t>
            </w:r>
            <w:r>
              <w:rPr>
                <w:rFonts w:hint="eastAsia" w:eastAsia="仿宋_GB2312" w:cs="Times New Roman"/>
                <w:color w:val="auto"/>
                <w:sz w:val="24"/>
                <w:highlight w:val="none"/>
                <w:lang w:val="en-US" w:eastAsia="zh-CN"/>
              </w:rPr>
              <w:t>污水综合排放标准</w:t>
            </w:r>
            <w:r>
              <w:rPr>
                <w:rFonts w:hint="default" w:ascii="Times New Roman" w:hAnsi="Times New Roman" w:eastAsia="仿宋_GB2312" w:cs="Times New Roman"/>
                <w:color w:val="auto"/>
                <w:sz w:val="24"/>
                <w:highlight w:val="none"/>
              </w:rPr>
              <w:t>》（GB8978-1996）表</w:t>
            </w:r>
            <w:r>
              <w:rPr>
                <w:rFonts w:hint="eastAsia" w:eastAsia="仿宋_GB2312" w:cs="Times New Roman"/>
                <w:color w:val="auto"/>
                <w:sz w:val="24"/>
                <w:highlight w:val="none"/>
                <w:lang w:val="en-US" w:eastAsia="zh-CN"/>
              </w:rPr>
              <w:t>4</w:t>
            </w:r>
            <w:r>
              <w:rPr>
                <w:rFonts w:hint="default" w:ascii="Times New Roman" w:hAnsi="Times New Roman" w:eastAsia="仿宋_GB2312" w:cs="Times New Roman"/>
                <w:color w:val="auto"/>
                <w:sz w:val="24"/>
                <w:highlight w:val="none"/>
              </w:rPr>
              <w:t>中</w:t>
            </w:r>
            <w:r>
              <w:rPr>
                <w:rFonts w:hint="eastAsia" w:eastAsia="仿宋_GB2312" w:cs="Times New Roman"/>
                <w:color w:val="auto"/>
                <w:sz w:val="24"/>
                <w:highlight w:val="none"/>
                <w:lang w:val="en-US" w:eastAsia="zh-CN"/>
              </w:rPr>
              <w:t>三级标准及</w:t>
            </w:r>
            <w:r>
              <w:rPr>
                <w:rFonts w:hint="default" w:ascii="Times New Roman" w:hAnsi="Times New Roman" w:eastAsia="仿宋_GB2312" w:cs="Times New Roman"/>
                <w:b w:val="0"/>
                <w:bCs w:val="0"/>
                <w:color w:val="auto"/>
                <w:kern w:val="2"/>
                <w:sz w:val="24"/>
                <w:szCs w:val="24"/>
                <w:lang w:val="en-US" w:eastAsia="zh-CN" w:bidi="ar-SA"/>
              </w:rPr>
              <w:t>中卫市沙坡头区兴仁镇</w:t>
            </w:r>
            <w:r>
              <w:rPr>
                <w:rFonts w:hint="eastAsia" w:eastAsia="仿宋_GB2312" w:cs="Times New Roman"/>
                <w:color w:val="auto"/>
                <w:sz w:val="24"/>
                <w:highlight w:val="none"/>
                <w:lang w:val="en-US" w:eastAsia="zh-CN"/>
              </w:rPr>
              <w:t>污水处理场进水水质标准</w:t>
            </w:r>
            <w:r>
              <w:rPr>
                <w:rFonts w:hint="default" w:ascii="Times New Roman" w:hAnsi="Times New Roman" w:eastAsia="仿宋_GB2312" w:cs="Times New Roman"/>
                <w:color w:val="auto"/>
                <w:kern w:val="0"/>
                <w:sz w:val="24"/>
                <w:lang w:eastAsia="zh-CN"/>
              </w:rPr>
              <w:t>后</w:t>
            </w:r>
            <w:r>
              <w:rPr>
                <w:rFonts w:hint="eastAsia" w:eastAsia="仿宋_GB2312" w:cs="Times New Roman"/>
                <w:color w:val="auto"/>
                <w:kern w:val="0"/>
                <w:sz w:val="24"/>
                <w:lang w:eastAsia="zh-CN"/>
              </w:rPr>
              <w:t>，</w:t>
            </w:r>
            <w:r>
              <w:rPr>
                <w:rFonts w:hint="default" w:ascii="Times New Roman" w:hAnsi="Times New Roman" w:eastAsia="仿宋_GB2312" w:cs="Times New Roman"/>
                <w:b w:val="0"/>
                <w:bCs w:val="0"/>
                <w:color w:val="auto"/>
                <w:kern w:val="2"/>
                <w:sz w:val="24"/>
                <w:szCs w:val="24"/>
                <w:lang w:val="en-US" w:eastAsia="zh-CN" w:bidi="ar-SA"/>
              </w:rPr>
              <w:t>定期通过吸污车拉运至中卫市沙坡头区兴仁镇污水处理厂进行处理</w:t>
            </w:r>
            <w:r>
              <w:rPr>
                <w:rFonts w:hint="default" w:ascii="Times New Roman" w:hAnsi="Times New Roman" w:eastAsia="仿宋_GB2312" w:cs="Times New Roman"/>
                <w:bCs/>
                <w:color w:val="auto"/>
                <w:sz w:val="24"/>
                <w:lang w:eastAsia="zh-CN"/>
              </w:rPr>
              <w:t>，为可行性技术。</w:t>
            </w:r>
          </w:p>
          <w:p w14:paraId="32E5CC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中卫市沙坡头区兴仁镇污水处理厂主要负责处理兴仁镇及周边区域的生活污水、农业废水以及部分轻工业废水，污水处理工艺：“预处理间+调节池+A</w:t>
            </w:r>
            <w:r>
              <w:rPr>
                <w:rFonts w:hint="default" w:ascii="Times New Roman" w:hAnsi="Times New Roman" w:eastAsia="仿宋_GB2312" w:cs="Times New Roman"/>
                <w:b w:val="0"/>
                <w:bCs/>
                <w:color w:val="auto"/>
                <w:sz w:val="24"/>
                <w:szCs w:val="24"/>
                <w:vertAlign w:val="superscript"/>
                <w:lang w:val="en-US" w:eastAsia="zh-CN"/>
              </w:rPr>
              <w:t>2</w:t>
            </w:r>
            <w:r>
              <w:rPr>
                <w:rFonts w:hint="default" w:ascii="Times New Roman" w:hAnsi="Times New Roman" w:eastAsia="仿宋_GB2312" w:cs="Times New Roman"/>
                <w:b w:val="0"/>
                <w:bCs/>
                <w:color w:val="auto"/>
                <w:sz w:val="24"/>
                <w:szCs w:val="24"/>
                <w:lang w:val="en-US" w:eastAsia="zh-CN"/>
              </w:rPr>
              <w:t>/0 生物反应池+平流沉淀池+高效沉淀池+竖片滤池+次氨酸钠消毒”的综合工艺，设计近期处理规模800立方米/天，预留远期处理规模1500立方米/天，</w:t>
            </w:r>
            <w:r>
              <w:rPr>
                <w:rFonts w:hint="default" w:ascii="Times New Roman" w:hAnsi="Times New Roman" w:eastAsia="仿宋_GB2312" w:cs="Times New Roman"/>
                <w:color w:val="auto"/>
                <w:sz w:val="24"/>
                <w:highlight w:val="none"/>
              </w:rPr>
              <w:t>出水达到《城镇污水处理厂污染物排放标准》（GB18918-2002及2006年修改单）中一级A标准</w:t>
            </w:r>
            <w:r>
              <w:rPr>
                <w:rFonts w:hint="default" w:ascii="Times New Roman" w:hAnsi="Times New Roman" w:eastAsia="仿宋_GB2312" w:cs="Times New Roman"/>
                <w:color w:val="auto"/>
                <w:sz w:val="24"/>
              </w:rPr>
              <w:t>，污水处理站的设计处理能力可完全接纳项目</w:t>
            </w:r>
            <w:r>
              <w:rPr>
                <w:rFonts w:hint="default" w:ascii="Times New Roman" w:hAnsi="Times New Roman" w:eastAsia="仿宋_GB2312" w:cs="Times New Roman"/>
                <w:color w:val="auto"/>
                <w:sz w:val="24"/>
                <w:lang w:eastAsia="zh-CN"/>
              </w:rPr>
              <w:t>处理后的废水</w:t>
            </w:r>
            <w:r>
              <w:rPr>
                <w:rFonts w:hint="default" w:ascii="Times New Roman" w:hAnsi="Times New Roman" w:eastAsia="仿宋_GB2312" w:cs="Times New Roman"/>
                <w:color w:val="auto"/>
                <w:sz w:val="24"/>
              </w:rPr>
              <w:t>。</w:t>
            </w:r>
          </w:p>
          <w:p w14:paraId="75C17A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lang w:eastAsia="zh-CN"/>
              </w:rPr>
              <w:t>本项目</w:t>
            </w:r>
            <w:r>
              <w:rPr>
                <w:rFonts w:hint="default" w:ascii="Times New Roman" w:hAnsi="Times New Roman" w:eastAsia="仿宋_GB2312" w:cs="Times New Roman"/>
                <w:b w:val="0"/>
                <w:bCs/>
                <w:color w:val="auto"/>
                <w:sz w:val="24"/>
                <w:szCs w:val="24"/>
                <w:highlight w:val="none"/>
                <w:lang w:val="en-US" w:eastAsia="zh-CN"/>
              </w:rPr>
              <w:t>食堂</w:t>
            </w:r>
            <w:r>
              <w:rPr>
                <w:rFonts w:hint="default" w:ascii="Times New Roman" w:hAnsi="Times New Roman" w:eastAsia="仿宋_GB2312" w:cs="Times New Roman"/>
                <w:bCs/>
                <w:color w:val="auto"/>
                <w:sz w:val="24"/>
                <w:lang w:val="en-US" w:eastAsia="zh-CN"/>
              </w:rPr>
              <w:t>废水经隔油设施隔油后，与</w:t>
            </w:r>
            <w:r>
              <w:rPr>
                <w:rFonts w:hint="default" w:ascii="Times New Roman" w:hAnsi="Times New Roman" w:eastAsia="仿宋_GB2312" w:cs="Times New Roman"/>
                <w:bCs/>
                <w:color w:val="auto"/>
                <w:sz w:val="24"/>
              </w:rPr>
              <w:t>生活污水</w:t>
            </w:r>
            <w:r>
              <w:rPr>
                <w:rFonts w:hint="default" w:ascii="Times New Roman" w:hAnsi="Times New Roman" w:eastAsia="仿宋_GB2312" w:cs="Times New Roman"/>
                <w:bCs/>
                <w:color w:val="auto"/>
                <w:sz w:val="24"/>
                <w:lang w:val="en-US" w:eastAsia="zh-CN"/>
              </w:rPr>
              <w:t>一同</w:t>
            </w:r>
            <w:r>
              <w:rPr>
                <w:rFonts w:hint="default" w:ascii="Times New Roman" w:hAnsi="Times New Roman" w:eastAsia="仿宋_GB2312" w:cs="Times New Roman"/>
                <w:bCs/>
                <w:color w:val="auto"/>
                <w:sz w:val="24"/>
              </w:rPr>
              <w:t>经化粪池处理</w:t>
            </w:r>
            <w:r>
              <w:rPr>
                <w:rFonts w:hint="default" w:ascii="Times New Roman" w:hAnsi="Times New Roman" w:eastAsia="仿宋_GB2312" w:cs="Times New Roman"/>
                <w:bCs/>
                <w:color w:val="auto"/>
                <w:sz w:val="24"/>
                <w:lang w:eastAsia="zh-CN"/>
              </w:rPr>
              <w:t>后，</w:t>
            </w:r>
            <w:r>
              <w:rPr>
                <w:rFonts w:hint="default" w:ascii="Times New Roman" w:hAnsi="Times New Roman" w:eastAsia="仿宋_GB2312" w:cs="Times New Roman"/>
                <w:bCs/>
                <w:color w:val="auto"/>
                <w:sz w:val="24"/>
              </w:rPr>
              <w:t>进入</w:t>
            </w:r>
            <w:r>
              <w:rPr>
                <w:rFonts w:hint="default" w:ascii="Times New Roman" w:hAnsi="Times New Roman" w:eastAsia="仿宋_GB2312" w:cs="Times New Roman"/>
                <w:color w:val="auto"/>
                <w:sz w:val="24"/>
                <w:lang w:eastAsia="zh-CN"/>
              </w:rPr>
              <w:t>中卫市</w:t>
            </w:r>
            <w:r>
              <w:rPr>
                <w:rFonts w:hint="default" w:ascii="Times New Roman" w:hAnsi="Times New Roman" w:eastAsia="仿宋_GB2312" w:cs="Times New Roman"/>
                <w:color w:val="auto"/>
                <w:sz w:val="24"/>
                <w:lang w:val="en-US" w:eastAsia="zh-CN"/>
              </w:rPr>
              <w:t>沙坡头区兴仁镇</w:t>
            </w:r>
            <w:r>
              <w:rPr>
                <w:rFonts w:hint="default" w:ascii="Times New Roman" w:hAnsi="Times New Roman" w:eastAsia="仿宋_GB2312" w:cs="Times New Roman"/>
                <w:color w:val="auto"/>
                <w:sz w:val="24"/>
                <w:lang w:eastAsia="zh-CN"/>
              </w:rPr>
              <w:t>污水处理厂</w:t>
            </w:r>
            <w:r>
              <w:rPr>
                <w:rFonts w:hint="default" w:ascii="Times New Roman" w:hAnsi="Times New Roman" w:eastAsia="仿宋_GB2312" w:cs="Times New Roman"/>
                <w:bCs/>
                <w:color w:val="auto"/>
                <w:sz w:val="24"/>
              </w:rPr>
              <w:t>处理，该污水处理厂采用以生化为主的处理工艺，从工艺流程看，主要处理混合废水中可生化的有机污染物</w:t>
            </w:r>
            <w:r>
              <w:rPr>
                <w:rFonts w:hint="default" w:ascii="Times New Roman" w:hAnsi="Times New Roman" w:eastAsia="仿宋_GB2312" w:cs="Times New Roman"/>
                <w:bCs/>
                <w:color w:val="auto"/>
                <w:sz w:val="24"/>
                <w:lang w:eastAsia="zh-CN"/>
              </w:rPr>
              <w:t>，适于处理本项目废水</w:t>
            </w:r>
            <w:r>
              <w:rPr>
                <w:rFonts w:hint="default" w:ascii="Times New Roman" w:hAnsi="Times New Roman" w:eastAsia="仿宋_GB2312" w:cs="Times New Roman"/>
                <w:bCs/>
                <w:color w:val="auto"/>
                <w:sz w:val="24"/>
              </w:rPr>
              <w:t>。</w:t>
            </w:r>
            <w:r>
              <w:rPr>
                <w:rFonts w:hint="default" w:ascii="Times New Roman" w:hAnsi="Times New Roman" w:eastAsia="仿宋_GB2312" w:cs="Times New Roman"/>
                <w:bCs/>
                <w:color w:val="auto"/>
                <w:sz w:val="24"/>
                <w:lang w:eastAsia="zh-CN"/>
              </w:rPr>
              <w:t>本项目废水</w:t>
            </w:r>
            <w:r>
              <w:rPr>
                <w:rFonts w:hint="default" w:ascii="Times New Roman" w:hAnsi="Times New Roman" w:eastAsia="仿宋_GB2312" w:cs="Times New Roman"/>
                <w:bCs/>
                <w:color w:val="auto"/>
                <w:sz w:val="24"/>
              </w:rPr>
              <w:t>通过化粪池预处理后，将高浓度的SS等污染物去除，不会对</w:t>
            </w:r>
            <w:r>
              <w:rPr>
                <w:rFonts w:hint="default" w:ascii="Times New Roman" w:hAnsi="Times New Roman" w:eastAsia="仿宋_GB2312" w:cs="Times New Roman"/>
                <w:color w:val="auto"/>
                <w:sz w:val="24"/>
                <w:lang w:eastAsia="zh-CN"/>
              </w:rPr>
              <w:t>污水处理厂</w:t>
            </w:r>
            <w:r>
              <w:rPr>
                <w:rFonts w:hint="default" w:ascii="Times New Roman" w:hAnsi="Times New Roman" w:eastAsia="仿宋_GB2312" w:cs="Times New Roman"/>
                <w:bCs/>
                <w:color w:val="auto"/>
                <w:sz w:val="24"/>
                <w:lang w:eastAsia="zh-CN"/>
              </w:rPr>
              <w:t>处理系统</w:t>
            </w:r>
            <w:r>
              <w:rPr>
                <w:rFonts w:hint="default" w:ascii="Times New Roman" w:hAnsi="Times New Roman" w:eastAsia="仿宋_GB2312" w:cs="Times New Roman"/>
                <w:bCs/>
                <w:color w:val="auto"/>
                <w:sz w:val="24"/>
              </w:rPr>
              <w:t>造成不利影</w:t>
            </w:r>
            <w:r>
              <w:rPr>
                <w:rFonts w:hint="default" w:ascii="Times New Roman" w:hAnsi="Times New Roman" w:eastAsia="仿宋_GB2312" w:cs="Times New Roman"/>
                <w:bCs/>
                <w:color w:val="auto"/>
                <w:sz w:val="24"/>
                <w:lang w:eastAsia="zh-CN"/>
              </w:rPr>
              <w:t>响</w:t>
            </w:r>
            <w:r>
              <w:rPr>
                <w:rFonts w:hint="default" w:ascii="Times New Roman" w:hAnsi="Times New Roman" w:eastAsia="仿宋_GB2312" w:cs="Times New Roman"/>
                <w:bCs/>
                <w:color w:val="auto"/>
                <w:sz w:val="24"/>
              </w:rPr>
              <w:t>。</w:t>
            </w:r>
          </w:p>
          <w:p w14:paraId="5D605F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综上所述，本项目所有废水都得到妥善处理，对水环境的影响较小。</w:t>
            </w:r>
          </w:p>
          <w:p w14:paraId="1A12AF2A">
            <w:pPr>
              <w:adjustRightInd w:val="0"/>
              <w:snapToGrid w:val="0"/>
              <w:spacing w:line="360" w:lineRule="auto"/>
              <w:ind w:firstLine="482" w:firstLineChars="200"/>
              <w:rPr>
                <w:rFonts w:hint="eastAsia" w:ascii="Times New Roman" w:hAnsi="Times New Roman" w:eastAsia="仿宋_GB2312" w:cs="Times New Roman"/>
                <w:b/>
                <w:bCs/>
                <w:color w:val="auto"/>
                <w:sz w:val="24"/>
                <w:lang w:val="en-US" w:eastAsia="zh-CN"/>
              </w:rPr>
            </w:pPr>
            <w:r>
              <w:rPr>
                <w:rFonts w:hint="default" w:ascii="Times New Roman" w:hAnsi="Times New Roman" w:eastAsia="仿宋_GB2312" w:cs="Times New Roman"/>
                <w:b/>
                <w:bCs/>
                <w:color w:val="auto"/>
                <w:sz w:val="24"/>
                <w:lang w:val="en-US" w:eastAsia="zh-CN"/>
              </w:rPr>
              <w:fldChar w:fldCharType="begin"/>
            </w:r>
            <w:r>
              <w:rPr>
                <w:rFonts w:hint="default" w:ascii="Times New Roman" w:hAnsi="Times New Roman" w:eastAsia="仿宋_GB2312" w:cs="Times New Roman"/>
                <w:b/>
                <w:bCs/>
                <w:color w:val="auto"/>
                <w:sz w:val="24"/>
                <w:lang w:val="en-US" w:eastAsia="zh-CN"/>
              </w:rPr>
              <w:instrText xml:space="preserve"> = 4 \* GB2 \* MERGEFORMAT </w:instrText>
            </w:r>
            <w:r>
              <w:rPr>
                <w:rFonts w:hint="default" w:ascii="Times New Roman" w:hAnsi="Times New Roman" w:eastAsia="仿宋_GB2312" w:cs="Times New Roman"/>
                <w:b/>
                <w:bCs/>
                <w:color w:val="auto"/>
                <w:sz w:val="24"/>
                <w:lang w:val="en-US" w:eastAsia="zh-CN"/>
              </w:rPr>
              <w:fldChar w:fldCharType="separate"/>
            </w:r>
            <w:r>
              <w:rPr>
                <w:rFonts w:hint="default" w:ascii="Times New Roman" w:hAnsi="Times New Roman" w:eastAsia="仿宋_GB2312" w:cs="Times New Roman"/>
                <w:b/>
                <w:bCs/>
                <w:color w:val="auto"/>
                <w:sz w:val="24"/>
              </w:rPr>
              <w:t>⑷</w:t>
            </w:r>
            <w:r>
              <w:rPr>
                <w:rFonts w:hint="default" w:ascii="Times New Roman" w:hAnsi="Times New Roman" w:eastAsia="仿宋_GB2312" w:cs="Times New Roman"/>
                <w:b/>
                <w:bCs/>
                <w:color w:val="auto"/>
                <w:sz w:val="24"/>
                <w:lang w:val="en-US" w:eastAsia="zh-CN"/>
              </w:rPr>
              <w:fldChar w:fldCharType="end"/>
            </w:r>
            <w:r>
              <w:rPr>
                <w:rFonts w:hint="eastAsia" w:ascii="Times New Roman" w:hAnsi="Times New Roman" w:eastAsia="仿宋_GB2312" w:cs="Times New Roman"/>
                <w:b/>
                <w:bCs/>
                <w:color w:val="auto"/>
                <w:sz w:val="24"/>
                <w:lang w:val="en-US" w:eastAsia="zh-CN"/>
              </w:rPr>
              <w:t>运营期废水监测计划</w:t>
            </w:r>
          </w:p>
          <w:p w14:paraId="0345D7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本项目废水主要为生活污水，无生产废水，</w:t>
            </w:r>
            <w:r>
              <w:rPr>
                <w:rFonts w:hint="default" w:ascii="Times New Roman" w:hAnsi="Times New Roman" w:eastAsia="仿宋_GB2312" w:cs="Times New Roman"/>
                <w:color w:val="auto"/>
                <w:sz w:val="24"/>
                <w:szCs w:val="24"/>
              </w:rPr>
              <w:t>项目不设置废水排污口，</w:t>
            </w:r>
            <w:r>
              <w:rPr>
                <w:rFonts w:hint="default" w:ascii="Times New Roman" w:hAnsi="Times New Roman" w:eastAsia="仿宋_GB2312" w:cs="Times New Roman"/>
                <w:color w:val="auto"/>
                <w:sz w:val="24"/>
                <w:szCs w:val="24"/>
                <w:lang w:val="en-US" w:eastAsia="zh-CN"/>
              </w:rPr>
              <w:t>厂区建设1座</w:t>
            </w:r>
            <w:r>
              <w:rPr>
                <w:rFonts w:hint="eastAsia" w:eastAsia="仿宋_GB2312" w:cs="Times New Roman"/>
                <w:color w:val="auto"/>
                <w:sz w:val="24"/>
                <w:szCs w:val="24"/>
                <w:lang w:val="en-US" w:eastAsia="zh-CN"/>
              </w:rPr>
              <w:t>16</w:t>
            </w:r>
            <w:r>
              <w:rPr>
                <w:rFonts w:hint="default" w:ascii="Times New Roman" w:hAnsi="Times New Roman" w:eastAsia="仿宋_GB2312" w:cs="Times New Roman"/>
                <w:color w:val="auto"/>
                <w:sz w:val="24"/>
                <w:szCs w:val="24"/>
                <w:lang w:val="en-US" w:eastAsia="zh-CN"/>
              </w:rPr>
              <w:t>m</w:t>
            </w:r>
            <w:r>
              <w:rPr>
                <w:rFonts w:hint="default" w:ascii="Times New Roman" w:hAnsi="Times New Roman" w:eastAsia="仿宋_GB2312" w:cs="Times New Roman"/>
                <w:color w:val="auto"/>
                <w:sz w:val="24"/>
                <w:szCs w:val="24"/>
                <w:vertAlign w:val="superscript"/>
                <w:lang w:val="en-US" w:eastAsia="zh-CN"/>
              </w:rPr>
              <w:t>3</w:t>
            </w:r>
            <w:r>
              <w:rPr>
                <w:rFonts w:hint="default" w:ascii="Times New Roman" w:hAnsi="Times New Roman" w:eastAsia="仿宋_GB2312" w:cs="Times New Roman"/>
                <w:color w:val="auto"/>
                <w:sz w:val="24"/>
                <w:szCs w:val="24"/>
                <w:lang w:val="en-US" w:eastAsia="zh-CN"/>
              </w:rPr>
              <w:t>化粪池，生活污水经化粪池处理后拉运至</w:t>
            </w:r>
            <w:r>
              <w:rPr>
                <w:rFonts w:hint="default" w:ascii="Times New Roman" w:hAnsi="Times New Roman" w:eastAsia="仿宋_GB2312" w:cs="Times New Roman"/>
                <w:color w:val="auto"/>
                <w:sz w:val="24"/>
                <w:szCs w:val="24"/>
                <w:lang w:eastAsia="zh-CN"/>
              </w:rPr>
              <w:t>中卫市</w:t>
            </w:r>
            <w:r>
              <w:rPr>
                <w:rFonts w:hint="default" w:ascii="Times New Roman" w:hAnsi="Times New Roman" w:eastAsia="仿宋_GB2312" w:cs="Times New Roman"/>
                <w:color w:val="auto"/>
                <w:sz w:val="24"/>
                <w:szCs w:val="24"/>
                <w:lang w:val="en-US" w:eastAsia="zh-CN"/>
              </w:rPr>
              <w:t>沙坡头区兴仁镇</w:t>
            </w:r>
            <w:r>
              <w:rPr>
                <w:rFonts w:hint="default" w:ascii="Times New Roman" w:hAnsi="Times New Roman" w:eastAsia="仿宋_GB2312" w:cs="Times New Roman"/>
                <w:color w:val="auto"/>
                <w:sz w:val="24"/>
                <w:szCs w:val="24"/>
                <w:lang w:eastAsia="zh-CN"/>
              </w:rPr>
              <w:t>污水处理厂</w:t>
            </w:r>
            <w:r>
              <w:rPr>
                <w:rFonts w:hint="default" w:ascii="Times New Roman" w:hAnsi="Times New Roman" w:eastAsia="仿宋_GB2312" w:cs="Times New Roman"/>
                <w:color w:val="auto"/>
                <w:sz w:val="24"/>
                <w:szCs w:val="24"/>
              </w:rPr>
              <w:t>处理</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因此可不对废水进行监测。</w:t>
            </w:r>
          </w:p>
          <w:p w14:paraId="7178FB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生活污水拉运监管要求：1、记录出厂车次、污水量、时间；2、记录</w:t>
            </w:r>
            <w:r>
              <w:rPr>
                <w:rFonts w:hint="default" w:ascii="Times New Roman" w:hAnsi="Times New Roman" w:eastAsia="仿宋_GB2312" w:cs="Times New Roman"/>
                <w:color w:val="auto"/>
                <w:sz w:val="24"/>
                <w:szCs w:val="24"/>
                <w:lang w:eastAsia="zh-CN"/>
              </w:rPr>
              <w:t>中卫市</w:t>
            </w:r>
            <w:r>
              <w:rPr>
                <w:rFonts w:hint="default" w:ascii="Times New Roman" w:hAnsi="Times New Roman" w:eastAsia="仿宋_GB2312" w:cs="Times New Roman"/>
                <w:color w:val="auto"/>
                <w:sz w:val="24"/>
                <w:szCs w:val="24"/>
                <w:lang w:val="en-US" w:eastAsia="zh-CN"/>
              </w:rPr>
              <w:t>沙坡头区兴仁镇</w:t>
            </w:r>
            <w:r>
              <w:rPr>
                <w:rFonts w:hint="default" w:ascii="Times New Roman" w:hAnsi="Times New Roman" w:eastAsia="仿宋_GB2312" w:cs="Times New Roman"/>
                <w:color w:val="auto"/>
                <w:sz w:val="24"/>
                <w:szCs w:val="24"/>
                <w:lang w:eastAsia="zh-CN"/>
              </w:rPr>
              <w:t>污水处理厂</w:t>
            </w:r>
            <w:r>
              <w:rPr>
                <w:rFonts w:hint="default" w:ascii="Times New Roman" w:hAnsi="Times New Roman" w:eastAsia="仿宋_GB2312" w:cs="Times New Roman"/>
                <w:color w:val="auto"/>
                <w:sz w:val="24"/>
                <w:szCs w:val="24"/>
                <w:lang w:val="en-US" w:eastAsia="zh-CN"/>
              </w:rPr>
              <w:t>进场车次、污水量、时间；3、拉运过程中车辆配备视频监管。</w:t>
            </w:r>
          </w:p>
          <w:p w14:paraId="7D4933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3、噪声环境影响和保护措施</w:t>
            </w:r>
          </w:p>
          <w:p w14:paraId="6516803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cs="Times New Roman"/>
                <w:b/>
                <w:bCs/>
                <w:color w:val="auto"/>
                <w:kern w:val="2"/>
                <w:sz w:val="24"/>
                <w:szCs w:val="24"/>
                <w:lang w:val="en-US" w:eastAsia="zh-CN" w:bidi="ar-SA"/>
              </w:rPr>
              <w:t>3.1</w:t>
            </w:r>
            <w:r>
              <w:rPr>
                <w:rFonts w:hint="default" w:ascii="Times New Roman" w:hAnsi="Times New Roman" w:eastAsia="仿宋_GB2312" w:cs="Times New Roman"/>
                <w:b/>
                <w:bCs/>
                <w:color w:val="auto"/>
                <w:kern w:val="2"/>
                <w:sz w:val="24"/>
                <w:szCs w:val="24"/>
                <w:lang w:val="en-US" w:eastAsia="zh-CN" w:bidi="ar-SA"/>
              </w:rPr>
              <w:t>噪声源强</w:t>
            </w:r>
          </w:p>
          <w:p w14:paraId="67DC3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Cs w:val="21"/>
                <w:highlight w:val="none"/>
              </w:rPr>
            </w:pPr>
            <w:r>
              <w:rPr>
                <w:rFonts w:hint="default" w:ascii="Times New Roman" w:hAnsi="Times New Roman" w:eastAsia="仿宋_GB2312" w:cs="Times New Roman"/>
                <w:color w:val="auto"/>
                <w:kern w:val="2"/>
                <w:sz w:val="24"/>
                <w:szCs w:val="24"/>
                <w:lang w:val="en-US" w:eastAsia="zh-CN" w:bidi="ar-SA"/>
              </w:rPr>
              <w:t>本项目运营期噪声污染源主要</w:t>
            </w:r>
            <w:r>
              <w:rPr>
                <w:rFonts w:ascii="Times New Roman" w:hAnsi="Times New Roman" w:eastAsia="仿宋_GB2312"/>
                <w:color w:val="auto"/>
                <w:sz w:val="24"/>
              </w:rPr>
              <w:t>为</w:t>
            </w:r>
            <w:r>
              <w:rPr>
                <w:rFonts w:hint="eastAsia"/>
                <w:color w:val="auto"/>
                <w:sz w:val="24"/>
                <w:lang w:eastAsia="zh-CN"/>
              </w:rPr>
              <w:t>搅拌机</w:t>
            </w:r>
            <w:r>
              <w:rPr>
                <w:rFonts w:ascii="Times New Roman" w:hAnsi="Times New Roman" w:eastAsia="仿宋_GB2312"/>
                <w:color w:val="auto"/>
                <w:sz w:val="24"/>
              </w:rPr>
              <w:t>搅拌机</w:t>
            </w:r>
            <w:r>
              <w:rPr>
                <w:rFonts w:hint="eastAsia" w:eastAsia="仿宋_GB2312"/>
                <w:color w:val="auto"/>
                <w:sz w:val="24"/>
                <w:lang w:eastAsia="zh-CN"/>
              </w:rPr>
              <w:t>等生产设施</w:t>
            </w:r>
            <w:r>
              <w:rPr>
                <w:rFonts w:ascii="Times New Roman" w:hAnsi="Times New Roman" w:eastAsia="仿宋_GB2312"/>
                <w:color w:val="auto"/>
                <w:sz w:val="24"/>
              </w:rPr>
              <w:t>及运输车辆等产生的机械噪声和交通噪声</w:t>
            </w:r>
            <w:r>
              <w:rPr>
                <w:rFonts w:hint="eastAsia" w:ascii="Times New Roman" w:hAnsi="Times New Roman" w:eastAsia="仿宋_GB2312"/>
                <w:color w:val="auto"/>
                <w:sz w:val="24"/>
              </w:rPr>
              <w:t>，</w:t>
            </w:r>
            <w:r>
              <w:rPr>
                <w:rFonts w:hint="default" w:ascii="Times New Roman" w:hAnsi="Times New Roman" w:eastAsia="仿宋_GB2312" w:cs="Times New Roman"/>
                <w:color w:val="auto"/>
                <w:sz w:val="24"/>
                <w:highlight w:val="none"/>
              </w:rPr>
              <w:t>具有阵发性、间断性等特点</w:t>
            </w:r>
            <w:r>
              <w:rPr>
                <w:rFonts w:hint="eastAsia" w:ascii="Times New Roman" w:hAnsi="Times New Roman" w:eastAsia="仿宋_GB2312" w:cs="Times New Roman"/>
                <w:color w:val="auto"/>
                <w:sz w:val="24"/>
                <w:highlight w:val="none"/>
                <w:lang w:eastAsia="zh-CN"/>
              </w:rPr>
              <w:t>，</w:t>
            </w:r>
            <w:r>
              <w:rPr>
                <w:rFonts w:ascii="Times New Roman" w:hAnsi="Times New Roman" w:eastAsia="仿宋_GB2312"/>
                <w:color w:val="auto"/>
                <w:sz w:val="24"/>
              </w:rPr>
              <w:t>噪声强度值在8</w:t>
            </w:r>
            <w:r>
              <w:rPr>
                <w:rFonts w:hint="eastAsia" w:ascii="Times New Roman" w:hAnsi="Times New Roman" w:eastAsia="仿宋_GB2312"/>
                <w:color w:val="auto"/>
                <w:sz w:val="24"/>
              </w:rPr>
              <w:t>5</w:t>
            </w:r>
            <w:r>
              <w:rPr>
                <w:rFonts w:ascii="Times New Roman" w:hAnsi="Times New Roman" w:eastAsia="仿宋_GB2312"/>
                <w:color w:val="auto"/>
                <w:sz w:val="24"/>
              </w:rPr>
              <w:t>～9</w:t>
            </w:r>
            <w:r>
              <w:rPr>
                <w:rFonts w:hint="eastAsia" w:ascii="Times New Roman" w:hAnsi="Times New Roman" w:eastAsia="仿宋_GB2312"/>
                <w:color w:val="auto"/>
                <w:sz w:val="24"/>
              </w:rPr>
              <w:t>0</w:t>
            </w:r>
            <w:r>
              <w:rPr>
                <w:rFonts w:ascii="Times New Roman" w:hAnsi="Times New Roman" w:eastAsia="仿宋_GB2312"/>
                <w:color w:val="auto"/>
                <w:sz w:val="24"/>
              </w:rPr>
              <w:t>dB(A)之间。</w:t>
            </w:r>
            <w:r>
              <w:rPr>
                <w:rFonts w:hint="default" w:ascii="Times New Roman" w:hAnsi="Times New Roman" w:eastAsia="仿宋_GB2312" w:cs="Times New Roman"/>
                <w:color w:val="auto"/>
                <w:kern w:val="2"/>
                <w:sz w:val="24"/>
                <w:szCs w:val="24"/>
                <w:lang w:val="en-US" w:eastAsia="zh-CN" w:bidi="ar-SA"/>
              </w:rPr>
              <w:t>本项目夜间不生产，且均为室外声源</w:t>
            </w:r>
            <w:r>
              <w:rPr>
                <w:rFonts w:hint="eastAsia"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项目厂界50m范围内无声环境敏感目标，噪声预测范围为项目四周的厂界。</w:t>
            </w:r>
            <w:r>
              <w:rPr>
                <w:rFonts w:hint="default" w:ascii="Times New Roman" w:hAnsi="Times New Roman" w:eastAsia="仿宋_GB2312" w:cs="Times New Roman"/>
                <w:color w:val="auto"/>
                <w:sz w:val="24"/>
                <w:highlight w:val="none"/>
              </w:rPr>
              <w:t>主要设备噪声值一览表</w:t>
            </w:r>
            <w:r>
              <w:rPr>
                <w:rFonts w:hint="default" w:ascii="Times New Roman" w:hAnsi="Times New Roman" w:eastAsia="仿宋_GB2312" w:cs="Times New Roman"/>
                <w:color w:val="auto"/>
                <w:sz w:val="24"/>
                <w:highlight w:val="none"/>
                <w:lang w:eastAsia="zh-CN"/>
              </w:rPr>
              <w:t>见表</w:t>
            </w:r>
            <w:r>
              <w:rPr>
                <w:rFonts w:hint="default" w:ascii="Times New Roman" w:hAnsi="Times New Roman" w:eastAsia="仿宋_GB2312" w:cs="Times New Roman"/>
                <w:color w:val="auto"/>
                <w:sz w:val="24"/>
                <w:highlight w:val="none"/>
                <w:lang w:val="en-US" w:eastAsia="zh-CN"/>
              </w:rPr>
              <w:t>4-</w:t>
            </w:r>
            <w:r>
              <w:rPr>
                <w:rFonts w:hint="eastAsia" w:eastAsia="仿宋_GB2312" w:cs="Times New Roman"/>
                <w:color w:val="auto"/>
                <w:sz w:val="24"/>
                <w:highlight w:val="none"/>
                <w:lang w:val="en-US" w:eastAsia="zh-CN"/>
              </w:rPr>
              <w:t>5</w:t>
            </w:r>
            <w:r>
              <w:rPr>
                <w:rFonts w:hint="default" w:ascii="Times New Roman" w:hAnsi="Times New Roman" w:eastAsia="仿宋_GB2312" w:cs="Times New Roman"/>
                <w:color w:val="auto"/>
                <w:kern w:val="2"/>
                <w:sz w:val="24"/>
                <w:szCs w:val="24"/>
                <w:lang w:val="en-US" w:eastAsia="zh-CN" w:bidi="ar-SA"/>
              </w:rPr>
              <w:t>。</w:t>
            </w:r>
          </w:p>
          <w:p w14:paraId="3652DCD5">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ascii="Times New Roman" w:hAnsi="Times New Roman"/>
                <w:color w:val="auto"/>
                <w:szCs w:val="21"/>
                <w:highlight w:val="none"/>
              </w:rPr>
              <w:t>表</w:t>
            </w:r>
            <w:r>
              <w:rPr>
                <w:rFonts w:hint="eastAsia"/>
                <w:color w:val="auto"/>
                <w:szCs w:val="21"/>
                <w:highlight w:val="none"/>
                <w:lang w:val="en-US" w:eastAsia="zh-CN"/>
              </w:rPr>
              <w:t>4-5</w:t>
            </w:r>
            <w:r>
              <w:rPr>
                <w:rFonts w:ascii="Times New Roman" w:hAnsi="Times New Roman"/>
                <w:color w:val="auto"/>
                <w:highlight w:val="none"/>
              </w:rPr>
              <w:t xml:space="preserve"> </w:t>
            </w:r>
            <w:r>
              <w:rPr>
                <w:rFonts w:hint="eastAsia"/>
                <w:color w:val="auto"/>
                <w:highlight w:val="none"/>
                <w:lang w:val="en-US" w:eastAsia="zh-CN"/>
              </w:rPr>
              <w:t xml:space="preserve">             </w:t>
            </w:r>
            <w:r>
              <w:rPr>
                <w:rFonts w:ascii="Times New Roman" w:hAnsi="Times New Roman"/>
                <w:snapToGrid w:val="0"/>
                <w:color w:val="auto"/>
                <w:szCs w:val="21"/>
                <w:highlight w:val="none"/>
                <w:lang w:bidi="ar"/>
              </w:rPr>
              <w:t xml:space="preserve">   </w:t>
            </w:r>
            <w:r>
              <w:rPr>
                <w:rFonts w:hint="eastAsia" w:ascii="Times New Roman" w:hAnsi="Times New Roman" w:eastAsia="宋体"/>
                <w:b/>
                <w:bCs/>
                <w:snapToGrid w:val="0"/>
                <w:color w:val="auto"/>
                <w:sz w:val="24"/>
                <w:szCs w:val="24"/>
                <w:highlight w:val="none"/>
                <w:lang w:val="en-US" w:eastAsia="zh-CN" w:bidi="ar"/>
              </w:rPr>
              <w:t>主要设备噪声值</w:t>
            </w:r>
            <w:r>
              <w:rPr>
                <w:rFonts w:ascii="Times New Roman" w:hAnsi="Times New Roman"/>
                <w:b/>
                <w:bCs/>
                <w:snapToGrid w:val="0"/>
                <w:color w:val="auto"/>
                <w:sz w:val="24"/>
                <w:szCs w:val="24"/>
                <w:highlight w:val="none"/>
                <w:lang w:bidi="ar"/>
              </w:rPr>
              <w:t>一览表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35"/>
              <w:gridCol w:w="1217"/>
              <w:gridCol w:w="730"/>
              <w:gridCol w:w="762"/>
              <w:gridCol w:w="521"/>
              <w:gridCol w:w="1748"/>
              <w:gridCol w:w="1034"/>
              <w:gridCol w:w="1180"/>
              <w:gridCol w:w="592"/>
            </w:tblGrid>
            <w:tr w14:paraId="199B213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32" w:type="dxa"/>
                  <w:vMerge w:val="restart"/>
                  <w:noWrap w:val="0"/>
                  <w:vAlign w:val="center"/>
                </w:tcPr>
                <w:p w14:paraId="6731C376">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序</w:t>
                  </w:r>
                </w:p>
                <w:p w14:paraId="550B3B6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号</w:t>
                  </w:r>
                </w:p>
              </w:tc>
              <w:tc>
                <w:tcPr>
                  <w:tcW w:w="1206" w:type="dxa"/>
                  <w:vMerge w:val="restart"/>
                  <w:noWrap w:val="0"/>
                  <w:vAlign w:val="center"/>
                </w:tcPr>
                <w:p w14:paraId="1F279F48">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声源名称</w:t>
                  </w:r>
                </w:p>
              </w:tc>
              <w:tc>
                <w:tcPr>
                  <w:tcW w:w="1994" w:type="dxa"/>
                  <w:gridSpan w:val="3"/>
                  <w:noWrap w:val="0"/>
                  <w:vAlign w:val="center"/>
                </w:tcPr>
                <w:p w14:paraId="3FE388FA">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空间相对位置/m</w:t>
                  </w:r>
                </w:p>
              </w:tc>
              <w:tc>
                <w:tcPr>
                  <w:tcW w:w="2757" w:type="dxa"/>
                  <w:gridSpan w:val="2"/>
                  <w:noWrap w:val="0"/>
                  <w:vAlign w:val="center"/>
                </w:tcPr>
                <w:p w14:paraId="00EB98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声源源强（任选一种）</w:t>
                  </w:r>
                </w:p>
              </w:tc>
              <w:tc>
                <w:tcPr>
                  <w:tcW w:w="1169" w:type="dxa"/>
                  <w:vMerge w:val="restart"/>
                  <w:noWrap w:val="0"/>
                  <w:vAlign w:val="center"/>
                </w:tcPr>
                <w:p w14:paraId="55C962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声源控制措施</w:t>
                  </w:r>
                </w:p>
              </w:tc>
              <w:tc>
                <w:tcPr>
                  <w:tcW w:w="587" w:type="dxa"/>
                  <w:vMerge w:val="restart"/>
                  <w:noWrap w:val="0"/>
                  <w:vAlign w:val="center"/>
                </w:tcPr>
                <w:p w14:paraId="751B7760">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运行时段</w:t>
                  </w:r>
                </w:p>
              </w:tc>
            </w:tr>
            <w:tr w14:paraId="575C3D8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32" w:type="dxa"/>
                  <w:vMerge w:val="continue"/>
                  <w:noWrap w:val="0"/>
                  <w:vAlign w:val="center"/>
                </w:tcPr>
                <w:p w14:paraId="2534569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color w:val="auto"/>
                      <w:highlight w:val="none"/>
                    </w:rPr>
                  </w:pPr>
                </w:p>
              </w:tc>
              <w:tc>
                <w:tcPr>
                  <w:tcW w:w="1206" w:type="dxa"/>
                  <w:vMerge w:val="continue"/>
                  <w:noWrap w:val="0"/>
                  <w:vAlign w:val="center"/>
                </w:tcPr>
                <w:p w14:paraId="131245FE">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color w:val="auto"/>
                      <w:highlight w:val="none"/>
                    </w:rPr>
                  </w:pPr>
                </w:p>
              </w:tc>
              <w:tc>
                <w:tcPr>
                  <w:tcW w:w="723" w:type="dxa"/>
                  <w:noWrap w:val="0"/>
                  <w:vAlign w:val="center"/>
                </w:tcPr>
                <w:p w14:paraId="09C18C0C">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X</w:t>
                  </w:r>
                </w:p>
              </w:tc>
              <w:tc>
                <w:tcPr>
                  <w:tcW w:w="755" w:type="dxa"/>
                  <w:noWrap w:val="0"/>
                  <w:vAlign w:val="center"/>
                </w:tcPr>
                <w:p w14:paraId="73B12BF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Y</w:t>
                  </w:r>
                </w:p>
              </w:tc>
              <w:tc>
                <w:tcPr>
                  <w:tcW w:w="516" w:type="dxa"/>
                  <w:noWrap w:val="0"/>
                  <w:vAlign w:val="center"/>
                </w:tcPr>
                <w:p w14:paraId="2C87552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Z</w:t>
                  </w:r>
                </w:p>
              </w:tc>
              <w:tc>
                <w:tcPr>
                  <w:tcW w:w="1732" w:type="dxa"/>
                  <w:noWrap w:val="0"/>
                  <w:vAlign w:val="center"/>
                </w:tcPr>
                <w:p w14:paraId="71FD9D54">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b/>
                      <w:bCs/>
                      <w:color w:val="auto"/>
                      <w:kern w:val="0"/>
                      <w:szCs w:val="21"/>
                      <w:highlight w:val="none"/>
                      <w:lang w:val="en-US" w:eastAsia="zh-CN" w:bidi="ar"/>
                    </w:rPr>
                  </w:pPr>
                  <w:r>
                    <w:rPr>
                      <w:rFonts w:hint="default" w:ascii="Times New Roman" w:hAnsi="Times New Roman" w:eastAsia="宋体" w:cs="Times New Roman"/>
                      <w:b/>
                      <w:bCs/>
                      <w:color w:val="auto"/>
                      <w:kern w:val="0"/>
                      <w:szCs w:val="21"/>
                      <w:highlight w:val="none"/>
                      <w:lang w:val="en-US" w:eastAsia="zh-CN" w:bidi="ar"/>
                    </w:rPr>
                    <w:t>(声压级/距声源距离)/(dB(A)/m)</w:t>
                  </w:r>
                </w:p>
              </w:tc>
              <w:tc>
                <w:tcPr>
                  <w:tcW w:w="1025" w:type="dxa"/>
                  <w:noWrap w:val="0"/>
                  <w:vAlign w:val="center"/>
                </w:tcPr>
                <w:p w14:paraId="55106A18">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Times New Roman" w:hAnsi="Times New Roman" w:eastAsia="宋体" w:cs="Times New Roman"/>
                      <w:b/>
                      <w:bCs/>
                      <w:color w:val="auto"/>
                      <w:kern w:val="0"/>
                      <w:szCs w:val="21"/>
                      <w:highlight w:val="none"/>
                      <w:lang w:val="en-US" w:eastAsia="zh-CN" w:bidi="ar"/>
                    </w:rPr>
                  </w:pPr>
                  <w:r>
                    <w:rPr>
                      <w:rFonts w:hint="default" w:ascii="Times New Roman" w:hAnsi="Times New Roman" w:eastAsia="宋体" w:cs="Times New Roman"/>
                      <w:b/>
                      <w:bCs/>
                      <w:color w:val="auto"/>
                      <w:kern w:val="0"/>
                      <w:szCs w:val="21"/>
                      <w:highlight w:val="none"/>
                      <w:lang w:val="en-US" w:eastAsia="zh-CN" w:bidi="ar"/>
                    </w:rPr>
                    <w:t>声功率级/dB(A)</w:t>
                  </w:r>
                </w:p>
              </w:tc>
              <w:tc>
                <w:tcPr>
                  <w:tcW w:w="1169" w:type="dxa"/>
                  <w:vMerge w:val="continue"/>
                  <w:noWrap w:val="0"/>
                  <w:vAlign w:val="center"/>
                </w:tcPr>
                <w:p w14:paraId="33195A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color w:val="auto"/>
                      <w:kern w:val="0"/>
                      <w:szCs w:val="21"/>
                      <w:highlight w:val="none"/>
                      <w:lang w:val="en-US" w:eastAsia="zh-CN" w:bidi="ar"/>
                    </w:rPr>
                  </w:pPr>
                </w:p>
              </w:tc>
              <w:tc>
                <w:tcPr>
                  <w:tcW w:w="587" w:type="dxa"/>
                  <w:vMerge w:val="continue"/>
                  <w:noWrap w:val="0"/>
                  <w:vAlign w:val="center"/>
                </w:tcPr>
                <w:p w14:paraId="414FFD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color w:val="auto"/>
                      <w:kern w:val="0"/>
                      <w:szCs w:val="21"/>
                      <w:highlight w:val="none"/>
                      <w:lang w:val="en-US" w:eastAsia="zh-CN" w:bidi="ar"/>
                    </w:rPr>
                  </w:pPr>
                </w:p>
              </w:tc>
            </w:tr>
            <w:tr w14:paraId="615E4FE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32" w:type="dxa"/>
                  <w:noWrap w:val="0"/>
                  <w:vAlign w:val="center"/>
                </w:tcPr>
                <w:p w14:paraId="73910CA2">
                  <w:pPr>
                    <w:snapToGrid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206" w:type="dxa"/>
                  <w:noWrap w:val="0"/>
                  <w:vAlign w:val="center"/>
                </w:tcPr>
                <w:p w14:paraId="07BD7D61">
                  <w:pPr>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提升机</w:t>
                  </w:r>
                </w:p>
              </w:tc>
              <w:tc>
                <w:tcPr>
                  <w:tcW w:w="723" w:type="dxa"/>
                  <w:noWrap w:val="0"/>
                  <w:vAlign w:val="center"/>
                </w:tcPr>
                <w:p w14:paraId="41CC35C7">
                  <w:pPr>
                    <w:snapToGrid w:val="0"/>
                    <w:ind w:left="0" w:leftChars="0" w:right="0" w:rightChars="0"/>
                    <w:jc w:val="center"/>
                    <w:textAlignment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90.1</w:t>
                  </w:r>
                </w:p>
              </w:tc>
              <w:tc>
                <w:tcPr>
                  <w:tcW w:w="755" w:type="dxa"/>
                  <w:noWrap w:val="0"/>
                  <w:vAlign w:val="center"/>
                </w:tcPr>
                <w:p w14:paraId="171DC4A9">
                  <w:pPr>
                    <w:snapToGrid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-4.17</w:t>
                  </w:r>
                </w:p>
              </w:tc>
              <w:tc>
                <w:tcPr>
                  <w:tcW w:w="516" w:type="dxa"/>
                  <w:noWrap w:val="0"/>
                  <w:vAlign w:val="center"/>
                </w:tcPr>
                <w:p w14:paraId="7C9A0E88">
                  <w:pPr>
                    <w:snapToGrid w:val="0"/>
                    <w:ind w:left="0" w:leftChars="0" w:right="0" w:rightChars="0"/>
                    <w:jc w:val="center"/>
                    <w:textAlignment w:val="center"/>
                    <w:rPr>
                      <w:rFonts w:hint="default" w:ascii="Times New Roman" w:hAnsi="Times New Roman" w:eastAsia="宋体" w:cs="Times New Roman"/>
                      <w:color w:val="auto"/>
                      <w:kern w:val="0"/>
                      <w:szCs w:val="21"/>
                      <w:highlight w:val="none"/>
                      <w:lang w:val="en-US" w:eastAsia="zh-CN" w:bidi="ar"/>
                    </w:rPr>
                  </w:pPr>
                  <w:r>
                    <w:rPr>
                      <w:rFonts w:hint="eastAsia" w:ascii="Times New Roman" w:hAnsi="Times New Roman" w:eastAsia="宋体" w:cs="Times New Roman"/>
                      <w:color w:val="auto"/>
                      <w:kern w:val="0"/>
                      <w:szCs w:val="21"/>
                      <w:highlight w:val="none"/>
                      <w:lang w:val="en-US" w:eastAsia="zh-CN" w:bidi="ar"/>
                    </w:rPr>
                    <w:t>1</w:t>
                  </w:r>
                </w:p>
              </w:tc>
              <w:tc>
                <w:tcPr>
                  <w:tcW w:w="1732" w:type="dxa"/>
                  <w:noWrap w:val="0"/>
                  <w:vAlign w:val="center"/>
                </w:tcPr>
                <w:p w14:paraId="50A47371">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1025" w:type="dxa"/>
                  <w:noWrap w:val="0"/>
                  <w:vAlign w:val="center"/>
                </w:tcPr>
                <w:p w14:paraId="6688705F">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75</w:t>
                  </w:r>
                </w:p>
              </w:tc>
              <w:tc>
                <w:tcPr>
                  <w:tcW w:w="1169" w:type="dxa"/>
                  <w:vMerge w:val="restart"/>
                  <w:noWrap w:val="0"/>
                  <w:vAlign w:val="center"/>
                </w:tcPr>
                <w:p w14:paraId="3C7E86A3">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选用低噪声设备，并合理布设设备，加强日常维护管理</w:t>
                  </w:r>
                </w:p>
              </w:tc>
              <w:tc>
                <w:tcPr>
                  <w:tcW w:w="587" w:type="dxa"/>
                  <w:noWrap w:val="0"/>
                  <w:vAlign w:val="center"/>
                </w:tcPr>
                <w:p w14:paraId="00E7ECD8">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昼间</w:t>
                  </w:r>
                </w:p>
              </w:tc>
            </w:tr>
            <w:tr w14:paraId="4A16946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32" w:type="dxa"/>
                  <w:noWrap w:val="0"/>
                  <w:vAlign w:val="center"/>
                </w:tcPr>
                <w:p w14:paraId="3E6E91EA">
                  <w:pPr>
                    <w:snapToGrid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206" w:type="dxa"/>
                  <w:noWrap w:val="0"/>
                  <w:vAlign w:val="center"/>
                </w:tcPr>
                <w:p w14:paraId="2EF2351C">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olor w:val="auto"/>
                      <w:szCs w:val="21"/>
                      <w:highlight w:val="none"/>
                      <w:lang w:val="en-US" w:eastAsia="zh-CN"/>
                    </w:rPr>
                    <w:t>输送机</w:t>
                  </w:r>
                </w:p>
              </w:tc>
              <w:tc>
                <w:tcPr>
                  <w:tcW w:w="723" w:type="dxa"/>
                  <w:noWrap w:val="0"/>
                  <w:vAlign w:val="center"/>
                </w:tcPr>
                <w:p w14:paraId="56D68A0B">
                  <w:pPr>
                    <w:snapToGrid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88.45</w:t>
                  </w:r>
                </w:p>
              </w:tc>
              <w:tc>
                <w:tcPr>
                  <w:tcW w:w="755" w:type="dxa"/>
                  <w:noWrap w:val="0"/>
                  <w:vAlign w:val="center"/>
                </w:tcPr>
                <w:p w14:paraId="42805638">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-10.78</w:t>
                  </w:r>
                </w:p>
              </w:tc>
              <w:tc>
                <w:tcPr>
                  <w:tcW w:w="516" w:type="dxa"/>
                  <w:noWrap w:val="0"/>
                  <w:vAlign w:val="center"/>
                </w:tcPr>
                <w:p w14:paraId="0D2CBFCF">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732" w:type="dxa"/>
                  <w:noWrap w:val="0"/>
                  <w:vAlign w:val="center"/>
                </w:tcPr>
                <w:p w14:paraId="1783F8E3">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1025" w:type="dxa"/>
                  <w:noWrap w:val="0"/>
                  <w:vAlign w:val="center"/>
                </w:tcPr>
                <w:p w14:paraId="126781FB">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75</w:t>
                  </w:r>
                </w:p>
              </w:tc>
              <w:tc>
                <w:tcPr>
                  <w:tcW w:w="1169" w:type="dxa"/>
                  <w:vMerge w:val="continue"/>
                  <w:noWrap w:val="0"/>
                  <w:vAlign w:val="center"/>
                </w:tcPr>
                <w:p w14:paraId="25D80F93">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c>
                <w:tcPr>
                  <w:tcW w:w="587" w:type="dxa"/>
                  <w:noWrap w:val="0"/>
                  <w:vAlign w:val="center"/>
                </w:tcPr>
                <w:p w14:paraId="652A280D">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昼间</w:t>
                  </w:r>
                </w:p>
              </w:tc>
            </w:tr>
            <w:tr w14:paraId="7F4DD2E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32" w:type="dxa"/>
                  <w:noWrap w:val="0"/>
                  <w:vAlign w:val="center"/>
                </w:tcPr>
                <w:p w14:paraId="0D502543">
                  <w:pPr>
                    <w:snapToGrid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206" w:type="dxa"/>
                  <w:noWrap w:val="0"/>
                  <w:vAlign w:val="center"/>
                </w:tcPr>
                <w:p w14:paraId="137635E9">
                  <w:pPr>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highlight w:val="none"/>
                      <w:lang w:val="en-US" w:eastAsia="zh-CN"/>
                    </w:rPr>
                    <w:t>搅拌机</w:t>
                  </w:r>
                </w:p>
              </w:tc>
              <w:tc>
                <w:tcPr>
                  <w:tcW w:w="723" w:type="dxa"/>
                  <w:noWrap w:val="0"/>
                  <w:vAlign w:val="center"/>
                </w:tcPr>
                <w:p w14:paraId="38354D1E">
                  <w:pPr>
                    <w:snapToGrid w:val="0"/>
                    <w:ind w:left="0" w:leftChars="0" w:right="0" w:rightChars="0"/>
                    <w:jc w:val="center"/>
                    <w:textAlignment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88.04</w:t>
                  </w:r>
                </w:p>
              </w:tc>
              <w:tc>
                <w:tcPr>
                  <w:tcW w:w="755" w:type="dxa"/>
                  <w:noWrap w:val="0"/>
                  <w:vAlign w:val="center"/>
                </w:tcPr>
                <w:p w14:paraId="2920DE06">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-14.38</w:t>
                  </w:r>
                </w:p>
              </w:tc>
              <w:tc>
                <w:tcPr>
                  <w:tcW w:w="516" w:type="dxa"/>
                  <w:noWrap w:val="0"/>
                  <w:vAlign w:val="center"/>
                </w:tcPr>
                <w:p w14:paraId="4CB7F713">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1732" w:type="dxa"/>
                  <w:noWrap w:val="0"/>
                  <w:vAlign w:val="center"/>
                </w:tcPr>
                <w:p w14:paraId="1EB8FEFC">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1025" w:type="dxa"/>
                  <w:noWrap w:val="0"/>
                  <w:vAlign w:val="center"/>
                </w:tcPr>
                <w:p w14:paraId="093EC13D">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90</w:t>
                  </w:r>
                </w:p>
              </w:tc>
              <w:tc>
                <w:tcPr>
                  <w:tcW w:w="1169" w:type="dxa"/>
                  <w:vMerge w:val="continue"/>
                  <w:noWrap w:val="0"/>
                  <w:vAlign w:val="center"/>
                </w:tcPr>
                <w:p w14:paraId="105311C9">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c>
                <w:tcPr>
                  <w:tcW w:w="587" w:type="dxa"/>
                  <w:noWrap w:val="0"/>
                  <w:vAlign w:val="center"/>
                </w:tcPr>
                <w:p w14:paraId="58BE11A8">
                  <w:pPr>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昼间</w:t>
                  </w:r>
                </w:p>
              </w:tc>
            </w:tr>
            <w:tr w14:paraId="686860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32" w:type="dxa"/>
                  <w:noWrap w:val="0"/>
                  <w:vAlign w:val="center"/>
                </w:tcPr>
                <w:p w14:paraId="05B710D1">
                  <w:pPr>
                    <w:snapToGrid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206" w:type="dxa"/>
                  <w:noWrap w:val="0"/>
                  <w:vAlign w:val="center"/>
                </w:tcPr>
                <w:p w14:paraId="0234E356">
                  <w:pPr>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混凝土罐车</w:t>
                  </w:r>
                </w:p>
              </w:tc>
              <w:tc>
                <w:tcPr>
                  <w:tcW w:w="723" w:type="dxa"/>
                  <w:noWrap w:val="0"/>
                  <w:vAlign w:val="center"/>
                </w:tcPr>
                <w:p w14:paraId="71728861">
                  <w:pPr>
                    <w:snapToGrid w:val="0"/>
                    <w:ind w:left="0" w:leftChars="0" w:right="0" w:rightChars="0"/>
                    <w:jc w:val="center"/>
                    <w:textAlignment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98.37</w:t>
                  </w:r>
                </w:p>
              </w:tc>
              <w:tc>
                <w:tcPr>
                  <w:tcW w:w="755" w:type="dxa"/>
                  <w:noWrap w:val="0"/>
                  <w:vAlign w:val="center"/>
                </w:tcPr>
                <w:p w14:paraId="005898F5">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-28.53</w:t>
                  </w:r>
                </w:p>
              </w:tc>
              <w:tc>
                <w:tcPr>
                  <w:tcW w:w="516" w:type="dxa"/>
                  <w:noWrap w:val="0"/>
                  <w:vAlign w:val="center"/>
                </w:tcPr>
                <w:p w14:paraId="004A07AB">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732" w:type="dxa"/>
                  <w:noWrap w:val="0"/>
                  <w:vAlign w:val="center"/>
                </w:tcPr>
                <w:p w14:paraId="0C881070">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w:t>
                  </w:r>
                </w:p>
              </w:tc>
              <w:tc>
                <w:tcPr>
                  <w:tcW w:w="1025" w:type="dxa"/>
                  <w:noWrap w:val="0"/>
                  <w:vAlign w:val="center"/>
                </w:tcPr>
                <w:p w14:paraId="6C553D08">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1169" w:type="dxa"/>
                  <w:vMerge w:val="continue"/>
                  <w:noWrap w:val="0"/>
                  <w:vAlign w:val="center"/>
                </w:tcPr>
                <w:p w14:paraId="30AB0CA2">
                  <w:pPr>
                    <w:ind w:left="0" w:leftChars="0" w:right="0" w:rightChars="0"/>
                    <w:jc w:val="center"/>
                    <w:rPr>
                      <w:rFonts w:hint="default" w:ascii="Times New Roman" w:hAnsi="Times New Roman" w:eastAsia="宋体" w:cs="Times New Roman"/>
                      <w:color w:val="auto"/>
                      <w:sz w:val="21"/>
                      <w:szCs w:val="21"/>
                      <w:highlight w:val="none"/>
                      <w:lang w:val="en-US" w:eastAsia="zh-CN"/>
                    </w:rPr>
                  </w:pPr>
                </w:p>
              </w:tc>
              <w:tc>
                <w:tcPr>
                  <w:tcW w:w="587" w:type="dxa"/>
                  <w:noWrap w:val="0"/>
                  <w:vAlign w:val="center"/>
                </w:tcPr>
                <w:p w14:paraId="64F2FD3E">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昼间</w:t>
                  </w:r>
                </w:p>
              </w:tc>
            </w:tr>
            <w:tr w14:paraId="391E3E9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32" w:type="dxa"/>
                  <w:noWrap w:val="0"/>
                  <w:vAlign w:val="center"/>
                </w:tcPr>
                <w:p w14:paraId="1F757700">
                  <w:pPr>
                    <w:snapToGrid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1206" w:type="dxa"/>
                  <w:noWrap w:val="0"/>
                  <w:vAlign w:val="center"/>
                </w:tcPr>
                <w:p w14:paraId="62EBB7B8">
                  <w:pPr>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混凝土罐车</w:t>
                  </w:r>
                </w:p>
              </w:tc>
              <w:tc>
                <w:tcPr>
                  <w:tcW w:w="723" w:type="dxa"/>
                  <w:noWrap w:val="0"/>
                  <w:vAlign w:val="center"/>
                </w:tcPr>
                <w:p w14:paraId="6AE11EE1">
                  <w:pPr>
                    <w:snapToGrid w:val="0"/>
                    <w:ind w:left="0" w:leftChars="0" w:right="0" w:rightChars="0"/>
                    <w:jc w:val="center"/>
                    <w:textAlignment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95.89</w:t>
                  </w:r>
                </w:p>
              </w:tc>
              <w:tc>
                <w:tcPr>
                  <w:tcW w:w="755" w:type="dxa"/>
                  <w:noWrap w:val="0"/>
                  <w:vAlign w:val="center"/>
                </w:tcPr>
                <w:p w14:paraId="3606D441">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-38.53</w:t>
                  </w:r>
                </w:p>
              </w:tc>
              <w:tc>
                <w:tcPr>
                  <w:tcW w:w="516" w:type="dxa"/>
                  <w:noWrap w:val="0"/>
                  <w:vAlign w:val="center"/>
                </w:tcPr>
                <w:p w14:paraId="30313087">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732" w:type="dxa"/>
                  <w:noWrap w:val="0"/>
                  <w:vAlign w:val="center"/>
                </w:tcPr>
                <w:p w14:paraId="7A9CE56C">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w:t>
                  </w:r>
                </w:p>
              </w:tc>
              <w:tc>
                <w:tcPr>
                  <w:tcW w:w="1025" w:type="dxa"/>
                  <w:noWrap w:val="0"/>
                  <w:vAlign w:val="center"/>
                </w:tcPr>
                <w:p w14:paraId="07517D80">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1169" w:type="dxa"/>
                  <w:vMerge w:val="continue"/>
                  <w:noWrap w:val="0"/>
                  <w:vAlign w:val="center"/>
                </w:tcPr>
                <w:p w14:paraId="59664BB2">
                  <w:pPr>
                    <w:ind w:left="0" w:leftChars="0" w:right="0" w:rightChars="0"/>
                    <w:jc w:val="center"/>
                    <w:rPr>
                      <w:rFonts w:hint="default" w:ascii="Times New Roman" w:hAnsi="Times New Roman" w:eastAsia="宋体" w:cs="Times New Roman"/>
                      <w:color w:val="auto"/>
                      <w:sz w:val="21"/>
                      <w:szCs w:val="21"/>
                      <w:highlight w:val="none"/>
                      <w:lang w:val="en-US" w:eastAsia="zh-CN"/>
                    </w:rPr>
                  </w:pPr>
                </w:p>
              </w:tc>
              <w:tc>
                <w:tcPr>
                  <w:tcW w:w="587" w:type="dxa"/>
                  <w:noWrap w:val="0"/>
                  <w:vAlign w:val="center"/>
                </w:tcPr>
                <w:p w14:paraId="6141693D">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昼间</w:t>
                  </w:r>
                </w:p>
              </w:tc>
            </w:tr>
            <w:tr w14:paraId="71A8892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32" w:type="dxa"/>
                  <w:noWrap w:val="0"/>
                  <w:vAlign w:val="center"/>
                </w:tcPr>
                <w:p w14:paraId="195A8F85">
                  <w:pPr>
                    <w:snapToGrid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1206" w:type="dxa"/>
                  <w:noWrap w:val="0"/>
                  <w:vAlign w:val="center"/>
                </w:tcPr>
                <w:p w14:paraId="11A3CC1C">
                  <w:pPr>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混凝土罐车</w:t>
                  </w:r>
                </w:p>
              </w:tc>
              <w:tc>
                <w:tcPr>
                  <w:tcW w:w="723" w:type="dxa"/>
                  <w:noWrap w:val="0"/>
                  <w:vAlign w:val="center"/>
                </w:tcPr>
                <w:p w14:paraId="5821342F">
                  <w:pPr>
                    <w:snapToGrid w:val="0"/>
                    <w:ind w:left="0" w:leftChars="0" w:right="0" w:rightChars="0"/>
                    <w:jc w:val="center"/>
                    <w:textAlignment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93.41</w:t>
                  </w:r>
                </w:p>
              </w:tc>
              <w:tc>
                <w:tcPr>
                  <w:tcW w:w="755" w:type="dxa"/>
                  <w:noWrap w:val="0"/>
                  <w:vAlign w:val="center"/>
                </w:tcPr>
                <w:p w14:paraId="695ED834">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-50.01</w:t>
                  </w:r>
                </w:p>
              </w:tc>
              <w:tc>
                <w:tcPr>
                  <w:tcW w:w="516" w:type="dxa"/>
                  <w:noWrap w:val="0"/>
                  <w:vAlign w:val="center"/>
                </w:tcPr>
                <w:p w14:paraId="67E5CC0C">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732" w:type="dxa"/>
                  <w:noWrap w:val="0"/>
                  <w:vAlign w:val="center"/>
                </w:tcPr>
                <w:p w14:paraId="62753F25">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w:t>
                  </w:r>
                </w:p>
              </w:tc>
              <w:tc>
                <w:tcPr>
                  <w:tcW w:w="1025" w:type="dxa"/>
                  <w:noWrap w:val="0"/>
                  <w:vAlign w:val="center"/>
                </w:tcPr>
                <w:p w14:paraId="54255A48">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85</w:t>
                  </w:r>
                </w:p>
              </w:tc>
              <w:tc>
                <w:tcPr>
                  <w:tcW w:w="1169" w:type="dxa"/>
                  <w:vMerge w:val="continue"/>
                  <w:noWrap w:val="0"/>
                  <w:vAlign w:val="center"/>
                </w:tcPr>
                <w:p w14:paraId="1FAE2AC0">
                  <w:pPr>
                    <w:ind w:left="0" w:leftChars="0" w:right="0" w:rightChars="0"/>
                    <w:jc w:val="center"/>
                    <w:rPr>
                      <w:rFonts w:hint="default" w:ascii="Times New Roman" w:hAnsi="Times New Roman" w:eastAsia="宋体" w:cs="Times New Roman"/>
                      <w:color w:val="auto"/>
                      <w:sz w:val="21"/>
                      <w:szCs w:val="21"/>
                      <w:highlight w:val="none"/>
                      <w:lang w:val="en-US" w:eastAsia="zh-CN"/>
                    </w:rPr>
                  </w:pPr>
                </w:p>
              </w:tc>
              <w:tc>
                <w:tcPr>
                  <w:tcW w:w="587" w:type="dxa"/>
                  <w:noWrap w:val="0"/>
                  <w:vAlign w:val="center"/>
                </w:tcPr>
                <w:p w14:paraId="444D02AD">
                  <w:pPr>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昼间</w:t>
                  </w:r>
                </w:p>
              </w:tc>
            </w:tr>
            <w:tr w14:paraId="482594F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045" w:type="dxa"/>
                  <w:gridSpan w:val="9"/>
                  <w:noWrap w:val="0"/>
                  <w:vAlign w:val="center"/>
                </w:tcPr>
                <w:p w14:paraId="2F6153D0">
                  <w:pPr>
                    <w:ind w:left="0" w:leftChars="0" w:right="0" w:rightChars="0"/>
                    <w:jc w:val="left"/>
                    <w:rPr>
                      <w:rFonts w:hint="eastAsia" w:cs="Times New Roman"/>
                      <w:color w:val="auto"/>
                      <w:kern w:val="2"/>
                      <w:sz w:val="18"/>
                      <w:szCs w:val="18"/>
                      <w:highlight w:val="none"/>
                      <w:lang w:val="en-US" w:eastAsia="zh-CN" w:bidi="ar-SA"/>
                    </w:rPr>
                  </w:pPr>
                  <w:r>
                    <w:rPr>
                      <w:rFonts w:hint="eastAsia" w:cs="Times New Roman"/>
                      <w:color w:val="auto"/>
                      <w:kern w:val="2"/>
                      <w:sz w:val="21"/>
                      <w:szCs w:val="21"/>
                      <w:highlight w:val="none"/>
                      <w:lang w:val="en-US" w:eastAsia="zh-CN" w:bidi="ar-SA"/>
                    </w:rPr>
                    <w:t>注：表中坐标以正东方向为X轴正方向，正北方向为Y轴正方向。</w:t>
                  </w:r>
                </w:p>
              </w:tc>
            </w:tr>
          </w:tbl>
          <w:p w14:paraId="30289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Times New Roman"/>
                <w:b w:val="0"/>
                <w:bCs/>
                <w:color w:val="auto"/>
                <w:kern w:val="2"/>
                <w:sz w:val="24"/>
                <w:szCs w:val="20"/>
                <w:lang w:val="en-US" w:eastAsia="zh-CN" w:bidi="ar-SA"/>
              </w:rPr>
            </w:pPr>
            <w:r>
              <w:rPr>
                <w:rFonts w:hint="default" w:ascii="Times New Roman" w:hAnsi="Times New Roman" w:eastAsia="仿宋_GB2312" w:cs="Times New Roman"/>
                <w:color w:val="auto"/>
                <w:kern w:val="2"/>
                <w:sz w:val="24"/>
                <w:szCs w:val="24"/>
                <w:lang w:val="en-US" w:eastAsia="zh-CN" w:bidi="ar-SA"/>
              </w:rPr>
              <w:t>为更进一步降低项目噪声对周边声环境的影响，项目须采取以下措施：①设备选型时优先选用振动小、噪声低的设备；②隔振基础，采用弹性支架，以减少振动、降低噪声；③采取设置绿化带、隔离带等绿化降噪措施；④对进入厂区的所有车辆实行禁鸣和限速，并对车流进行定向控制和分流。</w:t>
            </w:r>
          </w:p>
          <w:p w14:paraId="0FCF18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outlineLvl w:val="1"/>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b/>
                <w:color w:val="auto"/>
                <w:kern w:val="2"/>
                <w:sz w:val="24"/>
                <w:szCs w:val="20"/>
                <w:lang w:val="en-US" w:eastAsia="zh-CN" w:bidi="ar-SA"/>
              </w:rPr>
              <w:t>3.2</w:t>
            </w:r>
            <w:r>
              <w:rPr>
                <w:rFonts w:hint="eastAsia" w:eastAsia="仿宋_GB2312" w:cs="Times New Roman"/>
                <w:b/>
                <w:bCs/>
                <w:color w:val="auto"/>
                <w:kern w:val="0"/>
                <w:sz w:val="24"/>
                <w:szCs w:val="24"/>
                <w:highlight w:val="none"/>
                <w:lang w:val="en-US" w:eastAsia="zh-CN"/>
              </w:rPr>
              <w:t>厂界达标情况</w:t>
            </w:r>
            <w:r>
              <w:rPr>
                <w:rFonts w:hint="default" w:ascii="Times New Roman" w:hAnsi="Times New Roman" w:eastAsia="仿宋_GB2312" w:cs="Times New Roman"/>
                <w:b/>
                <w:bCs/>
                <w:color w:val="auto"/>
                <w:kern w:val="0"/>
                <w:sz w:val="24"/>
                <w:szCs w:val="24"/>
                <w:highlight w:val="none"/>
                <w:lang w:val="en-US" w:eastAsia="zh-CN"/>
              </w:rPr>
              <w:t>分析</w:t>
            </w:r>
          </w:p>
          <w:p w14:paraId="303B0FC1">
            <w:pPr>
              <w:pStyle w:val="58"/>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⑴噪声衰减模式</w:t>
            </w:r>
          </w:p>
          <w:p w14:paraId="5EA0C4E1">
            <w:pPr>
              <w:pStyle w:val="58"/>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根据导则中推荐的公式：</w:t>
            </w:r>
          </w:p>
          <w:p w14:paraId="418722FD">
            <w:pPr>
              <w:pStyle w:val="58"/>
              <w:keepNext w:val="0"/>
              <w:keepLines w:val="0"/>
              <w:suppressLineNumbers w:val="0"/>
              <w:bidi w:val="0"/>
              <w:spacing w:before="0" w:beforeAutospacing="0" w:after="0" w:afterAutospacing="0"/>
              <w:ind w:left="0" w:right="0"/>
              <w:rPr>
                <w:rFonts w:hint="eastAsia" w:ascii="Times New Roman" w:hAnsi="Times New Roman" w:eastAsia="仿宋_GB2312" w:cs="Times New Roman"/>
                <w:color w:val="auto"/>
                <w:highlight w:val="none"/>
                <w:lang w:val="en-US" w:eastAsia="zh-CN"/>
              </w:rPr>
            </w:pPr>
            <m:oMathPara>
              <m:oMath>
                <m:sSub>
                  <m:sSubPr>
                    <m:ctrlPr>
                      <w:rPr>
                        <w:rFonts w:hint="default" w:ascii="Cambria Math" w:hAnsi="Cambria Math" w:cs="Times New Roman"/>
                        <w:color w:val="auto"/>
                        <w:kern w:val="16"/>
                        <w:sz w:val="24"/>
                        <w:szCs w:val="24"/>
                        <w:highlight w:val="none"/>
                        <w:lang w:val="en-US" w:eastAsia="zh-CN" w:bidi="ar-SA"/>
                      </w:rPr>
                    </m:ctrlPr>
                  </m:sSubPr>
                  <m:e>
                    <m:r>
                      <m:rPr>
                        <m:sty m:val="p"/>
                      </m:rPr>
                      <w:rPr>
                        <w:rFonts w:hint="default" w:ascii="Cambria Math" w:hAnsi="Cambria Math" w:cs="Times New Roman"/>
                        <w:color w:val="auto"/>
                        <w:kern w:val="16"/>
                        <w:sz w:val="24"/>
                        <w:szCs w:val="24"/>
                        <w:highlight w:val="none"/>
                        <w:lang w:val="en-US" w:eastAsia="zh-CN" w:bidi="ar-SA"/>
                      </w:rPr>
                      <m:t>L</m:t>
                    </m:r>
                    <m:ctrlPr>
                      <w:rPr>
                        <w:rFonts w:hint="default" w:ascii="Cambria Math" w:hAnsi="Cambria Math" w:cs="Times New Roman"/>
                        <w:color w:val="auto"/>
                        <w:kern w:val="16"/>
                        <w:sz w:val="24"/>
                        <w:szCs w:val="24"/>
                        <w:highlight w:val="none"/>
                        <w:lang w:val="en-US" w:eastAsia="zh-CN" w:bidi="ar-SA"/>
                      </w:rPr>
                    </m:ctrlPr>
                  </m:e>
                  <m:sub>
                    <m:r>
                      <m:rPr>
                        <m:sty m:val="p"/>
                      </m:rPr>
                      <w:rPr>
                        <w:rFonts w:hint="default" w:ascii="Cambria Math" w:hAnsi="Cambria Math" w:cs="Times New Roman"/>
                        <w:color w:val="auto"/>
                        <w:kern w:val="16"/>
                        <w:sz w:val="24"/>
                        <w:szCs w:val="24"/>
                        <w:highlight w:val="none"/>
                        <w:lang w:val="en-US" w:eastAsia="zh-CN" w:bidi="ar-SA"/>
                      </w:rPr>
                      <m:t>p</m:t>
                    </m:r>
                    <m:ctrlPr>
                      <w:rPr>
                        <w:rFonts w:hint="default" w:ascii="Cambria Math" w:hAnsi="Cambria Math" w:cs="Times New Roman"/>
                        <w:color w:val="auto"/>
                        <w:kern w:val="16"/>
                        <w:sz w:val="24"/>
                        <w:szCs w:val="24"/>
                        <w:highlight w:val="none"/>
                        <w:lang w:val="en-US" w:eastAsia="zh-CN" w:bidi="ar-SA"/>
                      </w:rPr>
                    </m:ctrlPr>
                  </m:sub>
                </m:sSub>
                <m:d>
                  <m:dPr>
                    <m:ctrlPr>
                      <w:rPr>
                        <w:rFonts w:hint="default" w:ascii="Cambria Math" w:hAnsi="Cambria Math" w:cs="Times New Roman"/>
                        <w:color w:val="auto"/>
                        <w:kern w:val="16"/>
                        <w:sz w:val="24"/>
                        <w:szCs w:val="24"/>
                        <w:highlight w:val="none"/>
                        <w:lang w:val="en-US" w:eastAsia="zh-CN" w:bidi="ar-SA"/>
                      </w:rPr>
                    </m:ctrlPr>
                  </m:dPr>
                  <m:e>
                    <m:r>
                      <m:rPr>
                        <m:sty m:val="p"/>
                      </m:rPr>
                      <w:rPr>
                        <w:rFonts w:hint="default" w:ascii="Cambria Math" w:hAnsi="Cambria Math" w:cs="Times New Roman"/>
                        <w:color w:val="auto"/>
                        <w:kern w:val="16"/>
                        <w:sz w:val="24"/>
                        <w:szCs w:val="24"/>
                        <w:highlight w:val="none"/>
                        <w:lang w:val="en-US" w:eastAsia="zh-CN" w:bidi="ar-SA"/>
                      </w:rPr>
                      <m:t>r</m:t>
                    </m:r>
                    <m:ctrlPr>
                      <w:rPr>
                        <w:rFonts w:hint="default" w:ascii="Cambria Math" w:hAnsi="Cambria Math" w:cs="Times New Roman"/>
                        <w:color w:val="auto"/>
                        <w:kern w:val="16"/>
                        <w:sz w:val="24"/>
                        <w:szCs w:val="24"/>
                        <w:highlight w:val="none"/>
                        <w:lang w:val="en-US" w:eastAsia="zh-CN" w:bidi="ar-SA"/>
                      </w:rPr>
                    </m:ctrlPr>
                  </m:e>
                </m:d>
                <m:r>
                  <m:rPr>
                    <m:sty m:val="p"/>
                  </m:rPr>
                  <w:rPr>
                    <w:rFonts w:ascii="Cambria Math" w:hAnsi="Cambria Math" w:cs="Times New Roman"/>
                    <w:color w:val="auto"/>
                    <w:kern w:val="16"/>
                    <w:sz w:val="24"/>
                    <w:szCs w:val="24"/>
                    <w:highlight w:val="none"/>
                    <w:lang w:val="en-US" w:bidi="ar-SA"/>
                  </w:rPr>
                  <m:t>=</m:t>
                </m:r>
                <m:sSub>
                  <m:sSubPr>
                    <m:ctrlPr>
                      <w:rPr>
                        <w:rFonts w:ascii="Cambria Math" w:hAnsi="Cambria Math" w:cs="Times New Roman"/>
                        <w:color w:val="auto"/>
                        <w:kern w:val="16"/>
                        <w:sz w:val="24"/>
                        <w:szCs w:val="24"/>
                        <w:highlight w:val="none"/>
                        <w:lang w:val="en-US" w:bidi="ar-SA"/>
                      </w:rPr>
                    </m:ctrlPr>
                  </m:sSubPr>
                  <m:e>
                    <m:r>
                      <m:rPr>
                        <m:sty m:val="p"/>
                      </m:rPr>
                      <w:rPr>
                        <w:rFonts w:hint="default" w:ascii="Cambria Math" w:hAnsi="Cambria Math" w:cs="Times New Roman"/>
                        <w:color w:val="auto"/>
                        <w:kern w:val="16"/>
                        <w:sz w:val="24"/>
                        <w:szCs w:val="24"/>
                        <w:highlight w:val="none"/>
                        <w:lang w:val="en-US" w:eastAsia="zh-CN" w:bidi="ar-SA"/>
                      </w:rPr>
                      <m:t>L</m:t>
                    </m:r>
                    <m:ctrlPr>
                      <w:rPr>
                        <w:rFonts w:ascii="Cambria Math" w:hAnsi="Cambria Math" w:cs="Times New Roman"/>
                        <w:color w:val="auto"/>
                        <w:kern w:val="16"/>
                        <w:sz w:val="24"/>
                        <w:szCs w:val="24"/>
                        <w:highlight w:val="none"/>
                        <w:lang w:val="en-US" w:bidi="ar-SA"/>
                      </w:rPr>
                    </m:ctrlPr>
                  </m:e>
                  <m:sub>
                    <m:r>
                      <m:rPr>
                        <m:sty m:val="p"/>
                      </m:rPr>
                      <w:rPr>
                        <w:rFonts w:hint="default" w:ascii="Cambria Math" w:hAnsi="Cambria Math" w:cs="Times New Roman"/>
                        <w:color w:val="auto"/>
                        <w:kern w:val="16"/>
                        <w:sz w:val="24"/>
                        <w:szCs w:val="24"/>
                        <w:highlight w:val="none"/>
                        <w:lang w:val="en-US" w:eastAsia="zh-CN" w:bidi="ar-SA"/>
                      </w:rPr>
                      <m:t>p</m:t>
                    </m:r>
                    <m:ctrlPr>
                      <w:rPr>
                        <w:rFonts w:ascii="Cambria Math" w:hAnsi="Cambria Math" w:cs="Times New Roman"/>
                        <w:color w:val="auto"/>
                        <w:kern w:val="16"/>
                        <w:sz w:val="24"/>
                        <w:szCs w:val="24"/>
                        <w:highlight w:val="none"/>
                        <w:lang w:val="en-US" w:bidi="ar-SA"/>
                      </w:rPr>
                    </m:ctrlPr>
                  </m:sub>
                </m:sSub>
                <m:d>
                  <m:dPr>
                    <m:ctrlPr>
                      <w:rPr>
                        <w:rFonts w:ascii="Cambria Math" w:hAnsi="Cambria Math" w:cs="Times New Roman"/>
                        <w:color w:val="auto"/>
                        <w:kern w:val="16"/>
                        <w:sz w:val="24"/>
                        <w:szCs w:val="24"/>
                        <w:highlight w:val="none"/>
                        <w:lang w:val="en-US" w:bidi="ar-SA"/>
                      </w:rPr>
                    </m:ctrlPr>
                  </m:dPr>
                  <m:e>
                    <m:r>
                      <m:rPr>
                        <m:sty m:val="p"/>
                      </m:rPr>
                      <w:rPr>
                        <w:rFonts w:hint="default" w:ascii="Cambria Math" w:hAnsi="Cambria Math" w:cs="Times New Roman"/>
                        <w:color w:val="auto"/>
                        <w:kern w:val="16"/>
                        <w:sz w:val="24"/>
                        <w:szCs w:val="24"/>
                        <w:highlight w:val="none"/>
                        <w:lang w:val="en-US" w:eastAsia="zh-CN" w:bidi="ar-SA"/>
                      </w:rPr>
                      <m:t>r0</m:t>
                    </m:r>
                    <m:ctrlPr>
                      <w:rPr>
                        <w:rFonts w:ascii="Cambria Math" w:hAnsi="Cambria Math" w:cs="Times New Roman"/>
                        <w:color w:val="auto"/>
                        <w:kern w:val="16"/>
                        <w:sz w:val="24"/>
                        <w:szCs w:val="24"/>
                        <w:highlight w:val="none"/>
                        <w:lang w:val="en-US" w:bidi="ar-SA"/>
                      </w:rPr>
                    </m:ctrlPr>
                  </m:e>
                </m:d>
                <m:r>
                  <m:rPr>
                    <m:sty m:val="p"/>
                  </m:rPr>
                  <w:rPr>
                    <w:rFonts w:hint="default" w:ascii="Cambria Math" w:hAnsi="Cambria Math" w:cs="Times New Roman"/>
                    <w:color w:val="auto"/>
                    <w:kern w:val="16"/>
                    <w:sz w:val="24"/>
                    <w:szCs w:val="24"/>
                    <w:highlight w:val="none"/>
                    <w:lang w:val="en-US" w:eastAsia="zh-CN" w:bidi="ar-SA"/>
                  </w:rPr>
                  <m:t>−</m:t>
                </m:r>
                <m:d>
                  <m:dPr>
                    <m:ctrlPr>
                      <w:rPr>
                        <w:rFonts w:hint="default" w:ascii="Cambria Math" w:hAnsi="Cambria Math" w:cs="Times New Roman"/>
                        <w:color w:val="auto"/>
                        <w:kern w:val="16"/>
                        <w:sz w:val="24"/>
                        <w:szCs w:val="24"/>
                        <w:highlight w:val="none"/>
                        <w:lang w:val="en-US" w:eastAsia="zh-CN" w:bidi="ar-SA"/>
                      </w:rPr>
                    </m:ctrlPr>
                  </m:dPr>
                  <m:e>
                    <m:r>
                      <m:rPr>
                        <m:sty m:val="p"/>
                      </m:rPr>
                      <w:rPr>
                        <w:rFonts w:hint="default" w:ascii="Cambria Math" w:hAnsi="Cambria Math" w:cs="Times New Roman"/>
                        <w:color w:val="auto"/>
                        <w:kern w:val="16"/>
                        <w:sz w:val="24"/>
                        <w:szCs w:val="24"/>
                        <w:highlight w:val="none"/>
                        <w:lang w:val="en-US" w:eastAsia="zh-CN" w:bidi="ar-SA"/>
                      </w:rPr>
                      <m:t>Adiv+Aatm+Abar+Agr+Amisc</m:t>
                    </m:r>
                    <m:ctrlPr>
                      <w:rPr>
                        <w:rFonts w:hint="default" w:ascii="Cambria Math" w:hAnsi="Cambria Math" w:cs="Times New Roman"/>
                        <w:color w:val="auto"/>
                        <w:kern w:val="16"/>
                        <w:sz w:val="24"/>
                        <w:szCs w:val="24"/>
                        <w:highlight w:val="none"/>
                        <w:lang w:val="en-US" w:eastAsia="zh-CN" w:bidi="ar-SA"/>
                      </w:rPr>
                    </m:ctrlPr>
                  </m:e>
                </m:d>
              </m:oMath>
            </m:oMathPara>
          </w:p>
          <w:p w14:paraId="76E8A28A">
            <w:pPr>
              <w:pStyle w:val="5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对单个点声源的几何衰减用以下公式计算：</w:t>
            </w:r>
          </w:p>
          <w:p w14:paraId="0738DEBE">
            <w:pPr>
              <w:pStyle w:val="58"/>
              <w:keepNext w:val="0"/>
              <w:keepLines w:val="0"/>
              <w:suppressLineNumbers w:val="0"/>
              <w:bidi w:val="0"/>
              <w:spacing w:before="0" w:beforeAutospacing="0" w:after="0" w:afterAutospacing="0"/>
              <w:ind w:left="0" w:right="0"/>
              <w:rPr>
                <w:rFonts w:hint="eastAsia"/>
                <w:color w:val="auto"/>
                <w:highlight w:val="none"/>
                <w:lang w:val="en-US" w:eastAsia="zh-CN"/>
              </w:rPr>
            </w:pPr>
            <m:oMathPara>
              <m:oMath>
                <m:sSub>
                  <m:sSubPr>
                    <m:ctrlPr>
                      <w:rPr>
                        <w:rFonts w:hint="default" w:ascii="Cambria Math" w:hAnsi="Cambria Math" w:cs="Times New Roman"/>
                        <w:color w:val="auto"/>
                        <w:kern w:val="16"/>
                        <w:sz w:val="24"/>
                        <w:szCs w:val="24"/>
                        <w:highlight w:val="none"/>
                        <w:lang w:val="en-US" w:eastAsia="zh-CN" w:bidi="ar-SA"/>
                      </w:rPr>
                    </m:ctrlPr>
                  </m:sSubPr>
                  <m:e>
                    <m:r>
                      <m:rPr>
                        <m:sty m:val="p"/>
                      </m:rPr>
                      <w:rPr>
                        <w:rFonts w:hint="default" w:ascii="Cambria Math" w:hAnsi="Cambria Math" w:cs="Times New Roman"/>
                        <w:color w:val="auto"/>
                        <w:kern w:val="16"/>
                        <w:sz w:val="24"/>
                        <w:szCs w:val="24"/>
                        <w:highlight w:val="none"/>
                        <w:lang w:val="en-US" w:eastAsia="zh-CN" w:bidi="ar-SA"/>
                      </w:rPr>
                      <m:t>L</m:t>
                    </m:r>
                    <m:ctrlPr>
                      <w:rPr>
                        <w:rFonts w:hint="default" w:ascii="Cambria Math" w:hAnsi="Cambria Math" w:cs="Times New Roman"/>
                        <w:color w:val="auto"/>
                        <w:kern w:val="16"/>
                        <w:sz w:val="24"/>
                        <w:szCs w:val="24"/>
                        <w:highlight w:val="none"/>
                        <w:lang w:val="en-US" w:eastAsia="zh-CN" w:bidi="ar-SA"/>
                      </w:rPr>
                    </m:ctrlPr>
                  </m:e>
                  <m:sub>
                    <m:r>
                      <m:rPr>
                        <m:sty m:val="p"/>
                      </m:rPr>
                      <w:rPr>
                        <w:rFonts w:hint="default" w:ascii="Cambria Math" w:hAnsi="Cambria Math" w:cs="Times New Roman"/>
                        <w:color w:val="auto"/>
                        <w:kern w:val="16"/>
                        <w:sz w:val="24"/>
                        <w:szCs w:val="24"/>
                        <w:highlight w:val="none"/>
                        <w:lang w:val="en-US" w:eastAsia="zh-CN" w:bidi="ar-SA"/>
                      </w:rPr>
                      <m:t>p</m:t>
                    </m:r>
                    <m:ctrlPr>
                      <w:rPr>
                        <w:rFonts w:hint="default" w:ascii="Cambria Math" w:hAnsi="Cambria Math" w:cs="Times New Roman"/>
                        <w:color w:val="auto"/>
                        <w:kern w:val="16"/>
                        <w:sz w:val="24"/>
                        <w:szCs w:val="24"/>
                        <w:highlight w:val="none"/>
                        <w:lang w:val="en-US" w:eastAsia="zh-CN" w:bidi="ar-SA"/>
                      </w:rPr>
                    </m:ctrlPr>
                  </m:sub>
                </m:sSub>
                <m:d>
                  <m:dPr>
                    <m:ctrlPr>
                      <w:rPr>
                        <w:rFonts w:hint="default" w:ascii="Cambria Math" w:hAnsi="Cambria Math" w:cs="Times New Roman"/>
                        <w:i w:val="0"/>
                        <w:color w:val="auto"/>
                        <w:kern w:val="16"/>
                        <w:sz w:val="24"/>
                        <w:szCs w:val="24"/>
                        <w:highlight w:val="none"/>
                        <w:lang w:val="en-US" w:eastAsia="zh-CN" w:bidi="ar-SA"/>
                      </w:rPr>
                    </m:ctrlPr>
                  </m:dPr>
                  <m:e>
                    <m:r>
                      <m:rPr>
                        <m:sty m:val="p"/>
                      </m:rPr>
                      <w:rPr>
                        <w:rFonts w:hint="default" w:ascii="Cambria Math" w:hAnsi="Cambria Math" w:cs="Times New Roman"/>
                        <w:color w:val="auto"/>
                        <w:kern w:val="16"/>
                        <w:sz w:val="24"/>
                        <w:szCs w:val="24"/>
                        <w:highlight w:val="none"/>
                        <w:lang w:val="en-US" w:eastAsia="zh-CN" w:bidi="ar-SA"/>
                      </w:rPr>
                      <m:t>r</m:t>
                    </m:r>
                    <m:ctrlPr>
                      <w:rPr>
                        <w:rFonts w:hint="default" w:ascii="Cambria Math" w:hAnsi="Cambria Math" w:cs="Times New Roman"/>
                        <w:i w:val="0"/>
                        <w:color w:val="auto"/>
                        <w:kern w:val="16"/>
                        <w:sz w:val="24"/>
                        <w:szCs w:val="24"/>
                        <w:highlight w:val="none"/>
                        <w:lang w:val="en-US" w:eastAsia="zh-CN" w:bidi="ar-SA"/>
                      </w:rPr>
                    </m:ctrlPr>
                  </m:e>
                </m:d>
                <m:r>
                  <m:rPr>
                    <m:sty m:val="p"/>
                  </m:rPr>
                  <w:rPr>
                    <w:rFonts w:ascii="Cambria Math" w:hAnsi="Cambria Math" w:cs="Times New Roman"/>
                    <w:color w:val="auto"/>
                    <w:kern w:val="16"/>
                    <w:sz w:val="24"/>
                    <w:szCs w:val="24"/>
                    <w:highlight w:val="none"/>
                    <w:lang w:val="en-US" w:bidi="ar-SA"/>
                  </w:rPr>
                  <m:t>=</m:t>
                </m:r>
                <m:sSub>
                  <m:sSubPr>
                    <m:ctrlPr>
                      <w:rPr>
                        <w:rFonts w:ascii="Cambria Math" w:hAnsi="Cambria Math" w:cs="Times New Roman"/>
                        <w:color w:val="auto"/>
                        <w:kern w:val="16"/>
                        <w:sz w:val="24"/>
                        <w:szCs w:val="24"/>
                        <w:highlight w:val="none"/>
                        <w:lang w:val="en-US" w:bidi="ar-SA"/>
                      </w:rPr>
                    </m:ctrlPr>
                  </m:sSubPr>
                  <m:e>
                    <m:r>
                      <m:rPr>
                        <m:sty m:val="p"/>
                      </m:rPr>
                      <w:rPr>
                        <w:rFonts w:hint="default" w:ascii="Cambria Math" w:hAnsi="Cambria Math" w:cs="Times New Roman"/>
                        <w:color w:val="auto"/>
                        <w:kern w:val="16"/>
                        <w:sz w:val="24"/>
                        <w:szCs w:val="24"/>
                        <w:highlight w:val="none"/>
                        <w:lang w:val="en-US" w:eastAsia="zh-CN" w:bidi="ar-SA"/>
                      </w:rPr>
                      <m:t>L</m:t>
                    </m:r>
                    <m:ctrlPr>
                      <w:rPr>
                        <w:rFonts w:ascii="Cambria Math" w:hAnsi="Cambria Math" w:cs="Times New Roman"/>
                        <w:color w:val="auto"/>
                        <w:kern w:val="16"/>
                        <w:sz w:val="24"/>
                        <w:szCs w:val="24"/>
                        <w:highlight w:val="none"/>
                        <w:lang w:val="en-US" w:bidi="ar-SA"/>
                      </w:rPr>
                    </m:ctrlPr>
                  </m:e>
                  <m:sub>
                    <m:r>
                      <m:rPr>
                        <m:sty m:val="p"/>
                      </m:rPr>
                      <w:rPr>
                        <w:rFonts w:hint="default" w:ascii="Cambria Math" w:hAnsi="Cambria Math" w:cs="Times New Roman"/>
                        <w:color w:val="auto"/>
                        <w:kern w:val="16"/>
                        <w:sz w:val="24"/>
                        <w:szCs w:val="24"/>
                        <w:highlight w:val="none"/>
                        <w:lang w:val="en-US" w:eastAsia="zh-CN" w:bidi="ar-SA"/>
                      </w:rPr>
                      <m:t>p</m:t>
                    </m:r>
                    <m:ctrlPr>
                      <w:rPr>
                        <w:rFonts w:ascii="Cambria Math" w:hAnsi="Cambria Math" w:cs="Times New Roman"/>
                        <w:color w:val="auto"/>
                        <w:kern w:val="16"/>
                        <w:sz w:val="24"/>
                        <w:szCs w:val="24"/>
                        <w:highlight w:val="none"/>
                        <w:lang w:val="en-US" w:bidi="ar-SA"/>
                      </w:rPr>
                    </m:ctrlPr>
                  </m:sub>
                </m:sSub>
                <m:d>
                  <m:dPr>
                    <m:ctrlPr>
                      <w:rPr>
                        <w:rFonts w:ascii="Cambria Math" w:hAnsi="Cambria Math" w:cs="Times New Roman"/>
                        <w:i w:val="0"/>
                        <w:color w:val="auto"/>
                        <w:kern w:val="16"/>
                        <w:sz w:val="24"/>
                        <w:szCs w:val="24"/>
                        <w:highlight w:val="none"/>
                        <w:lang w:val="en-US" w:bidi="ar-SA"/>
                      </w:rPr>
                    </m:ctrlPr>
                  </m:dPr>
                  <m:e>
                    <m:sSub>
                      <m:sSubPr>
                        <m:ctrlPr>
                          <w:rPr>
                            <w:rFonts w:hint="default" w:ascii="Cambria Math" w:hAnsi="Cambria Math" w:cs="Times New Roman"/>
                            <w:i w:val="0"/>
                            <w:color w:val="auto"/>
                            <w:kern w:val="16"/>
                            <w:sz w:val="24"/>
                            <w:szCs w:val="24"/>
                            <w:highlight w:val="none"/>
                            <w:lang w:val="en-US" w:eastAsia="zh-CN" w:bidi="ar-SA"/>
                          </w:rPr>
                        </m:ctrlPr>
                      </m:sSubPr>
                      <m:e>
                        <m:r>
                          <m:rPr>
                            <m:sty m:val="p"/>
                          </m:rPr>
                          <w:rPr>
                            <w:rFonts w:hint="default" w:ascii="Cambria Math" w:hAnsi="Cambria Math" w:cs="Times New Roman"/>
                            <w:color w:val="auto"/>
                            <w:kern w:val="16"/>
                            <w:sz w:val="24"/>
                            <w:szCs w:val="24"/>
                            <w:highlight w:val="none"/>
                            <w:lang w:val="en-US" w:eastAsia="zh-CN" w:bidi="ar-SA"/>
                          </w:rPr>
                          <m:t>r</m:t>
                        </m:r>
                        <m:ctrlPr>
                          <w:rPr>
                            <w:rFonts w:hint="default" w:ascii="Cambria Math" w:hAnsi="Cambria Math" w:cs="Times New Roman"/>
                            <w:i w:val="0"/>
                            <w:color w:val="auto"/>
                            <w:kern w:val="16"/>
                            <w:sz w:val="24"/>
                            <w:szCs w:val="24"/>
                            <w:highlight w:val="none"/>
                            <w:lang w:val="en-US" w:eastAsia="zh-CN" w:bidi="ar-SA"/>
                          </w:rPr>
                        </m:ctrlPr>
                      </m:e>
                      <m:sub>
                        <m:r>
                          <m:rPr>
                            <m:sty m:val="p"/>
                          </m:rPr>
                          <w:rPr>
                            <w:rFonts w:hint="default" w:ascii="Cambria Math" w:hAnsi="Cambria Math" w:cs="Times New Roman"/>
                            <w:color w:val="auto"/>
                            <w:kern w:val="16"/>
                            <w:sz w:val="24"/>
                            <w:szCs w:val="24"/>
                            <w:highlight w:val="none"/>
                            <w:lang w:val="en-US" w:eastAsia="zh-CN" w:bidi="ar-SA"/>
                          </w:rPr>
                          <m:t>0</m:t>
                        </m:r>
                        <m:ctrlPr>
                          <w:rPr>
                            <w:rFonts w:hint="default" w:ascii="Cambria Math" w:hAnsi="Cambria Math" w:cs="Times New Roman"/>
                            <w:i w:val="0"/>
                            <w:color w:val="auto"/>
                            <w:kern w:val="16"/>
                            <w:sz w:val="24"/>
                            <w:szCs w:val="24"/>
                            <w:highlight w:val="none"/>
                            <w:lang w:val="en-US" w:eastAsia="zh-CN" w:bidi="ar-SA"/>
                          </w:rPr>
                        </m:ctrlPr>
                      </m:sub>
                    </m:sSub>
                    <m:ctrlPr>
                      <w:rPr>
                        <w:rFonts w:ascii="Cambria Math" w:hAnsi="Cambria Math" w:cs="Times New Roman"/>
                        <w:i w:val="0"/>
                        <w:color w:val="auto"/>
                        <w:kern w:val="16"/>
                        <w:sz w:val="24"/>
                        <w:szCs w:val="24"/>
                        <w:highlight w:val="none"/>
                        <w:lang w:val="en-US" w:bidi="ar-SA"/>
                      </w:rPr>
                    </m:ctrlPr>
                  </m:e>
                </m:d>
                <m:r>
                  <m:rPr>
                    <m:sty m:val="p"/>
                  </m:rPr>
                  <w:rPr>
                    <w:rFonts w:hint="default" w:ascii="Cambria Math" w:hAnsi="Cambria Math" w:cs="Times New Roman"/>
                    <w:color w:val="auto"/>
                    <w:kern w:val="16"/>
                    <w:sz w:val="24"/>
                    <w:szCs w:val="24"/>
                    <w:highlight w:val="none"/>
                    <w:lang w:val="en-US" w:eastAsia="zh-CN" w:bidi="ar-SA"/>
                  </w:rPr>
                  <m:t>−20</m:t>
                </m:r>
                <m:func>
                  <m:funcPr>
                    <m:ctrlPr>
                      <w:rPr>
                        <w:rFonts w:hint="default" w:ascii="Cambria Math" w:hAnsi="Cambria Math" w:cs="Times New Roman"/>
                        <w:color w:val="auto"/>
                        <w:kern w:val="16"/>
                        <w:sz w:val="24"/>
                        <w:szCs w:val="24"/>
                        <w:highlight w:val="none"/>
                        <w:lang w:val="en-US" w:eastAsia="zh-CN" w:bidi="ar-SA"/>
                      </w:rPr>
                    </m:ctrlPr>
                  </m:funcPr>
                  <m:fName>
                    <m:sSub>
                      <m:sSubPr>
                        <m:ctrlPr>
                          <w:rPr>
                            <w:rFonts w:hint="default" w:ascii="Cambria Math" w:hAnsi="Cambria Math" w:cs="Times New Roman"/>
                            <w:color w:val="auto"/>
                            <w:kern w:val="16"/>
                            <w:sz w:val="24"/>
                            <w:szCs w:val="24"/>
                            <w:highlight w:val="none"/>
                            <w:lang w:val="en-US" w:eastAsia="zh-CN" w:bidi="ar-SA"/>
                          </w:rPr>
                        </m:ctrlPr>
                      </m:sSubPr>
                      <m:e>
                        <m:r>
                          <m:rPr>
                            <m:sty m:val="p"/>
                          </m:rPr>
                          <w:rPr>
                            <w:rFonts w:ascii="Cambria Math" w:hAnsi="Cambria Math" w:cs="Times New Roman"/>
                            <w:color w:val="auto"/>
                            <w:kern w:val="16"/>
                            <w:sz w:val="24"/>
                            <w:szCs w:val="24"/>
                            <w:highlight w:val="none"/>
                            <w:lang w:val="en-US" w:bidi="ar-SA"/>
                          </w:rPr>
                          <m:t>log</m:t>
                        </m:r>
                        <m:ctrlPr>
                          <w:rPr>
                            <w:rFonts w:hint="default" w:ascii="Cambria Math" w:hAnsi="Cambria Math" w:cs="Times New Roman"/>
                            <w:color w:val="auto"/>
                            <w:kern w:val="16"/>
                            <w:sz w:val="24"/>
                            <w:szCs w:val="24"/>
                            <w:highlight w:val="none"/>
                            <w:lang w:val="en-US" w:eastAsia="zh-CN" w:bidi="ar-SA"/>
                          </w:rPr>
                        </m:ctrlPr>
                      </m:e>
                      <m:sub>
                        <m:r>
                          <m:rPr>
                            <m:sty m:val="p"/>
                          </m:rPr>
                          <w:rPr>
                            <w:rFonts w:hint="default" w:ascii="Cambria Math" w:hAnsi="Cambria Math" w:cs="Times New Roman"/>
                            <w:color w:val="auto"/>
                            <w:kern w:val="16"/>
                            <w:sz w:val="24"/>
                            <w:szCs w:val="24"/>
                            <w:highlight w:val="none"/>
                            <w:lang w:val="en-US" w:eastAsia="zh-CN" w:bidi="ar-SA"/>
                          </w:rPr>
                          <m:t>10</m:t>
                        </m:r>
                        <m:ctrlPr>
                          <w:rPr>
                            <w:rFonts w:hint="default" w:ascii="Cambria Math" w:hAnsi="Cambria Math" w:cs="Times New Roman"/>
                            <w:color w:val="auto"/>
                            <w:kern w:val="16"/>
                            <w:sz w:val="24"/>
                            <w:szCs w:val="24"/>
                            <w:highlight w:val="none"/>
                            <w:lang w:val="en-US" w:eastAsia="zh-CN" w:bidi="ar-SA"/>
                          </w:rPr>
                        </m:ctrlPr>
                      </m:sub>
                    </m:sSub>
                    <m:ctrlPr>
                      <w:rPr>
                        <w:rFonts w:hint="default" w:ascii="Cambria Math" w:hAnsi="Cambria Math" w:cs="Times New Roman"/>
                        <w:color w:val="auto"/>
                        <w:kern w:val="16"/>
                        <w:sz w:val="24"/>
                        <w:szCs w:val="24"/>
                        <w:highlight w:val="none"/>
                        <w:lang w:val="en-US" w:eastAsia="zh-CN" w:bidi="ar-SA"/>
                      </w:rPr>
                    </m:ctrlPr>
                  </m:fName>
                  <m:e>
                    <m:f>
                      <m:fPr>
                        <m:ctrlPr>
                          <w:rPr>
                            <w:rFonts w:hint="default" w:ascii="Cambria Math" w:hAnsi="Cambria Math" w:cs="Times New Roman"/>
                            <w:color w:val="auto"/>
                            <w:kern w:val="16"/>
                            <w:sz w:val="24"/>
                            <w:szCs w:val="24"/>
                            <w:highlight w:val="none"/>
                            <w:lang w:val="en-US" w:eastAsia="zh-CN" w:bidi="ar-SA"/>
                          </w:rPr>
                        </m:ctrlPr>
                      </m:fPr>
                      <m:num>
                        <m:r>
                          <m:rPr>
                            <m:sty m:val="p"/>
                          </m:rPr>
                          <w:rPr>
                            <w:rFonts w:hint="default" w:ascii="Cambria Math" w:hAnsi="Cambria Math" w:cs="Times New Roman"/>
                            <w:color w:val="auto"/>
                            <w:kern w:val="16"/>
                            <w:sz w:val="24"/>
                            <w:szCs w:val="24"/>
                            <w:highlight w:val="none"/>
                            <w:lang w:val="en-US" w:eastAsia="zh-CN" w:bidi="ar-SA"/>
                          </w:rPr>
                          <m:t>r</m:t>
                        </m:r>
                        <m:ctrlPr>
                          <w:rPr>
                            <w:rFonts w:hint="default" w:ascii="Cambria Math" w:hAnsi="Cambria Math" w:cs="Times New Roman"/>
                            <w:color w:val="auto"/>
                            <w:kern w:val="16"/>
                            <w:sz w:val="24"/>
                            <w:szCs w:val="24"/>
                            <w:highlight w:val="none"/>
                            <w:lang w:val="en-US" w:eastAsia="zh-CN" w:bidi="ar-SA"/>
                          </w:rPr>
                        </m:ctrlPr>
                      </m:num>
                      <m:den>
                        <m:sSub>
                          <m:sSubPr>
                            <m:ctrlPr>
                              <w:rPr>
                                <w:rFonts w:hint="default" w:ascii="Cambria Math" w:hAnsi="Cambria Math" w:cs="Times New Roman"/>
                                <w:color w:val="auto"/>
                                <w:kern w:val="16"/>
                                <w:sz w:val="24"/>
                                <w:szCs w:val="24"/>
                                <w:highlight w:val="none"/>
                                <w:lang w:val="en-US" w:eastAsia="zh-CN" w:bidi="ar-SA"/>
                              </w:rPr>
                            </m:ctrlPr>
                          </m:sSubPr>
                          <m:e>
                            <m:r>
                              <m:rPr>
                                <m:sty m:val="p"/>
                              </m:rPr>
                              <w:rPr>
                                <w:rFonts w:hint="default" w:ascii="Cambria Math" w:hAnsi="Cambria Math" w:cs="Times New Roman"/>
                                <w:color w:val="auto"/>
                                <w:kern w:val="16"/>
                                <w:sz w:val="24"/>
                                <w:szCs w:val="24"/>
                                <w:highlight w:val="none"/>
                                <w:lang w:val="en-US" w:eastAsia="zh-CN" w:bidi="ar-SA"/>
                              </w:rPr>
                              <m:t>r</m:t>
                            </m:r>
                            <m:ctrlPr>
                              <w:rPr>
                                <w:rFonts w:hint="default" w:ascii="Cambria Math" w:hAnsi="Cambria Math" w:cs="Times New Roman"/>
                                <w:color w:val="auto"/>
                                <w:kern w:val="16"/>
                                <w:sz w:val="24"/>
                                <w:szCs w:val="24"/>
                                <w:highlight w:val="none"/>
                                <w:lang w:val="en-US" w:eastAsia="zh-CN" w:bidi="ar-SA"/>
                              </w:rPr>
                            </m:ctrlPr>
                          </m:e>
                          <m:sub>
                            <m:r>
                              <m:rPr>
                                <m:sty m:val="p"/>
                              </m:rPr>
                              <w:rPr>
                                <w:rFonts w:hint="default" w:ascii="Cambria Math" w:hAnsi="Cambria Math" w:cs="Times New Roman"/>
                                <w:color w:val="auto"/>
                                <w:kern w:val="16"/>
                                <w:sz w:val="24"/>
                                <w:szCs w:val="24"/>
                                <w:highlight w:val="none"/>
                                <w:lang w:val="en-US" w:eastAsia="zh-CN" w:bidi="ar-SA"/>
                              </w:rPr>
                              <m:t>0</m:t>
                            </m:r>
                            <m:ctrlPr>
                              <w:rPr>
                                <w:rFonts w:hint="default" w:ascii="Cambria Math" w:hAnsi="Cambria Math" w:cs="Times New Roman"/>
                                <w:color w:val="auto"/>
                                <w:kern w:val="16"/>
                                <w:sz w:val="24"/>
                                <w:szCs w:val="24"/>
                                <w:highlight w:val="none"/>
                                <w:lang w:val="en-US" w:eastAsia="zh-CN" w:bidi="ar-SA"/>
                              </w:rPr>
                            </m:ctrlPr>
                          </m:sub>
                        </m:sSub>
                        <m:ctrlPr>
                          <w:rPr>
                            <w:rFonts w:hint="default" w:ascii="Cambria Math" w:hAnsi="Cambria Math" w:cs="Times New Roman"/>
                            <w:color w:val="auto"/>
                            <w:kern w:val="16"/>
                            <w:sz w:val="24"/>
                            <w:szCs w:val="24"/>
                            <w:highlight w:val="none"/>
                            <w:lang w:val="en-US" w:eastAsia="zh-CN" w:bidi="ar-SA"/>
                          </w:rPr>
                        </m:ctrlPr>
                      </m:den>
                    </m:f>
                    <m:ctrlPr>
                      <w:rPr>
                        <w:rFonts w:hint="default" w:ascii="Cambria Math" w:hAnsi="Cambria Math" w:cs="Times New Roman"/>
                        <w:color w:val="auto"/>
                        <w:kern w:val="16"/>
                        <w:sz w:val="24"/>
                        <w:szCs w:val="24"/>
                        <w:highlight w:val="none"/>
                        <w:lang w:val="en-US" w:eastAsia="zh-CN" w:bidi="ar-SA"/>
                      </w:rPr>
                    </m:ctrlPr>
                  </m:e>
                </m:func>
              </m:oMath>
            </m:oMathPara>
          </w:p>
          <w:p w14:paraId="744DEB63">
            <w:pPr>
              <w:pStyle w:val="58"/>
              <w:keepNext w:val="0"/>
              <w:keepLines w:val="0"/>
              <w:suppressLineNumbers w:val="0"/>
              <w:bidi w:val="0"/>
              <w:spacing w:before="0" w:beforeAutospacing="0" w:after="0" w:afterAutospacing="0"/>
              <w:ind w:left="0" w:leftChars="0" w:right="0" w:firstLine="480" w:firstLineChars="200"/>
              <w:rPr>
                <w:rFonts w:hint="eastAsia"/>
                <w:color w:val="auto"/>
                <w:highlight w:val="none"/>
                <w:lang w:val="en-US" w:eastAsia="zh-CN"/>
              </w:rPr>
            </w:pPr>
            <w:r>
              <w:rPr>
                <w:rFonts w:hint="eastAsia"/>
                <w:color w:val="auto"/>
                <w:highlight w:val="none"/>
                <w:lang w:val="en-US" w:eastAsia="zh-CN"/>
              </w:rPr>
              <w:t>公式中：</w:t>
            </w:r>
            <w:r>
              <w:rPr>
                <w:rFonts w:hint="default"/>
                <w:color w:val="auto"/>
                <w:highlight w:val="none"/>
                <w:lang w:val="en-US" w:eastAsia="zh-CN"/>
              </w:rPr>
              <w:t>Lp</w:t>
            </w:r>
            <w:r>
              <w:rPr>
                <w:rFonts w:hint="eastAsia"/>
                <w:color w:val="auto"/>
                <w:highlight w:val="none"/>
                <w:lang w:val="en-US" w:eastAsia="zh-CN"/>
              </w:rPr>
              <w:t>（</w:t>
            </w:r>
            <w:r>
              <w:rPr>
                <w:rFonts w:hint="default"/>
                <w:color w:val="auto"/>
                <w:highlight w:val="none"/>
                <w:lang w:val="en-US" w:eastAsia="zh-CN"/>
              </w:rPr>
              <w:t>r0</w:t>
            </w:r>
            <w:r>
              <w:rPr>
                <w:rFonts w:hint="eastAsia"/>
                <w:color w:val="auto"/>
                <w:highlight w:val="none"/>
                <w:lang w:val="en-US" w:eastAsia="zh-CN"/>
              </w:rPr>
              <w:t xml:space="preserve">）——声源在参考距离 </w:t>
            </w:r>
            <w:r>
              <w:rPr>
                <w:rFonts w:hint="default"/>
                <w:color w:val="auto"/>
                <w:highlight w:val="none"/>
                <w:lang w:val="en-US" w:eastAsia="zh-CN"/>
              </w:rPr>
              <w:t>r0</w:t>
            </w:r>
            <w:r>
              <w:rPr>
                <w:rFonts w:hint="eastAsia"/>
                <w:color w:val="auto"/>
                <w:highlight w:val="none"/>
                <w:lang w:val="en-US" w:eastAsia="zh-CN"/>
              </w:rPr>
              <w:t>处的声压级，</w:t>
            </w:r>
            <w:r>
              <w:rPr>
                <w:rFonts w:hint="default"/>
                <w:color w:val="auto"/>
                <w:highlight w:val="none"/>
                <w:lang w:val="en-US" w:eastAsia="zh-CN"/>
              </w:rPr>
              <w:t>dB</w:t>
            </w:r>
            <w:r>
              <w:rPr>
                <w:rFonts w:hint="eastAsia"/>
                <w:color w:val="auto"/>
                <w:highlight w:val="none"/>
                <w:lang w:val="en-US" w:eastAsia="zh-CN"/>
              </w:rPr>
              <w:t>；</w:t>
            </w:r>
          </w:p>
          <w:p w14:paraId="7EC7F24A">
            <w:pPr>
              <w:pStyle w:val="58"/>
              <w:keepNext w:val="0"/>
              <w:keepLines w:val="0"/>
              <w:suppressLineNumbers w:val="0"/>
              <w:bidi w:val="0"/>
              <w:spacing w:before="0" w:beforeAutospacing="0" w:after="0" w:afterAutospacing="0"/>
              <w:ind w:left="0" w:right="0" w:firstLine="1440" w:firstLineChars="600"/>
              <w:rPr>
                <w:color w:val="auto"/>
                <w:highlight w:val="none"/>
              </w:rPr>
            </w:pPr>
            <w:r>
              <w:rPr>
                <w:rFonts w:hint="default"/>
                <w:color w:val="auto"/>
                <w:highlight w:val="none"/>
                <w:lang w:val="en-US" w:eastAsia="zh-CN"/>
              </w:rPr>
              <w:t>Adiv</w:t>
            </w:r>
            <w:r>
              <w:rPr>
                <w:rFonts w:hint="eastAsia"/>
                <w:color w:val="auto"/>
                <w:highlight w:val="none"/>
                <w:lang w:val="en-US" w:eastAsia="zh-CN"/>
              </w:rPr>
              <w:t>——距离衰减，</w:t>
            </w:r>
            <w:r>
              <w:rPr>
                <w:rFonts w:hint="default"/>
                <w:color w:val="auto"/>
                <w:highlight w:val="none"/>
                <w:lang w:val="en-US" w:eastAsia="zh-CN"/>
              </w:rPr>
              <w:t>dB</w:t>
            </w:r>
            <w:r>
              <w:rPr>
                <w:rFonts w:hint="eastAsia"/>
                <w:color w:val="auto"/>
                <w:highlight w:val="none"/>
                <w:lang w:val="en-US" w:eastAsia="zh-CN"/>
              </w:rPr>
              <w:t>；</w:t>
            </w:r>
            <w:r>
              <w:rPr>
                <w:rFonts w:hint="default"/>
                <w:color w:val="auto"/>
                <w:highlight w:val="none"/>
                <w:lang w:val="en-US" w:eastAsia="zh-CN"/>
              </w:rPr>
              <w:t>Aatm</w:t>
            </w:r>
            <w:r>
              <w:rPr>
                <w:rFonts w:hint="eastAsia"/>
                <w:color w:val="auto"/>
                <w:highlight w:val="none"/>
                <w:lang w:val="en-US" w:eastAsia="zh-CN"/>
              </w:rPr>
              <w:t>——空气吸收衰减，</w:t>
            </w:r>
            <w:r>
              <w:rPr>
                <w:rFonts w:hint="default"/>
                <w:color w:val="auto"/>
                <w:highlight w:val="none"/>
                <w:lang w:val="en-US" w:eastAsia="zh-CN"/>
              </w:rPr>
              <w:t>dB</w:t>
            </w:r>
            <w:r>
              <w:rPr>
                <w:rFonts w:hint="eastAsia"/>
                <w:color w:val="auto"/>
                <w:highlight w:val="none"/>
                <w:lang w:val="en-US" w:eastAsia="zh-CN"/>
              </w:rPr>
              <w:t>；</w:t>
            </w:r>
          </w:p>
          <w:p w14:paraId="4F7B49F6">
            <w:pPr>
              <w:pStyle w:val="58"/>
              <w:keepNext w:val="0"/>
              <w:keepLines w:val="0"/>
              <w:suppressLineNumbers w:val="0"/>
              <w:bidi w:val="0"/>
              <w:spacing w:before="0" w:beforeAutospacing="0" w:after="0" w:afterAutospacing="0"/>
              <w:ind w:left="0" w:right="0" w:firstLine="1440" w:firstLineChars="600"/>
              <w:rPr>
                <w:color w:val="auto"/>
                <w:highlight w:val="none"/>
              </w:rPr>
            </w:pPr>
            <w:r>
              <w:rPr>
                <w:rFonts w:hint="default"/>
                <w:color w:val="auto"/>
                <w:highlight w:val="none"/>
                <w:lang w:val="en-US" w:eastAsia="zh-CN"/>
              </w:rPr>
              <w:t>Abar</w:t>
            </w:r>
            <w:r>
              <w:rPr>
                <w:rFonts w:hint="eastAsia"/>
                <w:color w:val="auto"/>
                <w:highlight w:val="none"/>
                <w:lang w:val="en-US" w:eastAsia="zh-CN"/>
              </w:rPr>
              <w:t>——遮挡物衰减，</w:t>
            </w:r>
            <w:r>
              <w:rPr>
                <w:rFonts w:hint="default"/>
                <w:color w:val="auto"/>
                <w:highlight w:val="none"/>
                <w:lang w:val="en-US" w:eastAsia="zh-CN"/>
              </w:rPr>
              <w:t>dB</w:t>
            </w:r>
            <w:r>
              <w:rPr>
                <w:rFonts w:hint="eastAsia"/>
                <w:color w:val="auto"/>
                <w:highlight w:val="none"/>
                <w:lang w:val="en-US" w:eastAsia="zh-CN"/>
              </w:rPr>
              <w:t>；</w:t>
            </w:r>
            <w:r>
              <w:rPr>
                <w:rFonts w:hint="default"/>
                <w:color w:val="auto"/>
                <w:highlight w:val="none"/>
                <w:lang w:val="en-US" w:eastAsia="zh-CN"/>
              </w:rPr>
              <w:t>Agr</w:t>
            </w:r>
            <w:r>
              <w:rPr>
                <w:rFonts w:hint="eastAsia"/>
                <w:color w:val="auto"/>
                <w:highlight w:val="none"/>
                <w:lang w:val="en-US" w:eastAsia="zh-CN"/>
              </w:rPr>
              <w:t>——地面效应，</w:t>
            </w:r>
            <w:r>
              <w:rPr>
                <w:rFonts w:hint="default"/>
                <w:color w:val="auto"/>
                <w:highlight w:val="none"/>
                <w:lang w:val="en-US" w:eastAsia="zh-CN"/>
              </w:rPr>
              <w:t>dB</w:t>
            </w:r>
            <w:r>
              <w:rPr>
                <w:rFonts w:hint="eastAsia"/>
                <w:color w:val="auto"/>
                <w:highlight w:val="none"/>
                <w:lang w:val="en-US" w:eastAsia="zh-CN"/>
              </w:rPr>
              <w:t>；</w:t>
            </w:r>
          </w:p>
          <w:p w14:paraId="12942252">
            <w:pPr>
              <w:pStyle w:val="58"/>
              <w:keepNext w:val="0"/>
              <w:keepLines w:val="0"/>
              <w:suppressLineNumbers w:val="0"/>
              <w:bidi w:val="0"/>
              <w:spacing w:before="0" w:beforeAutospacing="0" w:after="0" w:afterAutospacing="0"/>
              <w:ind w:left="0" w:right="0" w:firstLine="1440" w:firstLineChars="600"/>
              <w:rPr>
                <w:rFonts w:hint="eastAsia"/>
                <w:color w:val="auto"/>
                <w:highlight w:val="none"/>
                <w:lang w:val="en-US" w:eastAsia="zh-CN"/>
              </w:rPr>
            </w:pPr>
            <w:r>
              <w:rPr>
                <w:rFonts w:hint="default"/>
                <w:color w:val="auto"/>
                <w:highlight w:val="none"/>
                <w:lang w:val="en-US" w:eastAsia="zh-CN"/>
              </w:rPr>
              <w:t>Amisc</w:t>
            </w:r>
            <w:r>
              <w:rPr>
                <w:rFonts w:hint="eastAsia"/>
                <w:color w:val="auto"/>
                <w:highlight w:val="none"/>
                <w:lang w:val="en-US" w:eastAsia="zh-CN"/>
              </w:rPr>
              <w:t>——其他多方面效应，</w:t>
            </w:r>
            <w:r>
              <w:rPr>
                <w:rFonts w:hint="default"/>
                <w:color w:val="auto"/>
                <w:highlight w:val="none"/>
                <w:lang w:val="en-US" w:eastAsia="zh-CN"/>
              </w:rPr>
              <w:t>dB</w:t>
            </w:r>
            <w:r>
              <w:rPr>
                <w:rFonts w:hint="eastAsia"/>
                <w:color w:val="auto"/>
                <w:highlight w:val="none"/>
                <w:lang w:val="en-US" w:eastAsia="zh-CN"/>
              </w:rPr>
              <w:t>；</w:t>
            </w:r>
          </w:p>
          <w:p w14:paraId="5C57F671">
            <w:pPr>
              <w:pStyle w:val="58"/>
              <w:keepNext w:val="0"/>
              <w:keepLines w:val="0"/>
              <w:suppressLineNumbers w:val="0"/>
              <w:bidi w:val="0"/>
              <w:spacing w:before="0" w:beforeAutospacing="0" w:after="0" w:afterAutospacing="0"/>
              <w:ind w:left="0" w:right="0" w:firstLine="1440" w:firstLineChars="600"/>
              <w:rPr>
                <w:color w:val="auto"/>
                <w:highlight w:val="none"/>
              </w:rPr>
            </w:pPr>
            <w:r>
              <w:rPr>
                <w:rFonts w:hint="default"/>
                <w:color w:val="auto"/>
                <w:highlight w:val="none"/>
                <w:lang w:val="en-US" w:eastAsia="zh-CN"/>
              </w:rPr>
              <w:t>Lp</w:t>
            </w:r>
            <w:r>
              <w:rPr>
                <w:rFonts w:hint="eastAsia"/>
                <w:color w:val="auto"/>
                <w:highlight w:val="none"/>
                <w:lang w:val="en-US" w:eastAsia="zh-CN"/>
              </w:rPr>
              <w:t>（</w:t>
            </w:r>
            <w:r>
              <w:rPr>
                <w:rFonts w:hint="default"/>
                <w:color w:val="auto"/>
                <w:highlight w:val="none"/>
                <w:lang w:val="en-US" w:eastAsia="zh-CN"/>
              </w:rPr>
              <w:t>r</w:t>
            </w:r>
            <w:r>
              <w:rPr>
                <w:rFonts w:hint="eastAsia"/>
                <w:color w:val="auto"/>
                <w:highlight w:val="none"/>
                <w:lang w:val="en-US" w:eastAsia="zh-CN"/>
              </w:rPr>
              <w:t xml:space="preserve">）——声源衰减至 </w:t>
            </w:r>
            <w:r>
              <w:rPr>
                <w:rFonts w:hint="default"/>
                <w:color w:val="auto"/>
                <w:highlight w:val="none"/>
                <w:lang w:val="en-US" w:eastAsia="zh-CN"/>
              </w:rPr>
              <w:t xml:space="preserve">r </w:t>
            </w:r>
            <w:r>
              <w:rPr>
                <w:rFonts w:hint="eastAsia"/>
                <w:color w:val="auto"/>
                <w:highlight w:val="none"/>
                <w:lang w:val="en-US" w:eastAsia="zh-CN"/>
              </w:rPr>
              <w:t>处的声压级，</w:t>
            </w:r>
            <w:r>
              <w:rPr>
                <w:rFonts w:hint="default"/>
                <w:color w:val="auto"/>
                <w:highlight w:val="none"/>
                <w:lang w:val="en-US" w:eastAsia="zh-CN"/>
              </w:rPr>
              <w:t>dB</w:t>
            </w:r>
            <w:r>
              <w:rPr>
                <w:rFonts w:hint="eastAsia"/>
                <w:color w:val="auto"/>
                <w:highlight w:val="none"/>
                <w:lang w:val="en-US" w:eastAsia="zh-CN"/>
              </w:rPr>
              <w:t>；</w:t>
            </w:r>
          </w:p>
          <w:p w14:paraId="3410C33B">
            <w:pPr>
              <w:pStyle w:val="58"/>
              <w:keepNext w:val="0"/>
              <w:keepLines w:val="0"/>
              <w:suppressLineNumbers w:val="0"/>
              <w:bidi w:val="0"/>
              <w:spacing w:before="0" w:beforeAutospacing="0" w:after="0" w:afterAutospacing="0"/>
              <w:ind w:left="0" w:right="0" w:firstLine="1440" w:firstLineChars="600"/>
              <w:rPr>
                <w:rFonts w:hint="eastAsia"/>
                <w:color w:val="auto"/>
                <w:highlight w:val="none"/>
                <w:lang w:val="en-US" w:eastAsia="zh-CN"/>
              </w:rPr>
            </w:pPr>
            <w:r>
              <w:rPr>
                <w:rFonts w:hint="default"/>
                <w:color w:val="auto"/>
                <w:highlight w:val="none"/>
                <w:lang w:val="en-US" w:eastAsia="zh-CN"/>
              </w:rPr>
              <w:t>r—</w:t>
            </w:r>
            <w:r>
              <w:rPr>
                <w:rFonts w:hint="eastAsia"/>
                <w:color w:val="auto"/>
                <w:highlight w:val="none"/>
                <w:lang w:val="en-US" w:eastAsia="zh-CN"/>
              </w:rPr>
              <w:t>预测点到声源的距离；</w:t>
            </w:r>
            <w:r>
              <w:rPr>
                <w:rFonts w:hint="default"/>
                <w:color w:val="auto"/>
                <w:highlight w:val="none"/>
                <w:lang w:val="en-US" w:eastAsia="zh-CN"/>
              </w:rPr>
              <w:t>r</w:t>
            </w:r>
            <w:r>
              <w:rPr>
                <w:rFonts w:hint="default"/>
                <w:color w:val="auto"/>
                <w:highlight w:val="none"/>
                <w:vertAlign w:val="subscript"/>
                <w:lang w:val="en-US" w:eastAsia="zh-CN"/>
              </w:rPr>
              <w:t>0</w:t>
            </w:r>
            <w:r>
              <w:rPr>
                <w:rFonts w:hint="default"/>
                <w:color w:val="auto"/>
                <w:highlight w:val="none"/>
                <w:lang w:val="en-US" w:eastAsia="zh-CN"/>
              </w:rPr>
              <w:t>—</w:t>
            </w:r>
            <w:r>
              <w:rPr>
                <w:rFonts w:hint="eastAsia"/>
                <w:color w:val="auto"/>
                <w:highlight w:val="none"/>
                <w:lang w:val="en-US" w:eastAsia="zh-CN"/>
              </w:rPr>
              <w:t>预测参考距离，</w:t>
            </w:r>
            <w:r>
              <w:rPr>
                <w:rFonts w:hint="default"/>
                <w:color w:val="auto"/>
                <w:highlight w:val="none"/>
                <w:lang w:val="en-US" w:eastAsia="zh-CN"/>
              </w:rPr>
              <w:t>m</w:t>
            </w:r>
            <w:r>
              <w:rPr>
                <w:rFonts w:hint="eastAsia"/>
                <w:color w:val="auto"/>
                <w:highlight w:val="none"/>
                <w:lang w:val="en-US" w:eastAsia="zh-CN"/>
              </w:rPr>
              <w:t>。</w:t>
            </w:r>
          </w:p>
          <w:p w14:paraId="6868B289">
            <w:pPr>
              <w:pStyle w:val="58"/>
              <w:keepNext w:val="0"/>
              <w:keepLines w:val="0"/>
              <w:suppressLineNumbers w:val="0"/>
              <w:bidi w:val="0"/>
              <w:spacing w:before="0" w:beforeAutospacing="0" w:after="0" w:afterAutospacing="0"/>
              <w:ind w:left="0" w:right="0"/>
              <w:rPr>
                <w:color w:val="auto"/>
                <w:highlight w:val="none"/>
              </w:rPr>
            </w:pPr>
            <w:r>
              <w:rPr>
                <w:rFonts w:hint="eastAsia"/>
                <w:color w:val="auto"/>
                <w:highlight w:val="none"/>
                <w:lang w:val="en-US" w:eastAsia="zh-CN"/>
              </w:rPr>
              <w:t>本次噪声预测只考虑声波随距离的衰减</w:t>
            </w:r>
            <w:r>
              <w:rPr>
                <w:rFonts w:hint="default"/>
                <w:color w:val="auto"/>
                <w:highlight w:val="none"/>
                <w:lang w:val="en-US" w:eastAsia="zh-CN"/>
              </w:rPr>
              <w:t>Adiv</w:t>
            </w:r>
            <w:r>
              <w:rPr>
                <w:rFonts w:hint="eastAsia"/>
                <w:color w:val="auto"/>
                <w:highlight w:val="none"/>
                <w:lang w:val="en-US" w:eastAsia="zh-CN"/>
              </w:rPr>
              <w:t>，保证实际效果优于预测结果。</w:t>
            </w:r>
          </w:p>
          <w:p w14:paraId="18D4C860">
            <w:pPr>
              <w:pStyle w:val="58"/>
              <w:keepNext w:val="0"/>
              <w:keepLines w:val="0"/>
              <w:suppressLineNumbers w:val="0"/>
              <w:bidi w:val="0"/>
              <w:spacing w:before="0" w:beforeAutospacing="0" w:after="0" w:afterAutospacing="0"/>
              <w:ind w:left="0" w:right="0"/>
              <w:rPr>
                <w:b/>
                <w:bCs/>
                <w:color w:val="auto"/>
                <w:highlight w:val="none"/>
              </w:rPr>
            </w:pPr>
            <w:r>
              <w:rPr>
                <w:rFonts w:hint="default" w:ascii="Times New Roman" w:hAnsi="Times New Roman" w:cs="Times New Roman"/>
                <w:b/>
                <w:bCs/>
                <w:color w:val="auto"/>
                <w:highlight w:val="none"/>
                <w:lang w:val="en-US" w:eastAsia="zh-CN"/>
              </w:rPr>
              <w:t>⑵</w:t>
            </w:r>
            <w:r>
              <w:rPr>
                <w:rFonts w:hint="eastAsia"/>
                <w:b/>
                <w:bCs/>
                <w:color w:val="auto"/>
                <w:highlight w:val="none"/>
                <w:lang w:val="en-US" w:eastAsia="zh-CN"/>
              </w:rPr>
              <w:t>多源叠加模式</w:t>
            </w:r>
          </w:p>
          <w:p w14:paraId="07563BAF">
            <w:pPr>
              <w:pStyle w:val="58"/>
              <w:keepNext w:val="0"/>
              <w:keepLines w:val="0"/>
              <w:suppressLineNumbers w:val="0"/>
              <w:bidi w:val="0"/>
              <w:spacing w:before="0" w:beforeAutospacing="0" w:after="0" w:afterAutospacing="0"/>
              <w:ind w:left="0" w:right="0"/>
              <w:rPr>
                <w:color w:val="auto"/>
                <w:highlight w:val="none"/>
              </w:rPr>
            </w:pPr>
            <w:r>
              <w:rPr>
                <w:rFonts w:hint="eastAsia"/>
                <w:color w:val="auto"/>
                <w:highlight w:val="none"/>
                <w:lang w:val="en-US" w:eastAsia="zh-CN"/>
              </w:rPr>
              <w:t>在预测过程中，根据实际情况把各具体复杂的噪声源简化为点声源进行计算，再将其计算结果与本底进行能量叠加，得到该处噪声预测值。</w:t>
            </w:r>
          </w:p>
          <w:p w14:paraId="1AA56AE1">
            <w:pPr>
              <w:pStyle w:val="58"/>
              <w:keepNext w:val="0"/>
              <w:keepLines w:val="0"/>
              <w:suppressLineNumbers w:val="0"/>
              <w:bidi w:val="0"/>
              <w:spacing w:before="0" w:beforeAutospacing="0" w:after="0" w:afterAutospacing="0"/>
              <w:ind w:left="0" w:right="0"/>
              <w:rPr>
                <w:color w:val="auto"/>
                <w:highlight w:val="none"/>
              </w:rPr>
            </w:pPr>
            <w:r>
              <w:rPr>
                <w:rFonts w:hint="eastAsia"/>
                <w:color w:val="auto"/>
                <w:highlight w:val="none"/>
                <w:lang w:val="en-US" w:eastAsia="zh-CN"/>
              </w:rPr>
              <w:t xml:space="preserve">对于任何一个预测点，其总噪声效应是多个叠加声级（即各声源分别在该点的贡献值 </w:t>
            </w:r>
            <w:r>
              <w:rPr>
                <w:rFonts w:hint="default"/>
                <w:color w:val="auto"/>
                <w:highlight w:val="none"/>
                <w:lang w:val="en-US" w:eastAsia="zh-CN"/>
              </w:rPr>
              <w:t>L</w:t>
            </w:r>
            <w:r>
              <w:rPr>
                <w:rFonts w:hint="default"/>
                <w:color w:val="auto"/>
                <w:highlight w:val="none"/>
                <w:vertAlign w:val="subscript"/>
                <w:lang w:val="en-US" w:eastAsia="zh-CN"/>
              </w:rPr>
              <w:t>i</w:t>
            </w:r>
            <w:r>
              <w:rPr>
                <w:rFonts w:hint="eastAsia"/>
                <w:color w:val="auto"/>
                <w:highlight w:val="none"/>
                <w:lang w:val="en-US" w:eastAsia="zh-CN"/>
              </w:rPr>
              <w:t>和本底噪声值）的能量总和，其计算式如下：</w:t>
            </w:r>
          </w:p>
          <w:p w14:paraId="7C766E57">
            <w:pPr>
              <w:pStyle w:val="58"/>
              <w:keepNext w:val="0"/>
              <w:keepLines w:val="0"/>
              <w:suppressLineNumbers w:val="0"/>
              <w:bidi w:val="0"/>
              <w:spacing w:before="0" w:beforeAutospacing="0" w:after="0" w:afterAutospacing="0"/>
              <w:ind w:left="0" w:right="0"/>
              <w:rPr>
                <w:rFonts w:hint="eastAsia"/>
                <w:color w:val="auto"/>
                <w:highlight w:val="none"/>
                <w:lang w:val="en-US" w:eastAsia="zh-CN"/>
              </w:rPr>
            </w:pPr>
            <m:oMathPara>
              <m:oMath>
                <m:r>
                  <m:rPr>
                    <m:sty m:val="p"/>
                  </m:rPr>
                  <w:rPr>
                    <w:rFonts w:hint="default" w:ascii="Cambria Math" w:hAnsi="Cambria Math" w:cs="Times New Roman"/>
                    <w:color w:val="auto"/>
                    <w:kern w:val="16"/>
                    <w:sz w:val="24"/>
                    <w:szCs w:val="24"/>
                    <w:highlight w:val="none"/>
                    <w:lang w:val="en-US" w:eastAsia="zh-CN" w:bidi="ar-SA"/>
                  </w:rPr>
                  <m:t>L</m:t>
                </m:r>
                <m:r>
                  <m:rPr>
                    <m:sty m:val="p"/>
                  </m:rPr>
                  <w:rPr>
                    <w:rFonts w:ascii="Cambria Math" w:hAnsi="Cambria Math" w:cs="Times New Roman"/>
                    <w:color w:val="auto"/>
                    <w:kern w:val="16"/>
                    <w:sz w:val="24"/>
                    <w:szCs w:val="24"/>
                    <w:highlight w:val="none"/>
                    <w:lang w:val="en-US" w:bidi="ar-SA"/>
                  </w:rPr>
                  <m:t>=</m:t>
                </m:r>
                <m:r>
                  <m:rPr>
                    <m:sty m:val="p"/>
                  </m:rPr>
                  <w:rPr>
                    <w:rFonts w:hint="default" w:ascii="Cambria Math" w:hAnsi="Cambria Math" w:cs="Times New Roman"/>
                    <w:color w:val="auto"/>
                    <w:kern w:val="16"/>
                    <w:sz w:val="24"/>
                    <w:szCs w:val="24"/>
                    <w:highlight w:val="none"/>
                    <w:lang w:val="en-US" w:eastAsia="zh-CN" w:bidi="ar-SA"/>
                  </w:rPr>
                  <m:t>10</m:t>
                </m:r>
                <m:func>
                  <m:funcPr>
                    <m:ctrlPr>
                      <w:rPr>
                        <w:rFonts w:hint="default" w:ascii="Cambria Math" w:hAnsi="Cambria Math" w:cs="Times New Roman"/>
                        <w:color w:val="auto"/>
                        <w:kern w:val="16"/>
                        <w:sz w:val="24"/>
                        <w:szCs w:val="24"/>
                        <w:highlight w:val="none"/>
                        <w:lang w:val="en-US" w:eastAsia="zh-CN" w:bidi="ar-SA"/>
                      </w:rPr>
                    </m:ctrlPr>
                  </m:funcPr>
                  <m:fName>
                    <m:sSub>
                      <m:sSubPr>
                        <m:ctrlPr>
                          <w:rPr>
                            <w:rFonts w:hint="default" w:ascii="Cambria Math" w:hAnsi="Cambria Math" w:cs="Times New Roman"/>
                            <w:color w:val="auto"/>
                            <w:kern w:val="16"/>
                            <w:sz w:val="24"/>
                            <w:szCs w:val="24"/>
                            <w:highlight w:val="none"/>
                            <w:lang w:val="en-US" w:eastAsia="zh-CN" w:bidi="ar-SA"/>
                          </w:rPr>
                        </m:ctrlPr>
                      </m:sSubPr>
                      <m:e>
                        <m:r>
                          <m:rPr>
                            <m:sty m:val="p"/>
                          </m:rPr>
                          <w:rPr>
                            <w:rFonts w:ascii="Cambria Math" w:hAnsi="Cambria Math" w:cs="Times New Roman"/>
                            <w:color w:val="auto"/>
                            <w:kern w:val="16"/>
                            <w:sz w:val="24"/>
                            <w:szCs w:val="24"/>
                            <w:highlight w:val="none"/>
                            <w:lang w:val="en-US" w:bidi="ar-SA"/>
                          </w:rPr>
                          <m:t>log</m:t>
                        </m:r>
                        <m:ctrlPr>
                          <w:rPr>
                            <w:rFonts w:hint="default" w:ascii="Cambria Math" w:hAnsi="Cambria Math" w:cs="Times New Roman"/>
                            <w:color w:val="auto"/>
                            <w:kern w:val="16"/>
                            <w:sz w:val="24"/>
                            <w:szCs w:val="24"/>
                            <w:highlight w:val="none"/>
                            <w:lang w:val="en-US" w:eastAsia="zh-CN" w:bidi="ar-SA"/>
                          </w:rPr>
                        </m:ctrlPr>
                      </m:e>
                      <m:sub>
                        <m:r>
                          <m:rPr>
                            <m:sty m:val="p"/>
                          </m:rPr>
                          <w:rPr>
                            <w:rFonts w:hint="default" w:ascii="Cambria Math" w:hAnsi="Cambria Math" w:cs="Times New Roman"/>
                            <w:color w:val="auto"/>
                            <w:kern w:val="16"/>
                            <w:sz w:val="24"/>
                            <w:szCs w:val="24"/>
                            <w:highlight w:val="none"/>
                            <w:lang w:val="en-US" w:eastAsia="zh-CN" w:bidi="ar-SA"/>
                          </w:rPr>
                          <m:t>10</m:t>
                        </m:r>
                        <m:ctrlPr>
                          <w:rPr>
                            <w:rFonts w:hint="default" w:ascii="Cambria Math" w:hAnsi="Cambria Math" w:cs="Times New Roman"/>
                            <w:color w:val="auto"/>
                            <w:kern w:val="16"/>
                            <w:sz w:val="24"/>
                            <w:szCs w:val="24"/>
                            <w:highlight w:val="none"/>
                            <w:lang w:val="en-US" w:eastAsia="zh-CN" w:bidi="ar-SA"/>
                          </w:rPr>
                        </m:ctrlPr>
                      </m:sub>
                    </m:sSub>
                    <m:d>
                      <m:dPr>
                        <m:ctrlPr>
                          <w:rPr>
                            <w:rFonts w:hint="default" w:ascii="Cambria Math" w:hAnsi="Cambria Math" w:cs="Times New Roman"/>
                            <w:color w:val="auto"/>
                            <w:kern w:val="16"/>
                            <w:sz w:val="24"/>
                            <w:szCs w:val="24"/>
                            <w:highlight w:val="none"/>
                            <w:lang w:val="en-US" w:eastAsia="zh-CN" w:bidi="ar-SA"/>
                          </w:rPr>
                        </m:ctrlPr>
                      </m:dPr>
                      <m:e>
                        <m:nary>
                          <m:naryPr>
                            <m:chr m:val="∑"/>
                            <m:limLoc m:val="undOvr"/>
                            <m:subHide m:val="1"/>
                            <m:supHide m:val="1"/>
                            <m:ctrlPr>
                              <w:rPr>
                                <w:rFonts w:hint="default" w:ascii="Cambria Math" w:hAnsi="Cambria Math" w:cs="Times New Roman"/>
                                <w:color w:val="auto"/>
                                <w:kern w:val="16"/>
                                <w:sz w:val="24"/>
                                <w:szCs w:val="24"/>
                                <w:highlight w:val="none"/>
                                <w:lang w:val="en-US" w:eastAsia="zh-CN" w:bidi="ar-SA"/>
                              </w:rPr>
                            </m:ctrlPr>
                          </m:naryPr>
                          <m:sub>
                            <m:ctrlPr>
                              <w:rPr>
                                <w:rFonts w:hint="default" w:ascii="Cambria Math" w:hAnsi="Cambria Math" w:cs="Times New Roman"/>
                                <w:color w:val="auto"/>
                                <w:kern w:val="16"/>
                                <w:sz w:val="24"/>
                                <w:szCs w:val="24"/>
                                <w:highlight w:val="none"/>
                                <w:lang w:val="en-US" w:eastAsia="zh-CN" w:bidi="ar-SA"/>
                              </w:rPr>
                            </m:ctrlPr>
                          </m:sub>
                          <m:sup>
                            <m:ctrlPr>
                              <w:rPr>
                                <w:rFonts w:hint="default" w:ascii="Cambria Math" w:hAnsi="Cambria Math" w:cs="Times New Roman"/>
                                <w:color w:val="auto"/>
                                <w:kern w:val="16"/>
                                <w:sz w:val="24"/>
                                <w:szCs w:val="24"/>
                                <w:highlight w:val="none"/>
                                <w:lang w:val="en-US" w:eastAsia="zh-CN" w:bidi="ar-SA"/>
                              </w:rPr>
                            </m:ctrlPr>
                          </m:sup>
                          <m:e>
                            <m:sSup>
                              <m:sSupPr>
                                <m:ctrlPr>
                                  <w:rPr>
                                    <w:rFonts w:hint="default" w:ascii="Cambria Math" w:hAnsi="Cambria Math" w:cs="Times New Roman"/>
                                    <w:color w:val="auto"/>
                                    <w:kern w:val="16"/>
                                    <w:sz w:val="24"/>
                                    <w:szCs w:val="24"/>
                                    <w:highlight w:val="none"/>
                                    <w:lang w:val="en-US" w:eastAsia="zh-CN" w:bidi="ar-SA"/>
                                  </w:rPr>
                                </m:ctrlPr>
                              </m:sSupPr>
                              <m:e>
                                <m:r>
                                  <m:rPr>
                                    <m:sty m:val="p"/>
                                  </m:rPr>
                                  <w:rPr>
                                    <w:rFonts w:hint="default" w:ascii="Cambria Math" w:hAnsi="Cambria Math" w:cs="Times New Roman"/>
                                    <w:color w:val="auto"/>
                                    <w:kern w:val="16"/>
                                    <w:sz w:val="24"/>
                                    <w:szCs w:val="24"/>
                                    <w:highlight w:val="none"/>
                                    <w:lang w:val="en-US" w:eastAsia="zh-CN" w:bidi="ar-SA"/>
                                  </w:rPr>
                                  <m:t>10</m:t>
                                </m:r>
                                <m:ctrlPr>
                                  <w:rPr>
                                    <w:rFonts w:hint="default" w:ascii="Cambria Math" w:hAnsi="Cambria Math" w:cs="Times New Roman"/>
                                    <w:color w:val="auto"/>
                                    <w:kern w:val="16"/>
                                    <w:sz w:val="24"/>
                                    <w:szCs w:val="24"/>
                                    <w:highlight w:val="none"/>
                                    <w:lang w:val="en-US" w:eastAsia="zh-CN" w:bidi="ar-SA"/>
                                  </w:rPr>
                                </m:ctrlPr>
                              </m:e>
                              <m:sup>
                                <m:r>
                                  <m:rPr>
                                    <m:sty m:val="p"/>
                                  </m:rPr>
                                  <w:rPr>
                                    <w:rFonts w:hint="default" w:ascii="Cambria Math" w:hAnsi="Cambria Math" w:cs="Times New Roman"/>
                                    <w:color w:val="auto"/>
                                    <w:kern w:val="16"/>
                                    <w:sz w:val="24"/>
                                    <w:szCs w:val="24"/>
                                    <w:highlight w:val="none"/>
                                    <w:lang w:val="en-US" w:eastAsia="zh-CN" w:bidi="ar-SA"/>
                                  </w:rPr>
                                  <m:t>0.1Li</m:t>
                                </m:r>
                                <m:ctrlPr>
                                  <w:rPr>
                                    <w:rFonts w:hint="default" w:ascii="Cambria Math" w:hAnsi="Cambria Math" w:cs="Times New Roman"/>
                                    <w:color w:val="auto"/>
                                    <w:kern w:val="16"/>
                                    <w:sz w:val="24"/>
                                    <w:szCs w:val="24"/>
                                    <w:highlight w:val="none"/>
                                    <w:lang w:val="en-US" w:eastAsia="zh-CN" w:bidi="ar-SA"/>
                                  </w:rPr>
                                </m:ctrlPr>
                              </m:sup>
                            </m:sSup>
                            <m:ctrlPr>
                              <w:rPr>
                                <w:rFonts w:hint="default" w:ascii="Cambria Math" w:hAnsi="Cambria Math" w:cs="Times New Roman"/>
                                <w:color w:val="auto"/>
                                <w:kern w:val="16"/>
                                <w:sz w:val="24"/>
                                <w:szCs w:val="24"/>
                                <w:highlight w:val="none"/>
                                <w:lang w:val="en-US" w:eastAsia="zh-CN" w:bidi="ar-SA"/>
                              </w:rPr>
                            </m:ctrlPr>
                          </m:e>
                        </m:nary>
                        <m:ctrlPr>
                          <w:rPr>
                            <w:rFonts w:hint="default" w:ascii="Cambria Math" w:hAnsi="Cambria Math" w:cs="Times New Roman"/>
                            <w:color w:val="auto"/>
                            <w:kern w:val="16"/>
                            <w:sz w:val="24"/>
                            <w:szCs w:val="24"/>
                            <w:highlight w:val="none"/>
                            <w:lang w:val="en-US" w:eastAsia="zh-CN" w:bidi="ar-SA"/>
                          </w:rPr>
                        </m:ctrlPr>
                      </m:e>
                    </m:d>
                    <m:ctrlPr>
                      <w:rPr>
                        <w:rFonts w:hint="default" w:ascii="Cambria Math" w:hAnsi="Cambria Math" w:cs="Times New Roman"/>
                        <w:color w:val="auto"/>
                        <w:kern w:val="16"/>
                        <w:sz w:val="24"/>
                        <w:szCs w:val="24"/>
                        <w:highlight w:val="none"/>
                        <w:lang w:val="en-US" w:eastAsia="zh-CN" w:bidi="ar-SA"/>
                      </w:rPr>
                    </m:ctrlPr>
                  </m:fName>
                  <m:e>
                    <m:ctrlPr>
                      <w:rPr>
                        <w:rFonts w:hint="default" w:ascii="Cambria Math" w:hAnsi="Cambria Math" w:cs="Times New Roman"/>
                        <w:color w:val="auto"/>
                        <w:kern w:val="16"/>
                        <w:sz w:val="24"/>
                        <w:szCs w:val="24"/>
                        <w:highlight w:val="none"/>
                        <w:lang w:val="en-US" w:eastAsia="zh-CN" w:bidi="ar-SA"/>
                      </w:rPr>
                    </m:ctrlPr>
                  </m:e>
                </m:func>
              </m:oMath>
            </m:oMathPara>
          </w:p>
          <w:p w14:paraId="2E1B5E3D">
            <w:pPr>
              <w:pStyle w:val="58"/>
              <w:keepNext w:val="0"/>
              <w:keepLines w:val="0"/>
              <w:suppressLineNumbers w:val="0"/>
              <w:bidi w:val="0"/>
              <w:spacing w:before="0" w:beforeAutospacing="0" w:after="0" w:afterAutospacing="0"/>
              <w:ind w:left="0" w:right="0"/>
              <w:rPr>
                <w:color w:val="auto"/>
                <w:highlight w:val="none"/>
              </w:rPr>
            </w:pPr>
            <w:r>
              <w:rPr>
                <w:rFonts w:hint="eastAsia"/>
                <w:color w:val="auto"/>
                <w:highlight w:val="none"/>
                <w:lang w:val="en-US" w:eastAsia="zh-CN"/>
              </w:rPr>
              <w:t>式中：</w:t>
            </w:r>
            <w:r>
              <w:rPr>
                <w:rFonts w:hint="default"/>
                <w:color w:val="auto"/>
                <w:highlight w:val="none"/>
                <w:lang w:val="en-US" w:eastAsia="zh-CN"/>
              </w:rPr>
              <w:t>L——</w:t>
            </w:r>
            <w:r>
              <w:rPr>
                <w:rFonts w:hint="eastAsia"/>
                <w:color w:val="auto"/>
                <w:highlight w:val="none"/>
                <w:lang w:val="en-US" w:eastAsia="zh-CN"/>
              </w:rPr>
              <w:t>某点噪声总叠加值，</w:t>
            </w:r>
            <w:r>
              <w:rPr>
                <w:rFonts w:hint="default"/>
                <w:color w:val="auto"/>
                <w:highlight w:val="none"/>
                <w:lang w:val="en-US" w:eastAsia="zh-CN"/>
              </w:rPr>
              <w:t>dB(A)</w:t>
            </w:r>
            <w:r>
              <w:rPr>
                <w:rFonts w:hint="eastAsia"/>
                <w:color w:val="auto"/>
                <w:highlight w:val="none"/>
                <w:lang w:val="en-US" w:eastAsia="zh-CN"/>
              </w:rPr>
              <w:t>；</w:t>
            </w:r>
          </w:p>
          <w:p w14:paraId="1C553274">
            <w:pPr>
              <w:pStyle w:val="58"/>
              <w:keepNext w:val="0"/>
              <w:keepLines w:val="0"/>
              <w:suppressLineNumbers w:val="0"/>
              <w:bidi w:val="0"/>
              <w:spacing w:before="0" w:beforeAutospacing="0" w:after="0" w:afterAutospacing="0"/>
              <w:ind w:left="0" w:right="0" w:firstLine="1200" w:firstLineChars="500"/>
              <w:rPr>
                <w:color w:val="auto"/>
                <w:highlight w:val="none"/>
              </w:rPr>
            </w:pPr>
            <w:r>
              <w:rPr>
                <w:rFonts w:hint="default"/>
                <w:color w:val="auto"/>
                <w:highlight w:val="none"/>
                <w:lang w:val="en-US" w:eastAsia="zh-CN"/>
              </w:rPr>
              <w:t>Li——</w:t>
            </w:r>
            <w:r>
              <w:rPr>
                <w:rFonts w:hint="eastAsia"/>
                <w:color w:val="auto"/>
                <w:highlight w:val="none"/>
                <w:lang w:val="en-US" w:eastAsia="zh-CN"/>
              </w:rPr>
              <w:t xml:space="preserve">第 </w:t>
            </w:r>
            <w:r>
              <w:rPr>
                <w:rFonts w:hint="default"/>
                <w:color w:val="auto"/>
                <w:highlight w:val="none"/>
                <w:lang w:val="en-US" w:eastAsia="zh-CN"/>
              </w:rPr>
              <w:t xml:space="preserve">i </w:t>
            </w:r>
            <w:r>
              <w:rPr>
                <w:rFonts w:hint="eastAsia"/>
                <w:color w:val="auto"/>
                <w:highlight w:val="none"/>
                <w:lang w:val="en-US" w:eastAsia="zh-CN"/>
              </w:rPr>
              <w:t>个声源的噪声值，</w:t>
            </w:r>
            <w:r>
              <w:rPr>
                <w:rFonts w:hint="default"/>
                <w:color w:val="auto"/>
                <w:highlight w:val="none"/>
                <w:lang w:val="en-US" w:eastAsia="zh-CN"/>
              </w:rPr>
              <w:t>dB(A)</w:t>
            </w:r>
            <w:r>
              <w:rPr>
                <w:rFonts w:hint="eastAsia"/>
                <w:color w:val="auto"/>
                <w:highlight w:val="none"/>
                <w:lang w:val="en-US" w:eastAsia="zh-CN"/>
              </w:rPr>
              <w:t>；</w:t>
            </w:r>
          </w:p>
          <w:p w14:paraId="7FD44BCF">
            <w:pPr>
              <w:pStyle w:val="58"/>
              <w:keepNext w:val="0"/>
              <w:keepLines w:val="0"/>
              <w:suppressLineNumbers w:val="0"/>
              <w:bidi w:val="0"/>
              <w:spacing w:before="0" w:beforeAutospacing="0" w:after="0" w:afterAutospacing="0"/>
              <w:ind w:left="0" w:right="0" w:firstLine="1200" w:firstLineChars="500"/>
              <w:rPr>
                <w:color w:val="auto"/>
                <w:highlight w:val="none"/>
              </w:rPr>
            </w:pPr>
            <w:r>
              <w:rPr>
                <w:rFonts w:hint="default"/>
                <w:color w:val="auto"/>
                <w:highlight w:val="none"/>
                <w:lang w:val="en-US" w:eastAsia="zh-CN"/>
              </w:rPr>
              <w:t>n——</w:t>
            </w:r>
            <w:r>
              <w:rPr>
                <w:rFonts w:hint="eastAsia"/>
                <w:color w:val="auto"/>
                <w:highlight w:val="none"/>
                <w:lang w:val="en-US" w:eastAsia="zh-CN"/>
              </w:rPr>
              <w:t>声源个数</w:t>
            </w:r>
          </w:p>
          <w:p w14:paraId="1D26FE25">
            <w:pPr>
              <w:pStyle w:val="58"/>
              <w:keepNext w:val="0"/>
              <w:keepLines w:val="0"/>
              <w:suppressLineNumbers w:val="0"/>
              <w:bidi w:val="0"/>
              <w:spacing w:before="0" w:beforeAutospacing="0" w:after="0" w:afterAutospacing="0"/>
              <w:ind w:left="0" w:right="0"/>
              <w:rPr>
                <w:rFonts w:hint="default"/>
                <w:color w:val="auto"/>
                <w:highlight w:val="none"/>
              </w:rPr>
            </w:pPr>
            <w:r>
              <w:rPr>
                <w:rFonts w:hint="default"/>
                <w:b/>
                <w:bCs/>
                <w:color w:val="auto"/>
                <w:highlight w:val="none"/>
                <w:lang w:val="en-US" w:eastAsia="zh-CN"/>
              </w:rPr>
              <w:t>⑶</w:t>
            </w:r>
            <w:r>
              <w:rPr>
                <w:rFonts w:hint="eastAsia"/>
                <w:b/>
                <w:bCs/>
                <w:color w:val="auto"/>
                <w:highlight w:val="none"/>
                <w:lang w:val="en-US" w:eastAsia="zh-CN"/>
              </w:rPr>
              <w:t>预测结果</w:t>
            </w:r>
          </w:p>
          <w:p w14:paraId="4E3A5A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lang w:val="en-US" w:eastAsia="zh-CN"/>
              </w:rPr>
            </w:pPr>
            <w:r>
              <w:rPr>
                <w:rFonts w:hint="eastAsia" w:eastAsia="仿宋_GB2312" w:cs="Times New Roman"/>
                <w:color w:val="auto"/>
                <w:kern w:val="16"/>
                <w:sz w:val="24"/>
                <w:szCs w:val="24"/>
                <w:lang w:val="en-US" w:eastAsia="zh-CN" w:bidi="ar-SA"/>
              </w:rPr>
              <w:t>采取防治措施后，厂界噪声预测结果见表4-6。</w:t>
            </w:r>
          </w:p>
          <w:p w14:paraId="523E6F0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w:t>
            </w:r>
            <w:r>
              <w:rPr>
                <w:rFonts w:hint="eastAsia" w:ascii="Times New Roman" w:hAnsi="Times New Roman" w:cs="Times New Roman"/>
                <w:color w:val="auto"/>
                <w:lang w:val="en-US" w:eastAsia="zh-CN"/>
              </w:rPr>
              <w:t>4-</w:t>
            </w:r>
            <w:r>
              <w:rPr>
                <w:rFonts w:hint="eastAsia" w:cs="Times New Roman"/>
                <w:color w:val="auto"/>
                <w:lang w:val="en-US" w:eastAsia="zh-CN"/>
              </w:rPr>
              <w:t>6</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 xml:space="preserve"> </w:t>
            </w:r>
            <w:r>
              <w:rPr>
                <w:rFonts w:hint="eastAsia" w:ascii="Times New Roman" w:hAnsi="Times New Roman" w:cs="Times New Roman"/>
                <w:b/>
                <w:bCs/>
                <w:color w:val="auto"/>
                <w:sz w:val="24"/>
                <w:szCs w:val="24"/>
                <w:lang w:val="en-US" w:eastAsia="zh-CN"/>
              </w:rPr>
              <w:t>本</w:t>
            </w:r>
            <w:r>
              <w:rPr>
                <w:rFonts w:hint="default" w:ascii="Times New Roman" w:hAnsi="Times New Roman" w:cs="Times New Roman"/>
                <w:b/>
                <w:bCs/>
                <w:color w:val="auto"/>
                <w:sz w:val="24"/>
                <w:szCs w:val="24"/>
                <w:lang w:val="en-US" w:eastAsia="zh-CN"/>
              </w:rPr>
              <w:t>项目噪声影响预测结果</w:t>
            </w:r>
            <w:r>
              <w:rPr>
                <w:rFonts w:hint="eastAsia" w:ascii="Times New Roman" w:hAnsi="Times New Roman" w:cs="Times New Roman"/>
                <w:b/>
                <w:bCs/>
                <w:color w:val="auto"/>
                <w:sz w:val="24"/>
                <w:szCs w:val="24"/>
                <w:lang w:val="en-US" w:eastAsia="zh-CN"/>
              </w:rPr>
              <w:t>一览</w:t>
            </w:r>
            <w:r>
              <w:rPr>
                <w:rFonts w:hint="default" w:ascii="Times New Roman" w:hAnsi="Times New Roman" w:cs="Times New Roman"/>
                <w:b/>
                <w:bCs/>
                <w:color w:val="auto"/>
                <w:sz w:val="24"/>
                <w:szCs w:val="24"/>
                <w:lang w:val="en-US" w:eastAsia="zh-CN"/>
              </w:rPr>
              <w:t>表</w:t>
            </w:r>
            <w:r>
              <w:rPr>
                <w:rFonts w:hint="default" w:ascii="Times New Roman" w:hAnsi="Times New Roman" w:cs="Times New Roman"/>
                <w:color w:val="auto"/>
                <w:lang w:val="en-US" w:eastAsia="zh-CN"/>
              </w:rPr>
              <w:t xml:space="preserve">       单位：dB（A）</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62"/>
              <w:gridCol w:w="1320"/>
              <w:gridCol w:w="1879"/>
              <w:gridCol w:w="1880"/>
              <w:gridCol w:w="1577"/>
            </w:tblGrid>
            <w:tr w14:paraId="004DD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449" w:type="dxa"/>
                  <w:vMerge w:val="restart"/>
                  <w:tcBorders>
                    <w:tl2br w:val="nil"/>
                    <w:tr2bl w:val="nil"/>
                  </w:tcBorders>
                  <w:shd w:val="clear" w:color="auto" w:fill="auto"/>
                  <w:vAlign w:val="center"/>
                </w:tcPr>
                <w:p w14:paraId="01BB877C">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预测方位</w:t>
                  </w:r>
                </w:p>
              </w:tc>
              <w:tc>
                <w:tcPr>
                  <w:tcW w:w="1308" w:type="dxa"/>
                  <w:vMerge w:val="restart"/>
                  <w:tcBorders>
                    <w:tl2br w:val="nil"/>
                    <w:tr2bl w:val="nil"/>
                  </w:tcBorders>
                  <w:shd w:val="clear" w:color="auto" w:fill="auto"/>
                  <w:vAlign w:val="center"/>
                </w:tcPr>
                <w:p w14:paraId="6FEBBC38">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时段</w:t>
                  </w:r>
                </w:p>
              </w:tc>
              <w:tc>
                <w:tcPr>
                  <w:tcW w:w="1862" w:type="dxa"/>
                  <w:vMerge w:val="restart"/>
                  <w:tcBorders>
                    <w:tl2br w:val="nil"/>
                    <w:tr2bl w:val="nil"/>
                  </w:tcBorders>
                  <w:shd w:val="clear" w:color="auto" w:fill="auto"/>
                  <w:vAlign w:val="center"/>
                </w:tcPr>
                <w:p w14:paraId="2A7842E0">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贡献值（dB(A)）</w:t>
                  </w:r>
                </w:p>
              </w:tc>
              <w:tc>
                <w:tcPr>
                  <w:tcW w:w="1863" w:type="dxa"/>
                  <w:vMerge w:val="restart"/>
                  <w:tcBorders>
                    <w:tl2br w:val="nil"/>
                    <w:tr2bl w:val="nil"/>
                  </w:tcBorders>
                  <w:shd w:val="clear" w:color="auto" w:fill="auto"/>
                  <w:vAlign w:val="center"/>
                </w:tcPr>
                <w:p w14:paraId="577BD2E4">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标准限值（dB(A)）</w:t>
                  </w:r>
                </w:p>
              </w:tc>
              <w:tc>
                <w:tcPr>
                  <w:tcW w:w="1563" w:type="dxa"/>
                  <w:vMerge w:val="restart"/>
                  <w:tcBorders>
                    <w:tl2br w:val="nil"/>
                    <w:tr2bl w:val="nil"/>
                  </w:tcBorders>
                  <w:shd w:val="clear" w:color="auto" w:fill="auto"/>
                  <w:vAlign w:val="center"/>
                </w:tcPr>
                <w:p w14:paraId="4581E4C5">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达标情况</w:t>
                  </w:r>
                </w:p>
              </w:tc>
            </w:tr>
            <w:tr w14:paraId="2A360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9" w:type="dxa"/>
                  <w:vMerge w:val="continue"/>
                  <w:tcBorders>
                    <w:tl2br w:val="nil"/>
                    <w:tr2bl w:val="nil"/>
                  </w:tcBorders>
                  <w:shd w:val="clear" w:color="auto" w:fill="auto"/>
                  <w:vAlign w:val="center"/>
                </w:tcPr>
                <w:p w14:paraId="1783F412">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c>
                <w:tcPr>
                  <w:tcW w:w="1308" w:type="dxa"/>
                  <w:vMerge w:val="continue"/>
                  <w:tcBorders>
                    <w:tl2br w:val="nil"/>
                    <w:tr2bl w:val="nil"/>
                  </w:tcBorders>
                  <w:shd w:val="clear" w:color="auto" w:fill="auto"/>
                  <w:vAlign w:val="center"/>
                </w:tcPr>
                <w:p w14:paraId="5B17C057">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c>
                <w:tcPr>
                  <w:tcW w:w="1862" w:type="dxa"/>
                  <w:vMerge w:val="continue"/>
                  <w:tcBorders>
                    <w:tl2br w:val="nil"/>
                    <w:tr2bl w:val="nil"/>
                  </w:tcBorders>
                  <w:shd w:val="clear" w:color="auto" w:fill="auto"/>
                  <w:vAlign w:val="center"/>
                </w:tcPr>
                <w:p w14:paraId="61858704">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c>
                <w:tcPr>
                  <w:tcW w:w="1863" w:type="dxa"/>
                  <w:vMerge w:val="continue"/>
                  <w:tcBorders>
                    <w:tl2br w:val="nil"/>
                    <w:tr2bl w:val="nil"/>
                  </w:tcBorders>
                  <w:shd w:val="clear" w:color="auto" w:fill="auto"/>
                  <w:vAlign w:val="center"/>
                </w:tcPr>
                <w:p w14:paraId="42D2B238">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c>
                <w:tcPr>
                  <w:tcW w:w="1563" w:type="dxa"/>
                  <w:vMerge w:val="continue"/>
                  <w:tcBorders>
                    <w:tl2br w:val="nil"/>
                    <w:tr2bl w:val="nil"/>
                  </w:tcBorders>
                  <w:shd w:val="clear" w:color="auto" w:fill="auto"/>
                  <w:vAlign w:val="center"/>
                </w:tcPr>
                <w:p w14:paraId="7A2C1916">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r>
            <w:tr w14:paraId="08AFB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9" w:type="dxa"/>
                  <w:tcBorders>
                    <w:tl2br w:val="nil"/>
                    <w:tr2bl w:val="nil"/>
                  </w:tcBorders>
                  <w:shd w:val="clear" w:color="auto" w:fill="auto"/>
                  <w:vAlign w:val="center"/>
                </w:tcPr>
                <w:p w14:paraId="75E63FD3">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东侧</w:t>
                  </w:r>
                </w:p>
              </w:tc>
              <w:tc>
                <w:tcPr>
                  <w:tcW w:w="1308" w:type="dxa"/>
                  <w:tcBorders>
                    <w:tl2br w:val="nil"/>
                    <w:tr2bl w:val="nil"/>
                  </w:tcBorders>
                  <w:shd w:val="clear" w:color="auto" w:fill="auto"/>
                  <w:vAlign w:val="center"/>
                </w:tcPr>
                <w:p w14:paraId="088C5C1D">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862" w:type="dxa"/>
                  <w:tcBorders>
                    <w:tl2br w:val="nil"/>
                    <w:tr2bl w:val="nil"/>
                  </w:tcBorders>
                  <w:shd w:val="clear" w:color="auto" w:fill="auto"/>
                  <w:vAlign w:val="center"/>
                </w:tcPr>
                <w:p w14:paraId="3071C76A">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46.60</w:t>
                  </w:r>
                </w:p>
              </w:tc>
              <w:tc>
                <w:tcPr>
                  <w:tcW w:w="1863" w:type="dxa"/>
                  <w:tcBorders>
                    <w:tl2br w:val="nil"/>
                    <w:tr2bl w:val="nil"/>
                  </w:tcBorders>
                  <w:shd w:val="clear" w:color="auto" w:fill="auto"/>
                  <w:vAlign w:val="center"/>
                </w:tcPr>
                <w:p w14:paraId="5633E9F5">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1563" w:type="dxa"/>
                  <w:tcBorders>
                    <w:tl2br w:val="nil"/>
                    <w:tr2bl w:val="nil"/>
                  </w:tcBorders>
                  <w:shd w:val="clear" w:color="auto" w:fill="auto"/>
                  <w:vAlign w:val="center"/>
                </w:tcPr>
                <w:p w14:paraId="239EAAE1">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62C76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9" w:type="dxa"/>
                  <w:tcBorders>
                    <w:tl2br w:val="nil"/>
                    <w:tr2bl w:val="nil"/>
                  </w:tcBorders>
                  <w:shd w:val="clear" w:color="auto" w:fill="auto"/>
                  <w:vAlign w:val="center"/>
                </w:tcPr>
                <w:p w14:paraId="0BD56399">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南侧</w:t>
                  </w:r>
                </w:p>
              </w:tc>
              <w:tc>
                <w:tcPr>
                  <w:tcW w:w="1308" w:type="dxa"/>
                  <w:tcBorders>
                    <w:tl2br w:val="nil"/>
                    <w:tr2bl w:val="nil"/>
                  </w:tcBorders>
                  <w:shd w:val="clear" w:color="auto" w:fill="auto"/>
                  <w:vAlign w:val="center"/>
                </w:tcPr>
                <w:p w14:paraId="1CC8F85C">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862" w:type="dxa"/>
                  <w:tcBorders>
                    <w:tl2br w:val="nil"/>
                    <w:tr2bl w:val="nil"/>
                  </w:tcBorders>
                  <w:shd w:val="clear" w:color="auto" w:fill="auto"/>
                  <w:vAlign w:val="center"/>
                </w:tcPr>
                <w:p w14:paraId="1038CEF0">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39.46</w:t>
                  </w:r>
                </w:p>
              </w:tc>
              <w:tc>
                <w:tcPr>
                  <w:tcW w:w="1863" w:type="dxa"/>
                  <w:tcBorders>
                    <w:tl2br w:val="nil"/>
                    <w:tr2bl w:val="nil"/>
                  </w:tcBorders>
                  <w:shd w:val="clear" w:color="auto" w:fill="auto"/>
                  <w:vAlign w:val="center"/>
                </w:tcPr>
                <w:p w14:paraId="111248BC">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60</w:t>
                  </w:r>
                </w:p>
              </w:tc>
              <w:tc>
                <w:tcPr>
                  <w:tcW w:w="1563" w:type="dxa"/>
                  <w:tcBorders>
                    <w:tl2br w:val="nil"/>
                    <w:tr2bl w:val="nil"/>
                  </w:tcBorders>
                  <w:shd w:val="clear" w:color="auto" w:fill="auto"/>
                  <w:vAlign w:val="center"/>
                </w:tcPr>
                <w:p w14:paraId="586101E8">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32399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9" w:type="dxa"/>
                  <w:tcBorders>
                    <w:tl2br w:val="nil"/>
                    <w:tr2bl w:val="nil"/>
                  </w:tcBorders>
                  <w:shd w:val="clear" w:color="auto" w:fill="auto"/>
                  <w:vAlign w:val="center"/>
                </w:tcPr>
                <w:p w14:paraId="1210A8C8">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西侧</w:t>
                  </w:r>
                </w:p>
              </w:tc>
              <w:tc>
                <w:tcPr>
                  <w:tcW w:w="1308" w:type="dxa"/>
                  <w:tcBorders>
                    <w:tl2br w:val="nil"/>
                    <w:tr2bl w:val="nil"/>
                  </w:tcBorders>
                  <w:shd w:val="clear" w:color="auto" w:fill="auto"/>
                  <w:vAlign w:val="center"/>
                </w:tcPr>
                <w:p w14:paraId="5AA2B66F">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862" w:type="dxa"/>
                  <w:tcBorders>
                    <w:tl2br w:val="nil"/>
                    <w:tr2bl w:val="nil"/>
                  </w:tcBorders>
                  <w:shd w:val="clear" w:color="auto" w:fill="auto"/>
                  <w:vAlign w:val="center"/>
                </w:tcPr>
                <w:p w14:paraId="51C073E1">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54.63</w:t>
                  </w:r>
                </w:p>
              </w:tc>
              <w:tc>
                <w:tcPr>
                  <w:tcW w:w="1863" w:type="dxa"/>
                  <w:tcBorders>
                    <w:tl2br w:val="nil"/>
                    <w:tr2bl w:val="nil"/>
                  </w:tcBorders>
                  <w:shd w:val="clear" w:color="auto" w:fill="auto"/>
                  <w:vAlign w:val="center"/>
                </w:tcPr>
                <w:p w14:paraId="2247178D">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60</w:t>
                  </w:r>
                </w:p>
              </w:tc>
              <w:tc>
                <w:tcPr>
                  <w:tcW w:w="1563" w:type="dxa"/>
                  <w:tcBorders>
                    <w:tl2br w:val="nil"/>
                    <w:tr2bl w:val="nil"/>
                  </w:tcBorders>
                  <w:shd w:val="clear" w:color="auto" w:fill="auto"/>
                  <w:vAlign w:val="center"/>
                </w:tcPr>
                <w:p w14:paraId="1926B147">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76F2C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9" w:type="dxa"/>
                  <w:tcBorders>
                    <w:tl2br w:val="nil"/>
                    <w:tr2bl w:val="nil"/>
                  </w:tcBorders>
                  <w:shd w:val="clear" w:color="auto" w:fill="auto"/>
                  <w:vAlign w:val="center"/>
                </w:tcPr>
                <w:p w14:paraId="52855DC2">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北侧</w:t>
                  </w:r>
                </w:p>
              </w:tc>
              <w:tc>
                <w:tcPr>
                  <w:tcW w:w="1308" w:type="dxa"/>
                  <w:tcBorders>
                    <w:tl2br w:val="nil"/>
                    <w:tr2bl w:val="nil"/>
                  </w:tcBorders>
                  <w:shd w:val="clear" w:color="auto" w:fill="auto"/>
                  <w:vAlign w:val="center"/>
                </w:tcPr>
                <w:p w14:paraId="290A312C">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862" w:type="dxa"/>
                  <w:tcBorders>
                    <w:tl2br w:val="nil"/>
                    <w:tr2bl w:val="nil"/>
                  </w:tcBorders>
                  <w:shd w:val="clear" w:color="auto" w:fill="auto"/>
                  <w:vAlign w:val="center"/>
                </w:tcPr>
                <w:p w14:paraId="73AD763C">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44.11</w:t>
                  </w:r>
                </w:p>
              </w:tc>
              <w:tc>
                <w:tcPr>
                  <w:tcW w:w="1863" w:type="dxa"/>
                  <w:tcBorders>
                    <w:tl2br w:val="nil"/>
                    <w:tr2bl w:val="nil"/>
                  </w:tcBorders>
                  <w:shd w:val="clear" w:color="auto" w:fill="auto"/>
                  <w:vAlign w:val="center"/>
                </w:tcPr>
                <w:p w14:paraId="2F595B4C">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60</w:t>
                  </w:r>
                </w:p>
              </w:tc>
              <w:tc>
                <w:tcPr>
                  <w:tcW w:w="1563" w:type="dxa"/>
                  <w:tcBorders>
                    <w:tl2br w:val="nil"/>
                    <w:tr2bl w:val="nil"/>
                  </w:tcBorders>
                  <w:shd w:val="clear" w:color="auto" w:fill="auto"/>
                  <w:vAlign w:val="center"/>
                </w:tcPr>
                <w:p w14:paraId="3F754FB0">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7D3BC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45" w:type="dxa"/>
                  <w:gridSpan w:val="5"/>
                  <w:tcBorders>
                    <w:tl2br w:val="nil"/>
                    <w:tr2bl w:val="nil"/>
                  </w:tcBorders>
                  <w:shd w:val="clear" w:color="auto" w:fill="auto"/>
                  <w:vAlign w:val="center"/>
                </w:tcPr>
                <w:p w14:paraId="65CBC272">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ind w:left="0" w:right="0" w:firstLine="210" w:firstLineChars="100"/>
                    <w:jc w:val="both"/>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备注：</w:t>
                  </w:r>
                  <w:r>
                    <w:rPr>
                      <w:rFonts w:hint="default" w:ascii="Times New Roman" w:hAnsi="Times New Roman" w:cs="Times New Roman" w:eastAsiaTheme="minorEastAsia"/>
                      <w:b w:val="0"/>
                      <w:bCs/>
                      <w:color w:val="auto"/>
                      <w:sz w:val="21"/>
                      <w:szCs w:val="21"/>
                      <w:highlight w:val="none"/>
                      <w:lang w:val="en-US" w:eastAsia="zh-CN"/>
                    </w:rPr>
                    <w:t>表中坐标以厂界中心</w:t>
                  </w:r>
                  <w:r>
                    <w:rPr>
                      <w:rFonts w:hint="eastAsia" w:ascii="Times New Roman" w:hAnsi="Times New Roman" w:cs="Times New Roman" w:eastAsiaTheme="minorEastAsia"/>
                      <w:b w:val="0"/>
                      <w:bCs/>
                      <w:color w:val="auto"/>
                      <w:sz w:val="21"/>
                      <w:szCs w:val="21"/>
                      <w:highlight w:val="none"/>
                      <w:lang w:val="en-US" w:eastAsia="zh-CN"/>
                    </w:rPr>
                    <w:t>（0,0）</w:t>
                  </w:r>
                  <w:r>
                    <w:rPr>
                      <w:rFonts w:hint="default" w:ascii="Times New Roman" w:hAnsi="Times New Roman" w:cs="Times New Roman" w:eastAsiaTheme="minorEastAsia"/>
                      <w:b w:val="0"/>
                      <w:bCs/>
                      <w:color w:val="auto"/>
                      <w:sz w:val="21"/>
                      <w:szCs w:val="21"/>
                      <w:highlight w:val="none"/>
                      <w:lang w:val="en-US" w:eastAsia="zh-CN"/>
                    </w:rPr>
                    <w:t>为坐标原点，正东向为X轴正方向，正北向为Y轴正方向</w:t>
                  </w:r>
                </w:p>
              </w:tc>
            </w:tr>
          </w:tbl>
          <w:p w14:paraId="199B35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color w:val="auto"/>
                <w:sz w:val="24"/>
                <w:szCs w:val="24"/>
                <w:lang w:val="en-US" w:eastAsia="zh-CN"/>
              </w:rPr>
            </w:pPr>
            <w:r>
              <w:rPr>
                <w:rFonts w:hint="eastAsia" w:eastAsia="仿宋_GB2312" w:cs="Times New Roman"/>
                <w:color w:val="auto"/>
                <w:sz w:val="24"/>
                <w:szCs w:val="24"/>
                <w:lang w:val="en-US" w:eastAsia="zh-CN"/>
              </w:rPr>
              <w:t>本项目厂界外</w:t>
            </w:r>
            <w:r>
              <w:rPr>
                <w:rFonts w:hint="default" w:ascii="Times New Roman" w:hAnsi="Times New Roman" w:eastAsia="仿宋_GB2312" w:cs="Times New Roman"/>
                <w:color w:val="auto"/>
                <w:sz w:val="24"/>
                <w:szCs w:val="24"/>
                <w:lang w:val="en-US" w:eastAsia="zh-CN"/>
              </w:rPr>
              <w:t>50m范围内无声环境保护目标</w:t>
            </w:r>
            <w:r>
              <w:rPr>
                <w:rFonts w:hint="eastAsia" w:ascii="Times New Roman" w:hAnsi="Times New Roman" w:eastAsia="仿宋_GB2312" w:cs="Times New Roman"/>
                <w:color w:val="auto"/>
                <w:sz w:val="24"/>
                <w:szCs w:val="24"/>
                <w:lang w:val="en-US" w:eastAsia="zh-CN"/>
              </w:rPr>
              <w:t>，且本项目噪声具有阵发性、间断性，且均发生间昼间，通过采取以上防护措施后，</w:t>
            </w:r>
            <w:r>
              <w:rPr>
                <w:rFonts w:hint="default" w:ascii="Times New Roman" w:hAnsi="Times New Roman" w:eastAsia="仿宋_GB2312" w:cs="Times New Roman"/>
                <w:color w:val="auto"/>
                <w:sz w:val="24"/>
                <w:szCs w:val="24"/>
                <w:lang w:eastAsia="zh-CN"/>
              </w:rPr>
              <w:t>由上表预测可知</w:t>
            </w:r>
            <w:r>
              <w:rPr>
                <w:rFonts w:hint="default" w:ascii="Times New Roman" w:hAnsi="Times New Roman" w:eastAsia="仿宋_GB2312" w:cs="Times New Roman"/>
                <w:color w:val="auto"/>
                <w:sz w:val="24"/>
                <w:szCs w:val="24"/>
              </w:rPr>
              <w:t>，项目营运期边界处噪声可以满足《工业企业厂界环境噪声排放标准》（GB12348-2008）</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类标准要求，即：昼间Leq≤6</w:t>
            </w:r>
            <w:r>
              <w:rPr>
                <w:rFonts w:hint="default" w:ascii="Times New Roman" w:hAnsi="Times New Roman" w:eastAsia="仿宋_GB2312" w:cs="Times New Roman"/>
                <w:color w:val="auto"/>
                <w:sz w:val="24"/>
                <w:szCs w:val="24"/>
                <w:lang w:val="en-US" w:eastAsia="zh-CN"/>
              </w:rPr>
              <w:t>0</w:t>
            </w:r>
            <w:r>
              <w:rPr>
                <w:rFonts w:hint="default" w:ascii="Times New Roman" w:hAnsi="Times New Roman" w:eastAsia="仿宋_GB2312" w:cs="Times New Roman"/>
                <w:color w:val="auto"/>
                <w:sz w:val="24"/>
                <w:szCs w:val="24"/>
              </w:rPr>
              <w:t>dB</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A</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对周边环境影响较小。</w:t>
            </w:r>
          </w:p>
          <w:p w14:paraId="697B9B73">
            <w:pPr>
              <w:pStyle w:val="58"/>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2" w:firstLineChars="200"/>
              <w:textAlignment w:val="auto"/>
              <w:rPr>
                <w:rFonts w:hint="eastAsia"/>
                <w:b/>
                <w:bCs/>
                <w:color w:val="auto"/>
                <w:highlight w:val="none"/>
                <w:lang w:val="en-US" w:eastAsia="zh-CN"/>
              </w:rPr>
            </w:pPr>
            <w:r>
              <w:rPr>
                <w:rFonts w:hint="eastAsia"/>
                <w:b/>
                <w:bCs/>
                <w:color w:val="auto"/>
                <w:highlight w:val="none"/>
                <w:lang w:val="en-US" w:eastAsia="zh-CN"/>
              </w:rPr>
              <w:t>3.3监测计划</w:t>
            </w:r>
          </w:p>
          <w:p w14:paraId="3CD127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仿宋_GB2312" w:cs="Times New Roman"/>
                <w:color w:val="auto"/>
                <w:sz w:val="24"/>
                <w:szCs w:val="24"/>
                <w:lang w:val="en-US" w:eastAsia="zh-CN"/>
              </w:rPr>
              <w:t>本项目声环境监测内容及监测频次见表4-</w:t>
            </w:r>
            <w:r>
              <w:rPr>
                <w:rFonts w:hint="eastAsia" w:eastAsia="仿宋_GB2312" w:cs="Times New Roman"/>
                <w:color w:val="auto"/>
                <w:sz w:val="24"/>
                <w:szCs w:val="24"/>
                <w:lang w:val="en-US" w:eastAsia="zh-CN"/>
              </w:rPr>
              <w:t>7</w:t>
            </w:r>
            <w:r>
              <w:rPr>
                <w:rFonts w:hint="default" w:ascii="Times New Roman" w:hAnsi="Times New Roman" w:eastAsia="仿宋_GB2312" w:cs="Times New Roman"/>
                <w:color w:val="auto"/>
                <w:sz w:val="24"/>
                <w:szCs w:val="24"/>
                <w:lang w:val="en-US" w:eastAsia="zh-CN"/>
              </w:rPr>
              <w:t>。</w:t>
            </w:r>
          </w:p>
          <w:p w14:paraId="66DCB6C3">
            <w:pPr>
              <w:pStyle w:val="2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Times New Roman" w:hAnsi="Times New Roman" w:eastAsia="宋体" w:cs="Times New Roman"/>
                <w:b w:val="0"/>
                <w:bCs w:val="0"/>
                <w:color w:val="auto"/>
                <w:sz w:val="21"/>
                <w:szCs w:val="21"/>
                <w:lang w:val="en-US" w:eastAsia="zh-CN"/>
              </w:rPr>
            </w:pPr>
          </w:p>
          <w:p w14:paraId="6E7F016B">
            <w:pPr>
              <w:pStyle w:val="2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eastAsia" w:ascii="Times New Roman" w:hAnsi="Times New Roman" w:eastAsia="宋体" w:cs="Times New Roman"/>
                <w:b w:val="0"/>
                <w:bCs w:val="0"/>
                <w:color w:val="auto"/>
                <w:sz w:val="21"/>
                <w:szCs w:val="21"/>
                <w:lang w:val="en-US" w:eastAsia="zh-CN"/>
              </w:rPr>
            </w:pPr>
          </w:p>
          <w:p w14:paraId="35C051AC">
            <w:pPr>
              <w:pStyle w:val="2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420" w:firstLineChars="200"/>
              <w:jc w:val="both"/>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表</w:t>
            </w:r>
            <w:r>
              <w:rPr>
                <w:rFonts w:hint="eastAsia" w:eastAsia="宋体" w:cs="Times New Roman"/>
                <w:b w:val="0"/>
                <w:bCs w:val="0"/>
                <w:color w:val="auto"/>
                <w:sz w:val="21"/>
                <w:szCs w:val="21"/>
                <w:lang w:val="en-US" w:eastAsia="zh-CN"/>
              </w:rPr>
              <w:t>4-</w:t>
            </w:r>
            <w:r>
              <w:rPr>
                <w:rFonts w:hint="eastAsia" w:cs="Times New Roman"/>
                <w:b w:val="0"/>
                <w:bCs w:val="0"/>
                <w:color w:val="auto"/>
                <w:sz w:val="21"/>
                <w:szCs w:val="21"/>
                <w:lang w:val="en-US" w:eastAsia="zh-CN"/>
              </w:rPr>
              <w:t>7</w:t>
            </w:r>
            <w:r>
              <w:rPr>
                <w:rFonts w:hint="eastAsia" w:ascii="Times New Roman" w:hAnsi="Times New Roman" w:eastAsia="宋体"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 xml:space="preserve">      </w:t>
            </w:r>
            <w:r>
              <w:rPr>
                <w:rFonts w:hint="eastAsia" w:ascii="宋体" w:hAnsi="宋体" w:eastAsia="宋体" w:cs="宋体"/>
                <w:b/>
                <w:bCs/>
                <w:color w:val="auto"/>
                <w:sz w:val="24"/>
                <w:szCs w:val="24"/>
                <w:lang w:val="en-US" w:eastAsia="zh-CN"/>
              </w:rPr>
              <w:t>本项目噪声监测内容及监测周期</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082"/>
              <w:gridCol w:w="1018"/>
              <w:gridCol w:w="1346"/>
              <w:gridCol w:w="858"/>
              <w:gridCol w:w="3156"/>
            </w:tblGrid>
            <w:tr w14:paraId="37DA1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03" w:type="pct"/>
                  <w:tcBorders>
                    <w:tl2br w:val="nil"/>
                    <w:tr2bl w:val="nil"/>
                  </w:tcBorders>
                  <w:vAlign w:val="center"/>
                </w:tcPr>
                <w:p w14:paraId="67C4079C">
                  <w:pPr>
                    <w:pStyle w:val="6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项目</w:t>
                  </w:r>
                </w:p>
              </w:tc>
              <w:tc>
                <w:tcPr>
                  <w:tcW w:w="666" w:type="pct"/>
                  <w:tcBorders>
                    <w:tl2br w:val="nil"/>
                    <w:tr2bl w:val="nil"/>
                  </w:tcBorders>
                  <w:vAlign w:val="center"/>
                </w:tcPr>
                <w:p w14:paraId="7FF41B38">
                  <w:pPr>
                    <w:pStyle w:val="6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监测位置</w:t>
                  </w:r>
                </w:p>
              </w:tc>
              <w:tc>
                <w:tcPr>
                  <w:tcW w:w="627" w:type="pct"/>
                  <w:tcBorders>
                    <w:tl2br w:val="nil"/>
                    <w:tr2bl w:val="nil"/>
                  </w:tcBorders>
                  <w:vAlign w:val="center"/>
                </w:tcPr>
                <w:p w14:paraId="5F8E8FA9">
                  <w:pPr>
                    <w:pStyle w:val="3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val="0"/>
                      <w:color w:val="auto"/>
                      <w:spacing w:val="-11"/>
                      <w:sz w:val="21"/>
                      <w:szCs w:val="21"/>
                      <w:lang w:val="en-US" w:eastAsia="zh-CN"/>
                    </w:rPr>
                  </w:pPr>
                  <w:r>
                    <w:rPr>
                      <w:rFonts w:hint="default" w:ascii="Times New Roman" w:hAnsi="Times New Roman" w:eastAsia="宋体" w:cs="Times New Roman"/>
                      <w:b/>
                      <w:bCs w:val="0"/>
                      <w:color w:val="auto"/>
                      <w:spacing w:val="-11"/>
                      <w:sz w:val="21"/>
                      <w:szCs w:val="21"/>
                      <w:lang w:val="en-US" w:eastAsia="zh-CN"/>
                    </w:rPr>
                    <w:t>监测项目</w:t>
                  </w:r>
                </w:p>
              </w:tc>
              <w:tc>
                <w:tcPr>
                  <w:tcW w:w="829" w:type="pct"/>
                  <w:tcBorders>
                    <w:tl2br w:val="nil"/>
                    <w:tr2bl w:val="nil"/>
                  </w:tcBorders>
                  <w:vAlign w:val="center"/>
                </w:tcPr>
                <w:p w14:paraId="74AA7D0A">
                  <w:pPr>
                    <w:pStyle w:val="3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监测点</w:t>
                  </w:r>
                  <w:r>
                    <w:rPr>
                      <w:rFonts w:hint="eastAsia" w:cs="Times New Roman"/>
                      <w:b/>
                      <w:bCs w:val="0"/>
                      <w:color w:val="auto"/>
                      <w:sz w:val="21"/>
                      <w:szCs w:val="21"/>
                      <w:lang w:val="en-US" w:eastAsia="zh-CN"/>
                    </w:rPr>
                    <w:t>位</w:t>
                  </w:r>
                </w:p>
              </w:tc>
              <w:tc>
                <w:tcPr>
                  <w:tcW w:w="528" w:type="pct"/>
                  <w:tcBorders>
                    <w:tl2br w:val="nil"/>
                    <w:tr2bl w:val="nil"/>
                  </w:tcBorders>
                  <w:vAlign w:val="center"/>
                </w:tcPr>
                <w:p w14:paraId="372341AD">
                  <w:pPr>
                    <w:pStyle w:val="3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color w:val="auto"/>
                      <w:spacing w:val="-11"/>
                      <w:sz w:val="21"/>
                      <w:szCs w:val="21"/>
                      <w:lang w:val="en-US" w:eastAsia="zh-CN"/>
                    </w:rPr>
                  </w:pPr>
                  <w:r>
                    <w:rPr>
                      <w:rFonts w:hint="default" w:ascii="Times New Roman" w:hAnsi="Times New Roman" w:eastAsia="宋体" w:cs="Times New Roman"/>
                      <w:b/>
                      <w:bCs w:val="0"/>
                      <w:color w:val="auto"/>
                      <w:spacing w:val="-11"/>
                      <w:sz w:val="21"/>
                      <w:szCs w:val="21"/>
                      <w:lang w:val="en-US" w:eastAsia="zh-CN"/>
                    </w:rPr>
                    <w:t>监测</w:t>
                  </w:r>
                  <w:r>
                    <w:rPr>
                      <w:rFonts w:hint="eastAsia" w:ascii="Times New Roman" w:hAnsi="Times New Roman" w:eastAsia="宋体" w:cs="Times New Roman"/>
                      <w:b/>
                      <w:bCs w:val="0"/>
                      <w:color w:val="auto"/>
                      <w:spacing w:val="-11"/>
                      <w:sz w:val="21"/>
                      <w:szCs w:val="21"/>
                      <w:lang w:val="en-US" w:eastAsia="zh-CN"/>
                    </w:rPr>
                    <w:t>频次</w:t>
                  </w:r>
                </w:p>
              </w:tc>
              <w:tc>
                <w:tcPr>
                  <w:tcW w:w="1944" w:type="pct"/>
                  <w:tcBorders>
                    <w:tl2br w:val="nil"/>
                    <w:tr2bl w:val="nil"/>
                  </w:tcBorders>
                  <w:vAlign w:val="center"/>
                </w:tcPr>
                <w:p w14:paraId="63F05D49">
                  <w:pPr>
                    <w:pStyle w:val="3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执行标准</w:t>
                  </w:r>
                </w:p>
              </w:tc>
            </w:tr>
            <w:tr w14:paraId="26DC3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tcBorders>
                    <w:tl2br w:val="nil"/>
                    <w:tr2bl w:val="nil"/>
                  </w:tcBorders>
                  <w:vAlign w:val="center"/>
                </w:tcPr>
                <w:p w14:paraId="573D3A36">
                  <w:pPr>
                    <w:pStyle w:val="6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val="0"/>
                      <w:color w:val="auto"/>
                      <w:sz w:val="21"/>
                      <w:szCs w:val="21"/>
                      <w:lang w:val="en-US" w:eastAsia="zh-CN"/>
                    </w:rPr>
                  </w:pPr>
                  <w:r>
                    <w:rPr>
                      <w:rFonts w:hint="eastAsia" w:cs="Times New Roman"/>
                      <w:b/>
                      <w:bCs w:val="0"/>
                      <w:color w:val="auto"/>
                      <w:sz w:val="21"/>
                      <w:szCs w:val="21"/>
                      <w:lang w:val="en-US" w:eastAsia="zh-CN"/>
                    </w:rPr>
                    <w:t>噪声</w:t>
                  </w:r>
                </w:p>
              </w:tc>
              <w:tc>
                <w:tcPr>
                  <w:tcW w:w="666" w:type="pct"/>
                  <w:tcBorders>
                    <w:tl2br w:val="nil"/>
                    <w:tr2bl w:val="nil"/>
                  </w:tcBorders>
                  <w:vAlign w:val="center"/>
                </w:tcPr>
                <w:p w14:paraId="37078E84">
                  <w:pPr>
                    <w:pStyle w:val="6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项目</w:t>
                  </w:r>
                  <w:r>
                    <w:rPr>
                      <w:rFonts w:hint="default" w:ascii="Times New Roman" w:hAnsi="Times New Roman" w:eastAsia="宋体" w:cs="Times New Roman"/>
                      <w:b w:val="0"/>
                      <w:bCs/>
                      <w:color w:val="auto"/>
                      <w:sz w:val="21"/>
                      <w:szCs w:val="21"/>
                      <w:lang w:val="en-US" w:eastAsia="zh-CN"/>
                    </w:rPr>
                    <w:t>厂界</w:t>
                  </w:r>
                </w:p>
              </w:tc>
              <w:tc>
                <w:tcPr>
                  <w:tcW w:w="627" w:type="pct"/>
                  <w:tcBorders>
                    <w:tl2br w:val="nil"/>
                    <w:tr2bl w:val="nil"/>
                  </w:tcBorders>
                  <w:vAlign w:val="center"/>
                </w:tcPr>
                <w:p w14:paraId="513E82DC">
                  <w:pPr>
                    <w:pStyle w:val="6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Leq</w:t>
                  </w:r>
                </w:p>
              </w:tc>
              <w:tc>
                <w:tcPr>
                  <w:tcW w:w="829" w:type="pct"/>
                  <w:tcBorders>
                    <w:tl2br w:val="nil"/>
                    <w:tr2bl w:val="nil"/>
                  </w:tcBorders>
                  <w:vAlign w:val="center"/>
                </w:tcPr>
                <w:p w14:paraId="23AD3715">
                  <w:pPr>
                    <w:pStyle w:val="3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color w:val="auto"/>
                      <w:spacing w:val="-11"/>
                      <w:sz w:val="21"/>
                      <w:szCs w:val="21"/>
                      <w:lang w:val="en-US" w:eastAsia="zh-CN"/>
                    </w:rPr>
                  </w:pPr>
                  <w:r>
                    <w:rPr>
                      <w:rFonts w:hint="default" w:ascii="Times New Roman" w:hAnsi="Times New Roman" w:eastAsia="宋体" w:cs="Times New Roman"/>
                      <w:b w:val="0"/>
                      <w:bCs/>
                      <w:color w:val="auto"/>
                      <w:spacing w:val="-11"/>
                      <w:sz w:val="21"/>
                      <w:szCs w:val="21"/>
                      <w:lang w:val="en-US" w:eastAsia="zh-CN"/>
                    </w:rPr>
                    <w:t>四周厂界外1m</w:t>
                  </w:r>
                </w:p>
              </w:tc>
              <w:tc>
                <w:tcPr>
                  <w:tcW w:w="528" w:type="pct"/>
                  <w:tcBorders>
                    <w:tl2br w:val="nil"/>
                    <w:tr2bl w:val="nil"/>
                  </w:tcBorders>
                  <w:vAlign w:val="center"/>
                </w:tcPr>
                <w:p w14:paraId="7CCCD71D">
                  <w:pPr>
                    <w:pStyle w:val="3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color w:val="auto"/>
                      <w:spacing w:val="-11"/>
                      <w:sz w:val="21"/>
                      <w:szCs w:val="21"/>
                      <w:lang w:val="en-US" w:eastAsia="zh-CN"/>
                    </w:rPr>
                  </w:pPr>
                  <w:r>
                    <w:rPr>
                      <w:rFonts w:hint="eastAsia" w:ascii="Times New Roman" w:hAnsi="Times New Roman" w:eastAsia="宋体" w:cs="Times New Roman"/>
                      <w:b w:val="0"/>
                      <w:bCs/>
                      <w:color w:val="auto"/>
                      <w:spacing w:val="-11"/>
                      <w:sz w:val="21"/>
                      <w:szCs w:val="21"/>
                      <w:lang w:val="en-US" w:eastAsia="zh-CN"/>
                    </w:rPr>
                    <w:t>1次/季度</w:t>
                  </w:r>
                </w:p>
              </w:tc>
              <w:tc>
                <w:tcPr>
                  <w:tcW w:w="1944" w:type="pct"/>
                  <w:tcBorders>
                    <w:tl2br w:val="nil"/>
                    <w:tr2bl w:val="nil"/>
                  </w:tcBorders>
                  <w:vAlign w:val="center"/>
                </w:tcPr>
                <w:p w14:paraId="7E6FF89A">
                  <w:pPr>
                    <w:pStyle w:val="3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pacing w:val="-11"/>
                      <w:sz w:val="21"/>
                      <w:szCs w:val="21"/>
                      <w:lang w:val="en-US" w:eastAsia="zh-CN"/>
                    </w:rPr>
                    <w:t>《工业企业厂界环境噪声排放标准》（GB12348-2008）中</w:t>
                  </w:r>
                  <w:r>
                    <w:rPr>
                      <w:rFonts w:hint="eastAsia" w:cs="Times New Roman"/>
                      <w:b w:val="0"/>
                      <w:bCs/>
                      <w:color w:val="auto"/>
                      <w:spacing w:val="-11"/>
                      <w:sz w:val="21"/>
                      <w:szCs w:val="21"/>
                      <w:lang w:val="en-US" w:eastAsia="zh-CN"/>
                    </w:rPr>
                    <w:t>2</w:t>
                  </w:r>
                  <w:r>
                    <w:rPr>
                      <w:rFonts w:hint="default" w:ascii="Times New Roman" w:hAnsi="Times New Roman" w:eastAsia="宋体" w:cs="Times New Roman"/>
                      <w:b w:val="0"/>
                      <w:bCs/>
                      <w:color w:val="auto"/>
                      <w:spacing w:val="-11"/>
                      <w:sz w:val="21"/>
                      <w:szCs w:val="21"/>
                      <w:lang w:val="en-US" w:eastAsia="zh-CN"/>
                    </w:rPr>
                    <w:t>类标准</w:t>
                  </w:r>
                </w:p>
              </w:tc>
            </w:tr>
          </w:tbl>
          <w:p w14:paraId="131BBDF6">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4、固体废物环境影响和保护措施</w:t>
            </w:r>
          </w:p>
          <w:p w14:paraId="454FCD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本项目运营期固体废物包括生活垃圾、一般工业固体废物。</w:t>
            </w:r>
          </w:p>
          <w:p w14:paraId="0C91B4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⑴生活垃圾</w:t>
            </w:r>
          </w:p>
          <w:p w14:paraId="5850C2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本项目运营期常驻劳动定员共计</w:t>
            </w:r>
            <w:r>
              <w:rPr>
                <w:rFonts w:hint="eastAsia" w:eastAsia="仿宋_GB2312" w:cs="Times New Roman"/>
                <w:color w:val="auto"/>
                <w:sz w:val="24"/>
                <w:szCs w:val="24"/>
                <w:highlight w:val="none"/>
                <w:lang w:val="en-US" w:eastAsia="zh-CN"/>
              </w:rPr>
              <w:t>50</w:t>
            </w:r>
            <w:r>
              <w:rPr>
                <w:rFonts w:hint="default" w:ascii="Times New Roman" w:hAnsi="Times New Roman" w:eastAsia="仿宋_GB2312" w:cs="Times New Roman"/>
                <w:color w:val="auto"/>
                <w:sz w:val="24"/>
                <w:szCs w:val="24"/>
                <w:highlight w:val="none"/>
                <w:lang w:val="en-US" w:eastAsia="zh-CN"/>
              </w:rPr>
              <w:t>人，生活垃圾产生量按0.5kg/d·人计，则生活垃圾产生量为</w:t>
            </w:r>
            <w:r>
              <w:rPr>
                <w:rFonts w:hint="eastAsia"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lang w:val="en-US" w:eastAsia="zh-CN"/>
              </w:rPr>
              <w:t>t/a，对照《固体废物分类与代码目录》（生态环境部公告2024年第4号），生活垃圾代码为900-099-S64，垃圾桶集中收集后交由市政环卫部门统一处理。</w:t>
            </w:r>
          </w:p>
          <w:p w14:paraId="666A7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⑵一般工业固体废物</w:t>
            </w:r>
          </w:p>
          <w:p w14:paraId="2E3839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a.沉淀池沉渣（S</w:t>
            </w:r>
            <w:r>
              <w:rPr>
                <w:rFonts w:hint="default" w:ascii="Times New Roman" w:hAnsi="Times New Roman" w:eastAsia="仿宋_GB2312" w:cs="Times New Roman"/>
                <w:color w:val="auto"/>
                <w:sz w:val="24"/>
                <w:szCs w:val="24"/>
                <w:highlight w:val="none"/>
                <w:vertAlign w:val="subscript"/>
                <w:lang w:val="en-US" w:eastAsia="zh-CN"/>
              </w:rPr>
              <w:t>1-1</w:t>
            </w:r>
            <w:r>
              <w:rPr>
                <w:rFonts w:hint="default" w:ascii="Times New Roman" w:hAnsi="Times New Roman" w:eastAsia="仿宋_GB2312" w:cs="Times New Roman"/>
                <w:color w:val="auto"/>
                <w:sz w:val="24"/>
                <w:szCs w:val="24"/>
                <w:highlight w:val="none"/>
                <w:lang w:val="en-US" w:eastAsia="zh-CN"/>
              </w:rPr>
              <w:t>）：</w:t>
            </w:r>
          </w:p>
          <w:p w14:paraId="2297D7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沉淀池沉渣主要为对罐车、搅拌机、搅拌作业区冲洗后产生的砂石，产生量约为3t/a，对照《固体废物分类与代码目录》（生态环境部公告2024年第4号），沉淀池沉渣代码为900-099-S07，定期从沉淀池清捞后回用于水泥混凝土生产线。</w:t>
            </w:r>
          </w:p>
          <w:p w14:paraId="18B4AC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b.除尘器收尘灰（S</w:t>
            </w:r>
            <w:r>
              <w:rPr>
                <w:rFonts w:hint="default" w:ascii="Times New Roman" w:hAnsi="Times New Roman" w:eastAsia="仿宋_GB2312" w:cs="Times New Roman"/>
                <w:color w:val="auto"/>
                <w:sz w:val="24"/>
                <w:szCs w:val="24"/>
                <w:highlight w:val="none"/>
                <w:vertAlign w:val="subscript"/>
                <w:lang w:val="en-US" w:eastAsia="zh-CN"/>
              </w:rPr>
              <w:t>1-2</w:t>
            </w:r>
            <w:r>
              <w:rPr>
                <w:rFonts w:hint="default" w:ascii="Times New Roman" w:hAnsi="Times New Roman" w:eastAsia="仿宋_GB2312" w:cs="Times New Roman"/>
                <w:color w:val="auto"/>
                <w:sz w:val="24"/>
                <w:szCs w:val="24"/>
                <w:highlight w:val="none"/>
                <w:lang w:val="en-US" w:eastAsia="zh-CN"/>
              </w:rPr>
              <w:t>）：</w:t>
            </w:r>
          </w:p>
          <w:p w14:paraId="22F526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本项目筒仓产生的的粉尘均采用除尘器进行收集，除尘装置收集的粉尘总量约为</w:t>
            </w:r>
            <w:r>
              <w:rPr>
                <w:rFonts w:hint="eastAsia" w:eastAsia="仿宋_GB2312" w:cs="Times New Roman"/>
                <w:color w:val="auto"/>
                <w:sz w:val="24"/>
                <w:szCs w:val="24"/>
                <w:highlight w:val="none"/>
                <w:lang w:val="en-US" w:eastAsia="zh-CN"/>
              </w:rPr>
              <w:t>9.57</w:t>
            </w:r>
            <w:r>
              <w:rPr>
                <w:rFonts w:hint="default" w:ascii="Times New Roman" w:hAnsi="Times New Roman" w:eastAsia="仿宋_GB2312" w:cs="Times New Roman"/>
                <w:color w:val="auto"/>
                <w:sz w:val="24"/>
                <w:szCs w:val="24"/>
                <w:highlight w:val="none"/>
                <w:lang w:val="en-US" w:eastAsia="zh-CN"/>
              </w:rPr>
              <w:t>t/a，对照《固体废物分类与代码目录》（生态环境部公告2024年第4号），收尘灰代码为900-099-S59，收集到的粉尘回用于生产。</w:t>
            </w:r>
          </w:p>
          <w:p w14:paraId="7D78C6DE">
            <w:pPr>
              <w:pStyle w:val="21"/>
              <w:keepNext w:val="0"/>
              <w:keepLines w:val="0"/>
              <w:pageBreakBefore w:val="0"/>
              <w:widowControl/>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c.洒水抑尘（S</w:t>
            </w:r>
            <w:r>
              <w:rPr>
                <w:rFonts w:hint="default" w:ascii="Times New Roman" w:hAnsi="Times New Roman" w:eastAsia="仿宋_GB2312" w:cs="Times New Roman"/>
                <w:color w:val="auto"/>
                <w:sz w:val="24"/>
                <w:szCs w:val="24"/>
                <w:highlight w:val="none"/>
                <w:vertAlign w:val="subscript"/>
                <w:lang w:val="en-US" w:eastAsia="zh-CN"/>
              </w:rPr>
              <w:t>1-3</w:t>
            </w:r>
            <w:r>
              <w:rPr>
                <w:rFonts w:hint="default" w:ascii="Times New Roman" w:hAnsi="Times New Roman" w:eastAsia="仿宋_GB2312" w:cs="Times New Roman"/>
                <w:color w:val="auto"/>
                <w:sz w:val="24"/>
                <w:szCs w:val="24"/>
                <w:highlight w:val="none"/>
                <w:lang w:val="en-US" w:eastAsia="zh-CN"/>
              </w:rPr>
              <w:t>）：</w:t>
            </w:r>
          </w:p>
          <w:p w14:paraId="5C79F1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本项目水泥混凝土生产线堆料棚产生的粉尘通过洒水抑尘，捕集量为</w:t>
            </w:r>
            <w:r>
              <w:rPr>
                <w:rFonts w:hint="eastAsia" w:eastAsia="仿宋_GB2312" w:cs="Times New Roman"/>
                <w:color w:val="auto"/>
                <w:sz w:val="24"/>
                <w:szCs w:val="24"/>
                <w:highlight w:val="none"/>
                <w:lang w:val="en-US" w:eastAsia="zh-CN"/>
              </w:rPr>
              <w:t>6.18</w:t>
            </w:r>
            <w:r>
              <w:rPr>
                <w:rFonts w:hint="default" w:ascii="Times New Roman" w:hAnsi="Times New Roman" w:eastAsia="仿宋_GB2312" w:cs="Times New Roman"/>
                <w:color w:val="auto"/>
                <w:sz w:val="24"/>
                <w:szCs w:val="24"/>
                <w:highlight w:val="none"/>
                <w:lang w:val="en-US" w:eastAsia="zh-CN"/>
              </w:rPr>
              <w:t>t/a，收集后回用于生产；水泥拌合机产生的粉尘通过加水进行捕集，捕集量为</w:t>
            </w:r>
            <w:r>
              <w:rPr>
                <w:rFonts w:hint="eastAsia" w:eastAsia="仿宋_GB2312" w:cs="Times New Roman"/>
                <w:color w:val="auto"/>
                <w:sz w:val="24"/>
                <w:szCs w:val="24"/>
                <w:highlight w:val="none"/>
                <w:lang w:val="en-US" w:eastAsia="zh-CN"/>
              </w:rPr>
              <w:t>62.03</w:t>
            </w:r>
            <w:r>
              <w:rPr>
                <w:rFonts w:hint="default" w:ascii="Times New Roman" w:hAnsi="Times New Roman" w:eastAsia="仿宋_GB2312" w:cs="Times New Roman"/>
                <w:color w:val="auto"/>
                <w:sz w:val="24"/>
                <w:szCs w:val="24"/>
                <w:highlight w:val="none"/>
                <w:lang w:val="en-US" w:eastAsia="zh-CN"/>
              </w:rPr>
              <w:t>t/a，对照《固体废物分类与代码目录》（生态环境部公告2024年第4号），收尘灰代码为900-099-S59，通过沉降回用于拌合工序。</w:t>
            </w:r>
          </w:p>
          <w:p w14:paraId="2D8E7A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⑶危险废物：</w:t>
            </w:r>
          </w:p>
          <w:p w14:paraId="3AC52F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本项目为临时工程，运营期为1年，车辆检修依托周边维修站，且项目运营期较短，若需进行设备检修，其产生的废机油由厂家更换回收，不在厂区贮存，因此本项目不涉及危险废物。</w:t>
            </w:r>
          </w:p>
          <w:p w14:paraId="4015BD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lang w:val="en-US" w:eastAsia="zh-CN"/>
              </w:rPr>
            </w:pPr>
            <w:r>
              <w:rPr>
                <w:rFonts w:hint="default" w:ascii="Times New Roman" w:hAnsi="Times New Roman" w:eastAsia="仿宋_GB2312" w:cs="Times New Roman"/>
                <w:b w:val="0"/>
                <w:bCs w:val="0"/>
                <w:color w:val="auto"/>
                <w:kern w:val="2"/>
                <w:sz w:val="24"/>
                <w:szCs w:val="24"/>
                <w:lang w:val="en-US" w:eastAsia="zh-CN" w:bidi="ar-SA"/>
              </w:rPr>
              <w:t>本项目固废</w:t>
            </w:r>
            <w:r>
              <w:rPr>
                <w:rFonts w:hint="default" w:ascii="Times New Roman" w:hAnsi="Times New Roman" w:eastAsia="仿宋_GB2312" w:cs="Times New Roman"/>
                <w:b w:val="0"/>
                <w:bCs w:val="0"/>
                <w:color w:val="auto"/>
                <w:kern w:val="2"/>
                <w:sz w:val="24"/>
                <w:szCs w:val="24"/>
                <w:lang w:eastAsia="zh-CN" w:bidi="ar-SA"/>
              </w:rPr>
              <w:t>属性</w:t>
            </w:r>
            <w:r>
              <w:rPr>
                <w:rFonts w:hint="default" w:ascii="Times New Roman" w:hAnsi="Times New Roman" w:eastAsia="仿宋_GB2312" w:cs="Times New Roman"/>
                <w:b w:val="0"/>
                <w:bCs w:val="0"/>
                <w:color w:val="auto"/>
                <w:kern w:val="2"/>
                <w:sz w:val="24"/>
                <w:szCs w:val="24"/>
                <w:lang w:val="en-US" w:eastAsia="zh-CN" w:bidi="ar-SA"/>
              </w:rPr>
              <w:t>及产生量见表4-</w:t>
            </w:r>
            <w:r>
              <w:rPr>
                <w:rFonts w:hint="eastAsia" w:eastAsia="仿宋_GB2312" w:cs="Times New Roman"/>
                <w:b w:val="0"/>
                <w:bCs w:val="0"/>
                <w:color w:val="auto"/>
                <w:kern w:val="2"/>
                <w:sz w:val="24"/>
                <w:szCs w:val="24"/>
                <w:lang w:val="en-US" w:eastAsia="zh-CN" w:bidi="ar-SA"/>
              </w:rPr>
              <w:t>8</w:t>
            </w:r>
            <w:r>
              <w:rPr>
                <w:rFonts w:hint="default" w:ascii="Times New Roman" w:hAnsi="Times New Roman" w:eastAsia="仿宋_GB2312" w:cs="Times New Roman"/>
                <w:b w:val="0"/>
                <w:bCs w:val="0"/>
                <w:color w:val="auto"/>
                <w:kern w:val="2"/>
                <w:sz w:val="24"/>
                <w:szCs w:val="24"/>
                <w:lang w:val="en-US" w:eastAsia="zh-CN" w:bidi="ar-SA"/>
              </w:rPr>
              <w:t>。</w:t>
            </w:r>
          </w:p>
          <w:p w14:paraId="74CB7F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eastAsia" w:eastAsia="宋体"/>
                <w:b/>
                <w:bCs/>
                <w:color w:val="auto"/>
                <w:sz w:val="24"/>
                <w:szCs w:val="24"/>
                <w:lang w:eastAsia="zh-CN"/>
              </w:rPr>
            </w:pPr>
            <w:r>
              <w:rPr>
                <w:rFonts w:hint="eastAsia"/>
                <w:color w:val="auto"/>
                <w:lang w:val="en-US" w:eastAsia="zh-CN"/>
              </w:rPr>
              <w:t xml:space="preserve">表4-8              </w:t>
            </w:r>
            <w:r>
              <w:rPr>
                <w:rFonts w:hint="default"/>
                <w:color w:val="auto"/>
                <w:lang w:eastAsia="zh-CN"/>
              </w:rPr>
              <w:t xml:space="preserve"> </w:t>
            </w:r>
            <w:r>
              <w:rPr>
                <w:rFonts w:hint="eastAsia"/>
                <w:color w:val="auto"/>
                <w:lang w:val="en-US" w:eastAsia="zh-CN"/>
              </w:rPr>
              <w:t xml:space="preserve"> </w:t>
            </w:r>
            <w:r>
              <w:rPr>
                <w:rFonts w:hint="eastAsia"/>
                <w:b/>
                <w:bCs/>
                <w:color w:val="auto"/>
                <w:sz w:val="24"/>
                <w:szCs w:val="24"/>
              </w:rPr>
              <w:t>本项目固废</w:t>
            </w:r>
            <w:r>
              <w:rPr>
                <w:rFonts w:hint="default"/>
                <w:b/>
                <w:bCs/>
                <w:color w:val="auto"/>
                <w:sz w:val="24"/>
                <w:szCs w:val="24"/>
              </w:rPr>
              <w:t>属性</w:t>
            </w:r>
            <w:r>
              <w:rPr>
                <w:rFonts w:hint="eastAsia"/>
                <w:b/>
                <w:bCs/>
                <w:color w:val="auto"/>
                <w:sz w:val="24"/>
                <w:szCs w:val="24"/>
              </w:rPr>
              <w:t>及产生量</w:t>
            </w:r>
            <w:r>
              <w:rPr>
                <w:rFonts w:hint="eastAsia"/>
                <w:b/>
                <w:bCs/>
                <w:color w:val="auto"/>
                <w:sz w:val="24"/>
                <w:szCs w:val="24"/>
                <w:lang w:eastAsia="zh-CN"/>
              </w:rPr>
              <w:t>一览表</w:t>
            </w:r>
          </w:p>
          <w:tbl>
            <w:tblPr>
              <w:tblStyle w:val="23"/>
              <w:tblW w:w="494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16"/>
              <w:gridCol w:w="1188"/>
              <w:gridCol w:w="712"/>
              <w:gridCol w:w="1042"/>
              <w:gridCol w:w="681"/>
              <w:gridCol w:w="959"/>
              <w:gridCol w:w="1186"/>
              <w:gridCol w:w="1852"/>
            </w:tblGrid>
            <w:tr w14:paraId="1E21D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412" w:type="dxa"/>
                  <w:tcBorders>
                    <w:tl2br w:val="nil"/>
                    <w:tr2bl w:val="nil"/>
                  </w:tcBorders>
                  <w:noWrap w:val="0"/>
                  <w:vAlign w:val="center"/>
                </w:tcPr>
                <w:p w14:paraId="65B5FE56">
                  <w:pPr>
                    <w:bidi w:val="0"/>
                    <w:jc w:val="center"/>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1177" w:type="dxa"/>
                  <w:tcBorders>
                    <w:tl2br w:val="nil"/>
                    <w:tr2bl w:val="nil"/>
                  </w:tcBorders>
                  <w:noWrap w:val="0"/>
                  <w:vAlign w:val="center"/>
                </w:tcPr>
                <w:p w14:paraId="4D6787F8">
                  <w:pPr>
                    <w:bidi w:val="0"/>
                    <w:jc w:val="center"/>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706" w:type="dxa"/>
                  <w:tcBorders>
                    <w:tl2br w:val="nil"/>
                    <w:tr2bl w:val="nil"/>
                  </w:tcBorders>
                  <w:noWrap w:val="0"/>
                  <w:vAlign w:val="center"/>
                </w:tcPr>
                <w:p w14:paraId="0E1D1C62">
                  <w:pPr>
                    <w:bidi w:val="0"/>
                    <w:jc w:val="center"/>
                    <w:rPr>
                      <w:rFonts w:hint="default" w:ascii="Times New Roman" w:hAnsi="Times New Roman" w:cs="Times New Roman"/>
                      <w:b/>
                      <w:bCs/>
                      <w:color w:val="auto"/>
                    </w:rPr>
                  </w:pPr>
                  <w:r>
                    <w:rPr>
                      <w:rFonts w:hint="default" w:ascii="Times New Roman" w:hAnsi="Times New Roman" w:cs="Times New Roman"/>
                      <w:b/>
                      <w:bCs/>
                      <w:color w:val="auto"/>
                    </w:rPr>
                    <w:t>来源</w:t>
                  </w:r>
                </w:p>
              </w:tc>
              <w:tc>
                <w:tcPr>
                  <w:tcW w:w="1033" w:type="dxa"/>
                  <w:tcBorders>
                    <w:tl2br w:val="nil"/>
                    <w:tr2bl w:val="nil"/>
                  </w:tcBorders>
                  <w:noWrap w:val="0"/>
                  <w:vAlign w:val="center"/>
                </w:tcPr>
                <w:p w14:paraId="0D806E9F">
                  <w:pPr>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eastAsia="zh-CN"/>
                    </w:rPr>
                    <w:t>产生量（</w:t>
                  </w:r>
                  <w:r>
                    <w:rPr>
                      <w:rFonts w:hint="default" w:ascii="Times New Roman" w:hAnsi="Times New Roman" w:cs="Times New Roman"/>
                      <w:b/>
                      <w:bCs/>
                      <w:color w:val="auto"/>
                      <w:lang w:val="en-US" w:eastAsia="zh-CN"/>
                    </w:rPr>
                    <w:t>t/a</w:t>
                  </w:r>
                  <w:r>
                    <w:rPr>
                      <w:rFonts w:hint="default" w:ascii="Times New Roman" w:hAnsi="Times New Roman" w:cs="Times New Roman"/>
                      <w:b/>
                      <w:bCs/>
                      <w:color w:val="auto"/>
                      <w:lang w:eastAsia="zh-CN"/>
                    </w:rPr>
                    <w:t>）</w:t>
                  </w:r>
                </w:p>
              </w:tc>
              <w:tc>
                <w:tcPr>
                  <w:tcW w:w="675" w:type="dxa"/>
                  <w:tcBorders>
                    <w:tl2br w:val="nil"/>
                    <w:tr2bl w:val="nil"/>
                  </w:tcBorders>
                  <w:noWrap w:val="0"/>
                  <w:vAlign w:val="center"/>
                </w:tcPr>
                <w:p w14:paraId="00439D5C">
                  <w:pPr>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排放量</w:t>
                  </w:r>
                  <w:r>
                    <w:rPr>
                      <w:rFonts w:hint="default" w:ascii="Times New Roman" w:hAnsi="Times New Roman" w:cs="Times New Roman"/>
                      <w:b/>
                      <w:bCs/>
                      <w:color w:val="auto"/>
                      <w:lang w:eastAsia="zh-CN"/>
                    </w:rPr>
                    <w:t>（</w:t>
                  </w:r>
                  <w:r>
                    <w:rPr>
                      <w:rFonts w:hint="default" w:ascii="Times New Roman" w:hAnsi="Times New Roman" w:cs="Times New Roman"/>
                      <w:b/>
                      <w:bCs/>
                      <w:color w:val="auto"/>
                      <w:lang w:val="en-US" w:eastAsia="zh-CN"/>
                    </w:rPr>
                    <w:t>t/a</w:t>
                  </w:r>
                  <w:r>
                    <w:rPr>
                      <w:rFonts w:hint="default" w:ascii="Times New Roman" w:hAnsi="Times New Roman" w:cs="Times New Roman"/>
                      <w:b/>
                      <w:bCs/>
                      <w:color w:val="auto"/>
                      <w:lang w:eastAsia="zh-CN"/>
                    </w:rPr>
                    <w:t>）</w:t>
                  </w:r>
                </w:p>
              </w:tc>
              <w:tc>
                <w:tcPr>
                  <w:tcW w:w="950" w:type="dxa"/>
                  <w:tcBorders>
                    <w:tl2br w:val="nil"/>
                    <w:tr2bl w:val="nil"/>
                  </w:tcBorders>
                  <w:noWrap w:val="0"/>
                  <w:vAlign w:val="center"/>
                </w:tcPr>
                <w:p w14:paraId="77A5B64E">
                  <w:pPr>
                    <w:bidi w:val="0"/>
                    <w:jc w:val="center"/>
                    <w:rPr>
                      <w:rFonts w:hint="default" w:ascii="Times New Roman" w:hAnsi="Times New Roman" w:cs="Times New Roman"/>
                      <w:b/>
                      <w:bCs/>
                      <w:color w:val="auto"/>
                    </w:rPr>
                  </w:pPr>
                  <w:r>
                    <w:rPr>
                      <w:rFonts w:hint="default" w:ascii="Times New Roman" w:hAnsi="Times New Roman" w:cs="Times New Roman"/>
                      <w:b/>
                      <w:bCs/>
                      <w:color w:val="auto"/>
                    </w:rPr>
                    <w:t>固废属性</w:t>
                  </w:r>
                </w:p>
              </w:tc>
              <w:tc>
                <w:tcPr>
                  <w:tcW w:w="1175" w:type="dxa"/>
                  <w:tcBorders>
                    <w:tl2br w:val="nil"/>
                    <w:tr2bl w:val="nil"/>
                  </w:tcBorders>
                  <w:noWrap w:val="0"/>
                  <w:vAlign w:val="center"/>
                </w:tcPr>
                <w:p w14:paraId="73DD0CD1">
                  <w:pPr>
                    <w:bidi w:val="0"/>
                    <w:jc w:val="center"/>
                    <w:rPr>
                      <w:rFonts w:hint="default" w:ascii="Times New Roman" w:hAnsi="Times New Roman" w:cs="Times New Roman"/>
                      <w:b/>
                      <w:bCs/>
                      <w:color w:val="auto"/>
                    </w:rPr>
                  </w:pPr>
                  <w:r>
                    <w:rPr>
                      <w:rFonts w:hint="default" w:ascii="Times New Roman" w:hAnsi="Times New Roman" w:cs="Times New Roman"/>
                      <w:b/>
                      <w:bCs/>
                      <w:color w:val="auto"/>
                    </w:rPr>
                    <w:t>代码</w:t>
                  </w:r>
                </w:p>
              </w:tc>
              <w:tc>
                <w:tcPr>
                  <w:tcW w:w="1835" w:type="dxa"/>
                  <w:tcBorders>
                    <w:tl2br w:val="nil"/>
                    <w:tr2bl w:val="nil"/>
                  </w:tcBorders>
                  <w:noWrap w:val="0"/>
                  <w:vAlign w:val="center"/>
                </w:tcPr>
                <w:p w14:paraId="0850D4E7">
                  <w:pPr>
                    <w:bidi w:val="0"/>
                    <w:jc w:val="center"/>
                    <w:rPr>
                      <w:rFonts w:hint="default" w:ascii="Times New Roman" w:hAnsi="Times New Roman" w:cs="Times New Roman"/>
                      <w:b/>
                      <w:bCs/>
                      <w:color w:val="auto"/>
                    </w:rPr>
                  </w:pPr>
                  <w:r>
                    <w:rPr>
                      <w:rFonts w:hint="default" w:ascii="Times New Roman" w:hAnsi="Times New Roman" w:cs="Times New Roman"/>
                      <w:b/>
                      <w:bCs/>
                      <w:color w:val="auto"/>
                    </w:rPr>
                    <w:t>处置方法</w:t>
                  </w:r>
                </w:p>
              </w:tc>
            </w:tr>
            <w:tr w14:paraId="296EE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2" w:type="dxa"/>
                  <w:tcBorders>
                    <w:tl2br w:val="nil"/>
                    <w:tr2bl w:val="nil"/>
                  </w:tcBorders>
                  <w:noWrap w:val="0"/>
                  <w:vAlign w:val="center"/>
                </w:tcPr>
                <w:p w14:paraId="3EF20B89">
                  <w:pPr>
                    <w:bidi w:val="0"/>
                    <w:jc w:val="center"/>
                    <w:rPr>
                      <w:rFonts w:hint="default" w:ascii="Times New Roman" w:hAnsi="Times New Roman" w:cs="Times New Roman"/>
                      <w:color w:val="auto"/>
                    </w:rPr>
                  </w:pPr>
                  <w:r>
                    <w:rPr>
                      <w:rFonts w:hint="default" w:ascii="Times New Roman" w:hAnsi="Times New Roman" w:cs="Times New Roman"/>
                      <w:color w:val="auto"/>
                    </w:rPr>
                    <w:t>1</w:t>
                  </w:r>
                </w:p>
              </w:tc>
              <w:tc>
                <w:tcPr>
                  <w:tcW w:w="1177" w:type="dxa"/>
                  <w:tcBorders>
                    <w:tl2br w:val="nil"/>
                    <w:tr2bl w:val="nil"/>
                  </w:tcBorders>
                  <w:noWrap w:val="0"/>
                  <w:vAlign w:val="center"/>
                </w:tcPr>
                <w:p w14:paraId="497F06B6">
                  <w:pPr>
                    <w:bidi w:val="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生活垃圾</w:t>
                  </w:r>
                </w:p>
              </w:tc>
              <w:tc>
                <w:tcPr>
                  <w:tcW w:w="706" w:type="dxa"/>
                  <w:tcBorders>
                    <w:tl2br w:val="nil"/>
                    <w:tr2bl w:val="nil"/>
                  </w:tcBorders>
                  <w:noWrap w:val="0"/>
                  <w:vAlign w:val="center"/>
                </w:tcPr>
                <w:p w14:paraId="3F5D64A5">
                  <w:pPr>
                    <w:bidi w:val="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员工生活</w:t>
                  </w:r>
                </w:p>
              </w:tc>
              <w:tc>
                <w:tcPr>
                  <w:tcW w:w="1033" w:type="dxa"/>
                  <w:tcBorders>
                    <w:tl2br w:val="nil"/>
                    <w:tr2bl w:val="nil"/>
                  </w:tcBorders>
                  <w:noWrap w:val="0"/>
                  <w:vAlign w:val="center"/>
                </w:tcPr>
                <w:p w14:paraId="685FED81">
                  <w:pPr>
                    <w:bidi w:val="0"/>
                    <w:jc w:val="center"/>
                    <w:rPr>
                      <w:rFonts w:hint="default" w:ascii="Times New Roman" w:hAnsi="Times New Roman" w:cs="Times New Roman"/>
                      <w:color w:val="auto"/>
                      <w:lang w:val="en-US" w:eastAsia="zh-CN"/>
                    </w:rPr>
                  </w:pPr>
                  <w:r>
                    <w:rPr>
                      <w:rFonts w:hint="eastAsia" w:cs="Times New Roman"/>
                      <w:color w:val="auto"/>
                      <w:lang w:val="en-US" w:eastAsia="zh-CN"/>
                    </w:rPr>
                    <w:t>6</w:t>
                  </w:r>
                </w:p>
              </w:tc>
              <w:tc>
                <w:tcPr>
                  <w:tcW w:w="675" w:type="dxa"/>
                  <w:tcBorders>
                    <w:tl2br w:val="nil"/>
                    <w:tr2bl w:val="nil"/>
                  </w:tcBorders>
                  <w:noWrap w:val="0"/>
                  <w:vAlign w:val="center"/>
                </w:tcPr>
                <w:p w14:paraId="5D935AB3">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w:t>
                  </w:r>
                </w:p>
              </w:tc>
              <w:tc>
                <w:tcPr>
                  <w:tcW w:w="950" w:type="dxa"/>
                  <w:tcBorders>
                    <w:tl2br w:val="nil"/>
                    <w:tr2bl w:val="nil"/>
                  </w:tcBorders>
                  <w:noWrap w:val="0"/>
                  <w:vAlign w:val="center"/>
                </w:tcPr>
                <w:p w14:paraId="37B159FF">
                  <w:pPr>
                    <w:bidi w:val="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生活垃圾</w:t>
                  </w:r>
                </w:p>
              </w:tc>
              <w:tc>
                <w:tcPr>
                  <w:tcW w:w="1175" w:type="dxa"/>
                  <w:tcBorders>
                    <w:tl2br w:val="nil"/>
                    <w:tr2bl w:val="nil"/>
                  </w:tcBorders>
                  <w:noWrap w:val="0"/>
                  <w:vAlign w:val="center"/>
                </w:tcPr>
                <w:p w14:paraId="07D72A58">
                  <w:pPr>
                    <w:bidi w:val="0"/>
                    <w:jc w:val="center"/>
                    <w:rPr>
                      <w:rFonts w:hint="default" w:ascii="Times New Roman" w:hAnsi="Times New Roman" w:cs="Times New Roman"/>
                      <w:color w:val="auto"/>
                      <w:lang w:val="en-US" w:eastAsia="zh-CN"/>
                    </w:rPr>
                  </w:pPr>
                  <w:r>
                    <w:rPr>
                      <w:rFonts w:hint="eastAsia" w:cs="Times New Roman"/>
                      <w:color w:val="auto"/>
                      <w:lang w:val="en-US" w:eastAsia="zh-CN"/>
                    </w:rPr>
                    <w:t>900-099-S64</w:t>
                  </w:r>
                </w:p>
              </w:tc>
              <w:tc>
                <w:tcPr>
                  <w:tcW w:w="1835" w:type="dxa"/>
                  <w:tcBorders>
                    <w:tl2br w:val="nil"/>
                    <w:tr2bl w:val="nil"/>
                  </w:tcBorders>
                  <w:noWrap w:val="0"/>
                  <w:vAlign w:val="center"/>
                </w:tcPr>
                <w:p w14:paraId="1E673FCB">
                  <w:pPr>
                    <w:bidi w:val="0"/>
                    <w:jc w:val="center"/>
                    <w:rPr>
                      <w:rFonts w:hint="default" w:ascii="Times New Roman" w:hAnsi="Times New Roman" w:cs="Times New Roman"/>
                      <w:color w:val="auto"/>
                    </w:rPr>
                  </w:pPr>
                  <w:r>
                    <w:rPr>
                      <w:rFonts w:hint="default" w:ascii="Times New Roman" w:hAnsi="Times New Roman" w:cs="Times New Roman"/>
                      <w:color w:val="auto"/>
                      <w:lang w:eastAsia="zh-CN"/>
                    </w:rPr>
                    <w:t>收集后</w:t>
                  </w:r>
                  <w:r>
                    <w:rPr>
                      <w:rFonts w:hint="default" w:ascii="Times New Roman" w:hAnsi="Times New Roman" w:cs="Times New Roman"/>
                      <w:color w:val="auto"/>
                      <w:lang w:val="en-US" w:eastAsia="zh-CN"/>
                    </w:rPr>
                    <w:t>交由市政环卫部门统一处理</w:t>
                  </w:r>
                </w:p>
              </w:tc>
            </w:tr>
            <w:tr w14:paraId="1DFEF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63" w:type="dxa"/>
                  <w:gridSpan w:val="8"/>
                  <w:tcBorders>
                    <w:tl2br w:val="nil"/>
                    <w:tr2bl w:val="nil"/>
                  </w:tcBorders>
                  <w:noWrap w:val="0"/>
                  <w:vAlign w:val="center"/>
                </w:tcPr>
                <w:p w14:paraId="6DE53F26">
                  <w:pPr>
                    <w:bidi w:val="0"/>
                    <w:jc w:val="center"/>
                    <w:rPr>
                      <w:rFonts w:hint="default" w:ascii="Times New Roman" w:hAnsi="Times New Roman" w:cs="Times New Roman"/>
                      <w:color w:val="auto"/>
                      <w:lang w:eastAsia="zh-CN"/>
                    </w:rPr>
                  </w:pPr>
                  <w:r>
                    <w:rPr>
                      <w:rFonts w:hint="eastAsia" w:cs="Times New Roman"/>
                      <w:b/>
                      <w:bCs/>
                      <w:color w:val="auto"/>
                      <w:lang w:val="en-US" w:eastAsia="zh-CN"/>
                    </w:rPr>
                    <w:t>水泥</w:t>
                  </w:r>
                  <w:r>
                    <w:rPr>
                      <w:rFonts w:hint="default" w:ascii="Times New Roman" w:hAnsi="Times New Roman" w:cs="Times New Roman"/>
                      <w:b/>
                      <w:bCs/>
                      <w:color w:val="auto"/>
                      <w:lang w:eastAsia="zh-CN"/>
                    </w:rPr>
                    <w:t>混凝土生产线</w:t>
                  </w:r>
                </w:p>
              </w:tc>
            </w:tr>
            <w:tr w14:paraId="52842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dxa"/>
                  <w:tcBorders>
                    <w:tl2br w:val="nil"/>
                    <w:tr2bl w:val="nil"/>
                  </w:tcBorders>
                  <w:noWrap w:val="0"/>
                  <w:vAlign w:val="center"/>
                </w:tcPr>
                <w:p w14:paraId="47D8761B">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1177" w:type="dxa"/>
                  <w:tcBorders>
                    <w:tl2br w:val="nil"/>
                    <w:tr2bl w:val="nil"/>
                  </w:tcBorders>
                  <w:noWrap w:val="0"/>
                  <w:vAlign w:val="center"/>
                </w:tcPr>
                <w:p w14:paraId="55054BA8">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沉淀池沉渣（S</w:t>
                  </w:r>
                  <w:r>
                    <w:rPr>
                      <w:rFonts w:hint="default" w:ascii="Times New Roman" w:hAnsi="Times New Roman" w:cs="Times New Roman"/>
                      <w:color w:val="auto"/>
                      <w:vertAlign w:val="subscript"/>
                      <w:lang w:val="en-US" w:eastAsia="zh-CN"/>
                    </w:rPr>
                    <w:t>1-1</w:t>
                  </w:r>
                  <w:r>
                    <w:rPr>
                      <w:rFonts w:hint="default" w:ascii="Times New Roman" w:hAnsi="Times New Roman" w:cs="Times New Roman"/>
                      <w:color w:val="auto"/>
                      <w:lang w:val="en-US" w:eastAsia="zh-CN"/>
                    </w:rPr>
                    <w:t>）</w:t>
                  </w:r>
                </w:p>
              </w:tc>
              <w:tc>
                <w:tcPr>
                  <w:tcW w:w="706" w:type="dxa"/>
                  <w:tcBorders>
                    <w:tl2br w:val="nil"/>
                    <w:tr2bl w:val="nil"/>
                  </w:tcBorders>
                  <w:noWrap w:val="0"/>
                  <w:vAlign w:val="center"/>
                </w:tcPr>
                <w:p w14:paraId="0C0FA792">
                  <w:pPr>
                    <w:bidi w:val="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沉淀池沉淀</w:t>
                  </w:r>
                </w:p>
              </w:tc>
              <w:tc>
                <w:tcPr>
                  <w:tcW w:w="1033" w:type="dxa"/>
                  <w:tcBorders>
                    <w:tl2br w:val="nil"/>
                    <w:tr2bl w:val="nil"/>
                  </w:tcBorders>
                  <w:noWrap w:val="0"/>
                  <w:vAlign w:val="center"/>
                </w:tcPr>
                <w:p w14:paraId="06F8EC20">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3.0</w:t>
                  </w:r>
                </w:p>
              </w:tc>
              <w:tc>
                <w:tcPr>
                  <w:tcW w:w="675" w:type="dxa"/>
                  <w:tcBorders>
                    <w:tl2br w:val="nil"/>
                    <w:tr2bl w:val="nil"/>
                  </w:tcBorders>
                  <w:noWrap w:val="0"/>
                  <w:vAlign w:val="center"/>
                </w:tcPr>
                <w:p w14:paraId="4929273E">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w:t>
                  </w:r>
                </w:p>
              </w:tc>
              <w:tc>
                <w:tcPr>
                  <w:tcW w:w="950" w:type="dxa"/>
                  <w:vMerge w:val="restart"/>
                  <w:tcBorders>
                    <w:tl2br w:val="nil"/>
                    <w:tr2bl w:val="nil"/>
                  </w:tcBorders>
                  <w:noWrap w:val="0"/>
                  <w:vAlign w:val="center"/>
                </w:tcPr>
                <w:p w14:paraId="7885A260">
                  <w:pPr>
                    <w:bidi w:val="0"/>
                    <w:jc w:val="center"/>
                    <w:rPr>
                      <w:rFonts w:hint="default" w:ascii="Times New Roman" w:hAnsi="Times New Roman" w:cs="Times New Roman"/>
                      <w:color w:val="auto"/>
                    </w:rPr>
                  </w:pPr>
                  <w:r>
                    <w:rPr>
                      <w:rFonts w:hint="default" w:ascii="Times New Roman" w:hAnsi="Times New Roman" w:cs="Times New Roman"/>
                      <w:color w:val="auto"/>
                    </w:rPr>
                    <w:t>一般工业固体废物</w:t>
                  </w:r>
                </w:p>
              </w:tc>
              <w:tc>
                <w:tcPr>
                  <w:tcW w:w="1175" w:type="dxa"/>
                  <w:tcBorders>
                    <w:tl2br w:val="nil"/>
                    <w:tr2bl w:val="nil"/>
                  </w:tcBorders>
                  <w:noWrap w:val="0"/>
                  <w:vAlign w:val="center"/>
                </w:tcPr>
                <w:p w14:paraId="50823D8F">
                  <w:pPr>
                    <w:bidi w:val="0"/>
                    <w:jc w:val="center"/>
                    <w:rPr>
                      <w:rFonts w:hint="default" w:ascii="Times New Roman" w:hAnsi="Times New Roman" w:cs="Times New Roman"/>
                      <w:color w:val="auto"/>
                      <w:lang w:val="en-US" w:eastAsia="zh-CN"/>
                    </w:rPr>
                  </w:pPr>
                  <w:r>
                    <w:rPr>
                      <w:rFonts w:hint="eastAsia" w:cs="Times New Roman"/>
                      <w:color w:val="auto"/>
                      <w:lang w:val="en-US" w:eastAsia="zh-CN"/>
                    </w:rPr>
                    <w:t>900-099-S07</w:t>
                  </w:r>
                </w:p>
              </w:tc>
              <w:tc>
                <w:tcPr>
                  <w:tcW w:w="1835" w:type="dxa"/>
                  <w:vMerge w:val="restart"/>
                  <w:tcBorders>
                    <w:tl2br w:val="nil"/>
                    <w:tr2bl w:val="nil"/>
                  </w:tcBorders>
                  <w:noWrap w:val="0"/>
                  <w:vAlign w:val="center"/>
                </w:tcPr>
                <w:p w14:paraId="7F2E8AFB">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收集后回用于</w:t>
                  </w:r>
                </w:p>
                <w:p w14:paraId="291E2D70">
                  <w:pPr>
                    <w:bidi w:val="0"/>
                    <w:jc w:val="center"/>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生产</w:t>
                  </w:r>
                </w:p>
              </w:tc>
            </w:tr>
            <w:tr w14:paraId="6A221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dxa"/>
                  <w:tcBorders>
                    <w:tl2br w:val="nil"/>
                    <w:tr2bl w:val="nil"/>
                  </w:tcBorders>
                  <w:noWrap w:val="0"/>
                  <w:vAlign w:val="center"/>
                </w:tcPr>
                <w:p w14:paraId="43EA8057">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p>
              </w:tc>
              <w:tc>
                <w:tcPr>
                  <w:tcW w:w="1177" w:type="dxa"/>
                  <w:tcBorders>
                    <w:tl2br w:val="nil"/>
                    <w:tr2bl w:val="nil"/>
                  </w:tcBorders>
                  <w:noWrap w:val="0"/>
                  <w:vAlign w:val="center"/>
                </w:tcPr>
                <w:p w14:paraId="7EF9BD64">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除尘器收尘灰（S</w:t>
                  </w:r>
                  <w:r>
                    <w:rPr>
                      <w:rFonts w:hint="default" w:ascii="Times New Roman" w:hAnsi="Times New Roman" w:cs="Times New Roman"/>
                      <w:color w:val="auto"/>
                      <w:vertAlign w:val="subscript"/>
                      <w:lang w:val="en-US" w:eastAsia="zh-CN"/>
                    </w:rPr>
                    <w:t>1-2</w:t>
                  </w:r>
                  <w:r>
                    <w:rPr>
                      <w:rFonts w:hint="default" w:ascii="Times New Roman" w:hAnsi="Times New Roman" w:cs="Times New Roman"/>
                      <w:color w:val="auto"/>
                      <w:lang w:val="en-US" w:eastAsia="zh-CN"/>
                    </w:rPr>
                    <w:t>）</w:t>
                  </w:r>
                </w:p>
              </w:tc>
              <w:tc>
                <w:tcPr>
                  <w:tcW w:w="706" w:type="dxa"/>
                  <w:vMerge w:val="restart"/>
                  <w:tcBorders>
                    <w:tl2br w:val="nil"/>
                    <w:tr2bl w:val="nil"/>
                  </w:tcBorders>
                  <w:noWrap w:val="0"/>
                  <w:vAlign w:val="center"/>
                </w:tcPr>
                <w:p w14:paraId="31847108">
                  <w:pPr>
                    <w:bidi w:val="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生产加工</w:t>
                  </w:r>
                </w:p>
              </w:tc>
              <w:tc>
                <w:tcPr>
                  <w:tcW w:w="1033" w:type="dxa"/>
                  <w:tcBorders>
                    <w:tl2br w:val="nil"/>
                    <w:tr2bl w:val="nil"/>
                  </w:tcBorders>
                  <w:noWrap w:val="0"/>
                  <w:vAlign w:val="center"/>
                </w:tcPr>
                <w:p w14:paraId="40AA7A8D">
                  <w:pPr>
                    <w:bidi w:val="0"/>
                    <w:jc w:val="center"/>
                    <w:rPr>
                      <w:rFonts w:hint="default" w:ascii="Times New Roman" w:hAnsi="Times New Roman" w:cs="Times New Roman"/>
                      <w:color w:val="auto"/>
                      <w:lang w:val="en-US" w:eastAsia="zh-CN"/>
                    </w:rPr>
                  </w:pPr>
                  <w:r>
                    <w:rPr>
                      <w:rFonts w:hint="eastAsia" w:cs="Times New Roman"/>
                      <w:color w:val="auto"/>
                      <w:lang w:val="en-US" w:eastAsia="zh-CN"/>
                    </w:rPr>
                    <w:t>9.57</w:t>
                  </w:r>
                </w:p>
              </w:tc>
              <w:tc>
                <w:tcPr>
                  <w:tcW w:w="675" w:type="dxa"/>
                  <w:tcBorders>
                    <w:tl2br w:val="nil"/>
                    <w:tr2bl w:val="nil"/>
                  </w:tcBorders>
                  <w:noWrap w:val="0"/>
                  <w:vAlign w:val="center"/>
                </w:tcPr>
                <w:p w14:paraId="2585F34D">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w:t>
                  </w:r>
                </w:p>
              </w:tc>
              <w:tc>
                <w:tcPr>
                  <w:tcW w:w="950" w:type="dxa"/>
                  <w:vMerge w:val="continue"/>
                  <w:tcBorders>
                    <w:tl2br w:val="nil"/>
                    <w:tr2bl w:val="nil"/>
                  </w:tcBorders>
                  <w:noWrap w:val="0"/>
                  <w:vAlign w:val="center"/>
                </w:tcPr>
                <w:p w14:paraId="12AAA992">
                  <w:pPr>
                    <w:bidi w:val="0"/>
                    <w:jc w:val="center"/>
                    <w:rPr>
                      <w:rFonts w:hint="default" w:ascii="Times New Roman" w:hAnsi="Times New Roman" w:cs="Times New Roman"/>
                      <w:color w:val="auto"/>
                    </w:rPr>
                  </w:pPr>
                </w:p>
              </w:tc>
              <w:tc>
                <w:tcPr>
                  <w:tcW w:w="1175" w:type="dxa"/>
                  <w:tcBorders>
                    <w:tl2br w:val="nil"/>
                    <w:tr2bl w:val="nil"/>
                  </w:tcBorders>
                  <w:noWrap w:val="0"/>
                  <w:vAlign w:val="center"/>
                </w:tcPr>
                <w:p w14:paraId="709BD5E4">
                  <w:pPr>
                    <w:bidi w:val="0"/>
                    <w:jc w:val="center"/>
                    <w:rPr>
                      <w:rFonts w:hint="default" w:ascii="Times New Roman" w:hAnsi="Times New Roman" w:cs="Times New Roman"/>
                      <w:color w:val="auto"/>
                      <w:lang w:val="en-US" w:eastAsia="zh-CN"/>
                    </w:rPr>
                  </w:pPr>
                  <w:r>
                    <w:rPr>
                      <w:rFonts w:hint="eastAsia" w:cs="Times New Roman"/>
                      <w:color w:val="auto"/>
                      <w:lang w:val="en-US" w:eastAsia="zh-CN"/>
                    </w:rPr>
                    <w:t>900-099-S59</w:t>
                  </w:r>
                </w:p>
              </w:tc>
              <w:tc>
                <w:tcPr>
                  <w:tcW w:w="1835" w:type="dxa"/>
                  <w:vMerge w:val="continue"/>
                  <w:tcBorders>
                    <w:tl2br w:val="nil"/>
                    <w:tr2bl w:val="nil"/>
                  </w:tcBorders>
                  <w:noWrap w:val="0"/>
                  <w:vAlign w:val="center"/>
                </w:tcPr>
                <w:p w14:paraId="4CDD4F80">
                  <w:pPr>
                    <w:bidi w:val="0"/>
                    <w:jc w:val="center"/>
                    <w:rPr>
                      <w:rFonts w:hint="default" w:ascii="Times New Roman" w:hAnsi="Times New Roman" w:cs="Times New Roman"/>
                      <w:color w:val="auto"/>
                      <w:lang w:eastAsia="zh-CN"/>
                    </w:rPr>
                  </w:pPr>
                </w:p>
              </w:tc>
            </w:tr>
            <w:tr w14:paraId="3C6C0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dxa"/>
                  <w:tcBorders>
                    <w:tl2br w:val="nil"/>
                    <w:tr2bl w:val="nil"/>
                  </w:tcBorders>
                  <w:noWrap w:val="0"/>
                  <w:vAlign w:val="center"/>
                </w:tcPr>
                <w:p w14:paraId="37F77728">
                  <w:pPr>
                    <w:bidi w:val="0"/>
                    <w:jc w:val="center"/>
                    <w:rPr>
                      <w:rFonts w:hint="default" w:ascii="Times New Roman" w:hAnsi="Times New Roman" w:cs="Times New Roman"/>
                      <w:color w:val="auto"/>
                      <w:lang w:val="en-US" w:eastAsia="zh-CN"/>
                    </w:rPr>
                  </w:pPr>
                  <w:r>
                    <w:rPr>
                      <w:rFonts w:hint="eastAsia" w:cs="Times New Roman"/>
                      <w:color w:val="auto"/>
                      <w:lang w:val="en-US" w:eastAsia="zh-CN"/>
                    </w:rPr>
                    <w:t>3</w:t>
                  </w:r>
                </w:p>
              </w:tc>
              <w:tc>
                <w:tcPr>
                  <w:tcW w:w="1177" w:type="dxa"/>
                  <w:tcBorders>
                    <w:tl2br w:val="nil"/>
                    <w:tr2bl w:val="nil"/>
                  </w:tcBorders>
                  <w:noWrap w:val="0"/>
                  <w:vAlign w:val="center"/>
                </w:tcPr>
                <w:p w14:paraId="476F5E27">
                  <w:pPr>
                    <w:bidi w:val="0"/>
                    <w:jc w:val="center"/>
                    <w:rPr>
                      <w:rFonts w:hint="default" w:ascii="Times New Roman" w:hAnsi="Times New Roman" w:cs="Times New Roman"/>
                      <w:color w:val="auto"/>
                      <w:lang w:val="en-US" w:eastAsia="zh-CN"/>
                    </w:rPr>
                  </w:pPr>
                  <w:r>
                    <w:rPr>
                      <w:rFonts w:hint="eastAsia" w:cs="Times New Roman"/>
                      <w:color w:val="auto"/>
                      <w:lang w:val="en-US" w:eastAsia="zh-CN"/>
                    </w:rPr>
                    <w:t>洒水抑尘（</w:t>
                  </w:r>
                  <w:r>
                    <w:rPr>
                      <w:rFonts w:hint="default" w:ascii="Times New Roman" w:hAnsi="Times New Roman" w:cs="Times New Roman"/>
                      <w:color w:val="auto"/>
                      <w:lang w:val="en-US" w:eastAsia="zh-CN"/>
                    </w:rPr>
                    <w:t>S</w:t>
                  </w:r>
                  <w:r>
                    <w:rPr>
                      <w:rFonts w:hint="default" w:ascii="Times New Roman" w:hAnsi="Times New Roman" w:cs="Times New Roman"/>
                      <w:color w:val="auto"/>
                      <w:vertAlign w:val="subscript"/>
                      <w:lang w:val="en-US" w:eastAsia="zh-CN"/>
                    </w:rPr>
                    <w:t>1-</w:t>
                  </w:r>
                  <w:r>
                    <w:rPr>
                      <w:rFonts w:hint="eastAsia" w:cs="Times New Roman"/>
                      <w:color w:val="auto"/>
                      <w:vertAlign w:val="subscript"/>
                      <w:lang w:val="en-US" w:eastAsia="zh-CN"/>
                    </w:rPr>
                    <w:t>3</w:t>
                  </w:r>
                  <w:r>
                    <w:rPr>
                      <w:rFonts w:hint="eastAsia" w:cs="Times New Roman"/>
                      <w:color w:val="auto"/>
                      <w:lang w:val="en-US" w:eastAsia="zh-CN"/>
                    </w:rPr>
                    <w:t>）</w:t>
                  </w:r>
                </w:p>
              </w:tc>
              <w:tc>
                <w:tcPr>
                  <w:tcW w:w="706" w:type="dxa"/>
                  <w:vMerge w:val="continue"/>
                  <w:tcBorders>
                    <w:tl2br w:val="nil"/>
                    <w:tr2bl w:val="nil"/>
                  </w:tcBorders>
                  <w:noWrap w:val="0"/>
                  <w:vAlign w:val="center"/>
                </w:tcPr>
                <w:p w14:paraId="71421007">
                  <w:pPr>
                    <w:bidi w:val="0"/>
                    <w:jc w:val="center"/>
                    <w:rPr>
                      <w:rFonts w:hint="default" w:ascii="Times New Roman" w:hAnsi="Times New Roman" w:cs="Times New Roman"/>
                      <w:color w:val="auto"/>
                      <w:lang w:eastAsia="zh-CN"/>
                    </w:rPr>
                  </w:pPr>
                </w:p>
              </w:tc>
              <w:tc>
                <w:tcPr>
                  <w:tcW w:w="1033" w:type="dxa"/>
                  <w:tcBorders>
                    <w:tl2br w:val="nil"/>
                    <w:tr2bl w:val="nil"/>
                  </w:tcBorders>
                  <w:noWrap w:val="0"/>
                  <w:vAlign w:val="center"/>
                </w:tcPr>
                <w:p w14:paraId="3F1F5091">
                  <w:pPr>
                    <w:bidi w:val="0"/>
                    <w:jc w:val="center"/>
                    <w:rPr>
                      <w:rFonts w:hint="default" w:cs="Times New Roman"/>
                      <w:color w:val="auto"/>
                      <w:lang w:val="en-US" w:eastAsia="zh-CN"/>
                    </w:rPr>
                  </w:pPr>
                  <w:r>
                    <w:rPr>
                      <w:rFonts w:hint="eastAsia" w:cs="Times New Roman"/>
                      <w:color w:val="auto"/>
                      <w:lang w:val="en-US" w:eastAsia="zh-CN"/>
                    </w:rPr>
                    <w:t>68.15</w:t>
                  </w:r>
                </w:p>
              </w:tc>
              <w:tc>
                <w:tcPr>
                  <w:tcW w:w="675" w:type="dxa"/>
                  <w:tcBorders>
                    <w:tl2br w:val="nil"/>
                    <w:tr2bl w:val="nil"/>
                  </w:tcBorders>
                  <w:noWrap w:val="0"/>
                  <w:vAlign w:val="center"/>
                </w:tcPr>
                <w:p w14:paraId="5C5008D3">
                  <w:pPr>
                    <w:bidi w:val="0"/>
                    <w:jc w:val="center"/>
                    <w:rPr>
                      <w:rFonts w:hint="default" w:ascii="Times New Roman" w:hAnsi="Times New Roman" w:cs="Times New Roman"/>
                      <w:color w:val="auto"/>
                      <w:lang w:val="en-US" w:eastAsia="zh-CN"/>
                    </w:rPr>
                  </w:pPr>
                  <w:r>
                    <w:rPr>
                      <w:rFonts w:hint="eastAsia" w:cs="Times New Roman"/>
                      <w:color w:val="auto"/>
                      <w:lang w:val="en-US" w:eastAsia="zh-CN"/>
                    </w:rPr>
                    <w:t>0</w:t>
                  </w:r>
                </w:p>
              </w:tc>
              <w:tc>
                <w:tcPr>
                  <w:tcW w:w="950" w:type="dxa"/>
                  <w:vMerge w:val="continue"/>
                  <w:tcBorders>
                    <w:tl2br w:val="nil"/>
                    <w:tr2bl w:val="nil"/>
                  </w:tcBorders>
                  <w:noWrap w:val="0"/>
                  <w:vAlign w:val="center"/>
                </w:tcPr>
                <w:p w14:paraId="7C55D0B6">
                  <w:pPr>
                    <w:bidi w:val="0"/>
                    <w:jc w:val="center"/>
                    <w:rPr>
                      <w:rFonts w:hint="default" w:ascii="Times New Roman" w:hAnsi="Times New Roman" w:cs="Times New Roman"/>
                      <w:color w:val="auto"/>
                    </w:rPr>
                  </w:pPr>
                </w:p>
              </w:tc>
              <w:tc>
                <w:tcPr>
                  <w:tcW w:w="1175" w:type="dxa"/>
                  <w:tcBorders>
                    <w:tl2br w:val="nil"/>
                    <w:tr2bl w:val="nil"/>
                  </w:tcBorders>
                  <w:noWrap w:val="0"/>
                  <w:vAlign w:val="center"/>
                </w:tcPr>
                <w:p w14:paraId="110B7D5F">
                  <w:pPr>
                    <w:bidi w:val="0"/>
                    <w:jc w:val="center"/>
                    <w:rPr>
                      <w:rFonts w:hint="default" w:ascii="Times New Roman" w:hAnsi="Times New Roman" w:cs="Times New Roman"/>
                      <w:color w:val="auto"/>
                      <w:lang w:val="en-US" w:eastAsia="zh-CN"/>
                    </w:rPr>
                  </w:pPr>
                  <w:r>
                    <w:rPr>
                      <w:rFonts w:hint="eastAsia" w:cs="Times New Roman"/>
                      <w:color w:val="auto"/>
                      <w:lang w:val="en-US" w:eastAsia="zh-CN"/>
                    </w:rPr>
                    <w:t>900-099-S59</w:t>
                  </w:r>
                </w:p>
              </w:tc>
              <w:tc>
                <w:tcPr>
                  <w:tcW w:w="1835" w:type="dxa"/>
                  <w:vMerge w:val="continue"/>
                  <w:tcBorders>
                    <w:tl2br w:val="nil"/>
                    <w:tr2bl w:val="nil"/>
                  </w:tcBorders>
                  <w:noWrap w:val="0"/>
                  <w:vAlign w:val="center"/>
                </w:tcPr>
                <w:p w14:paraId="0CD9BFAC">
                  <w:pPr>
                    <w:bidi w:val="0"/>
                    <w:jc w:val="center"/>
                    <w:rPr>
                      <w:rFonts w:hint="default" w:ascii="Times New Roman" w:hAnsi="Times New Roman" w:cs="Times New Roman"/>
                      <w:color w:val="auto"/>
                      <w:lang w:val="en-US" w:eastAsia="zh-CN"/>
                    </w:rPr>
                  </w:pPr>
                </w:p>
              </w:tc>
            </w:tr>
          </w:tbl>
          <w:p w14:paraId="34F5EDD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⑷一般工业固体废物环境管理要求</w:t>
            </w:r>
          </w:p>
          <w:p w14:paraId="0F31B6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项目运营期一般固体废物执行《中华人民共和国固体废物污染环境防治法》（2020年4月29日修订）中工业固体废物相关要求。建设单位须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2AA646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lang w:val="en-US" w:eastAsia="zh-CN"/>
              </w:rPr>
              <w:t>5、地下水、土壤环境影响和保护措施</w:t>
            </w:r>
          </w:p>
          <w:p w14:paraId="19DB38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kern w:val="2"/>
                <w:sz w:val="24"/>
                <w:szCs w:val="24"/>
                <w:lang w:val="en-US" w:eastAsia="zh-CN" w:bidi="ar-SA"/>
              </w:rPr>
              <w:t>本项目对化粪池等采取一般防渗，等效黏土防渗层Mb≥1.5m，K≤1×10</w:t>
            </w:r>
            <w:r>
              <w:rPr>
                <w:rFonts w:hint="default" w:ascii="Times New Roman" w:hAnsi="Times New Roman" w:eastAsia="仿宋_GB2312" w:cs="Times New Roman"/>
                <w:color w:val="auto"/>
                <w:kern w:val="2"/>
                <w:sz w:val="24"/>
                <w:szCs w:val="24"/>
                <w:vertAlign w:val="superscript"/>
                <w:lang w:val="en-US" w:eastAsia="zh-CN" w:bidi="ar-SA"/>
              </w:rPr>
              <w:t>-7</w:t>
            </w:r>
            <w:r>
              <w:rPr>
                <w:rFonts w:hint="default" w:ascii="Times New Roman" w:hAnsi="Times New Roman" w:eastAsia="仿宋_GB2312" w:cs="Times New Roman"/>
                <w:color w:val="auto"/>
                <w:kern w:val="2"/>
                <w:sz w:val="24"/>
                <w:szCs w:val="24"/>
                <w:lang w:val="en-US" w:eastAsia="zh-CN" w:bidi="ar-SA"/>
              </w:rPr>
              <w:t>cm/s；对办公、生活区、厂区道路及厂区内其他区域进行简单防渗，采取一般地面硬化处理。</w:t>
            </w:r>
          </w:p>
          <w:p w14:paraId="7967CD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color w:val="auto"/>
                <w:sz w:val="24"/>
                <w:szCs w:val="24"/>
                <w:lang w:val="en-US" w:eastAsia="zh-CN"/>
              </w:rPr>
              <w:t>依据《建设项目环境影响报告表编制技术指南（污染影响类）》（试行）中要求，本项目生产区域及储存区域均拟做好基础防渗措施，</w:t>
            </w:r>
            <w:r>
              <w:rPr>
                <w:rFonts w:hint="eastAsia" w:eastAsia="仿宋_GB2312" w:cs="Times New Roman"/>
                <w:color w:val="auto"/>
                <w:sz w:val="24"/>
                <w:szCs w:val="24"/>
                <w:lang w:val="en-US" w:eastAsia="zh-CN"/>
              </w:rPr>
              <w:t>防止</w:t>
            </w:r>
            <w:r>
              <w:rPr>
                <w:rFonts w:hint="default" w:ascii="Times New Roman" w:hAnsi="Times New Roman" w:eastAsia="仿宋_GB2312" w:cs="Times New Roman"/>
                <w:color w:val="auto"/>
                <w:sz w:val="24"/>
                <w:szCs w:val="24"/>
                <w:lang w:val="en-US" w:eastAsia="zh-CN"/>
              </w:rPr>
              <w:t>对土壤、地下水造成污染</w:t>
            </w:r>
            <w:r>
              <w:rPr>
                <w:rFonts w:hint="default" w:ascii="Times New Roman" w:hAnsi="Times New Roman" w:eastAsia="仿宋_GB2312" w:cs="Times New Roman"/>
                <w:color w:val="auto"/>
                <w:kern w:val="2"/>
                <w:sz w:val="24"/>
                <w:szCs w:val="24"/>
                <w:lang w:val="en-US" w:eastAsia="zh-CN" w:bidi="ar-SA"/>
              </w:rPr>
              <w:t>。</w:t>
            </w:r>
          </w:p>
          <w:p w14:paraId="5BEC899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ascii="Times New Roman" w:hAnsi="Times New Roman" w:eastAsia="仿宋_GB2312" w:cs="Times New Roman"/>
                <w:b/>
                <w:bCs w:val="0"/>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6、环境风险分析与保护措施</w:t>
            </w:r>
          </w:p>
          <w:p w14:paraId="4350F8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本项目为临时工程，运营期为1年，车辆检修依托周边维修站，且项目运营期较短，若需进行设备检修，其产生的废机油由厂家更换回收，不在厂区贮存，因此本项目不涉及危险废物，无环境风险物质。</w:t>
            </w:r>
          </w:p>
          <w:p w14:paraId="58ECE23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ascii="Times New Roman" w:hAnsi="Times New Roman" w:eastAsia="仿宋_GB2312" w:cs="Times New Roman"/>
                <w:b/>
                <w:bCs w:val="0"/>
                <w:color w:val="auto"/>
                <w:sz w:val="24"/>
                <w:szCs w:val="24"/>
                <w:highlight w:val="none"/>
                <w:lang w:val="en-US" w:eastAsia="zh-CN"/>
              </w:rPr>
            </w:pPr>
            <w:r>
              <w:rPr>
                <w:rFonts w:hint="eastAsia" w:ascii="Times New Roman" w:hAnsi="Times New Roman" w:eastAsia="仿宋_GB2312" w:cs="Times New Roman"/>
                <w:b/>
                <w:bCs w:val="0"/>
                <w:color w:val="auto"/>
                <w:sz w:val="24"/>
                <w:szCs w:val="24"/>
                <w:highlight w:val="none"/>
                <w:lang w:val="en-US" w:eastAsia="zh-CN"/>
              </w:rPr>
              <w:t>7.拆除阶段</w:t>
            </w:r>
            <w:r>
              <w:rPr>
                <w:rFonts w:hint="default" w:ascii="Times New Roman" w:hAnsi="Times New Roman" w:eastAsia="仿宋_GB2312" w:cs="Times New Roman"/>
                <w:b/>
                <w:bCs w:val="0"/>
                <w:color w:val="auto"/>
                <w:sz w:val="24"/>
                <w:szCs w:val="24"/>
                <w:highlight w:val="none"/>
                <w:lang w:val="en-US" w:eastAsia="zh-CN"/>
              </w:rPr>
              <w:t>大气环境影响防治措施</w:t>
            </w:r>
          </w:p>
          <w:p w14:paraId="5D2269DC">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482" w:firstLineChars="200"/>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（1）</w:t>
            </w:r>
            <w:r>
              <w:rPr>
                <w:rFonts w:hint="eastAsia" w:ascii="Times New Roman" w:hAnsi="Times New Roman" w:eastAsia="宋体" w:cs="Times New Roman"/>
                <w:b/>
                <w:bCs/>
                <w:color w:val="auto"/>
                <w:sz w:val="24"/>
                <w:szCs w:val="24"/>
                <w:lang w:val="en-US" w:eastAsia="zh-CN"/>
              </w:rPr>
              <w:t>拆除阶段</w:t>
            </w:r>
            <w:r>
              <w:rPr>
                <w:rFonts w:hint="default" w:ascii="Times New Roman" w:hAnsi="Times New Roman" w:eastAsia="宋体" w:cs="Times New Roman"/>
                <w:b/>
                <w:bCs/>
                <w:color w:val="auto"/>
                <w:sz w:val="24"/>
                <w:szCs w:val="24"/>
              </w:rPr>
              <w:t>大气环境影响防治措施</w:t>
            </w:r>
          </w:p>
          <w:p w14:paraId="6DC299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拆除阶段</w:t>
            </w:r>
            <w:r>
              <w:rPr>
                <w:rFonts w:hint="default" w:ascii="Times New Roman" w:hAnsi="Times New Roman" w:eastAsia="仿宋_GB2312" w:cs="Times New Roman"/>
                <w:color w:val="auto"/>
                <w:sz w:val="24"/>
                <w:szCs w:val="24"/>
              </w:rPr>
              <w:t>大气环境影响</w:t>
            </w:r>
            <w:r>
              <w:rPr>
                <w:rFonts w:hint="default" w:ascii="Times New Roman" w:hAnsi="Times New Roman" w:eastAsia="仿宋_GB2312" w:cs="Times New Roman"/>
                <w:color w:val="auto"/>
                <w:sz w:val="24"/>
                <w:szCs w:val="24"/>
                <w:lang w:eastAsia="zh-CN"/>
              </w:rPr>
              <w:t>主要包括扬尘及车辆废气污染。</w:t>
            </w:r>
          </w:p>
          <w:p w14:paraId="4C193A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w:t>
            </w:r>
            <w:r>
              <w:rPr>
                <w:rFonts w:hint="default" w:ascii="Times New Roman" w:hAnsi="Times New Roman" w:eastAsia="仿宋_GB2312" w:cs="Times New Roman"/>
                <w:color w:val="auto"/>
                <w:sz w:val="24"/>
                <w:szCs w:val="24"/>
                <w:lang w:val="en-US" w:eastAsia="zh-CN"/>
              </w:rPr>
              <w:t>拆除阶段</w:t>
            </w:r>
            <w:r>
              <w:rPr>
                <w:rFonts w:hint="default" w:ascii="Times New Roman" w:hAnsi="Times New Roman" w:eastAsia="仿宋_GB2312" w:cs="Times New Roman"/>
                <w:color w:val="auto"/>
                <w:sz w:val="24"/>
                <w:szCs w:val="24"/>
              </w:rPr>
              <w:t>扬尘主要来源于</w:t>
            </w:r>
            <w:r>
              <w:rPr>
                <w:rFonts w:hint="default" w:ascii="Times New Roman" w:hAnsi="Times New Roman" w:eastAsia="仿宋_GB2312" w:cs="Times New Roman"/>
                <w:color w:val="auto"/>
                <w:sz w:val="24"/>
                <w:szCs w:val="24"/>
                <w:lang w:val="en-US" w:eastAsia="zh-CN"/>
              </w:rPr>
              <w:t>项目驻地、实验室地坪拆除过程和场地清理过程，</w:t>
            </w:r>
            <w:r>
              <w:rPr>
                <w:rFonts w:hint="default" w:ascii="Times New Roman" w:hAnsi="Times New Roman" w:eastAsia="仿宋_GB2312" w:cs="Times New Roman"/>
                <w:color w:val="auto"/>
                <w:sz w:val="24"/>
                <w:szCs w:val="24"/>
              </w:rPr>
              <w:t>建筑</w:t>
            </w:r>
            <w:r>
              <w:rPr>
                <w:rFonts w:hint="default" w:ascii="Times New Roman" w:hAnsi="Times New Roman" w:eastAsia="仿宋_GB2312" w:cs="Times New Roman"/>
                <w:color w:val="auto"/>
                <w:sz w:val="24"/>
                <w:szCs w:val="24"/>
                <w:lang w:val="en-US" w:eastAsia="zh-CN"/>
              </w:rPr>
              <w:t>垃圾</w:t>
            </w:r>
            <w:r>
              <w:rPr>
                <w:rFonts w:hint="default" w:ascii="Times New Roman" w:hAnsi="Times New Roman" w:eastAsia="仿宋_GB2312" w:cs="Times New Roman"/>
                <w:color w:val="auto"/>
                <w:sz w:val="24"/>
                <w:szCs w:val="24"/>
              </w:rPr>
              <w:t>等装卸、运输、堆放</w:t>
            </w:r>
            <w:r>
              <w:rPr>
                <w:rFonts w:hint="default" w:ascii="Times New Roman" w:hAnsi="Times New Roman" w:eastAsia="仿宋_GB2312" w:cs="Times New Roman"/>
                <w:color w:val="auto"/>
                <w:sz w:val="24"/>
                <w:szCs w:val="24"/>
                <w:lang w:eastAsia="zh-CN"/>
              </w:rPr>
              <w:t>以及</w:t>
            </w:r>
            <w:r>
              <w:rPr>
                <w:rFonts w:hint="default" w:ascii="Times New Roman" w:hAnsi="Times New Roman" w:eastAsia="仿宋_GB2312" w:cs="Times New Roman"/>
                <w:color w:val="auto"/>
                <w:sz w:val="24"/>
                <w:szCs w:val="24"/>
              </w:rPr>
              <w:t>运输车辆往来造成地面扬尘；</w:t>
            </w:r>
            <w:r>
              <w:rPr>
                <w:rFonts w:hint="default" w:ascii="Times New Roman" w:hAnsi="Times New Roman" w:eastAsia="仿宋_GB2312" w:cs="Times New Roman"/>
                <w:color w:val="auto"/>
                <w:sz w:val="24"/>
                <w:szCs w:val="24"/>
                <w:lang w:val="en-US" w:eastAsia="zh-CN"/>
              </w:rPr>
              <w:t>拆除</w:t>
            </w:r>
            <w:r>
              <w:rPr>
                <w:rFonts w:hint="default" w:ascii="Times New Roman" w:hAnsi="Times New Roman" w:eastAsia="仿宋_GB2312" w:cs="Times New Roman"/>
                <w:color w:val="auto"/>
                <w:sz w:val="24"/>
                <w:szCs w:val="24"/>
              </w:rPr>
              <w:t>垃圾堆放及清运过程中产生扬尘。</w:t>
            </w:r>
            <w:r>
              <w:rPr>
                <w:rFonts w:hint="default" w:ascii="Times New Roman" w:hAnsi="Times New Roman" w:eastAsia="仿宋_GB2312" w:cs="Times New Roman"/>
                <w:color w:val="auto"/>
                <w:sz w:val="24"/>
                <w:szCs w:val="24"/>
                <w:lang w:eastAsia="zh-CN"/>
              </w:rPr>
              <w:t>因此</w:t>
            </w:r>
            <w:r>
              <w:rPr>
                <w:rFonts w:hint="default" w:ascii="Times New Roman" w:hAnsi="Times New Roman" w:eastAsia="仿宋_GB2312" w:cs="Times New Roman"/>
                <w:color w:val="auto"/>
                <w:sz w:val="24"/>
                <w:szCs w:val="24"/>
              </w:rPr>
              <w:t>须采取合理可行的控制措施减轻</w:t>
            </w:r>
            <w:r>
              <w:rPr>
                <w:rFonts w:hint="default" w:ascii="Times New Roman" w:hAnsi="Times New Roman" w:eastAsia="仿宋_GB2312" w:cs="Times New Roman"/>
                <w:color w:val="auto"/>
                <w:sz w:val="24"/>
                <w:szCs w:val="24"/>
                <w:lang w:eastAsia="zh-CN"/>
              </w:rPr>
              <w:t>扬尘</w:t>
            </w:r>
            <w:r>
              <w:rPr>
                <w:rFonts w:hint="default" w:ascii="Times New Roman" w:hAnsi="Times New Roman" w:eastAsia="仿宋_GB2312" w:cs="Times New Roman"/>
                <w:color w:val="auto"/>
                <w:sz w:val="24"/>
                <w:szCs w:val="24"/>
              </w:rPr>
              <w:t>污染。同时，为减少施工扬尘，施工时须满足《关于进一步加强施工工地和道路扬尘管控工作的通知》（建办质[2019]23号）、《宁夏回族自治区大气污染防治条例》相关要求，采取“六个百分百”防尘措施：做到施工工地100%落实围挡，施工现场地面100%硬化，出入口100%设置冲洗设施，驶出车辆100%冲洗，沙石渣土车辆100%遮盖，施工区域裸露空地堆场100%遮盖防尘网或喷洒抑尘剂，施工作业避开大风天气等措施。本项目施工期扬尘采取的主要防治措施有：</w:t>
            </w:r>
          </w:p>
          <w:p w14:paraId="0B744E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①运输粉状物料等易产生扬尘污染的车辆，装载高度不得超过车辆护栏，并采取遮盖措施，减少沿途抛洒，易产生扬尘的路段车辆应慢速行驶，保持车辆进出现场出入口路面清洁、湿润，同时在车辆出入口竖立减速标牌，限制行车速度；</w:t>
            </w:r>
          </w:p>
          <w:p w14:paraId="26DEFC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②出口处铺装道路上可见粘带泥土长度不得超过10m，工地出口处配备运输车辆轮胎冲洗台，运输车辆出场前对轮胎进行冲洗，合理安排车辆运输时间和运输路线，不得带泥上路，污染路面应及时清扫冲洗；</w:t>
            </w:r>
          </w:p>
          <w:p w14:paraId="45A3EA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③当风速过大时，停止</w:t>
            </w:r>
            <w:r>
              <w:rPr>
                <w:rFonts w:hint="default" w:ascii="Times New Roman" w:hAnsi="Times New Roman" w:eastAsia="仿宋_GB2312" w:cs="Times New Roman"/>
                <w:color w:val="auto"/>
                <w:sz w:val="24"/>
                <w:szCs w:val="24"/>
                <w:lang w:val="en-US" w:eastAsia="zh-CN"/>
              </w:rPr>
              <w:t>拆除</w:t>
            </w:r>
            <w:r>
              <w:rPr>
                <w:rFonts w:hint="default" w:ascii="Times New Roman" w:hAnsi="Times New Roman" w:eastAsia="仿宋_GB2312" w:cs="Times New Roman"/>
                <w:color w:val="auto"/>
                <w:sz w:val="24"/>
                <w:szCs w:val="24"/>
              </w:rPr>
              <w:t>作业，并进行洒水抑尘，对堆存易产生扬尘的</w:t>
            </w:r>
            <w:r>
              <w:rPr>
                <w:rFonts w:hint="default" w:ascii="Times New Roman" w:hAnsi="Times New Roman" w:eastAsia="仿宋_GB2312" w:cs="Times New Roman"/>
                <w:color w:val="auto"/>
                <w:sz w:val="24"/>
                <w:szCs w:val="24"/>
                <w:lang w:val="en-US" w:eastAsia="zh-CN"/>
              </w:rPr>
              <w:t>区域</w:t>
            </w:r>
            <w:r>
              <w:rPr>
                <w:rFonts w:hint="default" w:ascii="Times New Roman" w:hAnsi="Times New Roman" w:eastAsia="仿宋_GB2312" w:cs="Times New Roman"/>
                <w:color w:val="auto"/>
                <w:sz w:val="24"/>
                <w:szCs w:val="24"/>
              </w:rPr>
              <w:t>采取遮盖措施</w:t>
            </w:r>
            <w:r>
              <w:rPr>
                <w:rFonts w:hint="default" w:ascii="Times New Roman" w:hAnsi="Times New Roman" w:eastAsia="仿宋_GB2312" w:cs="Times New Roman"/>
                <w:color w:val="auto"/>
                <w:sz w:val="24"/>
                <w:szCs w:val="24"/>
                <w:lang w:eastAsia="zh-CN"/>
              </w:rPr>
              <w:t>。</w:t>
            </w:r>
          </w:p>
          <w:p w14:paraId="0F6C24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同时，</w:t>
            </w:r>
            <w:r>
              <w:rPr>
                <w:rFonts w:hint="default" w:ascii="Times New Roman" w:hAnsi="Times New Roman" w:eastAsia="仿宋_GB2312" w:cs="Times New Roman"/>
                <w:color w:val="auto"/>
                <w:sz w:val="24"/>
                <w:szCs w:val="24"/>
              </w:rPr>
              <w:t>选用低能耗、低污染排放的运输车辆；注意车辆维修保养，减少</w:t>
            </w:r>
            <w:r>
              <w:rPr>
                <w:rFonts w:hint="default" w:ascii="Times New Roman" w:hAnsi="Times New Roman" w:eastAsia="仿宋_GB2312" w:cs="Times New Roman"/>
                <w:color w:val="auto"/>
                <w:sz w:val="24"/>
                <w:szCs w:val="24"/>
                <w:lang w:eastAsia="zh-CN"/>
              </w:rPr>
              <w:t>运输车辆废气造成的</w:t>
            </w:r>
            <w:r>
              <w:rPr>
                <w:rFonts w:hint="default" w:ascii="Times New Roman" w:hAnsi="Times New Roman" w:eastAsia="仿宋_GB2312" w:cs="Times New Roman"/>
                <w:color w:val="auto"/>
                <w:sz w:val="24"/>
                <w:szCs w:val="24"/>
              </w:rPr>
              <w:t>空气污染。</w:t>
            </w:r>
          </w:p>
          <w:p w14:paraId="0E0E29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项目对</w:t>
            </w:r>
            <w:r>
              <w:rPr>
                <w:rFonts w:hint="default" w:ascii="Times New Roman" w:hAnsi="Times New Roman" w:eastAsia="仿宋_GB2312" w:cs="Times New Roman"/>
                <w:color w:val="auto"/>
                <w:sz w:val="24"/>
                <w:szCs w:val="24"/>
                <w:lang w:val="en-US" w:eastAsia="zh-CN"/>
              </w:rPr>
              <w:t>拆除阶段</w:t>
            </w:r>
            <w:r>
              <w:rPr>
                <w:rFonts w:hint="default" w:ascii="Times New Roman" w:hAnsi="Times New Roman" w:eastAsia="仿宋_GB2312" w:cs="Times New Roman"/>
                <w:color w:val="auto"/>
                <w:sz w:val="24"/>
                <w:szCs w:val="24"/>
              </w:rPr>
              <w:t>废气严格采取上述防治措施后，可得到有效控制，对环境影响较小。</w:t>
            </w:r>
          </w:p>
          <w:p w14:paraId="54D50D03">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default" w:cs="Times New Roman"/>
                <w:b/>
                <w:bCs/>
                <w:color w:val="auto"/>
                <w:sz w:val="24"/>
                <w:szCs w:val="24"/>
                <w:lang w:val="en-US" w:eastAsia="zh-CN"/>
              </w:rPr>
            </w:pPr>
            <w:r>
              <w:rPr>
                <w:rFonts w:hint="eastAsia" w:cs="Times New Roman"/>
                <w:b/>
                <w:bCs/>
                <w:color w:val="auto"/>
                <w:sz w:val="24"/>
                <w:szCs w:val="24"/>
                <w:lang w:val="en-US" w:eastAsia="zh-CN"/>
              </w:rPr>
              <w:t>（2）拆除阶段</w:t>
            </w:r>
            <w:r>
              <w:rPr>
                <w:rFonts w:hint="default" w:cs="Times New Roman"/>
                <w:b/>
                <w:bCs/>
                <w:color w:val="auto"/>
                <w:sz w:val="24"/>
                <w:szCs w:val="24"/>
                <w:lang w:val="en-US" w:eastAsia="zh-CN"/>
              </w:rPr>
              <w:t>水环境影响防治措施</w:t>
            </w:r>
          </w:p>
          <w:p w14:paraId="1746F7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本项目</w:t>
            </w:r>
            <w:r>
              <w:rPr>
                <w:rFonts w:hint="default" w:ascii="Times New Roman" w:hAnsi="Times New Roman" w:eastAsia="仿宋_GB2312" w:cs="Times New Roman"/>
                <w:color w:val="auto"/>
                <w:sz w:val="24"/>
                <w:szCs w:val="24"/>
                <w:lang w:val="en-US" w:eastAsia="zh-CN"/>
              </w:rPr>
              <w:t>拆除阶段施工人员不在厂区居住，不产生生活污水。</w:t>
            </w:r>
          </w:p>
          <w:p w14:paraId="6A05500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default" w:cs="Times New Roman"/>
                <w:b/>
                <w:bCs/>
                <w:color w:val="auto"/>
                <w:sz w:val="24"/>
                <w:szCs w:val="24"/>
                <w:lang w:val="en-US" w:eastAsia="zh-CN"/>
              </w:rPr>
            </w:pPr>
            <w:r>
              <w:rPr>
                <w:rFonts w:hint="eastAsia" w:cs="Times New Roman"/>
                <w:b/>
                <w:bCs/>
                <w:color w:val="auto"/>
                <w:sz w:val="24"/>
                <w:szCs w:val="24"/>
                <w:lang w:val="en-US" w:eastAsia="zh-CN"/>
              </w:rPr>
              <w:t>（3）拆除阶段</w:t>
            </w:r>
            <w:r>
              <w:rPr>
                <w:rFonts w:hint="default" w:cs="Times New Roman"/>
                <w:b/>
                <w:bCs/>
                <w:color w:val="auto"/>
                <w:sz w:val="24"/>
                <w:szCs w:val="24"/>
                <w:lang w:val="en-US" w:eastAsia="zh-CN"/>
              </w:rPr>
              <w:t>固体废物环境影响防治措施</w:t>
            </w:r>
          </w:p>
          <w:p w14:paraId="104A3E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拆除阶段</w:t>
            </w:r>
            <w:r>
              <w:rPr>
                <w:rFonts w:hint="default" w:ascii="Times New Roman" w:hAnsi="Times New Roman" w:eastAsia="仿宋_GB2312" w:cs="Times New Roman"/>
                <w:color w:val="auto"/>
                <w:sz w:val="24"/>
                <w:szCs w:val="24"/>
              </w:rPr>
              <w:t>产生的固体废物主要为</w:t>
            </w:r>
            <w:r>
              <w:rPr>
                <w:rFonts w:hint="default" w:ascii="Times New Roman" w:hAnsi="Times New Roman" w:eastAsia="仿宋_GB2312" w:cs="Times New Roman"/>
                <w:color w:val="auto"/>
                <w:sz w:val="24"/>
                <w:szCs w:val="24"/>
                <w:lang w:val="en-US" w:eastAsia="zh-CN"/>
              </w:rPr>
              <w:t>拆除阶段</w:t>
            </w:r>
            <w:r>
              <w:rPr>
                <w:rFonts w:hint="default" w:ascii="Times New Roman" w:hAnsi="Times New Roman" w:eastAsia="仿宋_GB2312" w:cs="Times New Roman"/>
                <w:color w:val="auto"/>
                <w:sz w:val="24"/>
                <w:szCs w:val="24"/>
                <w:lang w:eastAsia="zh-CN"/>
              </w:rPr>
              <w:t>产生的固体废物主要</w:t>
            </w:r>
            <w:r>
              <w:rPr>
                <w:rFonts w:hint="default" w:ascii="Times New Roman" w:hAnsi="Times New Roman" w:eastAsia="仿宋_GB2312" w:cs="Times New Roman"/>
                <w:color w:val="auto"/>
                <w:sz w:val="24"/>
                <w:szCs w:val="24"/>
                <w:lang w:val="en-US" w:eastAsia="zh-CN"/>
              </w:rPr>
              <w:t>为项目区硬化地面及建筑垃圾、铺设的砂石以及生活垃圾。硬化地面及建筑垃圾清运至中卫市政府指定的建筑垃圾填埋场，铺设的砂石全部挖装、拉运至高泉石料厂，不在厂区破碎、筛分，</w:t>
            </w:r>
            <w:r>
              <w:rPr>
                <w:rFonts w:hint="default" w:ascii="Times New Roman" w:hAnsi="Times New Roman" w:eastAsia="仿宋_GB2312" w:cs="Times New Roman"/>
                <w:color w:val="auto"/>
                <w:sz w:val="24"/>
                <w:szCs w:val="24"/>
                <w:lang w:eastAsia="zh-CN"/>
              </w:rPr>
              <w:t>施工现场设置2个垃圾桶收集生活垃圾，</w:t>
            </w:r>
            <w:r>
              <w:rPr>
                <w:rFonts w:hint="default" w:ascii="Times New Roman" w:hAnsi="Times New Roman" w:eastAsia="仿宋_GB2312" w:cs="Times New Roman"/>
                <w:color w:val="auto"/>
                <w:sz w:val="24"/>
                <w:szCs w:val="24"/>
                <w:lang w:val="en-US" w:eastAsia="zh-CN"/>
              </w:rPr>
              <w:t>集中收集后交由当地环卫部门处理</w:t>
            </w:r>
            <w:r>
              <w:rPr>
                <w:rFonts w:hint="default" w:ascii="Times New Roman" w:hAnsi="Times New Roman" w:eastAsia="仿宋_GB2312" w:cs="Times New Roman"/>
                <w:color w:val="auto"/>
                <w:sz w:val="24"/>
                <w:szCs w:val="24"/>
                <w:lang w:eastAsia="zh-CN"/>
              </w:rPr>
              <w:t>。</w:t>
            </w:r>
          </w:p>
          <w:p w14:paraId="6A844081">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（4）</w:t>
            </w:r>
            <w:r>
              <w:rPr>
                <w:rFonts w:hint="eastAsia" w:ascii="Times New Roman" w:hAnsi="Times New Roman" w:eastAsia="宋体" w:cs="Times New Roman"/>
                <w:b/>
                <w:bCs/>
                <w:color w:val="auto"/>
                <w:sz w:val="24"/>
                <w:szCs w:val="24"/>
                <w:lang w:val="en-US" w:eastAsia="zh-CN"/>
              </w:rPr>
              <w:t>拆除阶段</w:t>
            </w:r>
            <w:r>
              <w:rPr>
                <w:rFonts w:hint="default" w:ascii="Times New Roman" w:hAnsi="Times New Roman" w:eastAsia="宋体" w:cs="Times New Roman"/>
                <w:b/>
                <w:bCs/>
                <w:color w:val="auto"/>
                <w:sz w:val="24"/>
                <w:szCs w:val="24"/>
              </w:rPr>
              <w:t>声环境影响防治措施</w:t>
            </w:r>
          </w:p>
          <w:p w14:paraId="7D0593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本项目拆除阶段噪声源主要为施工机械以及运输车辆等，产生的噪声源强在85-95dB（A）之间。采取以下噪声防治措施：</w:t>
            </w:r>
          </w:p>
          <w:p w14:paraId="6CDEB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①优先选用低噪声施工机械，合理安排施工时间；</w:t>
            </w:r>
          </w:p>
          <w:p w14:paraId="39B429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②同一施工地点应避免安排大量动力机械设备，以免局部累积声级过高；</w:t>
            </w:r>
          </w:p>
          <w:p w14:paraId="1A7947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③固定施工机械设备可通过安装排气管消声器和隔离发动机振动部件的方法降低噪声；对动力机械设备进行定期的维修、养护，设备用完或不用应立即关闭；</w:t>
            </w:r>
          </w:p>
          <w:p w14:paraId="78ABA1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④加强管理，文明施工，建筑器械、材料轻拿轻放，尽量减少人为噪声。</w:t>
            </w:r>
          </w:p>
          <w:p w14:paraId="4F2BB891">
            <w:pPr>
              <w:pStyle w:val="59"/>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baseline"/>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采取以上措施后，施工期各类机械设备产生的噪声对周围环境影响较小。</w:t>
            </w:r>
          </w:p>
          <w:p w14:paraId="204125CC">
            <w:pPr>
              <w:pStyle w:val="59"/>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baseline"/>
              <w:rPr>
                <w:rFonts w:hint="default" w:ascii="Times New Roman" w:hAnsi="Times New Roman" w:cs="Times New Roman"/>
                <w:color w:val="auto"/>
                <w:highlight w:val="none"/>
                <w:lang w:eastAsia="zh-CN"/>
              </w:rPr>
            </w:pPr>
            <w:r>
              <w:rPr>
                <w:rFonts w:hint="eastAsia"/>
                <w:lang w:val="en-US" w:eastAsia="zh-CN"/>
              </w:rPr>
              <w:t>8.</w:t>
            </w:r>
            <w:r>
              <w:rPr>
                <w:rFonts w:hint="default"/>
                <w:lang w:val="en-US" w:eastAsia="zh-CN"/>
              </w:rPr>
              <w:t>服务期满后场地恢复</w:t>
            </w:r>
          </w:p>
          <w:p w14:paraId="0BD922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项目占地范围土地类型为</w:t>
            </w:r>
            <w:r>
              <w:rPr>
                <w:rFonts w:hint="default" w:ascii="Times New Roman" w:hAnsi="Times New Roman" w:eastAsia="仿宋_GB2312" w:cs="Times New Roman"/>
                <w:color w:val="auto"/>
                <w:sz w:val="24"/>
                <w:szCs w:val="24"/>
                <w:lang w:val="en-US" w:eastAsia="zh-CN"/>
              </w:rPr>
              <w:t>采矿用地，项目已取得临时用地手续</w:t>
            </w:r>
            <w:r>
              <w:rPr>
                <w:rFonts w:hint="default" w:ascii="Times New Roman" w:hAnsi="Times New Roman" w:eastAsia="仿宋_GB2312" w:cs="Times New Roman"/>
                <w:color w:val="auto"/>
                <w:sz w:val="24"/>
                <w:szCs w:val="24"/>
                <w:lang w:eastAsia="zh-CN"/>
              </w:rPr>
              <w:t>，具体占地面积见表</w:t>
            </w:r>
            <w:r>
              <w:rPr>
                <w:rFonts w:hint="default" w:ascii="Times New Roman" w:hAnsi="Times New Roman" w:eastAsia="仿宋_GB2312" w:cs="Times New Roman"/>
                <w:color w:val="auto"/>
                <w:sz w:val="24"/>
                <w:szCs w:val="24"/>
                <w:lang w:val="en-US" w:eastAsia="zh-CN"/>
              </w:rPr>
              <w:t>4-</w:t>
            </w:r>
            <w:r>
              <w:rPr>
                <w:rFonts w:hint="eastAsia" w:eastAsia="仿宋_GB2312" w:cs="Times New Roman"/>
                <w:color w:val="auto"/>
                <w:sz w:val="24"/>
                <w:szCs w:val="24"/>
                <w:lang w:val="en-US" w:eastAsia="zh-CN"/>
              </w:rPr>
              <w:t>9</w:t>
            </w:r>
            <w:r>
              <w:rPr>
                <w:rFonts w:hint="default" w:ascii="Times New Roman" w:hAnsi="Times New Roman" w:eastAsia="仿宋_GB2312" w:cs="Times New Roman"/>
                <w:color w:val="auto"/>
                <w:sz w:val="24"/>
                <w:szCs w:val="24"/>
                <w:lang w:val="en-US" w:eastAsia="zh-CN"/>
              </w:rPr>
              <w:t>。</w:t>
            </w:r>
          </w:p>
          <w:p w14:paraId="12DD9936">
            <w:pPr>
              <w:pStyle w:val="5"/>
              <w:keepNext w:val="0"/>
              <w:keepLines w:val="0"/>
              <w:pageBreakBefore w:val="0"/>
              <w:widowControl/>
              <w:kinsoku/>
              <w:wordWrap/>
              <w:overflowPunct w:val="0"/>
              <w:topLinePunct w:val="0"/>
              <w:autoSpaceDE w:val="0"/>
              <w:autoSpaceDN w:val="0"/>
              <w:bidi w:val="0"/>
              <w:adjustRightInd w:val="0"/>
              <w:snapToGrid w:val="0"/>
              <w:spacing w:beforeLines="0" w:line="240" w:lineRule="auto"/>
              <w:ind w:firstLine="420" w:firstLineChars="200"/>
              <w:jc w:val="both"/>
              <w:textAlignment w:val="baseline"/>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 w:val="0"/>
                <w:bCs/>
                <w:color w:val="auto"/>
                <w:sz w:val="21"/>
                <w:szCs w:val="21"/>
              </w:rPr>
              <w:t>表</w:t>
            </w:r>
            <w:r>
              <w:rPr>
                <w:rFonts w:hint="eastAsia" w:eastAsia="宋体" w:cs="Times New Roman"/>
                <w:b w:val="0"/>
                <w:bCs/>
                <w:color w:val="auto"/>
                <w:sz w:val="21"/>
                <w:szCs w:val="21"/>
                <w:lang w:val="en-US" w:eastAsia="zh-CN"/>
              </w:rPr>
              <w:t>4-9</w:t>
            </w:r>
            <w:r>
              <w:rPr>
                <w:rFonts w:hint="default" w:ascii="Times New Roman" w:hAnsi="Times New Roman" w:eastAsia="宋体" w:cs="Times New Roman"/>
                <w:color w:val="auto"/>
                <w:sz w:val="21"/>
                <w:szCs w:val="21"/>
              </w:rPr>
              <w:t xml:space="preserve">   </w:t>
            </w:r>
            <w:r>
              <w:rPr>
                <w:rFonts w:hint="eastAsia" w:ascii="宋体" w:hAnsi="宋体" w:eastAsia="宋体" w:cs="宋体"/>
                <w:b/>
                <w:bCs/>
                <w:color w:val="auto"/>
                <w:sz w:val="24"/>
                <w:szCs w:val="24"/>
                <w:lang w:val="en-US" w:eastAsia="zh-CN"/>
              </w:rPr>
              <w:t xml:space="preserve">项目占地范围现状土地类型及面积统计表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单位：</w:t>
            </w:r>
            <w:r>
              <w:rPr>
                <w:rFonts w:hint="eastAsia" w:eastAsia="宋体" w:cs="Times New Roman"/>
                <w:color w:val="auto"/>
                <w:sz w:val="21"/>
                <w:szCs w:val="21"/>
                <w:lang w:val="en-US" w:eastAsia="zh-CN"/>
              </w:rPr>
              <w:t>h</w:t>
            </w:r>
            <w:r>
              <w:rPr>
                <w:rFonts w:hint="default" w:ascii="Times New Roman" w:hAnsi="Times New Roman" w:eastAsia="宋体" w:cs="Times New Roman"/>
                <w:color w:val="auto"/>
                <w:sz w:val="21"/>
                <w:szCs w:val="21"/>
              </w:rPr>
              <w:t>m</w:t>
            </w:r>
            <w:r>
              <w:rPr>
                <w:rFonts w:hint="eastAsia" w:eastAsia="宋体" w:cs="Times New Roman"/>
                <w:color w:val="auto"/>
                <w:sz w:val="21"/>
                <w:szCs w:val="21"/>
                <w:vertAlign w:val="superscript"/>
                <w:lang w:val="en-US" w:eastAsia="zh-CN"/>
              </w:rPr>
              <w:t>2</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72"/>
              <w:gridCol w:w="2596"/>
              <w:gridCol w:w="1278"/>
              <w:gridCol w:w="2471"/>
            </w:tblGrid>
            <w:tr w14:paraId="41C37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756" w:type="dxa"/>
                  <w:vMerge w:val="restart"/>
                  <w:noWrap w:val="0"/>
                  <w:vAlign w:val="center"/>
                </w:tcPr>
                <w:p w14:paraId="629D26CA">
                  <w:pPr>
                    <w:adjustRightInd w:val="0"/>
                    <w:snapToGrid w:val="0"/>
                    <w:jc w:val="center"/>
                    <w:rPr>
                      <w:rFonts w:hint="eastAsia" w:ascii="Times New Roman" w:hAnsi="Times New Roman" w:eastAsia="宋体" w:cs="Times New Roman"/>
                      <w:b/>
                      <w:color w:val="auto"/>
                      <w:kern w:val="0"/>
                      <w:highlight w:val="none"/>
                      <w:lang w:eastAsia="zh-CN"/>
                    </w:rPr>
                  </w:pPr>
                  <w:r>
                    <w:rPr>
                      <w:rFonts w:hint="eastAsia" w:cs="Times New Roman"/>
                      <w:b/>
                      <w:color w:val="auto"/>
                      <w:kern w:val="0"/>
                      <w:highlight w:val="none"/>
                      <w:lang w:eastAsia="zh-CN"/>
                    </w:rPr>
                    <w:t>占地性质</w:t>
                  </w:r>
                </w:p>
              </w:tc>
              <w:tc>
                <w:tcPr>
                  <w:tcW w:w="2573" w:type="dxa"/>
                  <w:vMerge w:val="restart"/>
                  <w:noWrap w:val="0"/>
                  <w:vAlign w:val="center"/>
                </w:tcPr>
                <w:p w14:paraId="35AB62A1">
                  <w:pPr>
                    <w:adjustRightInd w:val="0"/>
                    <w:snapToGrid w:val="0"/>
                    <w:jc w:val="center"/>
                    <w:rPr>
                      <w:rFonts w:hint="default" w:ascii="Times New Roman" w:hAnsi="Times New Roman" w:eastAsia="宋体" w:cs="Times New Roman"/>
                      <w:b/>
                      <w:color w:val="auto"/>
                      <w:kern w:val="0"/>
                      <w:highlight w:val="none"/>
                      <w:lang w:val="en-US" w:eastAsia="zh-CN"/>
                    </w:rPr>
                  </w:pPr>
                  <w:r>
                    <w:rPr>
                      <w:rFonts w:hint="eastAsia" w:cs="Times New Roman"/>
                      <w:b/>
                      <w:color w:val="auto"/>
                      <w:kern w:val="0"/>
                      <w:highlight w:val="none"/>
                      <w:lang w:val="en-US" w:eastAsia="zh-CN"/>
                    </w:rPr>
                    <w:t>单元分区</w:t>
                  </w:r>
                </w:p>
              </w:tc>
              <w:tc>
                <w:tcPr>
                  <w:tcW w:w="1267" w:type="dxa"/>
                  <w:vMerge w:val="restart"/>
                  <w:noWrap w:val="0"/>
                  <w:vAlign w:val="center"/>
                </w:tcPr>
                <w:p w14:paraId="14C457AA">
                  <w:pPr>
                    <w:adjustRightInd w:val="0"/>
                    <w:snapToGrid w:val="0"/>
                    <w:jc w:val="center"/>
                    <w:rPr>
                      <w:rFonts w:hint="eastAsia" w:cs="Times New Roman"/>
                      <w:b/>
                      <w:color w:val="auto"/>
                      <w:kern w:val="0"/>
                      <w:highlight w:val="none"/>
                      <w:lang w:eastAsia="zh-CN"/>
                    </w:rPr>
                  </w:pPr>
                  <w:r>
                    <w:rPr>
                      <w:rFonts w:hint="eastAsia" w:cs="Times New Roman"/>
                      <w:b/>
                      <w:color w:val="auto"/>
                      <w:kern w:val="0"/>
                      <w:highlight w:val="none"/>
                      <w:lang w:val="en-US" w:eastAsia="zh-CN"/>
                    </w:rPr>
                    <w:t>用地</w:t>
                  </w:r>
                </w:p>
                <w:p w14:paraId="2F141CD7">
                  <w:pPr>
                    <w:adjustRightInd w:val="0"/>
                    <w:snapToGrid w:val="0"/>
                    <w:jc w:val="center"/>
                    <w:rPr>
                      <w:rFonts w:hint="eastAsia" w:ascii="Times New Roman" w:hAnsi="Times New Roman" w:eastAsia="宋体" w:cs="Times New Roman"/>
                      <w:b/>
                      <w:color w:val="auto"/>
                      <w:kern w:val="0"/>
                      <w:highlight w:val="none"/>
                      <w:lang w:eastAsia="zh-CN"/>
                    </w:rPr>
                  </w:pPr>
                  <w:r>
                    <w:rPr>
                      <w:rFonts w:hint="eastAsia" w:cs="Times New Roman"/>
                      <w:b/>
                      <w:color w:val="auto"/>
                      <w:kern w:val="0"/>
                      <w:highlight w:val="none"/>
                      <w:lang w:eastAsia="zh-CN"/>
                    </w:rPr>
                    <w:t>面积</w:t>
                  </w:r>
                </w:p>
              </w:tc>
              <w:tc>
                <w:tcPr>
                  <w:tcW w:w="2449" w:type="dxa"/>
                  <w:noWrap w:val="0"/>
                  <w:vAlign w:val="center"/>
                </w:tcPr>
                <w:p w14:paraId="0CB2B66B">
                  <w:pPr>
                    <w:adjustRightInd w:val="0"/>
                    <w:snapToGrid w:val="0"/>
                    <w:jc w:val="center"/>
                    <w:rPr>
                      <w:rFonts w:hint="eastAsia" w:ascii="Times New Roman" w:hAnsi="Times New Roman" w:eastAsia="宋体" w:cs="Times New Roman"/>
                      <w:b/>
                      <w:color w:val="auto"/>
                      <w:kern w:val="0"/>
                      <w:highlight w:val="none"/>
                      <w:lang w:eastAsia="zh-CN"/>
                    </w:rPr>
                  </w:pPr>
                  <w:r>
                    <w:rPr>
                      <w:rFonts w:hint="eastAsia" w:cs="Times New Roman"/>
                      <w:b/>
                      <w:color w:val="auto"/>
                      <w:spacing w:val="-17"/>
                      <w:kern w:val="0"/>
                      <w:sz w:val="21"/>
                      <w:highlight w:val="none"/>
                      <w:lang w:eastAsia="zh-CN"/>
                    </w:rPr>
                    <w:t>现状土地类型</w:t>
                  </w:r>
                  <w:r>
                    <w:rPr>
                      <w:rFonts w:hint="eastAsia" w:cs="Times New Roman"/>
                      <w:b/>
                      <w:color w:val="auto"/>
                      <w:spacing w:val="-17"/>
                      <w:kern w:val="0"/>
                      <w:sz w:val="21"/>
                      <w:highlight w:val="none"/>
                      <w:lang w:val="en-US" w:eastAsia="zh-CN"/>
                    </w:rPr>
                    <w:t>/</w:t>
                  </w:r>
                  <w:r>
                    <w:rPr>
                      <w:rFonts w:hint="eastAsia" w:cs="Times New Roman"/>
                      <w:b/>
                      <w:color w:val="auto"/>
                      <w:spacing w:val="-17"/>
                      <w:kern w:val="0"/>
                      <w:sz w:val="21"/>
                      <w:highlight w:val="none"/>
                      <w:lang w:eastAsia="zh-CN"/>
                    </w:rPr>
                    <w:t>面积</w:t>
                  </w:r>
                </w:p>
              </w:tc>
            </w:tr>
            <w:tr w14:paraId="76B7D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756" w:type="dxa"/>
                  <w:vMerge w:val="continue"/>
                  <w:noWrap w:val="0"/>
                  <w:vAlign w:val="center"/>
                </w:tcPr>
                <w:p w14:paraId="7B39C061">
                  <w:pPr>
                    <w:adjustRightInd w:val="0"/>
                    <w:snapToGrid w:val="0"/>
                    <w:jc w:val="center"/>
                    <w:rPr>
                      <w:rFonts w:hint="default" w:ascii="Times New Roman" w:hAnsi="Times New Roman" w:cs="Times New Roman"/>
                      <w:color w:val="auto"/>
                      <w:kern w:val="0"/>
                      <w:highlight w:val="none"/>
                    </w:rPr>
                  </w:pPr>
                </w:p>
              </w:tc>
              <w:tc>
                <w:tcPr>
                  <w:tcW w:w="2573" w:type="dxa"/>
                  <w:vMerge w:val="continue"/>
                  <w:noWrap w:val="0"/>
                  <w:vAlign w:val="center"/>
                </w:tcPr>
                <w:p w14:paraId="52A9FB7E">
                  <w:pPr>
                    <w:adjustRightInd w:val="0"/>
                    <w:snapToGrid w:val="0"/>
                    <w:jc w:val="center"/>
                    <w:rPr>
                      <w:rFonts w:hint="default" w:ascii="Times New Roman" w:hAnsi="Times New Roman" w:cs="Times New Roman"/>
                      <w:color w:val="auto"/>
                      <w:kern w:val="0"/>
                      <w:highlight w:val="none"/>
                    </w:rPr>
                  </w:pPr>
                </w:p>
              </w:tc>
              <w:tc>
                <w:tcPr>
                  <w:tcW w:w="1267" w:type="dxa"/>
                  <w:vMerge w:val="continue"/>
                  <w:noWrap w:val="0"/>
                  <w:vAlign w:val="center"/>
                </w:tcPr>
                <w:p w14:paraId="5A00EA33">
                  <w:pPr>
                    <w:adjustRightInd w:val="0"/>
                    <w:snapToGrid w:val="0"/>
                    <w:jc w:val="center"/>
                    <w:rPr>
                      <w:rFonts w:hint="default" w:ascii="Times New Roman" w:hAnsi="Times New Roman" w:cs="Times New Roman"/>
                      <w:b/>
                      <w:bCs/>
                      <w:color w:val="auto"/>
                      <w:kern w:val="0"/>
                      <w:highlight w:val="none"/>
                    </w:rPr>
                  </w:pPr>
                </w:p>
              </w:tc>
              <w:tc>
                <w:tcPr>
                  <w:tcW w:w="2449" w:type="dxa"/>
                  <w:noWrap w:val="0"/>
                  <w:vAlign w:val="center"/>
                </w:tcPr>
                <w:p w14:paraId="538CCED1">
                  <w:pPr>
                    <w:adjustRightInd w:val="0"/>
                    <w:snapToGrid w:val="0"/>
                    <w:jc w:val="center"/>
                    <w:rPr>
                      <w:rFonts w:hint="default" w:ascii="Times New Roman" w:hAnsi="Times New Roman" w:eastAsia="宋体" w:cs="Times New Roman"/>
                      <w:b/>
                      <w:bCs/>
                      <w:color w:val="auto"/>
                      <w:kern w:val="0"/>
                      <w:highlight w:val="none"/>
                      <w:lang w:val="en-US" w:eastAsia="zh-CN"/>
                    </w:rPr>
                  </w:pPr>
                  <w:r>
                    <w:rPr>
                      <w:rFonts w:hint="eastAsia" w:cs="Times New Roman"/>
                      <w:b/>
                      <w:bCs/>
                      <w:color w:val="auto"/>
                      <w:kern w:val="0"/>
                      <w:highlight w:val="none"/>
                      <w:lang w:val="en-US" w:eastAsia="zh-CN"/>
                    </w:rPr>
                    <w:t>采矿用地（0602）</w:t>
                  </w:r>
                </w:p>
              </w:tc>
            </w:tr>
            <w:tr w14:paraId="0D587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1756" w:type="dxa"/>
                  <w:noWrap w:val="0"/>
                  <w:vAlign w:val="center"/>
                </w:tcPr>
                <w:p w14:paraId="39D26EF8">
                  <w:pPr>
                    <w:adjustRightInd w:val="0"/>
                    <w:snapToGrid w:val="0"/>
                    <w:jc w:val="center"/>
                    <w:rPr>
                      <w:rFonts w:hint="default" w:ascii="Times New Roman" w:hAnsi="Times New Roman" w:cs="Times New Roman"/>
                      <w:b/>
                      <w:bCs/>
                      <w:color w:val="auto"/>
                      <w:kern w:val="0"/>
                      <w:highlight w:val="none"/>
                    </w:rPr>
                  </w:pPr>
                  <w:r>
                    <w:rPr>
                      <w:rFonts w:hint="eastAsia" w:cs="Times New Roman"/>
                      <w:color w:val="auto"/>
                      <w:kern w:val="0"/>
                      <w:highlight w:val="none"/>
                      <w:lang w:val="en-US" w:eastAsia="zh-CN"/>
                    </w:rPr>
                    <w:t>临时用地</w:t>
                  </w:r>
                </w:p>
              </w:tc>
              <w:tc>
                <w:tcPr>
                  <w:tcW w:w="2573" w:type="dxa"/>
                  <w:noWrap w:val="0"/>
                  <w:vAlign w:val="center"/>
                </w:tcPr>
                <w:p w14:paraId="3B0A45EB">
                  <w:pPr>
                    <w:adjustRightInd w:val="0"/>
                    <w:snapToGrid w:val="0"/>
                    <w:jc w:val="center"/>
                    <w:rPr>
                      <w:rFonts w:hint="default" w:ascii="Times New Roman" w:hAnsi="Times New Roman" w:eastAsia="宋体" w:cs="Times New Roman"/>
                      <w:color w:val="auto"/>
                      <w:kern w:val="0"/>
                      <w:highlight w:val="none"/>
                      <w:lang w:val="en-US" w:eastAsia="zh-CN"/>
                    </w:rPr>
                  </w:pPr>
                  <w:r>
                    <w:rPr>
                      <w:rFonts w:hint="eastAsia" w:cs="Times New Roman"/>
                      <w:color w:val="auto"/>
                      <w:kern w:val="0"/>
                      <w:highlight w:val="none"/>
                      <w:lang w:val="en-US" w:eastAsia="zh-CN"/>
                    </w:rPr>
                    <w:t>拌合站、部分办公生活区</w:t>
                  </w:r>
                </w:p>
              </w:tc>
              <w:tc>
                <w:tcPr>
                  <w:tcW w:w="1267" w:type="dxa"/>
                  <w:noWrap w:val="0"/>
                  <w:vAlign w:val="center"/>
                </w:tcPr>
                <w:p w14:paraId="75C46CA0">
                  <w:pPr>
                    <w:keepNext w:val="0"/>
                    <w:keepLines w:val="0"/>
                    <w:widowControl/>
                    <w:suppressLineNumbers w:val="0"/>
                    <w:jc w:val="center"/>
                    <w:rPr>
                      <w:rFonts w:hint="default" w:ascii="Times New Roman" w:hAnsi="Times New Roman" w:eastAsia="宋体" w:cs="Times New Roman"/>
                      <w:color w:val="auto"/>
                      <w:kern w:val="0"/>
                      <w:highlight w:val="none"/>
                      <w:lang w:val="en-US" w:eastAsia="zh-CN"/>
                    </w:rPr>
                  </w:pPr>
                  <w:r>
                    <w:rPr>
                      <w:rFonts w:hint="eastAsia" w:cs="Times New Roman"/>
                      <w:color w:val="auto"/>
                      <w:kern w:val="0"/>
                      <w:sz w:val="20"/>
                      <w:szCs w:val="20"/>
                      <w:lang w:val="en-US" w:eastAsia="zh-CN" w:bidi="ar"/>
                    </w:rPr>
                    <w:t>1.2257</w:t>
                  </w:r>
                </w:p>
              </w:tc>
              <w:tc>
                <w:tcPr>
                  <w:tcW w:w="2449" w:type="dxa"/>
                  <w:noWrap w:val="0"/>
                  <w:vAlign w:val="center"/>
                </w:tcPr>
                <w:p w14:paraId="632DCB67">
                  <w:pPr>
                    <w:keepNext w:val="0"/>
                    <w:keepLines w:val="0"/>
                    <w:widowControl/>
                    <w:suppressLineNumbers w:val="0"/>
                    <w:jc w:val="center"/>
                    <w:rPr>
                      <w:rFonts w:hint="default" w:ascii="Times New Roman" w:hAnsi="Times New Roman" w:eastAsia="宋体" w:cs="Times New Roman"/>
                      <w:color w:val="auto"/>
                      <w:kern w:val="0"/>
                      <w:highlight w:val="none"/>
                      <w:lang w:val="en-US"/>
                    </w:rPr>
                  </w:pPr>
                  <w:r>
                    <w:rPr>
                      <w:rFonts w:hint="eastAsia" w:cs="Times New Roman"/>
                      <w:color w:val="auto"/>
                      <w:kern w:val="0"/>
                      <w:sz w:val="20"/>
                      <w:szCs w:val="20"/>
                      <w:lang w:val="en-US" w:eastAsia="zh-CN" w:bidi="ar"/>
                    </w:rPr>
                    <w:t>1.2257</w:t>
                  </w:r>
                </w:p>
              </w:tc>
            </w:tr>
            <w:tr w14:paraId="5DFB0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4329" w:type="dxa"/>
                  <w:gridSpan w:val="2"/>
                  <w:noWrap w:val="0"/>
                  <w:vAlign w:val="center"/>
                </w:tcPr>
                <w:p w14:paraId="1E3D98B6">
                  <w:pPr>
                    <w:adjustRightInd w:val="0"/>
                    <w:snapToGrid w:val="0"/>
                    <w:jc w:val="center"/>
                    <w:rPr>
                      <w:rFonts w:hint="eastAsia" w:cs="Times New Roman"/>
                      <w:b/>
                      <w:bCs/>
                      <w:color w:val="auto"/>
                      <w:kern w:val="0"/>
                      <w:highlight w:val="none"/>
                      <w:lang w:eastAsia="zh-CN"/>
                    </w:rPr>
                  </w:pPr>
                  <w:r>
                    <w:rPr>
                      <w:rFonts w:hint="eastAsia" w:cs="Times New Roman"/>
                      <w:b/>
                      <w:bCs/>
                      <w:color w:val="auto"/>
                      <w:kern w:val="0"/>
                      <w:highlight w:val="none"/>
                      <w:lang w:eastAsia="zh-CN"/>
                    </w:rPr>
                    <w:t>合计</w:t>
                  </w:r>
                </w:p>
              </w:tc>
              <w:tc>
                <w:tcPr>
                  <w:tcW w:w="1267" w:type="dxa"/>
                  <w:noWrap w:val="0"/>
                  <w:vAlign w:val="center"/>
                </w:tcPr>
                <w:p w14:paraId="5084F41F">
                  <w:pPr>
                    <w:adjustRightInd w:val="0"/>
                    <w:snapToGrid w:val="0"/>
                    <w:jc w:val="center"/>
                    <w:rPr>
                      <w:rFonts w:hint="eastAsia" w:cs="Times New Roman"/>
                      <w:b/>
                      <w:bCs/>
                      <w:color w:val="auto"/>
                      <w:kern w:val="0"/>
                      <w:highlight w:val="none"/>
                      <w:lang w:eastAsia="zh-CN"/>
                    </w:rPr>
                  </w:pPr>
                  <w:r>
                    <w:rPr>
                      <w:rFonts w:hint="eastAsia" w:cs="Times New Roman"/>
                      <w:b/>
                      <w:bCs/>
                      <w:color w:val="auto"/>
                      <w:kern w:val="0"/>
                      <w:sz w:val="20"/>
                      <w:szCs w:val="20"/>
                      <w:lang w:val="en-US" w:eastAsia="zh-CN" w:bidi="ar"/>
                    </w:rPr>
                    <w:t>1.2257</w:t>
                  </w:r>
                </w:p>
              </w:tc>
              <w:tc>
                <w:tcPr>
                  <w:tcW w:w="2449" w:type="dxa"/>
                  <w:noWrap w:val="0"/>
                  <w:vAlign w:val="center"/>
                </w:tcPr>
                <w:p w14:paraId="0C3F2E45">
                  <w:pPr>
                    <w:adjustRightInd w:val="0"/>
                    <w:snapToGrid w:val="0"/>
                    <w:jc w:val="center"/>
                    <w:rPr>
                      <w:rFonts w:hint="default" w:ascii="Times New Roman" w:hAnsi="Times New Roman" w:eastAsia="宋体" w:cs="Times New Roman"/>
                      <w:b/>
                      <w:bCs/>
                      <w:color w:val="auto"/>
                      <w:kern w:val="0"/>
                      <w:highlight w:val="none"/>
                      <w:lang w:val="en-US"/>
                    </w:rPr>
                  </w:pPr>
                  <w:r>
                    <w:rPr>
                      <w:rFonts w:hint="eastAsia" w:cs="Times New Roman"/>
                      <w:b/>
                      <w:bCs/>
                      <w:color w:val="auto"/>
                      <w:kern w:val="0"/>
                      <w:sz w:val="20"/>
                      <w:szCs w:val="20"/>
                      <w:lang w:val="en-US" w:eastAsia="zh-CN" w:bidi="ar"/>
                    </w:rPr>
                    <w:t>1.2257</w:t>
                  </w:r>
                </w:p>
              </w:tc>
            </w:tr>
          </w:tbl>
          <w:p w14:paraId="63F903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根据临时用地批复，本项目临时用地有效期为</w:t>
            </w:r>
            <w:r>
              <w:rPr>
                <w:rFonts w:hint="eastAsia"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lang w:val="en-US" w:eastAsia="zh-CN"/>
              </w:rPr>
              <w:t>年，自文件发布之日起计算（即2025年</w:t>
            </w:r>
            <w:r>
              <w:rPr>
                <w:rFonts w:hint="eastAsia" w:eastAsia="仿宋_GB2312" w:cs="Times New Roman"/>
                <w:color w:val="auto"/>
                <w:sz w:val="24"/>
                <w:szCs w:val="24"/>
                <w:lang w:val="en-US" w:eastAsia="zh-CN"/>
              </w:rPr>
              <w:t>10</w:t>
            </w:r>
            <w:r>
              <w:rPr>
                <w:rFonts w:hint="default" w:ascii="Times New Roman" w:hAnsi="Times New Roman" w:eastAsia="仿宋_GB2312" w:cs="Times New Roman"/>
                <w:color w:val="auto"/>
                <w:sz w:val="24"/>
                <w:szCs w:val="24"/>
                <w:lang w:val="en-US" w:eastAsia="zh-CN"/>
              </w:rPr>
              <w:t>月</w:t>
            </w:r>
            <w:r>
              <w:rPr>
                <w:rFonts w:hint="eastAsia" w:eastAsia="仿宋_GB2312" w:cs="Times New Roman"/>
                <w:color w:val="auto"/>
                <w:sz w:val="24"/>
                <w:szCs w:val="24"/>
                <w:lang w:val="en-US" w:eastAsia="zh-CN"/>
              </w:rPr>
              <w:t>11</w:t>
            </w:r>
            <w:r>
              <w:rPr>
                <w:rFonts w:hint="default" w:ascii="Times New Roman" w:hAnsi="Times New Roman" w:eastAsia="仿宋_GB2312" w:cs="Times New Roman"/>
                <w:color w:val="auto"/>
                <w:sz w:val="24"/>
                <w:szCs w:val="24"/>
                <w:lang w:val="en-US" w:eastAsia="zh-CN"/>
              </w:rPr>
              <w:t>日），项目</w:t>
            </w:r>
            <w:r>
              <w:rPr>
                <w:rFonts w:hint="default" w:ascii="Times New Roman" w:hAnsi="Times New Roman" w:eastAsia="仿宋_GB2312" w:cs="Times New Roman"/>
                <w:color w:val="auto"/>
                <w:sz w:val="24"/>
                <w:szCs w:val="24"/>
                <w:lang w:eastAsia="zh-CN"/>
              </w:rPr>
              <w:t>服务期满后</w:t>
            </w:r>
            <w:r>
              <w:rPr>
                <w:rFonts w:hint="default" w:ascii="Times New Roman" w:hAnsi="Times New Roman" w:eastAsia="仿宋_GB2312" w:cs="Times New Roman"/>
                <w:color w:val="auto"/>
                <w:sz w:val="24"/>
                <w:szCs w:val="24"/>
                <w:lang w:val="en-US" w:eastAsia="zh-CN"/>
              </w:rPr>
              <w:t>，若继续延用，则需要办理相关手续，若不再延用，则根据大唐中卫云基地数据中心绿电供应</w:t>
            </w:r>
            <w:r>
              <w:rPr>
                <w:rFonts w:hint="eastAsia" w:eastAsia="仿宋_GB2312" w:cs="Times New Roman"/>
                <w:color w:val="auto"/>
                <w:sz w:val="24"/>
                <w:szCs w:val="24"/>
                <w:lang w:val="en-US" w:eastAsia="zh-CN"/>
              </w:rPr>
              <w:t>常乐</w:t>
            </w:r>
            <w:r>
              <w:rPr>
                <w:rFonts w:hint="default" w:ascii="Times New Roman" w:hAnsi="Times New Roman" w:eastAsia="仿宋_GB2312" w:cs="Times New Roman"/>
                <w:color w:val="auto"/>
                <w:sz w:val="24"/>
                <w:szCs w:val="24"/>
                <w:lang w:val="en-US" w:eastAsia="zh-CN"/>
              </w:rPr>
              <w:t>500MW风电项目第二标段临时用地复垦方案</w:t>
            </w:r>
            <w:r>
              <w:rPr>
                <w:rFonts w:hint="default" w:ascii="Times New Roman" w:hAnsi="Times New Roman" w:eastAsia="仿宋_GB2312" w:cs="Times New Roman"/>
                <w:color w:val="auto"/>
                <w:sz w:val="24"/>
                <w:szCs w:val="24"/>
                <w:lang w:eastAsia="zh-CN"/>
              </w:rPr>
              <w:t>进行</w:t>
            </w:r>
            <w:r>
              <w:rPr>
                <w:rFonts w:hint="default" w:ascii="Times New Roman" w:hAnsi="Times New Roman" w:eastAsia="仿宋_GB2312" w:cs="Times New Roman"/>
                <w:color w:val="auto"/>
                <w:sz w:val="24"/>
                <w:szCs w:val="24"/>
                <w:lang w:val="en-US" w:eastAsia="zh-CN"/>
              </w:rPr>
              <w:t>复垦。</w:t>
            </w:r>
            <w:r>
              <w:rPr>
                <w:rFonts w:hint="default" w:ascii="Times New Roman" w:hAnsi="Times New Roman" w:eastAsia="仿宋_GB2312" w:cs="Times New Roman"/>
                <w:color w:val="auto"/>
                <w:sz w:val="24"/>
                <w:szCs w:val="24"/>
                <w:lang w:eastAsia="zh-CN"/>
              </w:rPr>
              <w:t>本项目复垦标准、复垦措施等内容具体如下：</w:t>
            </w:r>
          </w:p>
          <w:p w14:paraId="24EAE311">
            <w:pPr>
              <w:pStyle w:val="58"/>
              <w:keepNext w:val="0"/>
              <w:keepLines w:val="0"/>
              <w:pageBreakBefore w:val="0"/>
              <w:widowControl w:val="0"/>
              <w:kinsoku/>
              <w:wordWrap/>
              <w:topLinePunct w:val="0"/>
              <w:autoSpaceDE/>
              <w:autoSpaceDN/>
              <w:bidi w:val="0"/>
              <w:adjustRightInd w:val="0"/>
              <w:snapToGrid w:val="0"/>
              <w:spacing w:line="356" w:lineRule="auto"/>
              <w:textAlignment w:val="auto"/>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8.1复垦标准</w:t>
            </w:r>
          </w:p>
          <w:p w14:paraId="7104E4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color w:val="auto"/>
                <w:highlight w:val="none"/>
                <w:lang w:val="en-US" w:eastAsia="zh-CN"/>
              </w:rPr>
            </w:pPr>
            <w:r>
              <w:rPr>
                <w:rFonts w:hint="default" w:ascii="Times New Roman" w:hAnsi="Times New Roman" w:eastAsia="仿宋_GB2312" w:cs="Times New Roman"/>
                <w:color w:val="auto"/>
                <w:sz w:val="24"/>
                <w:szCs w:val="24"/>
                <w:lang w:eastAsia="zh-CN"/>
              </w:rPr>
              <w:t>项目占地范围现状土地类型为</w:t>
            </w:r>
            <w:r>
              <w:rPr>
                <w:rFonts w:hint="default" w:ascii="Times New Roman" w:hAnsi="Times New Roman" w:eastAsia="仿宋_GB2312" w:cs="Times New Roman"/>
                <w:color w:val="auto"/>
                <w:sz w:val="24"/>
                <w:szCs w:val="24"/>
                <w:lang w:val="en-US" w:eastAsia="zh-CN"/>
              </w:rPr>
              <w:t>采矿用地，</w:t>
            </w:r>
            <w:r>
              <w:rPr>
                <w:rFonts w:hint="default" w:ascii="Times New Roman" w:hAnsi="Times New Roman" w:eastAsia="仿宋_GB2312" w:cs="Times New Roman"/>
                <w:color w:val="auto"/>
                <w:sz w:val="24"/>
                <w:szCs w:val="24"/>
                <w:lang w:eastAsia="zh-CN"/>
              </w:rPr>
              <w:t>服务期满后复垦方向为</w:t>
            </w:r>
            <w:r>
              <w:rPr>
                <w:rFonts w:hint="default" w:ascii="Times New Roman" w:hAnsi="Times New Roman" w:eastAsia="仿宋_GB2312" w:cs="Times New Roman"/>
                <w:color w:val="auto"/>
                <w:sz w:val="24"/>
                <w:szCs w:val="24"/>
                <w:lang w:val="en-US" w:eastAsia="zh-CN"/>
              </w:rPr>
              <w:t>采矿用地</w:t>
            </w:r>
            <w:r>
              <w:rPr>
                <w:rFonts w:hint="default" w:ascii="Times New Roman" w:hAnsi="Times New Roman" w:eastAsia="仿宋_GB2312" w:cs="Times New Roman"/>
                <w:color w:val="auto"/>
                <w:sz w:val="24"/>
                <w:szCs w:val="24"/>
                <w:lang w:eastAsia="zh-CN"/>
              </w:rPr>
              <w:t>。复垦面积</w:t>
            </w:r>
            <w:r>
              <w:rPr>
                <w:rFonts w:hint="eastAsia" w:eastAsia="仿宋_GB2312" w:cs="Times New Roman"/>
                <w:color w:val="auto"/>
                <w:sz w:val="24"/>
                <w:szCs w:val="24"/>
                <w:lang w:val="en-US" w:eastAsia="zh-CN"/>
              </w:rPr>
              <w:t>1.2257</w:t>
            </w:r>
            <w:r>
              <w:rPr>
                <w:rFonts w:hint="default" w:ascii="Times New Roman" w:hAnsi="Times New Roman" w:eastAsia="仿宋_GB2312" w:cs="Times New Roman"/>
                <w:color w:val="auto"/>
                <w:sz w:val="24"/>
                <w:szCs w:val="24"/>
                <w:lang w:eastAsia="zh-CN"/>
              </w:rPr>
              <w:t>hm</w:t>
            </w:r>
            <w:r>
              <w:rPr>
                <w:rFonts w:hint="default" w:ascii="Times New Roman" w:hAnsi="Times New Roman" w:eastAsia="仿宋_GB2312" w:cs="Times New Roman"/>
                <w:color w:val="auto"/>
                <w:sz w:val="24"/>
                <w:szCs w:val="24"/>
                <w:vertAlign w:val="superscript"/>
                <w:lang w:eastAsia="zh-CN"/>
              </w:rPr>
              <w:t>2</w:t>
            </w:r>
            <w:r>
              <w:rPr>
                <w:rFonts w:hint="default" w:ascii="Times New Roman" w:hAnsi="Times New Roman" w:eastAsia="仿宋_GB2312" w:cs="Times New Roman"/>
                <w:color w:val="auto"/>
                <w:sz w:val="24"/>
                <w:szCs w:val="24"/>
                <w:lang w:eastAsia="zh-CN"/>
              </w:rPr>
              <w:t>，与本项目占地面积相同。</w:t>
            </w:r>
          </w:p>
          <w:p w14:paraId="7D52B45F">
            <w:pPr>
              <w:keepNext w:val="0"/>
              <w:keepLines w:val="0"/>
              <w:pageBreakBefore w:val="0"/>
              <w:widowControl w:val="0"/>
              <w:kinsoku/>
              <w:wordWrap/>
              <w:overflowPunct/>
              <w:topLinePunct w:val="0"/>
              <w:autoSpaceDE/>
              <w:autoSpaceDN/>
              <w:bidi w:val="0"/>
              <w:adjustRightInd w:val="0"/>
              <w:snapToGrid w:val="0"/>
              <w:spacing w:line="356" w:lineRule="auto"/>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eastAsia" w:eastAsia="仿宋_GB2312" w:cs="Times New Roman"/>
                <w:b/>
                <w:bCs/>
                <w:color w:val="auto"/>
                <w:sz w:val="24"/>
                <w:szCs w:val="24"/>
                <w:lang w:val="en-US" w:eastAsia="zh-CN"/>
              </w:rPr>
              <w:t>8</w:t>
            </w:r>
            <w:r>
              <w:rPr>
                <w:rFonts w:hint="default" w:ascii="Times New Roman" w:hAnsi="Times New Roman" w:eastAsia="仿宋_GB2312" w:cs="Times New Roman"/>
                <w:b/>
                <w:bCs/>
                <w:color w:val="auto"/>
                <w:sz w:val="24"/>
                <w:szCs w:val="24"/>
                <w:lang w:val="en-US" w:eastAsia="zh-CN"/>
              </w:rPr>
              <w:t>.2复垦措施</w:t>
            </w:r>
          </w:p>
          <w:p w14:paraId="5F0FAA57">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eastAsia="zh-CN"/>
              </w:rPr>
              <w:t>（</w:t>
            </w:r>
            <w:r>
              <w:rPr>
                <w:rFonts w:hint="eastAsia" w:eastAsia="仿宋_GB2312" w:cs="Times New Roman"/>
                <w:color w:val="auto"/>
                <w:sz w:val="24"/>
                <w:szCs w:val="24"/>
                <w:lang w:val="en-US" w:eastAsia="zh-CN"/>
              </w:rPr>
              <w:t>1</w:t>
            </w:r>
            <w:r>
              <w:rPr>
                <w:rFonts w:hint="eastAsia" w:eastAsia="仿宋_GB2312" w:cs="Times New Roman"/>
                <w:color w:val="auto"/>
                <w:sz w:val="24"/>
                <w:szCs w:val="24"/>
                <w:lang w:eastAsia="zh-CN"/>
              </w:rPr>
              <w:t>）</w:t>
            </w:r>
            <w:r>
              <w:rPr>
                <w:rFonts w:hint="eastAsia" w:eastAsia="仿宋_GB2312" w:cs="Times New Roman"/>
                <w:color w:val="auto"/>
                <w:sz w:val="24"/>
                <w:szCs w:val="24"/>
                <w:lang w:val="en-US" w:eastAsia="zh-CN"/>
              </w:rPr>
              <w:t>混凝土拆除</w:t>
            </w:r>
          </w:p>
          <w:p w14:paraId="35A78006">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eastAsia="仿宋_GB2312" w:cs="Times New Roman"/>
                <w:color w:val="auto"/>
                <w:sz w:val="24"/>
                <w:szCs w:val="24"/>
                <w:lang w:val="en-US" w:eastAsia="zh-CN"/>
              </w:rPr>
            </w:pPr>
            <w:r>
              <w:rPr>
                <w:rFonts w:hint="default" w:eastAsia="仿宋_GB2312" w:cs="Times New Roman"/>
                <w:color w:val="auto"/>
                <w:sz w:val="24"/>
                <w:szCs w:val="24"/>
                <w:lang w:val="en-US" w:eastAsia="zh-CN"/>
              </w:rPr>
              <w:t>待临时用地结束后，采用机械将临时用地范围内的硬化场地等进行拆除，打碎，易于清理。</w:t>
            </w:r>
          </w:p>
          <w:p w14:paraId="6293A4A7">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lang w:val="en-US" w:eastAsia="zh-CN"/>
              </w:rPr>
              <w:t>迹地清理</w:t>
            </w:r>
          </w:p>
          <w:p w14:paraId="4DC15869">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本项目迹地清理的工作包括：首先清运地面上</w:t>
            </w:r>
            <w:r>
              <w:rPr>
                <w:rFonts w:hint="eastAsia" w:eastAsia="仿宋_GB2312" w:cs="Times New Roman"/>
                <w:color w:val="auto"/>
                <w:sz w:val="24"/>
                <w:szCs w:val="24"/>
                <w:highlight w:val="none"/>
                <w:lang w:val="en-US" w:eastAsia="zh-CN"/>
              </w:rPr>
              <w:t>新建</w:t>
            </w:r>
            <w:r>
              <w:rPr>
                <w:rFonts w:hint="default" w:ascii="Times New Roman" w:hAnsi="Times New Roman" w:eastAsia="仿宋_GB2312" w:cs="Times New Roman"/>
                <w:color w:val="auto"/>
                <w:sz w:val="24"/>
                <w:szCs w:val="24"/>
                <w:highlight w:val="none"/>
                <w:lang w:val="en-US" w:eastAsia="zh-CN"/>
              </w:rPr>
              <w:t>的建筑物和构筑物，由于地面上</w:t>
            </w:r>
            <w:r>
              <w:rPr>
                <w:rFonts w:hint="eastAsia" w:eastAsia="仿宋_GB2312" w:cs="Times New Roman"/>
                <w:color w:val="auto"/>
                <w:sz w:val="24"/>
                <w:szCs w:val="24"/>
                <w:highlight w:val="none"/>
                <w:lang w:val="en-US" w:eastAsia="zh-CN"/>
              </w:rPr>
              <w:t>新建</w:t>
            </w:r>
            <w:r>
              <w:rPr>
                <w:rFonts w:hint="default" w:ascii="Times New Roman" w:hAnsi="Times New Roman" w:eastAsia="仿宋_GB2312" w:cs="Times New Roman"/>
                <w:color w:val="auto"/>
                <w:sz w:val="24"/>
                <w:szCs w:val="24"/>
                <w:highlight w:val="none"/>
                <w:lang w:val="en-US" w:eastAsia="zh-CN"/>
              </w:rPr>
              <w:t>的建筑物都是采用临时集装箱式，所以待使用结束后直接由建设单位清运；其次是采用1m³液压挖掘机拆除项目区硬化地面及建筑垃圾清运，将铺设的混凝土、砂石全部挖装至自卸汽车，之后通过自卸汽车直接拉运至高泉石料厂，不在厂区进行破碎、筛分，运距</w:t>
            </w:r>
            <w:r>
              <w:rPr>
                <w:rFonts w:hint="eastAsia" w:eastAsia="仿宋_GB2312" w:cs="Times New Roman"/>
                <w:color w:val="auto"/>
                <w:sz w:val="24"/>
                <w:szCs w:val="24"/>
                <w:highlight w:val="none"/>
                <w:lang w:val="en-US" w:eastAsia="zh-CN"/>
              </w:rPr>
              <w:t>约9~10</w:t>
            </w:r>
            <w:r>
              <w:rPr>
                <w:rFonts w:hint="default" w:ascii="Times New Roman" w:hAnsi="Times New Roman" w:eastAsia="仿宋_GB2312" w:cs="Times New Roman"/>
                <w:color w:val="auto"/>
                <w:sz w:val="24"/>
                <w:szCs w:val="24"/>
                <w:highlight w:val="none"/>
                <w:lang w:val="en-US" w:eastAsia="zh-CN"/>
              </w:rPr>
              <w:t>km。</w:t>
            </w:r>
          </w:p>
          <w:p w14:paraId="561019DA">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r>
              <w:rPr>
                <w:rFonts w:hint="eastAsia"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val="en-US" w:eastAsia="zh-CN"/>
              </w:rPr>
              <w:t>）土地平整</w:t>
            </w:r>
          </w:p>
          <w:p w14:paraId="342FBA93">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土地在压占后，会使原有的土地形态发生改变，可能损坏土地的表层使其起伏不平，难以达到预期的土地利用方向。待施工结束后，对农村道路进行土地平整，根据土地复垦标准，土地平整后，地面坡度不超过5度。</w:t>
            </w:r>
          </w:p>
          <w:p w14:paraId="0F4CB0C0">
            <w:pPr>
              <w:keepNext w:val="0"/>
              <w:keepLines w:val="0"/>
              <w:pageBreakBefore w:val="0"/>
              <w:widowControl w:val="0"/>
              <w:kinsoku/>
              <w:wordWrap/>
              <w:overflowPunct/>
              <w:topLinePunct w:val="0"/>
              <w:autoSpaceDE/>
              <w:autoSpaceDN/>
              <w:bidi w:val="0"/>
              <w:adjustRightInd w:val="0"/>
              <w:snapToGrid w:val="0"/>
              <w:spacing w:line="356" w:lineRule="auto"/>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eastAsia" w:eastAsia="仿宋_GB2312" w:cs="Times New Roman"/>
                <w:b/>
                <w:bCs/>
                <w:color w:val="auto"/>
                <w:sz w:val="24"/>
                <w:szCs w:val="24"/>
                <w:lang w:val="en-US" w:eastAsia="zh-CN"/>
              </w:rPr>
              <w:t>8</w:t>
            </w:r>
            <w:r>
              <w:rPr>
                <w:rFonts w:hint="default" w:ascii="Times New Roman" w:hAnsi="Times New Roman" w:eastAsia="仿宋_GB2312" w:cs="Times New Roman"/>
                <w:b/>
                <w:bCs/>
                <w:color w:val="auto"/>
                <w:sz w:val="24"/>
                <w:szCs w:val="24"/>
                <w:lang w:val="en-US" w:eastAsia="zh-CN"/>
              </w:rPr>
              <w:t>.3监测措施</w:t>
            </w:r>
          </w:p>
          <w:p w14:paraId="3D10011D">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 xml:space="preserve">土地复垦监测是督促落实土地复垦责任的重要途径，是保障复垦能够按时、保质、保量完成的重要措施，是调整土地复垦方案中复垦目标、标准、措施及计划安排的重要依据，同时也是预防发生重大事故和减少土地造成损毁的重要手段之一，是实现我国土地复垦科学化、规范化、标准化的重要途径之一。 </w:t>
            </w:r>
          </w:p>
          <w:p w14:paraId="731C1289">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lang w:val="en-US" w:eastAsia="zh-CN"/>
              </w:rPr>
              <w:t xml:space="preserve">监测要求 </w:t>
            </w:r>
          </w:p>
          <w:p w14:paraId="0CE0BEE0">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 xml:space="preserve">根据《土地复垦条例》第五条，县级以上自然资源主管部门应当建立土地复垦信息管理系统，利用国土资源综合监管平台，对土地复垦情况进行动态监测，及时收集、汇总、分析和发布本行政区域内土地损毁、土地复垦等数据信息。土地复垦监测应满足以下具体要求： </w:t>
            </w:r>
          </w:p>
          <w:p w14:paraId="6BBA9D02">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color w:val="auto"/>
                <w:sz w:val="24"/>
                <w:szCs w:val="24"/>
                <w:lang w:val="en-US" w:eastAsia="zh-CN"/>
              </w:rPr>
              <w:instrText xml:space="preserve"> = 1 \* GB3 \* MERGEFORMAT </w:instrText>
            </w:r>
            <w:r>
              <w:rPr>
                <w:rFonts w:hint="default" w:ascii="Times New Roman" w:hAnsi="Times New Roman" w:eastAsia="仿宋_GB2312" w:cs="Times New Roman"/>
                <w:color w:val="auto"/>
                <w:sz w:val="24"/>
                <w:szCs w:val="24"/>
                <w:lang w:val="en-US" w:eastAsia="zh-CN"/>
              </w:rPr>
              <w:fldChar w:fldCharType="separate"/>
            </w:r>
            <w:r>
              <w:rPr>
                <w:color w:val="auto"/>
                <w:sz w:val="24"/>
                <w:szCs w:val="24"/>
              </w:rPr>
              <w:t>①</w:t>
            </w:r>
            <w:r>
              <w:rPr>
                <w:rFonts w:hint="default" w:ascii="Times New Roman" w:hAnsi="Times New Roman" w:eastAsia="仿宋_GB2312" w:cs="Times New Roman"/>
                <w:color w:val="auto"/>
                <w:sz w:val="24"/>
                <w:szCs w:val="24"/>
                <w:lang w:val="en-US" w:eastAsia="zh-CN"/>
              </w:rPr>
              <w:fldChar w:fldCharType="end"/>
            </w:r>
            <w:r>
              <w:rPr>
                <w:rFonts w:hint="default" w:ascii="Times New Roman" w:hAnsi="Times New Roman" w:eastAsia="仿宋_GB2312" w:cs="Times New Roman"/>
                <w:color w:val="auto"/>
                <w:sz w:val="24"/>
                <w:szCs w:val="24"/>
                <w:lang w:val="en-US" w:eastAsia="zh-CN"/>
              </w:rPr>
              <w:t xml:space="preserve">监测工作应系统全面。土地复垦涉及的学科多面广。因此，对复垦区的监测内容不仅包括各项复垦工程实施范围质量进度等，还应包括土地损毁和生态环境恢复等方面的监测，确保复垦区土地能够达到可利用状态。 </w:t>
            </w:r>
          </w:p>
          <w:p w14:paraId="091D3804">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color w:val="auto"/>
                <w:sz w:val="24"/>
                <w:szCs w:val="24"/>
                <w:lang w:val="en-US" w:eastAsia="zh-CN"/>
              </w:rPr>
              <w:instrText xml:space="preserve"> = 2 \* GB3 \* MERGEFORMAT </w:instrText>
            </w:r>
            <w:r>
              <w:rPr>
                <w:rFonts w:hint="default" w:ascii="Times New Roman" w:hAnsi="Times New Roman" w:eastAsia="仿宋_GB2312" w:cs="Times New Roman"/>
                <w:color w:val="auto"/>
                <w:sz w:val="24"/>
                <w:szCs w:val="24"/>
                <w:lang w:val="en-US" w:eastAsia="zh-CN"/>
              </w:rPr>
              <w:fldChar w:fldCharType="separate"/>
            </w:r>
            <w:r>
              <w:rPr>
                <w:color w:val="auto"/>
                <w:sz w:val="24"/>
                <w:szCs w:val="24"/>
              </w:rPr>
              <w:t>②</w:t>
            </w:r>
            <w:r>
              <w:rPr>
                <w:rFonts w:hint="default" w:ascii="Times New Roman" w:hAnsi="Times New Roman" w:eastAsia="仿宋_GB2312" w:cs="Times New Roman"/>
                <w:color w:val="auto"/>
                <w:sz w:val="24"/>
                <w:szCs w:val="24"/>
                <w:lang w:val="en-US" w:eastAsia="zh-CN"/>
              </w:rPr>
              <w:fldChar w:fldCharType="end"/>
            </w:r>
            <w:r>
              <w:rPr>
                <w:rFonts w:hint="default" w:ascii="Times New Roman" w:hAnsi="Times New Roman" w:eastAsia="仿宋_GB2312" w:cs="Times New Roman"/>
                <w:color w:val="auto"/>
                <w:sz w:val="24"/>
                <w:szCs w:val="24"/>
                <w:lang w:val="en-US" w:eastAsia="zh-CN"/>
              </w:rPr>
              <w:t xml:space="preserve">监测方案应分类，切实可行。我国区域自然环境呈现地带性特征，土地复垦工程措施具有类比性，因此应根据自然环境和生产建设项目自身特点，分类制定土地复垦监测方案。 </w:t>
            </w:r>
          </w:p>
          <w:p w14:paraId="20BF4816">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color w:val="auto"/>
                <w:sz w:val="24"/>
                <w:szCs w:val="24"/>
                <w:lang w:val="en-US" w:eastAsia="zh-CN"/>
              </w:rPr>
              <w:instrText xml:space="preserve"> = 3 \* GB3 \* MERGEFORMAT </w:instrText>
            </w:r>
            <w:r>
              <w:rPr>
                <w:rFonts w:hint="default" w:ascii="Times New Roman" w:hAnsi="Times New Roman" w:eastAsia="仿宋_GB2312" w:cs="Times New Roman"/>
                <w:color w:val="auto"/>
                <w:sz w:val="24"/>
                <w:szCs w:val="24"/>
                <w:lang w:val="en-US" w:eastAsia="zh-CN"/>
              </w:rPr>
              <w:fldChar w:fldCharType="separate"/>
            </w:r>
            <w:r>
              <w:rPr>
                <w:color w:val="auto"/>
                <w:sz w:val="24"/>
                <w:szCs w:val="24"/>
              </w:rPr>
              <w:t>③</w:t>
            </w:r>
            <w:r>
              <w:rPr>
                <w:rFonts w:hint="default" w:ascii="Times New Roman" w:hAnsi="Times New Roman" w:eastAsia="仿宋_GB2312" w:cs="Times New Roman"/>
                <w:color w:val="auto"/>
                <w:sz w:val="24"/>
                <w:szCs w:val="24"/>
                <w:lang w:val="en-US" w:eastAsia="zh-CN"/>
              </w:rPr>
              <w:fldChar w:fldCharType="end"/>
            </w:r>
            <w:r>
              <w:rPr>
                <w:rFonts w:hint="default" w:ascii="Times New Roman" w:hAnsi="Times New Roman" w:eastAsia="仿宋_GB2312" w:cs="Times New Roman"/>
                <w:color w:val="auto"/>
                <w:sz w:val="24"/>
                <w:szCs w:val="24"/>
                <w:lang w:val="en-US" w:eastAsia="zh-CN"/>
              </w:rPr>
              <w:t xml:space="preserve">监测设置应优化。复垦监测点、监测内容以及监测频率等布设或是设置，采取科学的技术方法，合理优化，减少生产建设单位不必要的开支。  </w:t>
            </w:r>
          </w:p>
          <w:p w14:paraId="2B87E8E6">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lang w:val="en-US" w:eastAsia="zh-CN"/>
              </w:rPr>
              <w:t xml:space="preserve">监测内容 </w:t>
            </w:r>
          </w:p>
          <w:p w14:paraId="2C714624">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 xml:space="preserve">结合工程的损毁情况，复垦区监测工程主要包括对土地损毁程度和复垦效果的监测，主要有监测区域、监测内容、监测方法和监测成果管理等指标。主要监测内容如下： </w:t>
            </w:r>
          </w:p>
          <w:p w14:paraId="07833FE4">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color w:val="auto"/>
                <w:sz w:val="24"/>
                <w:szCs w:val="24"/>
                <w:lang w:val="en-US" w:eastAsia="zh-CN"/>
              </w:rPr>
              <w:instrText xml:space="preserve"> = 1 \* GB3 \* MERGEFORMAT </w:instrText>
            </w:r>
            <w:r>
              <w:rPr>
                <w:rFonts w:hint="default" w:ascii="Times New Roman" w:hAnsi="Times New Roman" w:eastAsia="仿宋_GB2312" w:cs="Times New Roman"/>
                <w:color w:val="auto"/>
                <w:sz w:val="24"/>
                <w:szCs w:val="24"/>
                <w:lang w:val="en-US" w:eastAsia="zh-CN"/>
              </w:rPr>
              <w:fldChar w:fldCharType="separate"/>
            </w:r>
            <w:r>
              <w:rPr>
                <w:color w:val="auto"/>
                <w:sz w:val="24"/>
                <w:szCs w:val="24"/>
              </w:rPr>
              <w:t>①</w:t>
            </w:r>
            <w:r>
              <w:rPr>
                <w:rFonts w:hint="default" w:ascii="Times New Roman" w:hAnsi="Times New Roman" w:eastAsia="仿宋_GB2312" w:cs="Times New Roman"/>
                <w:color w:val="auto"/>
                <w:sz w:val="24"/>
                <w:szCs w:val="24"/>
                <w:lang w:val="en-US" w:eastAsia="zh-CN"/>
              </w:rPr>
              <w:fldChar w:fldCharType="end"/>
            </w:r>
            <w:r>
              <w:rPr>
                <w:rFonts w:hint="default" w:ascii="Times New Roman" w:hAnsi="Times New Roman" w:eastAsia="仿宋_GB2312" w:cs="Times New Roman"/>
                <w:color w:val="auto"/>
                <w:sz w:val="24"/>
                <w:szCs w:val="24"/>
                <w:lang w:val="en-US" w:eastAsia="zh-CN"/>
              </w:rPr>
              <w:t xml:space="preserve">土地利用状况 </w:t>
            </w:r>
          </w:p>
          <w:p w14:paraId="13C5724B">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 xml:space="preserve">要保留原始的土地利用状况信息，以便对后期的变化进行追踪对比研究，主要是土地利用数据。 </w:t>
            </w:r>
          </w:p>
          <w:p w14:paraId="756E84E6">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color w:val="auto"/>
                <w:sz w:val="24"/>
                <w:szCs w:val="24"/>
                <w:lang w:val="en-US" w:eastAsia="zh-CN"/>
              </w:rPr>
              <w:instrText xml:space="preserve"> = 2 \* GB3 \* MERGEFORMAT </w:instrText>
            </w:r>
            <w:r>
              <w:rPr>
                <w:rFonts w:hint="default" w:ascii="Times New Roman" w:hAnsi="Times New Roman" w:eastAsia="仿宋_GB2312" w:cs="Times New Roman"/>
                <w:color w:val="auto"/>
                <w:sz w:val="24"/>
                <w:szCs w:val="24"/>
                <w:lang w:val="en-US" w:eastAsia="zh-CN"/>
              </w:rPr>
              <w:fldChar w:fldCharType="separate"/>
            </w:r>
            <w:r>
              <w:rPr>
                <w:color w:val="auto"/>
                <w:sz w:val="24"/>
                <w:szCs w:val="24"/>
              </w:rPr>
              <w:t>②</w:t>
            </w:r>
            <w:r>
              <w:rPr>
                <w:rFonts w:hint="default" w:ascii="Times New Roman" w:hAnsi="Times New Roman" w:eastAsia="仿宋_GB2312" w:cs="Times New Roman"/>
                <w:color w:val="auto"/>
                <w:sz w:val="24"/>
                <w:szCs w:val="24"/>
                <w:lang w:val="en-US" w:eastAsia="zh-CN"/>
              </w:rPr>
              <w:fldChar w:fldCharType="end"/>
            </w:r>
            <w:r>
              <w:rPr>
                <w:rFonts w:hint="default" w:ascii="Times New Roman" w:hAnsi="Times New Roman" w:eastAsia="仿宋_GB2312" w:cs="Times New Roman"/>
                <w:color w:val="auto"/>
                <w:sz w:val="24"/>
                <w:szCs w:val="24"/>
                <w:lang w:val="en-US" w:eastAsia="zh-CN"/>
              </w:rPr>
              <w:t xml:space="preserve">土壤质量监测 </w:t>
            </w:r>
          </w:p>
          <w:p w14:paraId="5EC5CFE1">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 xml:space="preserve">复垦为农、牧业用地的土地自然特性监测内容，为复垦区地形坡度、有效土层厚度、土壤有效水分、土壤容重、酸碱度（PH）、有机质含量、有效磷含量、全氮含量、土壤侵蚀模数等；其监测方法以《土地复垦技术标准》（试行）为准，监测频率为至少每年两次。复垦为草地的植被监测内容，为植物生长势、高度、覆盖度、产草量等。 </w:t>
            </w:r>
          </w:p>
          <w:p w14:paraId="21A44F00">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color w:val="auto"/>
                <w:sz w:val="24"/>
                <w:szCs w:val="24"/>
                <w:lang w:val="en-US" w:eastAsia="zh-CN"/>
              </w:rPr>
              <w:instrText xml:space="preserve"> = 3 \* GB3 \* MERGEFORMAT </w:instrText>
            </w:r>
            <w:r>
              <w:rPr>
                <w:rFonts w:hint="default" w:ascii="Times New Roman" w:hAnsi="Times New Roman" w:eastAsia="仿宋_GB2312" w:cs="Times New Roman"/>
                <w:color w:val="auto"/>
                <w:sz w:val="24"/>
                <w:szCs w:val="24"/>
                <w:lang w:val="en-US" w:eastAsia="zh-CN"/>
              </w:rPr>
              <w:fldChar w:fldCharType="separate"/>
            </w:r>
            <w:r>
              <w:rPr>
                <w:color w:val="auto"/>
                <w:sz w:val="24"/>
                <w:szCs w:val="24"/>
              </w:rPr>
              <w:t>③</w:t>
            </w:r>
            <w:r>
              <w:rPr>
                <w:rFonts w:hint="default" w:ascii="Times New Roman" w:hAnsi="Times New Roman" w:eastAsia="仿宋_GB2312" w:cs="Times New Roman"/>
                <w:color w:val="auto"/>
                <w:sz w:val="24"/>
                <w:szCs w:val="24"/>
                <w:lang w:val="en-US" w:eastAsia="zh-CN"/>
              </w:rPr>
              <w:fldChar w:fldCharType="end"/>
            </w:r>
            <w:r>
              <w:rPr>
                <w:rFonts w:hint="default" w:ascii="Times New Roman" w:hAnsi="Times New Roman" w:eastAsia="仿宋_GB2312" w:cs="Times New Roman"/>
                <w:color w:val="auto"/>
                <w:sz w:val="24"/>
                <w:szCs w:val="24"/>
                <w:lang w:val="en-US" w:eastAsia="zh-CN"/>
              </w:rPr>
              <w:t xml:space="preserve">复垦配套设施监测 </w:t>
            </w:r>
          </w:p>
          <w:p w14:paraId="7C38AC98">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 xml:space="preserve">土地复垦的辅助设施，包括水利工程设施和交通设施两个方面。水利工程设施包括灌溉、排水及其相关的电力设施，交通设施包括农村道路等。配套设施监测，以土地复垦方案设计标准为准，监测主要内容是各项新建配套设施是否齐全、能否保证有效利用，以及损毁的辅助设施是否修复，能否满足当地居民的生产生活需求等。 </w:t>
            </w:r>
          </w:p>
          <w:p w14:paraId="3ED06376">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color w:val="auto"/>
                <w:sz w:val="24"/>
                <w:szCs w:val="24"/>
                <w:lang w:val="en-US" w:eastAsia="zh-CN"/>
              </w:rPr>
              <w:instrText xml:space="preserve"> = 4 \* GB3 \* MERGEFORMAT </w:instrText>
            </w:r>
            <w:r>
              <w:rPr>
                <w:rFonts w:hint="default" w:ascii="Times New Roman" w:hAnsi="Times New Roman" w:eastAsia="仿宋_GB2312" w:cs="Times New Roman"/>
                <w:color w:val="auto"/>
                <w:sz w:val="24"/>
                <w:szCs w:val="24"/>
                <w:lang w:val="en-US" w:eastAsia="zh-CN"/>
              </w:rPr>
              <w:fldChar w:fldCharType="separate"/>
            </w:r>
            <w:r>
              <w:rPr>
                <w:rFonts w:hint="default" w:ascii="Times New Roman" w:hAnsi="Times New Roman" w:eastAsia="仿宋_GB2312" w:cs="Times New Roman"/>
                <w:color w:val="auto"/>
                <w:sz w:val="24"/>
                <w:szCs w:val="24"/>
                <w:lang w:val="en-US" w:eastAsia="zh-CN"/>
              </w:rPr>
              <w:t>④</w:t>
            </w:r>
            <w:r>
              <w:rPr>
                <w:rFonts w:hint="default" w:ascii="Times New Roman" w:hAnsi="Times New Roman" w:eastAsia="仿宋_GB2312" w:cs="Times New Roman"/>
                <w:color w:val="auto"/>
                <w:sz w:val="24"/>
                <w:szCs w:val="24"/>
                <w:lang w:val="en-US" w:eastAsia="zh-CN"/>
              </w:rPr>
              <w:fldChar w:fldCharType="end"/>
            </w:r>
            <w:r>
              <w:rPr>
                <w:rFonts w:hint="default" w:ascii="Times New Roman" w:hAnsi="Times New Roman" w:eastAsia="仿宋_GB2312" w:cs="Times New Roman"/>
                <w:color w:val="auto"/>
                <w:sz w:val="24"/>
                <w:szCs w:val="24"/>
                <w:lang w:val="en-US" w:eastAsia="zh-CN"/>
              </w:rPr>
              <w:t xml:space="preserve">监测方法 </w:t>
            </w:r>
          </w:p>
          <w:p w14:paraId="6D0DAC90">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 xml:space="preserve">监测方法分为定期监测与不定期监测。定期监测结合复垦进度和措施，定时定点实地查看。同时，不定期进行整个复垦区域调查，特别是大雨及暴雨后对具有潜在土地危险的临时查看，若发现较大的土地损毁类型的变化或流失现象，及时监测记录，并通知责任方及时处理。 </w:t>
            </w:r>
          </w:p>
          <w:p w14:paraId="3B520E9D">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val="en-US" w:eastAsia="zh-CN"/>
              </w:rPr>
              <w:t xml:space="preserve">复垦监测成果管理 </w:t>
            </w:r>
          </w:p>
          <w:p w14:paraId="33149F95">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 xml:space="preserve">土地复垦监测需要做监测工作成果报告，每次土地复垦监测工作完成后需要将监测工作成果报告装订成册，存于档案室专门管理，便于今后查阅。 </w:t>
            </w:r>
          </w:p>
          <w:p w14:paraId="3AC2256C">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上所述，运营期严格执行上述噪声、废水、扬尘、固体废物污染防治措施后，能够有效减轻对周边环境的影响，项目为临时工程，随着运营期的结束，项目产生的环境污染影响也将消失。运营期满后按复垦方案恢复区域生态环境，能够有效将项目对生态环境影响降到最低。</w:t>
            </w:r>
          </w:p>
          <w:p w14:paraId="047495E0">
            <w:pPr>
              <w:pStyle w:val="4"/>
              <w:rPr>
                <w:rFonts w:hint="default" w:ascii="Times New Roman" w:hAnsi="Times New Roman" w:eastAsia="仿宋_GB2312" w:cs="Times New Roman"/>
                <w:color w:val="auto"/>
                <w:sz w:val="24"/>
                <w:szCs w:val="24"/>
                <w:lang w:val="en-US" w:eastAsia="zh-CN"/>
              </w:rPr>
            </w:pPr>
          </w:p>
          <w:p w14:paraId="5DFC6C5E">
            <w:pPr>
              <w:pStyle w:val="5"/>
              <w:rPr>
                <w:rFonts w:hint="default" w:ascii="Times New Roman" w:hAnsi="Times New Roman" w:eastAsia="仿宋_GB2312" w:cs="Times New Roman"/>
                <w:color w:val="auto"/>
                <w:sz w:val="24"/>
                <w:szCs w:val="24"/>
                <w:lang w:val="en-US" w:eastAsia="zh-CN"/>
              </w:rPr>
            </w:pPr>
          </w:p>
          <w:p w14:paraId="365B9DDD">
            <w:pPr>
              <w:rPr>
                <w:rFonts w:hint="default" w:ascii="Times New Roman" w:hAnsi="Times New Roman" w:eastAsia="仿宋_GB2312" w:cs="Times New Roman"/>
                <w:color w:val="auto"/>
                <w:sz w:val="24"/>
                <w:szCs w:val="24"/>
                <w:lang w:val="en-US" w:eastAsia="zh-CN"/>
              </w:rPr>
            </w:pPr>
          </w:p>
          <w:p w14:paraId="6340BF84">
            <w:pPr>
              <w:rPr>
                <w:rFonts w:hint="default" w:ascii="Times New Roman" w:hAnsi="Times New Roman" w:eastAsia="仿宋_GB2312" w:cs="Times New Roman"/>
                <w:color w:val="auto"/>
                <w:sz w:val="24"/>
                <w:szCs w:val="24"/>
                <w:lang w:val="en-US" w:eastAsia="zh-CN"/>
              </w:rPr>
            </w:pPr>
          </w:p>
          <w:p w14:paraId="477C6860">
            <w:pPr>
              <w:rPr>
                <w:rFonts w:hint="default" w:ascii="Times New Roman" w:hAnsi="Times New Roman" w:eastAsia="仿宋_GB2312" w:cs="Times New Roman"/>
                <w:color w:val="auto"/>
                <w:sz w:val="24"/>
                <w:szCs w:val="24"/>
                <w:lang w:val="en-US" w:eastAsia="zh-CN"/>
              </w:rPr>
            </w:pPr>
          </w:p>
          <w:p w14:paraId="26889A11">
            <w:pPr>
              <w:rPr>
                <w:rFonts w:hint="default" w:ascii="Times New Roman" w:hAnsi="Times New Roman" w:eastAsia="仿宋_GB2312" w:cs="Times New Roman"/>
                <w:color w:val="auto"/>
                <w:sz w:val="24"/>
                <w:szCs w:val="24"/>
                <w:lang w:val="en-US" w:eastAsia="zh-CN"/>
              </w:rPr>
            </w:pPr>
          </w:p>
          <w:p w14:paraId="4DCDADB5">
            <w:pPr>
              <w:rPr>
                <w:rFonts w:hint="default" w:ascii="Times New Roman" w:hAnsi="Times New Roman" w:eastAsia="仿宋_GB2312" w:cs="Times New Roman"/>
                <w:color w:val="auto"/>
                <w:sz w:val="24"/>
                <w:szCs w:val="24"/>
                <w:lang w:val="en-US" w:eastAsia="zh-CN"/>
              </w:rPr>
            </w:pPr>
          </w:p>
          <w:p w14:paraId="2E52C14B">
            <w:pPr>
              <w:rPr>
                <w:rFonts w:hint="default" w:ascii="Times New Roman" w:hAnsi="Times New Roman" w:eastAsia="仿宋_GB2312" w:cs="Times New Roman"/>
                <w:color w:val="auto"/>
                <w:sz w:val="24"/>
                <w:szCs w:val="24"/>
                <w:lang w:val="en-US" w:eastAsia="zh-CN"/>
              </w:rPr>
            </w:pPr>
          </w:p>
          <w:p w14:paraId="211DFFA4">
            <w:pPr>
              <w:rPr>
                <w:rFonts w:hint="default"/>
                <w:color w:val="auto"/>
                <w:lang w:val="en-US" w:eastAsia="zh-CN"/>
              </w:rPr>
            </w:pPr>
          </w:p>
          <w:p w14:paraId="4B7682FF">
            <w:pPr>
              <w:rPr>
                <w:rFonts w:hint="default"/>
                <w:color w:val="auto"/>
                <w:lang w:val="en-US" w:eastAsia="zh-CN"/>
              </w:rPr>
            </w:pPr>
          </w:p>
          <w:p w14:paraId="10940C52">
            <w:pPr>
              <w:rPr>
                <w:rFonts w:hint="default"/>
                <w:color w:val="auto"/>
                <w:lang w:val="en-US" w:eastAsia="zh-CN"/>
              </w:rPr>
            </w:pPr>
          </w:p>
          <w:p w14:paraId="4D380094">
            <w:pPr>
              <w:rPr>
                <w:rFonts w:hint="default"/>
                <w:color w:val="auto"/>
                <w:lang w:val="en-US" w:eastAsia="zh-CN"/>
              </w:rPr>
            </w:pPr>
          </w:p>
          <w:p w14:paraId="32D05332">
            <w:pPr>
              <w:rPr>
                <w:rFonts w:hint="default"/>
                <w:color w:val="auto"/>
                <w:lang w:val="en-US" w:eastAsia="zh-CN"/>
              </w:rPr>
            </w:pPr>
          </w:p>
          <w:p w14:paraId="413A64BE">
            <w:pPr>
              <w:rPr>
                <w:rFonts w:hint="default"/>
                <w:color w:val="auto"/>
                <w:lang w:val="en-US" w:eastAsia="zh-CN"/>
              </w:rPr>
            </w:pPr>
          </w:p>
          <w:p w14:paraId="22B73888">
            <w:pPr>
              <w:rPr>
                <w:rFonts w:hint="default"/>
                <w:color w:val="auto"/>
                <w:lang w:val="en-US" w:eastAsia="zh-CN"/>
              </w:rPr>
            </w:pPr>
          </w:p>
          <w:p w14:paraId="5F1A47A9">
            <w:pPr>
              <w:rPr>
                <w:rFonts w:hint="default"/>
                <w:color w:val="auto"/>
                <w:lang w:val="en-US" w:eastAsia="zh-CN"/>
              </w:rPr>
            </w:pPr>
          </w:p>
          <w:p w14:paraId="388267AA">
            <w:pPr>
              <w:rPr>
                <w:rFonts w:hint="default"/>
                <w:color w:val="auto"/>
                <w:lang w:val="en-US" w:eastAsia="zh-CN"/>
              </w:rPr>
            </w:pPr>
          </w:p>
          <w:p w14:paraId="361BD0E9">
            <w:pPr>
              <w:rPr>
                <w:rFonts w:hint="default"/>
                <w:color w:val="auto"/>
                <w:lang w:val="en-US" w:eastAsia="zh-CN"/>
              </w:rPr>
            </w:pPr>
          </w:p>
          <w:p w14:paraId="69122A16">
            <w:pPr>
              <w:rPr>
                <w:rFonts w:hint="default"/>
                <w:color w:val="auto"/>
                <w:lang w:val="en-US" w:eastAsia="zh-CN"/>
              </w:rPr>
            </w:pPr>
          </w:p>
          <w:p w14:paraId="0E6DBD6C">
            <w:pPr>
              <w:rPr>
                <w:rFonts w:hint="default"/>
                <w:color w:val="auto"/>
                <w:lang w:val="en-US" w:eastAsia="zh-CN"/>
              </w:rPr>
            </w:pPr>
          </w:p>
          <w:p w14:paraId="12AB1D01">
            <w:pPr>
              <w:rPr>
                <w:rFonts w:hint="default"/>
                <w:color w:val="auto"/>
                <w:lang w:val="en-US" w:eastAsia="zh-CN"/>
              </w:rPr>
            </w:pPr>
          </w:p>
          <w:p w14:paraId="351444A9">
            <w:pPr>
              <w:rPr>
                <w:rFonts w:hint="default"/>
                <w:color w:val="auto"/>
                <w:lang w:val="en-US" w:eastAsia="zh-CN"/>
              </w:rPr>
            </w:pPr>
          </w:p>
          <w:p w14:paraId="3F2E7519">
            <w:pPr>
              <w:rPr>
                <w:rFonts w:hint="default"/>
                <w:color w:val="auto"/>
                <w:lang w:val="en-US" w:eastAsia="zh-CN"/>
              </w:rPr>
            </w:pPr>
          </w:p>
          <w:p w14:paraId="478CFC7A">
            <w:pPr>
              <w:rPr>
                <w:rFonts w:hint="default"/>
                <w:color w:val="auto"/>
                <w:lang w:val="en-US" w:eastAsia="zh-CN"/>
              </w:rPr>
            </w:pPr>
          </w:p>
          <w:p w14:paraId="75B55A7C">
            <w:pPr>
              <w:rPr>
                <w:rFonts w:hint="default"/>
                <w:color w:val="auto"/>
                <w:lang w:val="en-US" w:eastAsia="zh-CN"/>
              </w:rPr>
            </w:pPr>
          </w:p>
          <w:p w14:paraId="5873F78B">
            <w:pPr>
              <w:rPr>
                <w:rFonts w:hint="default"/>
                <w:color w:val="auto"/>
                <w:lang w:val="en-US" w:eastAsia="zh-CN"/>
              </w:rPr>
            </w:pPr>
          </w:p>
          <w:p w14:paraId="6CFD10C2">
            <w:pPr>
              <w:rPr>
                <w:rFonts w:hint="default"/>
                <w:color w:val="auto"/>
                <w:lang w:val="en-US" w:eastAsia="zh-CN"/>
              </w:rPr>
            </w:pPr>
          </w:p>
          <w:p w14:paraId="6E3B4F90">
            <w:pPr>
              <w:rPr>
                <w:rFonts w:hint="default"/>
                <w:color w:val="auto"/>
                <w:lang w:val="en-US" w:eastAsia="zh-CN"/>
              </w:rPr>
            </w:pPr>
          </w:p>
          <w:p w14:paraId="07937C19">
            <w:pPr>
              <w:rPr>
                <w:rFonts w:hint="default"/>
                <w:color w:val="auto"/>
                <w:lang w:val="en-US" w:eastAsia="zh-CN"/>
              </w:rPr>
            </w:pPr>
          </w:p>
          <w:p w14:paraId="533A4647">
            <w:pPr>
              <w:rPr>
                <w:rFonts w:hint="default"/>
                <w:color w:val="auto"/>
                <w:lang w:val="en-US" w:eastAsia="zh-CN"/>
              </w:rPr>
            </w:pPr>
          </w:p>
          <w:p w14:paraId="0EC26161">
            <w:pPr>
              <w:rPr>
                <w:rFonts w:hint="default"/>
                <w:color w:val="auto"/>
                <w:lang w:val="en-US" w:eastAsia="zh-CN"/>
              </w:rPr>
            </w:pPr>
          </w:p>
          <w:p w14:paraId="61021616">
            <w:pPr>
              <w:rPr>
                <w:rFonts w:hint="default"/>
                <w:color w:val="auto"/>
                <w:lang w:val="en-US" w:eastAsia="zh-CN"/>
              </w:rPr>
            </w:pPr>
          </w:p>
          <w:p w14:paraId="51850FFB">
            <w:pPr>
              <w:rPr>
                <w:rFonts w:hint="default"/>
                <w:color w:val="auto"/>
                <w:lang w:val="en-US" w:eastAsia="zh-CN"/>
              </w:rPr>
            </w:pPr>
          </w:p>
          <w:p w14:paraId="101770EB">
            <w:pPr>
              <w:rPr>
                <w:rFonts w:hint="default"/>
                <w:color w:val="auto"/>
                <w:lang w:val="en-US" w:eastAsia="zh-CN"/>
              </w:rPr>
            </w:pPr>
          </w:p>
          <w:p w14:paraId="0AE5D5B8">
            <w:pPr>
              <w:rPr>
                <w:rFonts w:hint="default"/>
                <w:color w:val="auto"/>
                <w:lang w:val="en-US" w:eastAsia="zh-CN"/>
              </w:rPr>
            </w:pPr>
          </w:p>
          <w:p w14:paraId="3B900596">
            <w:pPr>
              <w:rPr>
                <w:rFonts w:hint="default"/>
                <w:color w:val="auto"/>
                <w:lang w:val="en-US" w:eastAsia="zh-CN"/>
              </w:rPr>
            </w:pPr>
          </w:p>
          <w:p w14:paraId="07CD01C7">
            <w:pPr>
              <w:rPr>
                <w:rFonts w:hint="default"/>
                <w:color w:val="auto"/>
                <w:lang w:val="en-US" w:eastAsia="zh-CN"/>
              </w:rPr>
            </w:pPr>
          </w:p>
          <w:p w14:paraId="6D4777FE">
            <w:pPr>
              <w:rPr>
                <w:rFonts w:hint="default"/>
                <w:color w:val="auto"/>
                <w:lang w:val="en-US" w:eastAsia="zh-CN"/>
              </w:rPr>
            </w:pPr>
          </w:p>
          <w:p w14:paraId="4ADBB919">
            <w:pPr>
              <w:rPr>
                <w:rFonts w:hint="default"/>
                <w:color w:val="auto"/>
                <w:lang w:val="en-US" w:eastAsia="zh-CN"/>
              </w:rPr>
            </w:pPr>
          </w:p>
          <w:p w14:paraId="2F886769">
            <w:pPr>
              <w:rPr>
                <w:rFonts w:hint="default"/>
                <w:color w:val="auto"/>
                <w:lang w:val="en-US" w:eastAsia="zh-CN"/>
              </w:rPr>
            </w:pPr>
          </w:p>
          <w:p w14:paraId="7A4CAF40">
            <w:pPr>
              <w:rPr>
                <w:rFonts w:hint="default"/>
                <w:color w:val="auto"/>
                <w:lang w:val="en-US" w:eastAsia="zh-CN"/>
              </w:rPr>
            </w:pPr>
          </w:p>
          <w:p w14:paraId="05868BB4">
            <w:pPr>
              <w:rPr>
                <w:rFonts w:hint="default"/>
                <w:color w:val="auto"/>
                <w:lang w:val="en-US" w:eastAsia="zh-CN"/>
              </w:rPr>
            </w:pPr>
          </w:p>
          <w:p w14:paraId="78685FA2">
            <w:pPr>
              <w:rPr>
                <w:rFonts w:hint="default"/>
                <w:color w:val="auto"/>
                <w:lang w:val="en-US" w:eastAsia="zh-CN"/>
              </w:rPr>
            </w:pPr>
          </w:p>
          <w:p w14:paraId="4A746180">
            <w:pPr>
              <w:rPr>
                <w:rFonts w:hint="default"/>
                <w:color w:val="auto"/>
                <w:lang w:val="en-US" w:eastAsia="zh-CN"/>
              </w:rPr>
            </w:pPr>
          </w:p>
          <w:p w14:paraId="77E6831C">
            <w:pPr>
              <w:rPr>
                <w:rFonts w:hint="default"/>
                <w:color w:val="auto"/>
                <w:lang w:val="en-US" w:eastAsia="zh-CN"/>
              </w:rPr>
            </w:pPr>
          </w:p>
        </w:tc>
      </w:tr>
    </w:tbl>
    <w:p w14:paraId="562000F7">
      <w:pPr>
        <w:adjustRightInd w:val="0"/>
        <w:snapToGrid w:val="0"/>
        <w:spacing w:line="360" w:lineRule="auto"/>
        <w:rPr>
          <w:rFonts w:hint="eastAsia" w:ascii="宋体" w:cs="宋体"/>
          <w:b/>
          <w:color w:val="auto"/>
          <w:kern w:val="0"/>
          <w:sz w:val="28"/>
          <w:szCs w:val="28"/>
        </w:rPr>
        <w:sectPr>
          <w:pgSz w:w="11907" w:h="16840"/>
          <w:pgMar w:top="1531" w:right="1531" w:bottom="153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467DBF71">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3" w:name="_Hlk54167917"/>
      <w:r>
        <w:rPr>
          <w:rFonts w:hint="eastAsia" w:ascii="黑体" w:hAnsi="黑体" w:eastAsia="黑体"/>
          <w:snapToGrid w:val="0"/>
          <w:color w:val="auto"/>
          <w:sz w:val="30"/>
          <w:szCs w:val="30"/>
        </w:rPr>
        <w:t>环境保护措施监督检查清单</w:t>
      </w:r>
      <w:bookmarkEnd w:id="3"/>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742"/>
        <w:gridCol w:w="1050"/>
        <w:gridCol w:w="1258"/>
        <w:gridCol w:w="2208"/>
        <w:gridCol w:w="2342"/>
      </w:tblGrid>
      <w:tr w14:paraId="27635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0" w:type="dxa"/>
            <w:tcBorders>
              <w:tl2br w:val="single" w:color="auto" w:sz="4" w:space="0"/>
            </w:tcBorders>
            <w:noWrap w:val="0"/>
            <w:vAlign w:val="top"/>
          </w:tcPr>
          <w:p w14:paraId="331C1F98">
            <w:pPr>
              <w:adjustRightInd w:val="0"/>
              <w:snapToGrid w:val="0"/>
              <w:ind w:firstLine="84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内容</w:t>
            </w:r>
          </w:p>
          <w:p w14:paraId="253C154A">
            <w:pPr>
              <w:adjustRightInd w:val="0"/>
              <w:snapToGrid w:val="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要素</w:t>
            </w:r>
          </w:p>
        </w:tc>
        <w:tc>
          <w:tcPr>
            <w:tcW w:w="1792" w:type="dxa"/>
            <w:gridSpan w:val="2"/>
            <w:noWrap w:val="0"/>
            <w:vAlign w:val="center"/>
          </w:tcPr>
          <w:p w14:paraId="6062AFBC">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排放口</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rPr>
              <w:t>编号、</w:t>
            </w:r>
          </w:p>
          <w:p w14:paraId="3DAA9466">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名称</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rPr>
              <w:t>/污染源</w:t>
            </w:r>
          </w:p>
        </w:tc>
        <w:tc>
          <w:tcPr>
            <w:tcW w:w="1258" w:type="dxa"/>
            <w:noWrap w:val="0"/>
            <w:vAlign w:val="center"/>
          </w:tcPr>
          <w:p w14:paraId="60D962B2">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污染物</w:t>
            </w:r>
          </w:p>
          <w:p w14:paraId="490825EB">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项目</w:t>
            </w:r>
          </w:p>
        </w:tc>
        <w:tc>
          <w:tcPr>
            <w:tcW w:w="2208" w:type="dxa"/>
            <w:noWrap w:val="0"/>
            <w:vAlign w:val="center"/>
          </w:tcPr>
          <w:p w14:paraId="55C2CF7A">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环境保护措施</w:t>
            </w:r>
          </w:p>
        </w:tc>
        <w:tc>
          <w:tcPr>
            <w:tcW w:w="2342" w:type="dxa"/>
            <w:noWrap w:val="0"/>
            <w:vAlign w:val="center"/>
          </w:tcPr>
          <w:p w14:paraId="0095CE13">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执行标准</w:t>
            </w:r>
          </w:p>
        </w:tc>
      </w:tr>
      <w:tr w14:paraId="213D3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0" w:type="dxa"/>
            <w:vMerge w:val="restart"/>
            <w:noWrap w:val="0"/>
            <w:vAlign w:val="center"/>
          </w:tcPr>
          <w:p w14:paraId="2FE180D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大气环境</w:t>
            </w:r>
          </w:p>
        </w:tc>
        <w:tc>
          <w:tcPr>
            <w:tcW w:w="742" w:type="dxa"/>
            <w:vMerge w:val="restart"/>
            <w:noWrap w:val="0"/>
            <w:vAlign w:val="center"/>
          </w:tcPr>
          <w:p w14:paraId="6F503A48">
            <w:pPr>
              <w:adjustRightInd w:val="0"/>
              <w:snapToGrid w:val="0"/>
              <w:jc w:val="center"/>
              <w:rPr>
                <w:rFonts w:hint="default" w:ascii="Times New Roman" w:hAnsi="Times New Roman" w:eastAsia="仿宋_GB2312" w:cs="Times New Roman"/>
                <w:b w:val="0"/>
                <w:bCs/>
                <w:color w:val="auto"/>
                <w:sz w:val="24"/>
                <w:szCs w:val="24"/>
                <w:highlight w:val="none"/>
                <w:vertAlign w:val="baseline"/>
                <w:lang w:val="en-US" w:eastAsia="zh-CN" w:bidi="ar"/>
              </w:rPr>
            </w:pPr>
            <w:r>
              <w:rPr>
                <w:rFonts w:hint="default" w:ascii="Times New Roman" w:hAnsi="Times New Roman" w:eastAsia="仿宋_GB2312" w:cs="Times New Roman"/>
                <w:b w:val="0"/>
                <w:bCs/>
                <w:color w:val="auto"/>
                <w:sz w:val="24"/>
                <w:szCs w:val="24"/>
                <w:highlight w:val="none"/>
                <w:vertAlign w:val="baseline"/>
                <w:lang w:val="en-US" w:eastAsia="zh-CN" w:bidi="ar"/>
              </w:rPr>
              <w:t>厂区无组织废气</w:t>
            </w:r>
          </w:p>
        </w:tc>
        <w:tc>
          <w:tcPr>
            <w:tcW w:w="1050" w:type="dxa"/>
            <w:noWrap w:val="0"/>
            <w:vAlign w:val="center"/>
          </w:tcPr>
          <w:p w14:paraId="082E4EFD">
            <w:pPr>
              <w:adjustRightInd w:val="0"/>
              <w:snapToGrid w:val="0"/>
              <w:jc w:val="center"/>
              <w:rPr>
                <w:rFonts w:hint="default" w:ascii="Times New Roman" w:hAnsi="Times New Roman" w:eastAsia="仿宋_GB2312" w:cs="Times New Roman"/>
                <w:b w:val="0"/>
                <w:bCs/>
                <w:color w:val="auto"/>
                <w:sz w:val="24"/>
                <w:szCs w:val="24"/>
                <w:highlight w:val="none"/>
                <w:vertAlign w:val="baseline"/>
                <w:lang w:val="en-US" w:eastAsia="zh-CN" w:bidi="ar"/>
              </w:rPr>
            </w:pPr>
            <w:r>
              <w:rPr>
                <w:rFonts w:hint="default" w:ascii="Times New Roman" w:hAnsi="Times New Roman" w:eastAsia="仿宋_GB2312" w:cs="Times New Roman"/>
                <w:b w:val="0"/>
                <w:bCs/>
                <w:color w:val="auto"/>
                <w:sz w:val="24"/>
                <w:szCs w:val="24"/>
                <w:highlight w:val="none"/>
                <w:vertAlign w:val="baseline"/>
                <w:lang w:val="en-US" w:eastAsia="zh-CN" w:bidi="ar"/>
              </w:rPr>
              <w:t>水泥筒仓废气</w:t>
            </w:r>
          </w:p>
        </w:tc>
        <w:tc>
          <w:tcPr>
            <w:tcW w:w="1258" w:type="dxa"/>
            <w:noWrap w:val="0"/>
            <w:vAlign w:val="center"/>
          </w:tcPr>
          <w:p w14:paraId="10786F3E">
            <w:pPr>
              <w:adjustRightInd w:val="0"/>
              <w:snapToGrid w:val="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颗粒物</w:t>
            </w:r>
          </w:p>
        </w:tc>
        <w:tc>
          <w:tcPr>
            <w:tcW w:w="2208" w:type="dxa"/>
            <w:noWrap w:val="0"/>
            <w:vAlign w:val="center"/>
          </w:tcPr>
          <w:p w14:paraId="2C51C6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color w:val="auto"/>
                <w:sz w:val="24"/>
                <w:szCs w:val="24"/>
                <w:highlight w:val="none"/>
                <w:vertAlign w:val="baseline"/>
                <w:lang w:val="en-US" w:eastAsia="zh-CN" w:bidi="ar"/>
              </w:rPr>
            </w:pPr>
            <w:r>
              <w:rPr>
                <w:rFonts w:hint="default" w:ascii="Times New Roman" w:hAnsi="Times New Roman" w:eastAsia="仿宋_GB2312" w:cs="Times New Roman"/>
                <w:b w:val="0"/>
                <w:bCs w:val="0"/>
                <w:color w:val="auto"/>
                <w:kern w:val="2"/>
                <w:sz w:val="24"/>
                <w:szCs w:val="24"/>
                <w:lang w:val="en-US" w:eastAsia="zh-CN" w:bidi="ar-SA"/>
              </w:rPr>
              <w:t>筒仓配套脉冲除尘器</w:t>
            </w:r>
          </w:p>
        </w:tc>
        <w:tc>
          <w:tcPr>
            <w:tcW w:w="2342" w:type="dxa"/>
            <w:vMerge w:val="restart"/>
            <w:noWrap w:val="0"/>
            <w:vAlign w:val="center"/>
          </w:tcPr>
          <w:p w14:paraId="6EF932BD">
            <w:pPr>
              <w:adjustRightInd w:val="0"/>
              <w:snapToGrid w:val="0"/>
              <w:jc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lang w:val="en-US" w:eastAsia="zh-CN"/>
              </w:rPr>
              <w:t>《水泥工业大气污染物排放标准》（DB64/1995-2024）表2企业边界大气污染物浓度限值要求</w:t>
            </w:r>
          </w:p>
        </w:tc>
      </w:tr>
      <w:tr w14:paraId="1BEF1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0" w:type="dxa"/>
            <w:vMerge w:val="continue"/>
            <w:noWrap w:val="0"/>
            <w:vAlign w:val="center"/>
          </w:tcPr>
          <w:p w14:paraId="44E9BAE0">
            <w:pPr>
              <w:adjustRightInd w:val="0"/>
              <w:snapToGrid w:val="0"/>
              <w:jc w:val="center"/>
              <w:rPr>
                <w:rFonts w:hint="default" w:ascii="Times New Roman" w:hAnsi="Times New Roman" w:eastAsia="仿宋_GB2312" w:cs="Times New Roman"/>
                <w:b/>
                <w:bCs/>
                <w:color w:val="auto"/>
                <w:sz w:val="24"/>
                <w:szCs w:val="24"/>
              </w:rPr>
            </w:pPr>
          </w:p>
        </w:tc>
        <w:tc>
          <w:tcPr>
            <w:tcW w:w="742" w:type="dxa"/>
            <w:vMerge w:val="continue"/>
            <w:noWrap w:val="0"/>
            <w:vAlign w:val="center"/>
          </w:tcPr>
          <w:p w14:paraId="1DEF02DC">
            <w:pPr>
              <w:adjustRightInd w:val="0"/>
              <w:snapToGrid w:val="0"/>
              <w:jc w:val="center"/>
              <w:rPr>
                <w:rFonts w:hint="default" w:ascii="Times New Roman" w:hAnsi="Times New Roman" w:eastAsia="仿宋_GB2312" w:cs="Times New Roman"/>
                <w:b w:val="0"/>
                <w:bCs/>
                <w:color w:val="auto"/>
                <w:sz w:val="24"/>
                <w:szCs w:val="24"/>
                <w:highlight w:val="none"/>
                <w:vertAlign w:val="baseline"/>
                <w:lang w:val="en-US" w:eastAsia="zh-CN" w:bidi="ar"/>
              </w:rPr>
            </w:pPr>
          </w:p>
        </w:tc>
        <w:tc>
          <w:tcPr>
            <w:tcW w:w="1050" w:type="dxa"/>
            <w:noWrap w:val="0"/>
            <w:vAlign w:val="center"/>
          </w:tcPr>
          <w:p w14:paraId="08E37405">
            <w:pPr>
              <w:adjustRightInd w:val="0"/>
              <w:snapToGrid w:val="0"/>
              <w:jc w:val="center"/>
              <w:rPr>
                <w:rFonts w:hint="default" w:ascii="Times New Roman" w:hAnsi="Times New Roman" w:eastAsia="仿宋_GB2312" w:cs="Times New Roman"/>
                <w:b w:val="0"/>
                <w:bCs/>
                <w:color w:val="auto"/>
                <w:sz w:val="24"/>
                <w:szCs w:val="24"/>
                <w:highlight w:val="none"/>
                <w:vertAlign w:val="baseline"/>
                <w:lang w:val="en-US" w:eastAsia="zh-CN" w:bidi="ar"/>
              </w:rPr>
            </w:pPr>
            <w:r>
              <w:rPr>
                <w:rFonts w:hint="default" w:ascii="Times New Roman" w:hAnsi="Times New Roman" w:eastAsia="仿宋_GB2312" w:cs="Times New Roman"/>
                <w:b w:val="0"/>
                <w:bCs/>
                <w:color w:val="auto"/>
                <w:sz w:val="24"/>
                <w:szCs w:val="24"/>
                <w:highlight w:val="none"/>
                <w:vertAlign w:val="baseline"/>
                <w:lang w:val="en-US" w:eastAsia="zh-CN" w:bidi="ar"/>
              </w:rPr>
              <w:t>粉煤灰筒仓</w:t>
            </w:r>
          </w:p>
        </w:tc>
        <w:tc>
          <w:tcPr>
            <w:tcW w:w="1258" w:type="dxa"/>
            <w:noWrap w:val="0"/>
            <w:vAlign w:val="center"/>
          </w:tcPr>
          <w:p w14:paraId="1CA64CBC">
            <w:pPr>
              <w:adjustRightInd w:val="0"/>
              <w:snapToGrid w:val="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颗粒物</w:t>
            </w:r>
          </w:p>
        </w:tc>
        <w:tc>
          <w:tcPr>
            <w:tcW w:w="2208" w:type="dxa"/>
            <w:noWrap w:val="0"/>
            <w:vAlign w:val="center"/>
          </w:tcPr>
          <w:p w14:paraId="065B93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color w:val="auto"/>
                <w:sz w:val="24"/>
                <w:szCs w:val="24"/>
                <w:highlight w:val="none"/>
                <w:vertAlign w:val="baseline"/>
                <w:lang w:bidi="ar"/>
              </w:rPr>
            </w:pPr>
            <w:r>
              <w:rPr>
                <w:rFonts w:hint="default" w:ascii="Times New Roman" w:hAnsi="Times New Roman" w:eastAsia="仿宋_GB2312" w:cs="Times New Roman"/>
                <w:b w:val="0"/>
                <w:bCs w:val="0"/>
                <w:color w:val="auto"/>
                <w:kern w:val="2"/>
                <w:sz w:val="24"/>
                <w:szCs w:val="24"/>
                <w:lang w:val="en-US" w:eastAsia="zh-CN" w:bidi="ar-SA"/>
              </w:rPr>
              <w:t>筒仓配套脉冲除尘器</w:t>
            </w:r>
          </w:p>
        </w:tc>
        <w:tc>
          <w:tcPr>
            <w:tcW w:w="2342" w:type="dxa"/>
            <w:vMerge w:val="continue"/>
            <w:noWrap w:val="0"/>
            <w:vAlign w:val="center"/>
          </w:tcPr>
          <w:p w14:paraId="3D0FBE76">
            <w:pPr>
              <w:adjustRightInd w:val="0"/>
              <w:snapToGrid w:val="0"/>
              <w:jc w:val="both"/>
              <w:rPr>
                <w:rFonts w:hint="default" w:ascii="Times New Roman" w:hAnsi="Times New Roman" w:eastAsia="仿宋_GB2312" w:cs="Times New Roman"/>
                <w:color w:val="auto"/>
                <w:sz w:val="24"/>
                <w:szCs w:val="24"/>
                <w:highlight w:val="none"/>
              </w:rPr>
            </w:pPr>
          </w:p>
        </w:tc>
      </w:tr>
      <w:tr w14:paraId="75460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0" w:type="dxa"/>
            <w:vMerge w:val="continue"/>
            <w:noWrap w:val="0"/>
            <w:vAlign w:val="center"/>
          </w:tcPr>
          <w:p w14:paraId="71CC306D">
            <w:pPr>
              <w:adjustRightInd w:val="0"/>
              <w:snapToGrid w:val="0"/>
              <w:jc w:val="center"/>
              <w:rPr>
                <w:rFonts w:hint="default" w:ascii="Times New Roman" w:hAnsi="Times New Roman" w:eastAsia="仿宋_GB2312" w:cs="Times New Roman"/>
                <w:b/>
                <w:bCs/>
                <w:color w:val="auto"/>
                <w:sz w:val="24"/>
                <w:szCs w:val="24"/>
              </w:rPr>
            </w:pPr>
          </w:p>
        </w:tc>
        <w:tc>
          <w:tcPr>
            <w:tcW w:w="742" w:type="dxa"/>
            <w:vMerge w:val="continue"/>
            <w:noWrap w:val="0"/>
            <w:vAlign w:val="center"/>
          </w:tcPr>
          <w:p w14:paraId="5B832D8C">
            <w:pPr>
              <w:adjustRightInd w:val="0"/>
              <w:snapToGrid w:val="0"/>
              <w:jc w:val="center"/>
              <w:rPr>
                <w:rFonts w:hint="default" w:ascii="Times New Roman" w:hAnsi="Times New Roman" w:eastAsia="仿宋_GB2312" w:cs="Times New Roman"/>
                <w:b w:val="0"/>
                <w:bCs/>
                <w:color w:val="auto"/>
                <w:sz w:val="24"/>
                <w:szCs w:val="24"/>
                <w:highlight w:val="none"/>
                <w:vertAlign w:val="baseline"/>
                <w:lang w:val="en-US" w:eastAsia="zh-CN" w:bidi="ar"/>
              </w:rPr>
            </w:pPr>
          </w:p>
        </w:tc>
        <w:tc>
          <w:tcPr>
            <w:tcW w:w="1050" w:type="dxa"/>
            <w:shd w:val="clear" w:color="auto" w:fill="auto"/>
            <w:noWrap w:val="0"/>
            <w:vAlign w:val="center"/>
          </w:tcPr>
          <w:p w14:paraId="11520D4C">
            <w:pPr>
              <w:adjustRightInd w:val="0"/>
              <w:snapToGrid w:val="0"/>
              <w:jc w:val="center"/>
              <w:rPr>
                <w:rFonts w:hint="default" w:ascii="Times New Roman" w:hAnsi="Times New Roman" w:eastAsia="仿宋_GB2312" w:cs="Times New Roman"/>
                <w:b w:val="0"/>
                <w:bCs/>
                <w:color w:val="auto"/>
                <w:kern w:val="2"/>
                <w:sz w:val="24"/>
                <w:szCs w:val="24"/>
                <w:highlight w:val="none"/>
                <w:vertAlign w:val="baseline"/>
                <w:lang w:val="en-US" w:eastAsia="zh-CN" w:bidi="ar"/>
              </w:rPr>
            </w:pPr>
            <w:r>
              <w:rPr>
                <w:rFonts w:hint="default" w:ascii="Times New Roman" w:hAnsi="Times New Roman" w:eastAsia="仿宋_GB2312" w:cs="Times New Roman"/>
                <w:b w:val="0"/>
                <w:bCs/>
                <w:color w:val="auto"/>
                <w:sz w:val="24"/>
                <w:szCs w:val="24"/>
                <w:highlight w:val="none"/>
                <w:vertAlign w:val="baseline"/>
                <w:lang w:val="en-US" w:eastAsia="zh-CN" w:bidi="ar"/>
              </w:rPr>
              <w:t>堆料棚粉尘</w:t>
            </w:r>
          </w:p>
        </w:tc>
        <w:tc>
          <w:tcPr>
            <w:tcW w:w="1258" w:type="dxa"/>
            <w:shd w:val="clear" w:color="auto" w:fill="auto"/>
            <w:noWrap w:val="0"/>
            <w:vAlign w:val="center"/>
          </w:tcPr>
          <w:p w14:paraId="605DFEBF">
            <w:pPr>
              <w:adjustRightInd w:val="0"/>
              <w:snapToGrid w:val="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颗粒物</w:t>
            </w:r>
          </w:p>
        </w:tc>
        <w:tc>
          <w:tcPr>
            <w:tcW w:w="2208" w:type="dxa"/>
            <w:shd w:val="clear" w:color="auto" w:fill="auto"/>
            <w:noWrap w:val="0"/>
            <w:vAlign w:val="center"/>
          </w:tcPr>
          <w:p w14:paraId="563302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color w:val="auto"/>
                <w:sz w:val="24"/>
                <w:szCs w:val="24"/>
                <w:highlight w:val="none"/>
                <w:vertAlign w:val="baseline"/>
                <w:lang w:eastAsia="zh-CN" w:bidi="ar"/>
              </w:rPr>
            </w:pPr>
            <w:r>
              <w:rPr>
                <w:rFonts w:hint="default" w:ascii="Times New Roman" w:hAnsi="Times New Roman" w:eastAsia="仿宋_GB2312" w:cs="Times New Roman"/>
                <w:b w:val="0"/>
                <w:bCs w:val="0"/>
                <w:color w:val="auto"/>
                <w:kern w:val="2"/>
                <w:sz w:val="24"/>
                <w:szCs w:val="24"/>
                <w:lang w:val="en-US" w:eastAsia="zh-CN" w:bidi="ar-SA"/>
              </w:rPr>
              <w:t>篷布遮盖、地表硬化、定期喷水措施</w:t>
            </w:r>
          </w:p>
        </w:tc>
        <w:tc>
          <w:tcPr>
            <w:tcW w:w="2342" w:type="dxa"/>
            <w:vMerge w:val="continue"/>
            <w:noWrap w:val="0"/>
            <w:vAlign w:val="center"/>
          </w:tcPr>
          <w:p w14:paraId="79780A5E">
            <w:pPr>
              <w:adjustRightInd w:val="0"/>
              <w:snapToGrid w:val="0"/>
              <w:jc w:val="center"/>
              <w:rPr>
                <w:rFonts w:hint="default" w:ascii="Times New Roman" w:hAnsi="Times New Roman" w:eastAsia="仿宋_GB2312" w:cs="Times New Roman"/>
                <w:color w:val="auto"/>
                <w:sz w:val="24"/>
                <w:szCs w:val="24"/>
                <w:highlight w:val="none"/>
              </w:rPr>
            </w:pPr>
          </w:p>
        </w:tc>
      </w:tr>
      <w:tr w14:paraId="0FE43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0" w:type="dxa"/>
            <w:vMerge w:val="continue"/>
            <w:noWrap w:val="0"/>
            <w:vAlign w:val="center"/>
          </w:tcPr>
          <w:p w14:paraId="09F20083">
            <w:pPr>
              <w:adjustRightInd w:val="0"/>
              <w:snapToGrid w:val="0"/>
              <w:jc w:val="center"/>
              <w:rPr>
                <w:rFonts w:hint="default" w:ascii="Times New Roman" w:hAnsi="Times New Roman" w:eastAsia="仿宋_GB2312" w:cs="Times New Roman"/>
                <w:b/>
                <w:bCs/>
                <w:color w:val="auto"/>
                <w:sz w:val="24"/>
                <w:szCs w:val="24"/>
              </w:rPr>
            </w:pPr>
          </w:p>
        </w:tc>
        <w:tc>
          <w:tcPr>
            <w:tcW w:w="742" w:type="dxa"/>
            <w:vMerge w:val="continue"/>
            <w:noWrap w:val="0"/>
            <w:vAlign w:val="center"/>
          </w:tcPr>
          <w:p w14:paraId="4D5C54BC">
            <w:pPr>
              <w:adjustRightInd w:val="0"/>
              <w:snapToGrid w:val="0"/>
              <w:jc w:val="center"/>
              <w:rPr>
                <w:rFonts w:hint="default" w:ascii="Times New Roman" w:hAnsi="Times New Roman" w:eastAsia="仿宋_GB2312" w:cs="Times New Roman"/>
                <w:b w:val="0"/>
                <w:bCs/>
                <w:color w:val="auto"/>
                <w:sz w:val="24"/>
                <w:szCs w:val="24"/>
                <w:highlight w:val="none"/>
                <w:vertAlign w:val="baseline"/>
                <w:lang w:val="en-US" w:eastAsia="zh-CN" w:bidi="ar"/>
              </w:rPr>
            </w:pPr>
          </w:p>
        </w:tc>
        <w:tc>
          <w:tcPr>
            <w:tcW w:w="1050" w:type="dxa"/>
            <w:shd w:val="clear" w:color="auto" w:fill="auto"/>
            <w:noWrap w:val="0"/>
            <w:vAlign w:val="center"/>
          </w:tcPr>
          <w:p w14:paraId="463B85CA">
            <w:pPr>
              <w:adjustRightInd w:val="0"/>
              <w:snapToGrid w:val="0"/>
              <w:jc w:val="center"/>
              <w:rPr>
                <w:rFonts w:hint="default" w:ascii="Times New Roman" w:hAnsi="Times New Roman" w:eastAsia="仿宋_GB2312" w:cs="Times New Roman"/>
                <w:b w:val="0"/>
                <w:bCs/>
                <w:color w:val="auto"/>
                <w:kern w:val="2"/>
                <w:sz w:val="24"/>
                <w:szCs w:val="24"/>
                <w:highlight w:val="none"/>
                <w:vertAlign w:val="baseline"/>
                <w:lang w:val="en-US" w:eastAsia="zh-CN" w:bidi="ar"/>
              </w:rPr>
            </w:pPr>
            <w:r>
              <w:rPr>
                <w:rFonts w:hint="default" w:ascii="Times New Roman" w:hAnsi="Times New Roman" w:eastAsia="仿宋_GB2312" w:cs="Times New Roman"/>
                <w:b w:val="0"/>
                <w:bCs/>
                <w:color w:val="auto"/>
                <w:sz w:val="24"/>
                <w:szCs w:val="24"/>
                <w:highlight w:val="none"/>
                <w:vertAlign w:val="baseline"/>
                <w:lang w:val="en-US" w:eastAsia="zh-CN" w:bidi="ar"/>
              </w:rPr>
              <w:t>搅拌粉尘</w:t>
            </w:r>
          </w:p>
        </w:tc>
        <w:tc>
          <w:tcPr>
            <w:tcW w:w="1258" w:type="dxa"/>
            <w:shd w:val="clear" w:color="auto" w:fill="auto"/>
            <w:noWrap w:val="0"/>
            <w:vAlign w:val="center"/>
          </w:tcPr>
          <w:p w14:paraId="5333D3A4">
            <w:pPr>
              <w:adjustRightInd w:val="0"/>
              <w:snapToGrid w:val="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颗粒物</w:t>
            </w:r>
          </w:p>
        </w:tc>
        <w:tc>
          <w:tcPr>
            <w:tcW w:w="2208" w:type="dxa"/>
            <w:shd w:val="clear" w:color="auto" w:fill="auto"/>
            <w:noWrap w:val="0"/>
            <w:vAlign w:val="center"/>
          </w:tcPr>
          <w:p w14:paraId="2DB5FC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color w:val="auto"/>
                <w:kern w:val="2"/>
                <w:sz w:val="24"/>
                <w:szCs w:val="24"/>
                <w:highlight w:val="none"/>
                <w:vertAlign w:val="baseline"/>
                <w:lang w:val="en-US" w:eastAsia="zh-CN" w:bidi="ar"/>
              </w:rPr>
            </w:pPr>
            <w:r>
              <w:rPr>
                <w:rFonts w:hint="default" w:ascii="Times New Roman" w:hAnsi="Times New Roman" w:eastAsia="仿宋_GB2312" w:cs="Times New Roman"/>
                <w:b w:val="0"/>
                <w:bCs w:val="0"/>
                <w:color w:val="auto"/>
                <w:sz w:val="24"/>
                <w:szCs w:val="24"/>
                <w:lang w:eastAsia="zh-CN"/>
              </w:rPr>
              <w:t>全封闭式拌合楼内进行，搅拌过程大量加入新鲜水</w:t>
            </w:r>
          </w:p>
        </w:tc>
        <w:tc>
          <w:tcPr>
            <w:tcW w:w="2342" w:type="dxa"/>
            <w:vMerge w:val="continue"/>
            <w:noWrap w:val="0"/>
            <w:vAlign w:val="center"/>
          </w:tcPr>
          <w:p w14:paraId="14D6899D">
            <w:pPr>
              <w:adjustRightInd w:val="0"/>
              <w:snapToGrid w:val="0"/>
              <w:jc w:val="center"/>
              <w:rPr>
                <w:rFonts w:hint="default" w:ascii="Times New Roman" w:hAnsi="Times New Roman" w:eastAsia="仿宋_GB2312" w:cs="Times New Roman"/>
                <w:color w:val="auto"/>
                <w:sz w:val="24"/>
                <w:szCs w:val="24"/>
                <w:highlight w:val="none"/>
                <w:lang w:val="en-US"/>
              </w:rPr>
            </w:pPr>
          </w:p>
        </w:tc>
      </w:tr>
      <w:tr w14:paraId="28048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0" w:type="dxa"/>
            <w:vMerge w:val="continue"/>
            <w:noWrap w:val="0"/>
            <w:vAlign w:val="center"/>
          </w:tcPr>
          <w:p w14:paraId="1AB68856">
            <w:pPr>
              <w:adjustRightInd w:val="0"/>
              <w:snapToGrid w:val="0"/>
              <w:jc w:val="center"/>
              <w:rPr>
                <w:rFonts w:hint="default" w:ascii="Times New Roman" w:hAnsi="Times New Roman" w:eastAsia="仿宋_GB2312" w:cs="Times New Roman"/>
                <w:color w:val="auto"/>
                <w:sz w:val="24"/>
                <w:szCs w:val="24"/>
              </w:rPr>
            </w:pPr>
          </w:p>
        </w:tc>
        <w:tc>
          <w:tcPr>
            <w:tcW w:w="1792" w:type="dxa"/>
            <w:gridSpan w:val="2"/>
            <w:noWrap w:val="0"/>
            <w:vAlign w:val="center"/>
          </w:tcPr>
          <w:p w14:paraId="1A232989">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食堂油烟排放口</w:t>
            </w:r>
          </w:p>
        </w:tc>
        <w:tc>
          <w:tcPr>
            <w:tcW w:w="1258" w:type="dxa"/>
            <w:noWrap w:val="0"/>
            <w:vAlign w:val="center"/>
          </w:tcPr>
          <w:p w14:paraId="3F3091A0">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油烟</w:t>
            </w:r>
          </w:p>
        </w:tc>
        <w:tc>
          <w:tcPr>
            <w:tcW w:w="2208" w:type="dxa"/>
            <w:noWrap w:val="0"/>
            <w:vAlign w:val="center"/>
          </w:tcPr>
          <w:p w14:paraId="5CCBC06F">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配套安装油烟净化器</w:t>
            </w:r>
          </w:p>
        </w:tc>
        <w:tc>
          <w:tcPr>
            <w:tcW w:w="2342" w:type="dxa"/>
            <w:noWrap w:val="0"/>
            <w:vAlign w:val="center"/>
          </w:tcPr>
          <w:p w14:paraId="3FE69597">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《饮食业油烟排放标准（试行）》（GB18483-2001）标准要求</w:t>
            </w:r>
          </w:p>
        </w:tc>
      </w:tr>
      <w:tr w14:paraId="6B1C9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0" w:type="dxa"/>
            <w:noWrap w:val="0"/>
            <w:vAlign w:val="center"/>
          </w:tcPr>
          <w:p w14:paraId="77DE003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地表水环境</w:t>
            </w:r>
          </w:p>
        </w:tc>
        <w:tc>
          <w:tcPr>
            <w:tcW w:w="1792" w:type="dxa"/>
            <w:gridSpan w:val="2"/>
            <w:noWrap w:val="0"/>
            <w:vAlign w:val="center"/>
          </w:tcPr>
          <w:p w14:paraId="33DDB574">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生活污水</w:t>
            </w:r>
          </w:p>
        </w:tc>
        <w:tc>
          <w:tcPr>
            <w:tcW w:w="1258" w:type="dxa"/>
            <w:noWrap w:val="0"/>
            <w:vAlign w:val="center"/>
          </w:tcPr>
          <w:p w14:paraId="1793D74D">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val="en-US" w:eastAsia="zh-CN"/>
              </w:rPr>
              <w:t>pH、</w:t>
            </w:r>
            <w:r>
              <w:rPr>
                <w:rFonts w:hint="default" w:ascii="Times New Roman" w:hAnsi="Times New Roman" w:eastAsia="仿宋_GB2312" w:cs="Times New Roman"/>
                <w:color w:val="auto"/>
                <w:sz w:val="24"/>
                <w:szCs w:val="24"/>
                <w:highlight w:val="none"/>
              </w:rPr>
              <w:t>COD、BOD</w:t>
            </w:r>
            <w:r>
              <w:rPr>
                <w:rFonts w:hint="default" w:ascii="Times New Roman" w:hAnsi="Times New Roman" w:eastAsia="仿宋_GB2312" w:cs="Times New Roman"/>
                <w:color w:val="auto"/>
                <w:sz w:val="24"/>
                <w:szCs w:val="24"/>
                <w:highlight w:val="none"/>
                <w:vertAlign w:val="subscript"/>
              </w:rPr>
              <w:t>5</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CN"/>
              </w:rPr>
              <w:t>总磷、</w:t>
            </w:r>
            <w:r>
              <w:rPr>
                <w:rFonts w:hint="default" w:ascii="Times New Roman" w:hAnsi="Times New Roman" w:eastAsia="仿宋_GB2312" w:cs="Times New Roman"/>
                <w:color w:val="auto"/>
                <w:sz w:val="24"/>
                <w:szCs w:val="24"/>
                <w:highlight w:val="none"/>
                <w:lang w:val="en-US" w:eastAsia="zh-CN"/>
              </w:rPr>
              <w:t>氨氮、SS、动植物油</w:t>
            </w:r>
          </w:p>
        </w:tc>
        <w:tc>
          <w:tcPr>
            <w:tcW w:w="2208" w:type="dxa"/>
            <w:noWrap w:val="0"/>
            <w:vAlign w:val="center"/>
          </w:tcPr>
          <w:p w14:paraId="5C8DBBC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食堂废水经隔油设施处理后，与生活污水一同进入</w:t>
            </w:r>
            <w:r>
              <w:rPr>
                <w:rFonts w:hint="default" w:ascii="Times New Roman" w:hAnsi="Times New Roman" w:eastAsia="仿宋_GB2312" w:cs="Times New Roman"/>
                <w:color w:val="auto"/>
                <w:sz w:val="24"/>
                <w:szCs w:val="24"/>
              </w:rPr>
              <w:t>化粪池处理后</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定期拉运至</w:t>
            </w:r>
            <w:r>
              <w:rPr>
                <w:rFonts w:hint="default" w:ascii="Times New Roman" w:hAnsi="Times New Roman" w:eastAsia="仿宋_GB2312" w:cs="Times New Roman"/>
                <w:color w:val="auto"/>
                <w:sz w:val="24"/>
                <w:szCs w:val="24"/>
                <w:lang w:val="en-US" w:eastAsia="zh-CN"/>
              </w:rPr>
              <w:t>中卫市沙坡头区兴仁镇污水处理厂</w:t>
            </w:r>
            <w:r>
              <w:rPr>
                <w:rFonts w:hint="default" w:ascii="Times New Roman" w:hAnsi="Times New Roman" w:eastAsia="仿宋_GB2312" w:cs="Times New Roman"/>
                <w:color w:val="auto"/>
                <w:sz w:val="24"/>
                <w:szCs w:val="24"/>
              </w:rPr>
              <w:t>进行处理</w:t>
            </w:r>
          </w:p>
        </w:tc>
        <w:tc>
          <w:tcPr>
            <w:tcW w:w="2342" w:type="dxa"/>
            <w:noWrap w:val="0"/>
            <w:vAlign w:val="center"/>
          </w:tcPr>
          <w:p w14:paraId="510F4376">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《污水综合排放标准》（GB8978-1996）中三级标准</w:t>
            </w:r>
          </w:p>
        </w:tc>
      </w:tr>
      <w:tr w14:paraId="1E12A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0" w:type="dxa"/>
            <w:noWrap w:val="0"/>
            <w:vAlign w:val="center"/>
          </w:tcPr>
          <w:p w14:paraId="125BB67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声环境</w:t>
            </w:r>
          </w:p>
        </w:tc>
        <w:tc>
          <w:tcPr>
            <w:tcW w:w="5258" w:type="dxa"/>
            <w:gridSpan w:val="4"/>
            <w:noWrap w:val="0"/>
            <w:vAlign w:val="center"/>
          </w:tcPr>
          <w:p w14:paraId="1C6C3235">
            <w:pPr>
              <w:adjustRightInd w:val="0"/>
              <w:snapToGrid w:val="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本项目运营期噪声污染源主要是搅拌机、提升机等设备运转时产生的噪声及车辆噪声，噪声源强为75dB(A)~85dB(A)。本项目采用低噪声设备，合理布局、并采取基础减振、隔声等降噪措施后不会对周围环境造成影响。</w:t>
            </w:r>
          </w:p>
        </w:tc>
        <w:tc>
          <w:tcPr>
            <w:tcW w:w="2342" w:type="dxa"/>
            <w:noWrap w:val="0"/>
            <w:vAlign w:val="center"/>
          </w:tcPr>
          <w:p w14:paraId="1284AC0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《工业企业厂界环境噪声排放标准》（GB12348-2008）2类标准要求</w:t>
            </w:r>
          </w:p>
        </w:tc>
      </w:tr>
      <w:tr w14:paraId="10520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00" w:type="dxa"/>
            <w:noWrap w:val="0"/>
            <w:vAlign w:val="center"/>
          </w:tcPr>
          <w:p w14:paraId="295332BD">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eastAsia="zh-CN"/>
              </w:rPr>
              <w:t>电磁辐射</w:t>
            </w:r>
          </w:p>
        </w:tc>
        <w:tc>
          <w:tcPr>
            <w:tcW w:w="1792" w:type="dxa"/>
            <w:gridSpan w:val="2"/>
            <w:noWrap w:val="0"/>
            <w:vAlign w:val="center"/>
          </w:tcPr>
          <w:p w14:paraId="1BDD6FC6">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w:t>
            </w:r>
          </w:p>
        </w:tc>
        <w:tc>
          <w:tcPr>
            <w:tcW w:w="1258" w:type="dxa"/>
            <w:noWrap w:val="0"/>
            <w:vAlign w:val="center"/>
          </w:tcPr>
          <w:p w14:paraId="3D75F0C3">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w:t>
            </w:r>
          </w:p>
        </w:tc>
        <w:tc>
          <w:tcPr>
            <w:tcW w:w="2208" w:type="dxa"/>
            <w:noWrap w:val="0"/>
            <w:vAlign w:val="center"/>
          </w:tcPr>
          <w:p w14:paraId="4E0416B3">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2342" w:type="dxa"/>
            <w:noWrap w:val="0"/>
            <w:vAlign w:val="center"/>
          </w:tcPr>
          <w:p w14:paraId="1114118E">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w:t>
            </w:r>
          </w:p>
        </w:tc>
      </w:tr>
      <w:tr w14:paraId="051E5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00" w:type="dxa"/>
            <w:noWrap w:val="0"/>
            <w:vAlign w:val="center"/>
          </w:tcPr>
          <w:p w14:paraId="59D8E6E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固体废物</w:t>
            </w:r>
          </w:p>
        </w:tc>
        <w:tc>
          <w:tcPr>
            <w:tcW w:w="1792" w:type="dxa"/>
            <w:gridSpan w:val="2"/>
            <w:noWrap w:val="0"/>
            <w:vAlign w:val="center"/>
          </w:tcPr>
          <w:p w14:paraId="26D2E5BE">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员工生活</w:t>
            </w:r>
          </w:p>
        </w:tc>
        <w:tc>
          <w:tcPr>
            <w:tcW w:w="1258" w:type="dxa"/>
            <w:noWrap w:val="0"/>
            <w:vAlign w:val="center"/>
          </w:tcPr>
          <w:p w14:paraId="53664D86">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生活垃圾</w:t>
            </w:r>
          </w:p>
        </w:tc>
        <w:tc>
          <w:tcPr>
            <w:tcW w:w="2208" w:type="dxa"/>
            <w:noWrap w:val="0"/>
            <w:vAlign w:val="center"/>
          </w:tcPr>
          <w:p w14:paraId="6A01C755">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经生活垃圾收集箱分类集中收集，由环卫部门统一清运处理</w:t>
            </w:r>
          </w:p>
        </w:tc>
        <w:tc>
          <w:tcPr>
            <w:tcW w:w="2342" w:type="dxa"/>
            <w:noWrap w:val="0"/>
            <w:vAlign w:val="center"/>
          </w:tcPr>
          <w:p w14:paraId="4F1A8416">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安全处置、</w:t>
            </w:r>
          </w:p>
          <w:p w14:paraId="2AE4542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符合环保要求</w:t>
            </w:r>
          </w:p>
        </w:tc>
      </w:tr>
      <w:tr w14:paraId="1D093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200" w:type="dxa"/>
            <w:vMerge w:val="restart"/>
            <w:noWrap w:val="0"/>
            <w:vAlign w:val="center"/>
          </w:tcPr>
          <w:p w14:paraId="1898B5C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固体废物</w:t>
            </w:r>
          </w:p>
        </w:tc>
        <w:tc>
          <w:tcPr>
            <w:tcW w:w="1792" w:type="dxa"/>
            <w:gridSpan w:val="2"/>
            <w:vMerge w:val="restart"/>
            <w:noWrap w:val="0"/>
            <w:vAlign w:val="center"/>
          </w:tcPr>
          <w:p w14:paraId="2FF1DD91">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生产加工</w:t>
            </w:r>
          </w:p>
        </w:tc>
        <w:tc>
          <w:tcPr>
            <w:tcW w:w="1258" w:type="dxa"/>
            <w:noWrap w:val="0"/>
            <w:vAlign w:val="center"/>
          </w:tcPr>
          <w:p w14:paraId="2DD700BA">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沉淀池沉渣</w:t>
            </w:r>
          </w:p>
        </w:tc>
        <w:tc>
          <w:tcPr>
            <w:tcW w:w="2208" w:type="dxa"/>
            <w:noWrap w:val="0"/>
            <w:vAlign w:val="center"/>
          </w:tcPr>
          <w:p w14:paraId="362888DA">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收集后回用于生产</w:t>
            </w:r>
          </w:p>
        </w:tc>
        <w:tc>
          <w:tcPr>
            <w:tcW w:w="2342" w:type="dxa"/>
            <w:noWrap w:val="0"/>
            <w:vAlign w:val="center"/>
          </w:tcPr>
          <w:p w14:paraId="065EBA52">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安全处置、</w:t>
            </w:r>
          </w:p>
          <w:p w14:paraId="421D0F3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符合环保要求</w:t>
            </w:r>
          </w:p>
        </w:tc>
      </w:tr>
      <w:tr w14:paraId="60466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200" w:type="dxa"/>
            <w:vMerge w:val="continue"/>
            <w:noWrap w:val="0"/>
            <w:vAlign w:val="center"/>
          </w:tcPr>
          <w:p w14:paraId="34C60FC0">
            <w:pPr>
              <w:adjustRightInd w:val="0"/>
              <w:snapToGrid w:val="0"/>
              <w:jc w:val="center"/>
              <w:rPr>
                <w:rFonts w:hint="default" w:ascii="Times New Roman" w:hAnsi="Times New Roman" w:eastAsia="仿宋_GB2312" w:cs="Times New Roman"/>
                <w:color w:val="auto"/>
                <w:sz w:val="24"/>
                <w:szCs w:val="24"/>
              </w:rPr>
            </w:pPr>
          </w:p>
        </w:tc>
        <w:tc>
          <w:tcPr>
            <w:tcW w:w="1792" w:type="dxa"/>
            <w:gridSpan w:val="2"/>
            <w:vMerge w:val="continue"/>
            <w:noWrap w:val="0"/>
            <w:vAlign w:val="center"/>
          </w:tcPr>
          <w:p w14:paraId="3D443663">
            <w:pPr>
              <w:adjustRightInd w:val="0"/>
              <w:snapToGrid w:val="0"/>
              <w:jc w:val="center"/>
              <w:rPr>
                <w:rFonts w:hint="default" w:ascii="Times New Roman" w:hAnsi="Times New Roman" w:eastAsia="仿宋_GB2312" w:cs="Times New Roman"/>
                <w:color w:val="auto"/>
                <w:sz w:val="24"/>
                <w:szCs w:val="24"/>
                <w:lang w:eastAsia="zh-CN"/>
              </w:rPr>
            </w:pPr>
          </w:p>
        </w:tc>
        <w:tc>
          <w:tcPr>
            <w:tcW w:w="1258" w:type="dxa"/>
            <w:noWrap w:val="0"/>
            <w:vAlign w:val="center"/>
          </w:tcPr>
          <w:p w14:paraId="78DDC1B6">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除尘器收尘灰</w:t>
            </w:r>
            <w:r>
              <w:rPr>
                <w:rFonts w:hint="default" w:ascii="Times New Roman" w:hAnsi="Times New Roman" w:eastAsia="仿宋_GB2312" w:cs="Times New Roman"/>
                <w:color w:val="auto"/>
                <w:sz w:val="24"/>
                <w:szCs w:val="24"/>
                <w:lang w:val="en-US" w:eastAsia="zh-CN"/>
              </w:rPr>
              <w:t>及洒水抑尘</w:t>
            </w:r>
          </w:p>
        </w:tc>
        <w:tc>
          <w:tcPr>
            <w:tcW w:w="2208" w:type="dxa"/>
            <w:noWrap w:val="0"/>
            <w:vAlign w:val="center"/>
          </w:tcPr>
          <w:p w14:paraId="69376946">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收集后回用于</w:t>
            </w:r>
          </w:p>
          <w:p w14:paraId="20502995">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生产</w:t>
            </w:r>
          </w:p>
        </w:tc>
        <w:tc>
          <w:tcPr>
            <w:tcW w:w="2342" w:type="dxa"/>
            <w:noWrap w:val="0"/>
            <w:vAlign w:val="center"/>
          </w:tcPr>
          <w:p w14:paraId="17DAF6EE">
            <w:pPr>
              <w:adjustRightInd w:val="0"/>
              <w:snapToGrid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安全处置、</w:t>
            </w:r>
          </w:p>
          <w:p w14:paraId="41E1049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符合环保要求</w:t>
            </w:r>
          </w:p>
        </w:tc>
      </w:tr>
      <w:tr w14:paraId="1D017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00" w:type="dxa"/>
            <w:noWrap w:val="0"/>
            <w:vAlign w:val="center"/>
          </w:tcPr>
          <w:p w14:paraId="6BF1CCDE">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生态保护措施</w:t>
            </w:r>
          </w:p>
        </w:tc>
        <w:tc>
          <w:tcPr>
            <w:tcW w:w="7600" w:type="dxa"/>
            <w:gridSpan w:val="5"/>
            <w:noWrap w:val="0"/>
            <w:vAlign w:val="center"/>
          </w:tcPr>
          <w:p w14:paraId="15D1B949">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2"/>
                <w:sz w:val="24"/>
                <w:szCs w:val="24"/>
                <w:lang w:val="en-US" w:eastAsia="zh-CN" w:bidi="ar-SA"/>
              </w:rPr>
              <w:t>项目涉及的环境影响因素，均已采取针对性措施，废水、废气的排放可达到该地区所要求的环境标准，项目正常运行后，对周围生态环境质量影响较小。</w:t>
            </w:r>
          </w:p>
        </w:tc>
      </w:tr>
      <w:tr w14:paraId="62252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00" w:type="dxa"/>
            <w:noWrap w:val="0"/>
            <w:vAlign w:val="center"/>
          </w:tcPr>
          <w:p w14:paraId="74C04BB0">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土壤及地下水污染防治措施</w:t>
            </w:r>
          </w:p>
        </w:tc>
        <w:tc>
          <w:tcPr>
            <w:tcW w:w="7600" w:type="dxa"/>
            <w:gridSpan w:val="5"/>
            <w:noWrap w:val="0"/>
            <w:vAlign w:val="center"/>
          </w:tcPr>
          <w:p w14:paraId="683B21FD">
            <w:pPr>
              <w:pStyle w:val="48"/>
              <w:keepNext w:val="0"/>
              <w:keepLines w:val="0"/>
              <w:pageBreakBefore w:val="0"/>
              <w:widowControl w:val="0"/>
              <w:kinsoku/>
              <w:wordWrap/>
              <w:overflowPunct/>
              <w:topLinePunct w:val="0"/>
              <w:autoSpaceDE/>
              <w:autoSpaceDN/>
              <w:bidi w:val="0"/>
              <w:adjustRightInd w:val="0"/>
              <w:snapToGrid/>
              <w:spacing w:line="240" w:lineRule="auto"/>
              <w:ind w:firstLine="42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本项目对</w:t>
            </w:r>
            <w:r>
              <w:rPr>
                <w:rFonts w:hint="default" w:ascii="Times New Roman" w:hAnsi="Times New Roman" w:eastAsia="仿宋_GB2312" w:cs="Times New Roman"/>
                <w:color w:val="auto"/>
                <w:sz w:val="24"/>
                <w:szCs w:val="24"/>
                <w:lang w:val="en-US" w:eastAsia="zh-CN"/>
              </w:rPr>
              <w:t>化粪池等采取</w:t>
            </w:r>
            <w:r>
              <w:rPr>
                <w:rFonts w:hint="default" w:ascii="Times New Roman" w:hAnsi="Times New Roman" w:eastAsia="仿宋_GB2312" w:cs="Times New Roman"/>
                <w:color w:val="auto"/>
                <w:sz w:val="24"/>
                <w:szCs w:val="24"/>
              </w:rPr>
              <w:t>一般防渗，等效黏土防渗层Mb≥1.5m，K≤1×10</w:t>
            </w:r>
            <w:r>
              <w:rPr>
                <w:rFonts w:hint="default" w:ascii="Times New Roman" w:hAnsi="Times New Roman" w:eastAsia="仿宋_GB2312" w:cs="Times New Roman"/>
                <w:color w:val="auto"/>
                <w:sz w:val="24"/>
                <w:szCs w:val="24"/>
                <w:vertAlign w:val="superscript"/>
              </w:rPr>
              <w:t>-7</w:t>
            </w:r>
            <w:r>
              <w:rPr>
                <w:rFonts w:hint="default" w:ascii="Times New Roman" w:hAnsi="Times New Roman" w:eastAsia="仿宋_GB2312" w:cs="Times New Roman"/>
                <w:color w:val="auto"/>
                <w:sz w:val="24"/>
                <w:szCs w:val="24"/>
              </w:rPr>
              <w:t>cm/s；对办公、生活区、厂区道路及厂区内其他区域进行简单防渗，采取一般地面硬化处理</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 xml:space="preserve"> </w:t>
            </w:r>
          </w:p>
        </w:tc>
      </w:tr>
      <w:tr w14:paraId="74AD1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00" w:type="dxa"/>
            <w:noWrap w:val="0"/>
            <w:vAlign w:val="center"/>
          </w:tcPr>
          <w:p w14:paraId="3CAF5221">
            <w:pPr>
              <w:adjustRightInd w:val="0"/>
              <w:snapToGrid w:val="0"/>
              <w:jc w:val="center"/>
              <w:rPr>
                <w:rFonts w:hint="default" w:ascii="Times New Roman" w:hAnsi="Times New Roman" w:eastAsia="仿宋_GB2312" w:cs="Times New Roman"/>
                <w:b/>
                <w:bCs/>
                <w:color w:val="auto"/>
                <w:spacing w:val="-8"/>
                <w:sz w:val="24"/>
                <w:szCs w:val="24"/>
              </w:rPr>
            </w:pPr>
            <w:r>
              <w:rPr>
                <w:rFonts w:hint="default" w:ascii="Times New Roman" w:hAnsi="Times New Roman" w:eastAsia="仿宋_GB2312" w:cs="Times New Roman"/>
                <w:b/>
                <w:bCs/>
                <w:color w:val="auto"/>
                <w:spacing w:val="-8"/>
                <w:sz w:val="24"/>
                <w:szCs w:val="24"/>
              </w:rPr>
              <w:t>环境风险</w:t>
            </w:r>
          </w:p>
          <w:p w14:paraId="4CACE346">
            <w:pPr>
              <w:adjustRightInd w:val="0"/>
              <w:snapToGrid w:val="0"/>
              <w:jc w:val="center"/>
              <w:rPr>
                <w:rFonts w:hint="default" w:ascii="Times New Roman" w:hAnsi="Times New Roman" w:eastAsia="仿宋_GB2312" w:cs="Times New Roman"/>
                <w:b/>
                <w:bCs/>
                <w:color w:val="auto"/>
                <w:spacing w:val="-8"/>
                <w:sz w:val="24"/>
                <w:szCs w:val="24"/>
              </w:rPr>
            </w:pPr>
            <w:r>
              <w:rPr>
                <w:rFonts w:hint="default" w:ascii="Times New Roman" w:hAnsi="Times New Roman" w:eastAsia="仿宋_GB2312" w:cs="Times New Roman"/>
                <w:b/>
                <w:bCs/>
                <w:color w:val="auto"/>
                <w:spacing w:val="-8"/>
                <w:sz w:val="24"/>
                <w:szCs w:val="24"/>
              </w:rPr>
              <w:t>防范措施</w:t>
            </w:r>
          </w:p>
        </w:tc>
        <w:tc>
          <w:tcPr>
            <w:tcW w:w="7600" w:type="dxa"/>
            <w:gridSpan w:val="5"/>
            <w:noWrap w:val="0"/>
            <w:vAlign w:val="center"/>
          </w:tcPr>
          <w:p w14:paraId="5678ABF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无</w:t>
            </w:r>
          </w:p>
        </w:tc>
      </w:tr>
      <w:tr w14:paraId="66557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1200" w:type="dxa"/>
            <w:noWrap w:val="0"/>
            <w:vAlign w:val="center"/>
          </w:tcPr>
          <w:p w14:paraId="16286723">
            <w:pPr>
              <w:adjustRightInd w:val="0"/>
              <w:snapToGrid w:val="0"/>
              <w:jc w:val="center"/>
              <w:rPr>
                <w:rFonts w:hint="default" w:ascii="Times New Roman" w:hAnsi="Times New Roman" w:eastAsia="仿宋_GB2312" w:cs="Times New Roman"/>
                <w:b/>
                <w:bCs/>
                <w:color w:val="auto"/>
                <w:spacing w:val="-8"/>
                <w:sz w:val="24"/>
                <w:szCs w:val="24"/>
              </w:rPr>
            </w:pPr>
            <w:r>
              <w:rPr>
                <w:rFonts w:hint="default" w:ascii="Times New Roman" w:hAnsi="Times New Roman" w:eastAsia="仿宋_GB2312" w:cs="Times New Roman"/>
                <w:b/>
                <w:bCs/>
                <w:color w:val="auto"/>
                <w:spacing w:val="-8"/>
                <w:sz w:val="24"/>
                <w:szCs w:val="24"/>
              </w:rPr>
              <w:t>其他环境</w:t>
            </w:r>
          </w:p>
          <w:p w14:paraId="2CCEA97D">
            <w:pPr>
              <w:adjustRightInd w:val="0"/>
              <w:snapToGrid w:val="0"/>
              <w:jc w:val="center"/>
              <w:rPr>
                <w:rFonts w:hint="default" w:ascii="Times New Roman" w:hAnsi="Times New Roman" w:eastAsia="仿宋_GB2312" w:cs="Times New Roman"/>
                <w:b/>
                <w:bCs/>
                <w:color w:val="auto"/>
                <w:spacing w:val="-8"/>
                <w:sz w:val="24"/>
                <w:szCs w:val="24"/>
              </w:rPr>
            </w:pPr>
            <w:r>
              <w:rPr>
                <w:rFonts w:hint="default" w:ascii="Times New Roman" w:hAnsi="Times New Roman" w:eastAsia="仿宋_GB2312" w:cs="Times New Roman"/>
                <w:b/>
                <w:bCs/>
                <w:color w:val="auto"/>
                <w:spacing w:val="-8"/>
                <w:sz w:val="24"/>
                <w:szCs w:val="24"/>
              </w:rPr>
              <w:t>管理要求</w:t>
            </w:r>
          </w:p>
        </w:tc>
        <w:tc>
          <w:tcPr>
            <w:tcW w:w="7600" w:type="dxa"/>
            <w:gridSpan w:val="5"/>
            <w:noWrap w:val="0"/>
            <w:vAlign w:val="center"/>
          </w:tcPr>
          <w:p w14:paraId="6F147845">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fldChar w:fldCharType="begin"/>
            </w:r>
            <w:r>
              <w:rPr>
                <w:rFonts w:hint="default" w:ascii="Times New Roman" w:hAnsi="Times New Roman" w:eastAsia="仿宋_GB2312" w:cs="Times New Roman"/>
                <w:color w:val="auto"/>
                <w:sz w:val="24"/>
                <w:szCs w:val="24"/>
                <w:highlight w:val="none"/>
                <w:lang w:val="en-US" w:eastAsia="zh-CN"/>
              </w:rPr>
              <w:instrText xml:space="preserve"> = 1 \* GB2 \* MERGEFORMAT </w:instrText>
            </w:r>
            <w:r>
              <w:rPr>
                <w:rFonts w:hint="default" w:ascii="Times New Roman" w:hAnsi="Times New Roman" w:eastAsia="仿宋_GB2312" w:cs="Times New Roman"/>
                <w:color w:val="auto"/>
                <w:sz w:val="24"/>
                <w:szCs w:val="24"/>
                <w:highlight w:val="none"/>
                <w:lang w:val="en-US" w:eastAsia="zh-CN"/>
              </w:rPr>
              <w:fldChar w:fldCharType="separate"/>
            </w:r>
            <w:r>
              <w:rPr>
                <w:rFonts w:hint="default" w:ascii="Times New Roman" w:hAnsi="Times New Roman" w:eastAsia="仿宋_GB2312" w:cs="Times New Roman"/>
                <w:color w:val="auto"/>
                <w:sz w:val="24"/>
                <w:szCs w:val="24"/>
                <w:highlight w:val="none"/>
                <w:lang w:val="en-US" w:eastAsia="zh-CN"/>
              </w:rPr>
              <w:t>⑴</w:t>
            </w:r>
            <w:r>
              <w:rPr>
                <w:rFonts w:hint="default" w:ascii="Times New Roman" w:hAnsi="Times New Roman" w:eastAsia="仿宋_GB2312" w:cs="Times New Roman"/>
                <w:color w:val="auto"/>
                <w:sz w:val="24"/>
                <w:szCs w:val="24"/>
                <w:highlight w:val="none"/>
                <w:lang w:val="en-US" w:eastAsia="zh-CN"/>
              </w:rPr>
              <w:fldChar w:fldCharType="end"/>
            </w:r>
            <w:r>
              <w:rPr>
                <w:rFonts w:hint="default" w:ascii="Times New Roman" w:hAnsi="Times New Roman" w:eastAsia="仿宋_GB2312" w:cs="Times New Roman"/>
                <w:color w:val="auto"/>
                <w:sz w:val="24"/>
                <w:szCs w:val="24"/>
                <w:highlight w:val="none"/>
                <w:lang w:val="en-US" w:eastAsia="zh-CN"/>
              </w:rPr>
              <w:t>加强运营期各项污染防治措施，保证各类污染物的达标排放。</w:t>
            </w:r>
          </w:p>
          <w:p w14:paraId="0C474217">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fldChar w:fldCharType="begin"/>
            </w:r>
            <w:r>
              <w:rPr>
                <w:rFonts w:hint="default" w:ascii="Times New Roman" w:hAnsi="Times New Roman" w:eastAsia="仿宋_GB2312" w:cs="Times New Roman"/>
                <w:color w:val="auto"/>
                <w:sz w:val="24"/>
                <w:szCs w:val="24"/>
                <w:highlight w:val="none"/>
                <w:lang w:val="en-US" w:eastAsia="zh-CN"/>
              </w:rPr>
              <w:instrText xml:space="preserve"> = 2 \* GB2 \* MERGEFORMAT </w:instrText>
            </w:r>
            <w:r>
              <w:rPr>
                <w:rFonts w:hint="default" w:ascii="Times New Roman" w:hAnsi="Times New Roman" w:eastAsia="仿宋_GB2312" w:cs="Times New Roman"/>
                <w:color w:val="auto"/>
                <w:sz w:val="24"/>
                <w:szCs w:val="24"/>
                <w:highlight w:val="none"/>
                <w:lang w:val="en-US" w:eastAsia="zh-CN"/>
              </w:rPr>
              <w:fldChar w:fldCharType="separate"/>
            </w:r>
            <w:r>
              <w:rPr>
                <w:rFonts w:hint="default" w:ascii="Times New Roman" w:hAnsi="Times New Roman" w:eastAsia="仿宋_GB2312" w:cs="Times New Roman"/>
                <w:color w:val="auto"/>
                <w:sz w:val="24"/>
                <w:szCs w:val="24"/>
                <w:highlight w:val="none"/>
                <w:lang w:val="en-US" w:eastAsia="zh-CN"/>
              </w:rPr>
              <w:t>⑵</w:t>
            </w:r>
            <w:r>
              <w:rPr>
                <w:rFonts w:hint="default" w:ascii="Times New Roman" w:hAnsi="Times New Roman" w:eastAsia="仿宋_GB2312" w:cs="Times New Roman"/>
                <w:color w:val="auto"/>
                <w:sz w:val="24"/>
                <w:szCs w:val="24"/>
                <w:highlight w:val="none"/>
                <w:lang w:val="en-US" w:eastAsia="zh-CN"/>
              </w:rPr>
              <w:fldChar w:fldCharType="end"/>
            </w:r>
            <w:r>
              <w:rPr>
                <w:rFonts w:hint="default" w:ascii="Times New Roman" w:hAnsi="Times New Roman" w:eastAsia="仿宋_GB2312" w:cs="Times New Roman"/>
                <w:color w:val="auto"/>
                <w:sz w:val="24"/>
                <w:szCs w:val="24"/>
                <w:highlight w:val="none"/>
                <w:lang w:val="en-US" w:eastAsia="zh-CN"/>
              </w:rPr>
              <w:t>加强污染防治设备的日常管理和维护，定期对其进行检修，确保正常运行。</w:t>
            </w:r>
          </w:p>
          <w:p w14:paraId="1A53A4AF">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fldChar w:fldCharType="begin"/>
            </w:r>
            <w:r>
              <w:rPr>
                <w:rFonts w:hint="default" w:ascii="Times New Roman" w:hAnsi="Times New Roman" w:eastAsia="仿宋_GB2312" w:cs="Times New Roman"/>
                <w:color w:val="auto"/>
                <w:sz w:val="24"/>
                <w:szCs w:val="24"/>
                <w:highlight w:val="none"/>
                <w:lang w:val="en-US" w:eastAsia="zh-CN"/>
              </w:rPr>
              <w:instrText xml:space="preserve"> = 3 \* GB2 \* MERGEFORMAT </w:instrText>
            </w:r>
            <w:r>
              <w:rPr>
                <w:rFonts w:hint="default" w:ascii="Times New Roman" w:hAnsi="Times New Roman" w:eastAsia="仿宋_GB2312" w:cs="Times New Roman"/>
                <w:color w:val="auto"/>
                <w:sz w:val="24"/>
                <w:szCs w:val="24"/>
                <w:highlight w:val="none"/>
                <w:lang w:val="en-US" w:eastAsia="zh-CN"/>
              </w:rPr>
              <w:fldChar w:fldCharType="separate"/>
            </w:r>
            <w:r>
              <w:rPr>
                <w:rFonts w:hint="default" w:ascii="Times New Roman" w:hAnsi="Times New Roman" w:eastAsia="仿宋_GB2312" w:cs="Times New Roman"/>
                <w:color w:val="auto"/>
                <w:sz w:val="24"/>
                <w:szCs w:val="24"/>
                <w:highlight w:val="none"/>
                <w:lang w:val="en-US" w:eastAsia="zh-CN"/>
              </w:rPr>
              <w:t>⑶</w:t>
            </w:r>
            <w:r>
              <w:rPr>
                <w:rFonts w:hint="default" w:ascii="Times New Roman" w:hAnsi="Times New Roman" w:eastAsia="仿宋_GB2312" w:cs="Times New Roman"/>
                <w:color w:val="auto"/>
                <w:sz w:val="24"/>
                <w:szCs w:val="24"/>
                <w:highlight w:val="none"/>
                <w:lang w:val="en-US" w:eastAsia="zh-CN"/>
              </w:rPr>
              <w:fldChar w:fldCharType="end"/>
            </w:r>
            <w:r>
              <w:rPr>
                <w:rFonts w:hint="default" w:ascii="Times New Roman" w:hAnsi="Times New Roman" w:eastAsia="仿宋_GB2312" w:cs="Times New Roman"/>
                <w:color w:val="auto"/>
                <w:sz w:val="24"/>
                <w:szCs w:val="24"/>
                <w:highlight w:val="none"/>
                <w:lang w:val="en-US" w:eastAsia="zh-CN"/>
              </w:rPr>
              <w:t>加强企业的环境教育宣传，制定环保规章制度及环保设施操作管理规程，建立健全各项环保岗位责任制，确保环保设施正常、稳定运行。</w:t>
            </w:r>
          </w:p>
          <w:p w14:paraId="3A5AEE1C">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fldChar w:fldCharType="begin"/>
            </w:r>
            <w:r>
              <w:rPr>
                <w:rFonts w:hint="default" w:ascii="Times New Roman" w:hAnsi="Times New Roman" w:eastAsia="仿宋_GB2312" w:cs="Times New Roman"/>
                <w:color w:val="auto"/>
                <w:sz w:val="24"/>
                <w:szCs w:val="24"/>
                <w:highlight w:val="none"/>
                <w:lang w:val="en-US" w:eastAsia="zh-CN"/>
              </w:rPr>
              <w:instrText xml:space="preserve"> = 4 \* GB2 \* MERGEFORMAT </w:instrText>
            </w:r>
            <w:r>
              <w:rPr>
                <w:rFonts w:hint="default" w:ascii="Times New Roman" w:hAnsi="Times New Roman" w:eastAsia="仿宋_GB2312" w:cs="Times New Roman"/>
                <w:color w:val="auto"/>
                <w:sz w:val="24"/>
                <w:szCs w:val="24"/>
                <w:highlight w:val="none"/>
                <w:lang w:val="en-US" w:eastAsia="zh-CN"/>
              </w:rPr>
              <w:fldChar w:fldCharType="separate"/>
            </w:r>
            <w:r>
              <w:rPr>
                <w:rFonts w:hint="default" w:ascii="Times New Roman" w:hAnsi="Times New Roman" w:eastAsia="仿宋_GB2312" w:cs="Times New Roman"/>
                <w:color w:val="auto"/>
                <w:sz w:val="24"/>
                <w:szCs w:val="24"/>
                <w:highlight w:val="none"/>
                <w:lang w:val="en-US" w:eastAsia="zh-CN"/>
              </w:rPr>
              <w:t>⑷</w:t>
            </w:r>
            <w:r>
              <w:rPr>
                <w:rFonts w:hint="default" w:ascii="Times New Roman" w:hAnsi="Times New Roman" w:eastAsia="仿宋_GB2312" w:cs="Times New Roman"/>
                <w:color w:val="auto"/>
                <w:sz w:val="24"/>
                <w:szCs w:val="24"/>
                <w:highlight w:val="none"/>
                <w:lang w:val="en-US" w:eastAsia="zh-CN"/>
              </w:rPr>
              <w:fldChar w:fldCharType="end"/>
            </w:r>
            <w:r>
              <w:rPr>
                <w:rFonts w:hint="default" w:ascii="Times New Roman" w:hAnsi="Times New Roman" w:eastAsia="仿宋_GB2312" w:cs="Times New Roman"/>
                <w:color w:val="auto"/>
                <w:sz w:val="24"/>
                <w:szCs w:val="24"/>
                <w:highlight w:val="none"/>
                <w:lang w:val="en-US" w:eastAsia="zh-CN"/>
              </w:rPr>
              <w:t>在项目厂区设置明显的限速和禁鸣标志，加强进出车辆的管理，以减少车辆产生的噪声对环境的影响。</w:t>
            </w:r>
          </w:p>
          <w:p w14:paraId="05DC1FC7">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val="en-US" w:eastAsia="zh-CN"/>
              </w:rPr>
              <w:fldChar w:fldCharType="begin"/>
            </w:r>
            <w:r>
              <w:rPr>
                <w:rFonts w:hint="default" w:ascii="Times New Roman" w:hAnsi="Times New Roman" w:eastAsia="仿宋_GB2312" w:cs="Times New Roman"/>
                <w:color w:val="auto"/>
                <w:sz w:val="24"/>
                <w:szCs w:val="24"/>
                <w:highlight w:val="none"/>
                <w:lang w:val="en-US" w:eastAsia="zh-CN"/>
              </w:rPr>
              <w:instrText xml:space="preserve"> = 5 \* GB2 \* MERGEFORMAT </w:instrText>
            </w:r>
            <w:r>
              <w:rPr>
                <w:rFonts w:hint="default" w:ascii="Times New Roman" w:hAnsi="Times New Roman" w:eastAsia="仿宋_GB2312" w:cs="Times New Roman"/>
                <w:color w:val="auto"/>
                <w:sz w:val="24"/>
                <w:szCs w:val="24"/>
                <w:highlight w:val="none"/>
                <w:lang w:val="en-US" w:eastAsia="zh-CN"/>
              </w:rPr>
              <w:fldChar w:fldCharType="separate"/>
            </w:r>
            <w:r>
              <w:rPr>
                <w:rFonts w:hint="default" w:ascii="Times New Roman" w:hAnsi="Times New Roman" w:eastAsia="仿宋_GB2312" w:cs="Times New Roman"/>
                <w:color w:val="auto"/>
                <w:sz w:val="24"/>
                <w:szCs w:val="24"/>
                <w:highlight w:val="none"/>
                <w:lang w:val="en-US" w:eastAsia="zh-CN"/>
              </w:rPr>
              <w:t>⑸</w:t>
            </w:r>
            <w:r>
              <w:rPr>
                <w:rFonts w:hint="default" w:ascii="Times New Roman" w:hAnsi="Times New Roman" w:eastAsia="仿宋_GB2312" w:cs="Times New Roman"/>
                <w:color w:val="auto"/>
                <w:sz w:val="24"/>
                <w:szCs w:val="24"/>
                <w:highlight w:val="none"/>
                <w:lang w:val="en-US" w:eastAsia="zh-CN"/>
              </w:rPr>
              <w:fldChar w:fldCharType="end"/>
            </w:r>
            <w:r>
              <w:rPr>
                <w:rFonts w:hint="default" w:ascii="Times New Roman" w:hAnsi="Times New Roman" w:eastAsia="仿宋_GB2312" w:cs="Times New Roman"/>
                <w:color w:val="auto"/>
                <w:sz w:val="24"/>
                <w:szCs w:val="24"/>
                <w:highlight w:val="none"/>
                <w:lang w:val="en-US" w:eastAsia="zh-CN"/>
              </w:rPr>
              <w:t>项目投入生产运行后，按照国务院环境保护行政主管部门规定的标准和程序，对配套建设的环境保护设施进行验收。</w:t>
            </w:r>
          </w:p>
        </w:tc>
      </w:tr>
    </w:tbl>
    <w:p w14:paraId="71016671">
      <w:pPr>
        <w:pStyle w:val="19"/>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CC4C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67A19E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上所述，本项目运营期在切实落实本次环评报告中提出的各项污染防治措施及环境管理措施后，能够有效减轻对周边环境的影响，本项目为临时工程，随着运营期的结束，项目产生的环境污染影响也将消失。运营期满后按复垦方案恢复区域生态环境，能够有效将项目对生态环境影响降到最低。</w:t>
            </w:r>
          </w:p>
          <w:p w14:paraId="640FB3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color w:val="auto"/>
                <w:sz w:val="24"/>
              </w:rPr>
            </w:pPr>
            <w:r>
              <w:rPr>
                <w:rFonts w:hint="default" w:ascii="Times New Roman" w:hAnsi="Times New Roman" w:eastAsia="仿宋_GB2312" w:cs="Times New Roman"/>
                <w:color w:val="auto"/>
                <w:sz w:val="24"/>
                <w:szCs w:val="24"/>
                <w:lang w:val="en-US" w:eastAsia="zh-CN"/>
              </w:rPr>
              <w:t>因此，从环境保护的角度来看，本项目建设可行。</w:t>
            </w:r>
          </w:p>
        </w:tc>
      </w:tr>
    </w:tbl>
    <w:p w14:paraId="427A737A">
      <w:pPr>
        <w:rPr>
          <w:rFonts w:ascii="宋体"/>
          <w:color w:val="auto"/>
        </w:rPr>
        <w:sectPr>
          <w:pgSz w:w="11906" w:h="16838"/>
          <w:pgMar w:top="1531" w:right="1531" w:bottom="153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00ABBA1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336" w:lineRule="auto"/>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14:paraId="6628D7BD">
      <w:pPr>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建设项目污染物排放量汇总表</w:t>
      </w:r>
    </w:p>
    <w:tbl>
      <w:tblPr>
        <w:tblStyle w:val="23"/>
        <w:tblW w:w="494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974"/>
        <w:gridCol w:w="1399"/>
        <w:gridCol w:w="1177"/>
        <w:gridCol w:w="1355"/>
        <w:gridCol w:w="1681"/>
        <w:gridCol w:w="1586"/>
        <w:gridCol w:w="1615"/>
        <w:gridCol w:w="1606"/>
      </w:tblGrid>
      <w:tr w14:paraId="0EF27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tcBorders>
              <w:tl2br w:val="single" w:color="auto" w:sz="4" w:space="0"/>
            </w:tcBorders>
            <w:noWrap w:val="0"/>
            <w:tcMar>
              <w:left w:w="28" w:type="dxa"/>
              <w:right w:w="28" w:type="dxa"/>
            </w:tcMar>
            <w:vAlign w:val="center"/>
          </w:tcPr>
          <w:p w14:paraId="608DA70D">
            <w:pPr>
              <w:bidi w:val="0"/>
              <w:ind w:firstLine="723" w:firstLineChars="30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w:t>
            </w:r>
          </w:p>
          <w:p w14:paraId="706C7D8E">
            <w:pPr>
              <w:bidi w:val="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分类</w:t>
            </w:r>
          </w:p>
        </w:tc>
        <w:tc>
          <w:tcPr>
            <w:tcW w:w="1926" w:type="dxa"/>
            <w:noWrap w:val="0"/>
            <w:tcMar>
              <w:left w:w="28" w:type="dxa"/>
              <w:right w:w="28" w:type="dxa"/>
            </w:tcMar>
            <w:vAlign w:val="center"/>
          </w:tcPr>
          <w:p w14:paraId="550EB534">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污染物名称</w:t>
            </w:r>
          </w:p>
        </w:tc>
        <w:tc>
          <w:tcPr>
            <w:tcW w:w="1365" w:type="dxa"/>
            <w:noWrap w:val="0"/>
            <w:tcMar>
              <w:left w:w="28" w:type="dxa"/>
              <w:right w:w="28" w:type="dxa"/>
            </w:tcMar>
            <w:vAlign w:val="center"/>
          </w:tcPr>
          <w:p w14:paraId="44C1C8E1">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现有工程</w:t>
            </w:r>
          </w:p>
          <w:p w14:paraId="4E612A64">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1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①</w:t>
            </w:r>
            <w:r>
              <w:rPr>
                <w:rFonts w:hint="default" w:ascii="Times New Roman" w:hAnsi="Times New Roman" w:eastAsia="宋体" w:cs="Times New Roman"/>
                <w:b/>
                <w:bCs/>
                <w:color w:val="auto"/>
                <w:sz w:val="24"/>
                <w:szCs w:val="24"/>
                <w:highlight w:val="none"/>
              </w:rPr>
              <w:fldChar w:fldCharType="end"/>
            </w:r>
          </w:p>
        </w:tc>
        <w:tc>
          <w:tcPr>
            <w:tcW w:w="1148" w:type="dxa"/>
            <w:noWrap w:val="0"/>
            <w:tcMar>
              <w:left w:w="28" w:type="dxa"/>
              <w:right w:w="28" w:type="dxa"/>
            </w:tcMar>
            <w:vAlign w:val="center"/>
          </w:tcPr>
          <w:p w14:paraId="0E700D6A">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现有工程</w:t>
            </w:r>
          </w:p>
          <w:p w14:paraId="036FDE8C">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许可排放量</w:t>
            </w:r>
          </w:p>
          <w:p w14:paraId="55E98482">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2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②</w:t>
            </w:r>
            <w:r>
              <w:rPr>
                <w:rFonts w:hint="default" w:ascii="Times New Roman" w:hAnsi="Times New Roman" w:eastAsia="宋体" w:cs="Times New Roman"/>
                <w:b/>
                <w:bCs/>
                <w:color w:val="auto"/>
                <w:sz w:val="24"/>
                <w:szCs w:val="24"/>
                <w:highlight w:val="none"/>
              </w:rPr>
              <w:fldChar w:fldCharType="end"/>
            </w:r>
          </w:p>
        </w:tc>
        <w:tc>
          <w:tcPr>
            <w:tcW w:w="1322" w:type="dxa"/>
            <w:noWrap w:val="0"/>
            <w:tcMar>
              <w:left w:w="28" w:type="dxa"/>
              <w:right w:w="28" w:type="dxa"/>
            </w:tcMar>
            <w:vAlign w:val="center"/>
          </w:tcPr>
          <w:p w14:paraId="435B6AE7">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在建工程</w:t>
            </w:r>
          </w:p>
          <w:p w14:paraId="1CF7C0EE">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3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③</w:t>
            </w:r>
            <w:r>
              <w:rPr>
                <w:rFonts w:hint="default" w:ascii="Times New Roman" w:hAnsi="Times New Roman" w:eastAsia="宋体" w:cs="Times New Roman"/>
                <w:b/>
                <w:bCs/>
                <w:color w:val="auto"/>
                <w:sz w:val="24"/>
                <w:szCs w:val="24"/>
                <w:highlight w:val="none"/>
              </w:rPr>
              <w:fldChar w:fldCharType="end"/>
            </w:r>
          </w:p>
        </w:tc>
        <w:tc>
          <w:tcPr>
            <w:tcW w:w="1640" w:type="dxa"/>
            <w:noWrap w:val="0"/>
            <w:tcMar>
              <w:left w:w="28" w:type="dxa"/>
              <w:right w:w="28" w:type="dxa"/>
            </w:tcMar>
            <w:vAlign w:val="center"/>
          </w:tcPr>
          <w:p w14:paraId="0307E65E">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本项目</w:t>
            </w:r>
          </w:p>
          <w:p w14:paraId="716A073C">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4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④</w:t>
            </w:r>
            <w:r>
              <w:rPr>
                <w:rFonts w:hint="default" w:ascii="Times New Roman" w:hAnsi="Times New Roman" w:eastAsia="宋体" w:cs="Times New Roman"/>
                <w:b/>
                <w:bCs/>
                <w:color w:val="auto"/>
                <w:sz w:val="24"/>
                <w:szCs w:val="24"/>
                <w:highlight w:val="none"/>
              </w:rPr>
              <w:fldChar w:fldCharType="end"/>
            </w:r>
          </w:p>
        </w:tc>
        <w:tc>
          <w:tcPr>
            <w:tcW w:w="1547" w:type="dxa"/>
            <w:noWrap w:val="0"/>
            <w:tcMar>
              <w:left w:w="28" w:type="dxa"/>
              <w:right w:w="28" w:type="dxa"/>
            </w:tcMar>
            <w:vAlign w:val="center"/>
          </w:tcPr>
          <w:p w14:paraId="1290BF2B">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以新带老削减量</w:t>
            </w:r>
          </w:p>
          <w:p w14:paraId="7C8F4752">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（新建项目不填）</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5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⑤</w:t>
            </w:r>
            <w:r>
              <w:rPr>
                <w:rFonts w:hint="default" w:ascii="Times New Roman" w:hAnsi="Times New Roman" w:eastAsia="宋体" w:cs="Times New Roman"/>
                <w:b/>
                <w:bCs/>
                <w:color w:val="auto"/>
                <w:sz w:val="24"/>
                <w:szCs w:val="24"/>
                <w:highlight w:val="none"/>
              </w:rPr>
              <w:fldChar w:fldCharType="end"/>
            </w:r>
          </w:p>
        </w:tc>
        <w:tc>
          <w:tcPr>
            <w:tcW w:w="1575" w:type="dxa"/>
            <w:noWrap w:val="0"/>
            <w:tcMar>
              <w:left w:w="28" w:type="dxa"/>
              <w:right w:w="28" w:type="dxa"/>
            </w:tcMar>
            <w:vAlign w:val="center"/>
          </w:tcPr>
          <w:p w14:paraId="60F91ADA">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本项目建成后</w:t>
            </w:r>
          </w:p>
          <w:p w14:paraId="352E66DD">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全厂排放量（固体废物产生量）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6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⑥</w:t>
            </w:r>
            <w:r>
              <w:rPr>
                <w:rFonts w:hint="default" w:ascii="Times New Roman" w:hAnsi="Times New Roman" w:eastAsia="宋体" w:cs="Times New Roman"/>
                <w:b/>
                <w:bCs/>
                <w:color w:val="auto"/>
                <w:sz w:val="24"/>
                <w:szCs w:val="24"/>
                <w:highlight w:val="none"/>
              </w:rPr>
              <w:fldChar w:fldCharType="end"/>
            </w:r>
          </w:p>
        </w:tc>
        <w:tc>
          <w:tcPr>
            <w:tcW w:w="1567" w:type="dxa"/>
            <w:noWrap w:val="0"/>
            <w:tcMar>
              <w:left w:w="28" w:type="dxa"/>
              <w:right w:w="28" w:type="dxa"/>
            </w:tcMar>
            <w:vAlign w:val="center"/>
          </w:tcPr>
          <w:p w14:paraId="06E57A15">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变化量</w:t>
            </w:r>
          </w:p>
          <w:p w14:paraId="5EC22D0B">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7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⑦</w:t>
            </w:r>
            <w:r>
              <w:rPr>
                <w:rFonts w:hint="default" w:ascii="Times New Roman" w:hAnsi="Times New Roman" w:eastAsia="宋体" w:cs="Times New Roman"/>
                <w:b/>
                <w:bCs/>
                <w:color w:val="auto"/>
                <w:sz w:val="24"/>
                <w:szCs w:val="24"/>
                <w:highlight w:val="none"/>
              </w:rPr>
              <w:fldChar w:fldCharType="end"/>
            </w:r>
          </w:p>
        </w:tc>
      </w:tr>
      <w:tr w14:paraId="59340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noWrap w:val="0"/>
            <w:vAlign w:val="center"/>
          </w:tcPr>
          <w:p w14:paraId="040004C2">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废气</w:t>
            </w:r>
          </w:p>
        </w:tc>
        <w:tc>
          <w:tcPr>
            <w:tcW w:w="1926" w:type="dxa"/>
            <w:noWrap w:val="0"/>
            <w:vAlign w:val="center"/>
          </w:tcPr>
          <w:p w14:paraId="5536B35D">
            <w:pPr>
              <w:bidi w:val="0"/>
              <w:jc w:val="center"/>
              <w:rPr>
                <w:rFonts w:hint="default" w:ascii="Times New Roman" w:hAnsi="Times New Roman" w:eastAsia="宋体" w:cs="Times New Roman"/>
                <w:color w:val="auto"/>
                <w:sz w:val="24"/>
                <w:szCs w:val="24"/>
                <w:highlight w:val="none"/>
                <w:lang w:val="en-US" w:eastAsia="zh-CN"/>
              </w:rPr>
            </w:pPr>
          </w:p>
        </w:tc>
        <w:tc>
          <w:tcPr>
            <w:tcW w:w="1365" w:type="dxa"/>
            <w:noWrap w:val="0"/>
            <w:vAlign w:val="center"/>
          </w:tcPr>
          <w:p w14:paraId="7014A716">
            <w:pPr>
              <w:bidi w:val="0"/>
              <w:jc w:val="center"/>
              <w:rPr>
                <w:rFonts w:hint="default" w:ascii="Times New Roman" w:hAnsi="Times New Roman" w:eastAsia="宋体" w:cs="Times New Roman"/>
                <w:color w:val="auto"/>
                <w:sz w:val="24"/>
                <w:szCs w:val="24"/>
                <w:highlight w:val="none"/>
                <w:lang w:val="en-US" w:eastAsia="zh-CN"/>
              </w:rPr>
            </w:pPr>
          </w:p>
        </w:tc>
        <w:tc>
          <w:tcPr>
            <w:tcW w:w="1148" w:type="dxa"/>
            <w:noWrap w:val="0"/>
            <w:vAlign w:val="center"/>
          </w:tcPr>
          <w:p w14:paraId="0BB9B8BC">
            <w:pPr>
              <w:bidi w:val="0"/>
              <w:jc w:val="center"/>
              <w:rPr>
                <w:rFonts w:hint="default" w:ascii="Times New Roman" w:hAnsi="Times New Roman" w:eastAsia="宋体" w:cs="Times New Roman"/>
                <w:color w:val="auto"/>
                <w:sz w:val="24"/>
                <w:szCs w:val="24"/>
                <w:highlight w:val="none"/>
                <w:lang w:val="en-US" w:eastAsia="zh-CN"/>
              </w:rPr>
            </w:pPr>
          </w:p>
        </w:tc>
        <w:tc>
          <w:tcPr>
            <w:tcW w:w="1322" w:type="dxa"/>
            <w:noWrap w:val="0"/>
            <w:vAlign w:val="center"/>
          </w:tcPr>
          <w:p w14:paraId="32A999DB">
            <w:pPr>
              <w:bidi w:val="0"/>
              <w:jc w:val="center"/>
              <w:rPr>
                <w:rFonts w:hint="eastAsia" w:ascii="Times New Roman" w:hAnsi="Times New Roman" w:eastAsia="宋体" w:cs="Times New Roman"/>
                <w:color w:val="auto"/>
                <w:sz w:val="24"/>
                <w:szCs w:val="24"/>
                <w:highlight w:val="none"/>
                <w:lang w:val="en-US" w:eastAsia="zh-CN"/>
              </w:rPr>
            </w:pPr>
          </w:p>
        </w:tc>
        <w:tc>
          <w:tcPr>
            <w:tcW w:w="1640" w:type="dxa"/>
            <w:noWrap w:val="0"/>
            <w:vAlign w:val="center"/>
          </w:tcPr>
          <w:p w14:paraId="18B7D439">
            <w:pPr>
              <w:bidi w:val="0"/>
              <w:jc w:val="center"/>
              <w:rPr>
                <w:rFonts w:hint="default" w:ascii="Times New Roman" w:hAnsi="Times New Roman" w:eastAsia="宋体" w:cs="Times New Roman"/>
                <w:color w:val="auto"/>
                <w:sz w:val="24"/>
                <w:szCs w:val="24"/>
                <w:highlight w:val="none"/>
                <w:lang w:val="en-US" w:eastAsia="zh-CN"/>
              </w:rPr>
            </w:pPr>
          </w:p>
        </w:tc>
        <w:tc>
          <w:tcPr>
            <w:tcW w:w="1547" w:type="dxa"/>
            <w:noWrap w:val="0"/>
            <w:vAlign w:val="center"/>
          </w:tcPr>
          <w:p w14:paraId="62458387">
            <w:pPr>
              <w:bidi w:val="0"/>
              <w:jc w:val="center"/>
              <w:rPr>
                <w:rFonts w:hint="eastAsia" w:ascii="Times New Roman" w:hAnsi="Times New Roman" w:eastAsia="宋体" w:cs="Times New Roman"/>
                <w:color w:val="auto"/>
                <w:sz w:val="24"/>
                <w:szCs w:val="24"/>
                <w:highlight w:val="none"/>
                <w:lang w:val="en-US" w:eastAsia="zh-CN"/>
              </w:rPr>
            </w:pPr>
          </w:p>
        </w:tc>
        <w:tc>
          <w:tcPr>
            <w:tcW w:w="1575" w:type="dxa"/>
            <w:noWrap w:val="0"/>
            <w:vAlign w:val="center"/>
          </w:tcPr>
          <w:p w14:paraId="18D08E71">
            <w:pPr>
              <w:bidi w:val="0"/>
              <w:jc w:val="center"/>
              <w:rPr>
                <w:rFonts w:hint="default" w:ascii="Times New Roman" w:hAnsi="Times New Roman" w:eastAsia="宋体" w:cs="Times New Roman"/>
                <w:color w:val="auto"/>
                <w:sz w:val="24"/>
                <w:szCs w:val="24"/>
                <w:highlight w:val="none"/>
                <w:lang w:val="en-US" w:eastAsia="zh-CN"/>
              </w:rPr>
            </w:pPr>
          </w:p>
        </w:tc>
        <w:tc>
          <w:tcPr>
            <w:tcW w:w="1567" w:type="dxa"/>
            <w:noWrap w:val="0"/>
            <w:vAlign w:val="center"/>
          </w:tcPr>
          <w:p w14:paraId="10A1DB28">
            <w:pPr>
              <w:bidi w:val="0"/>
              <w:jc w:val="center"/>
              <w:rPr>
                <w:rFonts w:hint="default" w:ascii="Times New Roman" w:hAnsi="Times New Roman" w:eastAsia="宋体" w:cs="Times New Roman"/>
                <w:color w:val="auto"/>
                <w:sz w:val="24"/>
                <w:szCs w:val="24"/>
                <w:highlight w:val="none"/>
                <w:lang w:val="en-US" w:eastAsia="zh-CN"/>
              </w:rPr>
            </w:pPr>
          </w:p>
        </w:tc>
      </w:tr>
      <w:tr w14:paraId="4AD2E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vMerge w:val="restart"/>
            <w:noWrap w:val="0"/>
            <w:vAlign w:val="center"/>
          </w:tcPr>
          <w:p w14:paraId="2FCF2047">
            <w:pPr>
              <w:bidi w:val="0"/>
              <w:jc w:val="center"/>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废水</w:t>
            </w:r>
          </w:p>
        </w:tc>
        <w:tc>
          <w:tcPr>
            <w:tcW w:w="1926" w:type="dxa"/>
            <w:noWrap w:val="0"/>
            <w:vAlign w:val="center"/>
          </w:tcPr>
          <w:p w14:paraId="7C9274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水量</w:t>
            </w:r>
          </w:p>
        </w:tc>
        <w:tc>
          <w:tcPr>
            <w:tcW w:w="1365" w:type="dxa"/>
            <w:noWrap w:val="0"/>
            <w:vAlign w:val="center"/>
          </w:tcPr>
          <w:p w14:paraId="64F6302A">
            <w:pPr>
              <w:keepNext w:val="0"/>
              <w:keepLines w:val="0"/>
              <w:widowControl/>
              <w:suppressLineNumbers w:val="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w:t>
            </w:r>
          </w:p>
        </w:tc>
        <w:tc>
          <w:tcPr>
            <w:tcW w:w="1148" w:type="dxa"/>
            <w:noWrap w:val="0"/>
            <w:vAlign w:val="center"/>
          </w:tcPr>
          <w:p w14:paraId="780856C9">
            <w:pPr>
              <w:bidi w:val="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w:t>
            </w:r>
          </w:p>
        </w:tc>
        <w:tc>
          <w:tcPr>
            <w:tcW w:w="1322" w:type="dxa"/>
            <w:noWrap w:val="0"/>
            <w:vAlign w:val="center"/>
          </w:tcPr>
          <w:p w14:paraId="415BC229">
            <w:pPr>
              <w:bidi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640" w:type="dxa"/>
            <w:noWrap w:val="0"/>
            <w:vAlign w:val="center"/>
          </w:tcPr>
          <w:p w14:paraId="7A5C94FA">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964t/a</w:t>
            </w:r>
          </w:p>
        </w:tc>
        <w:tc>
          <w:tcPr>
            <w:tcW w:w="1547" w:type="dxa"/>
            <w:noWrap w:val="0"/>
            <w:vAlign w:val="center"/>
          </w:tcPr>
          <w:p w14:paraId="7FB448B4">
            <w:pPr>
              <w:bidi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575" w:type="dxa"/>
            <w:noWrap w:val="0"/>
            <w:vAlign w:val="center"/>
          </w:tcPr>
          <w:p w14:paraId="3677285D">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964t/a</w:t>
            </w:r>
          </w:p>
        </w:tc>
        <w:tc>
          <w:tcPr>
            <w:tcW w:w="1567" w:type="dxa"/>
            <w:noWrap w:val="0"/>
            <w:vAlign w:val="center"/>
          </w:tcPr>
          <w:p w14:paraId="582A94F3">
            <w:pPr>
              <w:bidi w:val="0"/>
              <w:jc w:val="center"/>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+864t/a</w:t>
            </w:r>
          </w:p>
        </w:tc>
      </w:tr>
      <w:tr w14:paraId="6042F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vMerge w:val="continue"/>
            <w:noWrap w:val="0"/>
            <w:vAlign w:val="center"/>
          </w:tcPr>
          <w:p w14:paraId="30B6581F">
            <w:pPr>
              <w:bidi w:val="0"/>
              <w:jc w:val="center"/>
              <w:rPr>
                <w:rFonts w:hint="eastAsia" w:ascii="Times New Roman" w:hAnsi="Times New Roman" w:eastAsia="宋体" w:cs="Times New Roman"/>
                <w:b/>
                <w:bCs/>
                <w:color w:val="auto"/>
                <w:sz w:val="24"/>
                <w:szCs w:val="24"/>
                <w:highlight w:val="none"/>
                <w:lang w:val="en-US" w:eastAsia="zh-CN"/>
              </w:rPr>
            </w:pPr>
          </w:p>
        </w:tc>
        <w:tc>
          <w:tcPr>
            <w:tcW w:w="1926" w:type="dxa"/>
            <w:noWrap w:val="0"/>
            <w:vAlign w:val="center"/>
          </w:tcPr>
          <w:p w14:paraId="0333EA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COD</w:t>
            </w:r>
          </w:p>
        </w:tc>
        <w:tc>
          <w:tcPr>
            <w:tcW w:w="1365" w:type="dxa"/>
            <w:noWrap w:val="0"/>
            <w:vAlign w:val="center"/>
          </w:tcPr>
          <w:p w14:paraId="5D5F6892">
            <w:pPr>
              <w:keepNext w:val="0"/>
              <w:keepLines w:val="0"/>
              <w:widowControl/>
              <w:suppressLineNumbers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148" w:type="dxa"/>
            <w:noWrap w:val="0"/>
            <w:vAlign w:val="center"/>
          </w:tcPr>
          <w:p w14:paraId="51D3C028">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322" w:type="dxa"/>
            <w:noWrap w:val="0"/>
            <w:vAlign w:val="center"/>
          </w:tcPr>
          <w:p w14:paraId="66F64178">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640" w:type="dxa"/>
            <w:noWrap w:val="0"/>
            <w:vAlign w:val="center"/>
          </w:tcPr>
          <w:p w14:paraId="4A035EB7">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0.27t/a</w:t>
            </w:r>
          </w:p>
        </w:tc>
        <w:tc>
          <w:tcPr>
            <w:tcW w:w="1547" w:type="dxa"/>
            <w:noWrap w:val="0"/>
            <w:vAlign w:val="center"/>
          </w:tcPr>
          <w:p w14:paraId="1F688C47">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575" w:type="dxa"/>
            <w:noWrap w:val="0"/>
            <w:vAlign w:val="center"/>
          </w:tcPr>
          <w:p w14:paraId="503ABBC5">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0.27t/a</w:t>
            </w:r>
          </w:p>
        </w:tc>
        <w:tc>
          <w:tcPr>
            <w:tcW w:w="1567" w:type="dxa"/>
            <w:noWrap w:val="0"/>
            <w:vAlign w:val="center"/>
          </w:tcPr>
          <w:p w14:paraId="7612A88C">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+0.27t/a</w:t>
            </w:r>
          </w:p>
        </w:tc>
      </w:tr>
      <w:tr w14:paraId="4918D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vMerge w:val="continue"/>
            <w:noWrap w:val="0"/>
            <w:vAlign w:val="center"/>
          </w:tcPr>
          <w:p w14:paraId="19985B4F">
            <w:pPr>
              <w:bidi w:val="0"/>
              <w:jc w:val="center"/>
              <w:rPr>
                <w:rFonts w:hint="eastAsia" w:ascii="Times New Roman" w:hAnsi="Times New Roman" w:eastAsia="宋体" w:cs="Times New Roman"/>
                <w:b/>
                <w:bCs/>
                <w:color w:val="auto"/>
                <w:sz w:val="24"/>
                <w:szCs w:val="24"/>
                <w:highlight w:val="none"/>
                <w:lang w:val="en-US" w:eastAsia="zh-CN"/>
              </w:rPr>
            </w:pPr>
          </w:p>
        </w:tc>
        <w:tc>
          <w:tcPr>
            <w:tcW w:w="1926" w:type="dxa"/>
            <w:noWrap w:val="0"/>
            <w:vAlign w:val="center"/>
          </w:tcPr>
          <w:p w14:paraId="489146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BOD</w:t>
            </w:r>
            <w:r>
              <w:rPr>
                <w:rFonts w:hint="eastAsia" w:cs="Times New Roman"/>
                <w:color w:val="auto"/>
                <w:sz w:val="24"/>
                <w:szCs w:val="24"/>
                <w:highlight w:val="none"/>
                <w:vertAlign w:val="subscript"/>
                <w:lang w:val="en-US" w:eastAsia="zh-CN"/>
              </w:rPr>
              <w:t>5</w:t>
            </w:r>
          </w:p>
        </w:tc>
        <w:tc>
          <w:tcPr>
            <w:tcW w:w="1365" w:type="dxa"/>
            <w:noWrap w:val="0"/>
            <w:vAlign w:val="center"/>
          </w:tcPr>
          <w:p w14:paraId="5C05DDD4">
            <w:pPr>
              <w:keepNext w:val="0"/>
              <w:keepLines w:val="0"/>
              <w:widowControl/>
              <w:suppressLineNumbers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148" w:type="dxa"/>
            <w:noWrap w:val="0"/>
            <w:vAlign w:val="center"/>
          </w:tcPr>
          <w:p w14:paraId="6C26F71E">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322" w:type="dxa"/>
            <w:noWrap w:val="0"/>
            <w:vAlign w:val="center"/>
          </w:tcPr>
          <w:p w14:paraId="330BB488">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640" w:type="dxa"/>
            <w:noWrap w:val="0"/>
            <w:vAlign w:val="center"/>
          </w:tcPr>
          <w:p w14:paraId="7F16C5E1">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0.12t/a</w:t>
            </w:r>
          </w:p>
        </w:tc>
        <w:tc>
          <w:tcPr>
            <w:tcW w:w="1547" w:type="dxa"/>
            <w:noWrap w:val="0"/>
            <w:vAlign w:val="center"/>
          </w:tcPr>
          <w:p w14:paraId="23215824">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575" w:type="dxa"/>
            <w:noWrap w:val="0"/>
            <w:vAlign w:val="center"/>
          </w:tcPr>
          <w:p w14:paraId="5328C5AA">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0.12t/a</w:t>
            </w:r>
          </w:p>
        </w:tc>
        <w:tc>
          <w:tcPr>
            <w:tcW w:w="1567" w:type="dxa"/>
            <w:noWrap w:val="0"/>
            <w:vAlign w:val="center"/>
          </w:tcPr>
          <w:p w14:paraId="65FC0292">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+0.12t/a</w:t>
            </w:r>
          </w:p>
        </w:tc>
      </w:tr>
      <w:tr w14:paraId="7406A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vMerge w:val="continue"/>
            <w:noWrap w:val="0"/>
            <w:vAlign w:val="center"/>
          </w:tcPr>
          <w:p w14:paraId="04CF3668">
            <w:pPr>
              <w:bidi w:val="0"/>
              <w:jc w:val="center"/>
              <w:rPr>
                <w:rFonts w:hint="eastAsia" w:ascii="Times New Roman" w:hAnsi="Times New Roman" w:eastAsia="宋体" w:cs="Times New Roman"/>
                <w:b/>
                <w:bCs/>
                <w:color w:val="auto"/>
                <w:sz w:val="24"/>
                <w:szCs w:val="24"/>
                <w:highlight w:val="none"/>
                <w:lang w:val="en-US" w:eastAsia="zh-CN"/>
              </w:rPr>
            </w:pPr>
          </w:p>
        </w:tc>
        <w:tc>
          <w:tcPr>
            <w:tcW w:w="1926" w:type="dxa"/>
            <w:noWrap w:val="0"/>
            <w:vAlign w:val="center"/>
          </w:tcPr>
          <w:p w14:paraId="4AAE3C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氨氮</w:t>
            </w:r>
          </w:p>
        </w:tc>
        <w:tc>
          <w:tcPr>
            <w:tcW w:w="1365" w:type="dxa"/>
            <w:noWrap w:val="0"/>
            <w:vAlign w:val="center"/>
          </w:tcPr>
          <w:p w14:paraId="38A1D258">
            <w:pPr>
              <w:keepNext w:val="0"/>
              <w:keepLines w:val="0"/>
              <w:widowControl/>
              <w:suppressLineNumbers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148" w:type="dxa"/>
            <w:noWrap w:val="0"/>
            <w:vAlign w:val="center"/>
          </w:tcPr>
          <w:p w14:paraId="480FF8D2">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322" w:type="dxa"/>
            <w:noWrap w:val="0"/>
            <w:vAlign w:val="center"/>
          </w:tcPr>
          <w:p w14:paraId="37A184ED">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640" w:type="dxa"/>
            <w:noWrap w:val="0"/>
            <w:vAlign w:val="center"/>
          </w:tcPr>
          <w:p w14:paraId="15D68A1C">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0.03t/a</w:t>
            </w:r>
          </w:p>
        </w:tc>
        <w:tc>
          <w:tcPr>
            <w:tcW w:w="1547" w:type="dxa"/>
            <w:noWrap w:val="0"/>
            <w:vAlign w:val="center"/>
          </w:tcPr>
          <w:p w14:paraId="5414B48A">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575" w:type="dxa"/>
            <w:noWrap w:val="0"/>
            <w:vAlign w:val="center"/>
          </w:tcPr>
          <w:p w14:paraId="1DD3741E">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0.03t/a</w:t>
            </w:r>
          </w:p>
        </w:tc>
        <w:tc>
          <w:tcPr>
            <w:tcW w:w="1567" w:type="dxa"/>
            <w:noWrap w:val="0"/>
            <w:vAlign w:val="center"/>
          </w:tcPr>
          <w:p w14:paraId="2122E21E">
            <w:pPr>
              <w:bidi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+0.03t/a</w:t>
            </w:r>
          </w:p>
        </w:tc>
      </w:tr>
      <w:tr w14:paraId="6F4C5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vMerge w:val="restart"/>
            <w:noWrap w:val="0"/>
            <w:vAlign w:val="center"/>
          </w:tcPr>
          <w:p w14:paraId="3191FACF">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一般工业</w:t>
            </w:r>
          </w:p>
          <w:p w14:paraId="757BF9DE">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固体废物</w:t>
            </w:r>
          </w:p>
        </w:tc>
        <w:tc>
          <w:tcPr>
            <w:tcW w:w="1926" w:type="dxa"/>
            <w:noWrap w:val="0"/>
            <w:vAlign w:val="center"/>
          </w:tcPr>
          <w:p w14:paraId="3B14D6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沉淀池沉渣</w:t>
            </w:r>
          </w:p>
        </w:tc>
        <w:tc>
          <w:tcPr>
            <w:tcW w:w="1365" w:type="dxa"/>
            <w:noWrap w:val="0"/>
            <w:vAlign w:val="center"/>
          </w:tcPr>
          <w:p w14:paraId="7E7F489C">
            <w:pPr>
              <w:keepNext w:val="0"/>
              <w:keepLines w:val="0"/>
              <w:widowControl/>
              <w:suppressLineNumbers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148" w:type="dxa"/>
            <w:noWrap w:val="0"/>
            <w:vAlign w:val="center"/>
          </w:tcPr>
          <w:p w14:paraId="19E3D593">
            <w:pPr>
              <w:bidi w:val="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w:t>
            </w:r>
          </w:p>
        </w:tc>
        <w:tc>
          <w:tcPr>
            <w:tcW w:w="1322" w:type="dxa"/>
            <w:noWrap w:val="0"/>
            <w:vAlign w:val="center"/>
          </w:tcPr>
          <w:p w14:paraId="6E66B284">
            <w:pPr>
              <w:bidi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640" w:type="dxa"/>
            <w:noWrap w:val="0"/>
            <w:vAlign w:val="center"/>
          </w:tcPr>
          <w:p w14:paraId="14BFA1B5">
            <w:pPr>
              <w:bidi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t/a</w:t>
            </w:r>
          </w:p>
        </w:tc>
        <w:tc>
          <w:tcPr>
            <w:tcW w:w="1547" w:type="dxa"/>
            <w:noWrap w:val="0"/>
            <w:vAlign w:val="center"/>
          </w:tcPr>
          <w:p w14:paraId="4BF75F88">
            <w:pPr>
              <w:bidi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575" w:type="dxa"/>
            <w:noWrap w:val="0"/>
            <w:vAlign w:val="center"/>
          </w:tcPr>
          <w:p w14:paraId="06286613">
            <w:pPr>
              <w:bidi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t/a</w:t>
            </w:r>
          </w:p>
        </w:tc>
        <w:tc>
          <w:tcPr>
            <w:tcW w:w="1567" w:type="dxa"/>
            <w:noWrap w:val="0"/>
            <w:vAlign w:val="center"/>
          </w:tcPr>
          <w:p w14:paraId="2E912E59">
            <w:pPr>
              <w:bidi w:val="0"/>
              <w:jc w:val="center"/>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t/a</w:t>
            </w:r>
          </w:p>
        </w:tc>
      </w:tr>
      <w:tr w14:paraId="1E6E0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vMerge w:val="continue"/>
            <w:noWrap w:val="0"/>
            <w:vAlign w:val="center"/>
          </w:tcPr>
          <w:p w14:paraId="441BF0F7">
            <w:pPr>
              <w:bidi w:val="0"/>
              <w:jc w:val="center"/>
              <w:rPr>
                <w:rFonts w:hint="default" w:ascii="Times New Roman" w:hAnsi="Times New Roman" w:eastAsia="宋体" w:cs="Times New Roman"/>
                <w:b/>
                <w:bCs/>
                <w:color w:val="auto"/>
                <w:sz w:val="24"/>
                <w:szCs w:val="24"/>
                <w:highlight w:val="none"/>
              </w:rPr>
            </w:pPr>
          </w:p>
        </w:tc>
        <w:tc>
          <w:tcPr>
            <w:tcW w:w="1926" w:type="dxa"/>
            <w:noWrap w:val="0"/>
            <w:vAlign w:val="center"/>
          </w:tcPr>
          <w:p w14:paraId="54CE6D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除尘器</w:t>
            </w:r>
            <w:r>
              <w:rPr>
                <w:rFonts w:hint="eastAsia" w:ascii="Times New Roman" w:hAnsi="Times New Roman" w:eastAsia="宋体" w:cs="Times New Roman"/>
                <w:color w:val="auto"/>
                <w:sz w:val="24"/>
                <w:szCs w:val="24"/>
                <w:highlight w:val="none"/>
                <w:lang w:eastAsia="zh-CN"/>
              </w:rPr>
              <w:t>收尘灰</w:t>
            </w:r>
          </w:p>
        </w:tc>
        <w:tc>
          <w:tcPr>
            <w:tcW w:w="1365" w:type="dxa"/>
            <w:noWrap w:val="0"/>
            <w:vAlign w:val="center"/>
          </w:tcPr>
          <w:p w14:paraId="53FBF188">
            <w:pPr>
              <w:keepNext w:val="0"/>
              <w:keepLines w:val="0"/>
              <w:widowControl/>
              <w:suppressLineNumbers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148" w:type="dxa"/>
            <w:noWrap w:val="0"/>
            <w:vAlign w:val="center"/>
          </w:tcPr>
          <w:p w14:paraId="773D3DF2">
            <w:pPr>
              <w:bidi w:val="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w:t>
            </w:r>
          </w:p>
        </w:tc>
        <w:tc>
          <w:tcPr>
            <w:tcW w:w="1322" w:type="dxa"/>
            <w:noWrap w:val="0"/>
            <w:vAlign w:val="center"/>
          </w:tcPr>
          <w:p w14:paraId="49639BE2">
            <w:pPr>
              <w:bidi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640" w:type="dxa"/>
            <w:noWrap w:val="0"/>
            <w:vAlign w:val="center"/>
          </w:tcPr>
          <w:p w14:paraId="25287998">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9.57</w:t>
            </w:r>
            <w:r>
              <w:rPr>
                <w:rFonts w:hint="eastAsia" w:ascii="Times New Roman" w:hAnsi="Times New Roman" w:eastAsia="宋体" w:cs="Times New Roman"/>
                <w:color w:val="auto"/>
                <w:sz w:val="24"/>
                <w:szCs w:val="24"/>
                <w:highlight w:val="none"/>
                <w:lang w:val="en-US" w:eastAsia="zh-CN"/>
              </w:rPr>
              <w:t>t/a</w:t>
            </w:r>
          </w:p>
        </w:tc>
        <w:tc>
          <w:tcPr>
            <w:tcW w:w="1547" w:type="dxa"/>
            <w:noWrap w:val="0"/>
            <w:vAlign w:val="center"/>
          </w:tcPr>
          <w:p w14:paraId="4020E1F7">
            <w:pPr>
              <w:bidi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575" w:type="dxa"/>
            <w:noWrap w:val="0"/>
            <w:vAlign w:val="center"/>
          </w:tcPr>
          <w:p w14:paraId="215FB384">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9.57</w:t>
            </w:r>
            <w:r>
              <w:rPr>
                <w:rFonts w:hint="eastAsia" w:ascii="Times New Roman" w:hAnsi="Times New Roman" w:eastAsia="宋体" w:cs="Times New Roman"/>
                <w:color w:val="auto"/>
                <w:sz w:val="24"/>
                <w:szCs w:val="24"/>
                <w:highlight w:val="none"/>
                <w:lang w:val="en-US" w:eastAsia="zh-CN"/>
              </w:rPr>
              <w:t>t/a</w:t>
            </w:r>
          </w:p>
        </w:tc>
        <w:tc>
          <w:tcPr>
            <w:tcW w:w="1567" w:type="dxa"/>
            <w:noWrap w:val="0"/>
            <w:vAlign w:val="center"/>
          </w:tcPr>
          <w:p w14:paraId="5AF38EA1">
            <w:pPr>
              <w:bidi w:val="0"/>
              <w:jc w:val="center"/>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+9.57</w:t>
            </w:r>
            <w:r>
              <w:rPr>
                <w:rFonts w:hint="eastAsia" w:ascii="Times New Roman" w:hAnsi="Times New Roman" w:eastAsia="宋体" w:cs="Times New Roman"/>
                <w:color w:val="auto"/>
                <w:sz w:val="24"/>
                <w:szCs w:val="24"/>
                <w:highlight w:val="none"/>
                <w:lang w:val="en-US" w:eastAsia="zh-CN"/>
              </w:rPr>
              <w:t>t/a</w:t>
            </w:r>
          </w:p>
        </w:tc>
      </w:tr>
      <w:tr w14:paraId="4AAD1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vMerge w:val="continue"/>
            <w:noWrap w:val="0"/>
            <w:vAlign w:val="center"/>
          </w:tcPr>
          <w:p w14:paraId="69F25702">
            <w:pPr>
              <w:bidi w:val="0"/>
              <w:jc w:val="center"/>
              <w:rPr>
                <w:rFonts w:hint="default" w:ascii="Times New Roman" w:hAnsi="Times New Roman" w:eastAsia="宋体" w:cs="Times New Roman"/>
                <w:b/>
                <w:bCs/>
                <w:color w:val="auto"/>
                <w:sz w:val="24"/>
                <w:szCs w:val="24"/>
                <w:highlight w:val="none"/>
              </w:rPr>
            </w:pPr>
          </w:p>
        </w:tc>
        <w:tc>
          <w:tcPr>
            <w:tcW w:w="1926" w:type="dxa"/>
            <w:noWrap w:val="0"/>
            <w:vAlign w:val="center"/>
          </w:tcPr>
          <w:p w14:paraId="646612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洒水抑尘</w:t>
            </w:r>
          </w:p>
        </w:tc>
        <w:tc>
          <w:tcPr>
            <w:tcW w:w="1365" w:type="dxa"/>
            <w:noWrap w:val="0"/>
            <w:vAlign w:val="center"/>
          </w:tcPr>
          <w:p w14:paraId="58B268BF">
            <w:pPr>
              <w:keepNext w:val="0"/>
              <w:keepLines w:val="0"/>
              <w:widowControl/>
              <w:suppressLineNumbers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148" w:type="dxa"/>
            <w:noWrap w:val="0"/>
            <w:vAlign w:val="center"/>
          </w:tcPr>
          <w:p w14:paraId="7ADBCDBA">
            <w:pPr>
              <w:bidi w:val="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w:t>
            </w:r>
          </w:p>
        </w:tc>
        <w:tc>
          <w:tcPr>
            <w:tcW w:w="1322" w:type="dxa"/>
            <w:noWrap w:val="0"/>
            <w:vAlign w:val="center"/>
          </w:tcPr>
          <w:p w14:paraId="7758C9D4">
            <w:pPr>
              <w:bidi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640" w:type="dxa"/>
            <w:noWrap w:val="0"/>
            <w:vAlign w:val="center"/>
          </w:tcPr>
          <w:p w14:paraId="3FE8038C">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68.15</w:t>
            </w:r>
            <w:r>
              <w:rPr>
                <w:rFonts w:hint="eastAsia" w:ascii="Times New Roman" w:hAnsi="Times New Roman" w:eastAsia="宋体" w:cs="Times New Roman"/>
                <w:color w:val="auto"/>
                <w:sz w:val="24"/>
                <w:szCs w:val="24"/>
                <w:highlight w:val="none"/>
                <w:lang w:val="en-US" w:eastAsia="zh-CN"/>
              </w:rPr>
              <w:t>t/a</w:t>
            </w:r>
          </w:p>
        </w:tc>
        <w:tc>
          <w:tcPr>
            <w:tcW w:w="1547" w:type="dxa"/>
            <w:noWrap w:val="0"/>
            <w:vAlign w:val="center"/>
          </w:tcPr>
          <w:p w14:paraId="1AF2BB95">
            <w:pPr>
              <w:bidi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575" w:type="dxa"/>
            <w:noWrap w:val="0"/>
            <w:vAlign w:val="center"/>
          </w:tcPr>
          <w:p w14:paraId="320A98D9">
            <w:pPr>
              <w:bidi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68.15</w:t>
            </w:r>
            <w:r>
              <w:rPr>
                <w:rFonts w:hint="eastAsia" w:ascii="Times New Roman" w:hAnsi="Times New Roman" w:eastAsia="宋体" w:cs="Times New Roman"/>
                <w:color w:val="auto"/>
                <w:sz w:val="24"/>
                <w:szCs w:val="24"/>
                <w:highlight w:val="none"/>
                <w:lang w:val="en-US" w:eastAsia="zh-CN"/>
              </w:rPr>
              <w:t>t/a</w:t>
            </w:r>
          </w:p>
        </w:tc>
        <w:tc>
          <w:tcPr>
            <w:tcW w:w="1567" w:type="dxa"/>
            <w:noWrap w:val="0"/>
            <w:vAlign w:val="center"/>
          </w:tcPr>
          <w:p w14:paraId="4213C794">
            <w:pPr>
              <w:bidi w:val="0"/>
              <w:jc w:val="center"/>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+69.16</w:t>
            </w:r>
            <w:r>
              <w:rPr>
                <w:rFonts w:hint="eastAsia" w:ascii="Times New Roman" w:hAnsi="Times New Roman" w:eastAsia="宋体" w:cs="Times New Roman"/>
                <w:color w:val="auto"/>
                <w:sz w:val="24"/>
                <w:szCs w:val="24"/>
                <w:highlight w:val="none"/>
                <w:lang w:val="en-US" w:eastAsia="zh-CN"/>
              </w:rPr>
              <w:t>t/a</w:t>
            </w:r>
          </w:p>
        </w:tc>
      </w:tr>
      <w:tr w14:paraId="52DDC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vMerge w:val="restart"/>
            <w:noWrap w:val="0"/>
            <w:vAlign w:val="center"/>
          </w:tcPr>
          <w:p w14:paraId="16465F3F">
            <w:pPr>
              <w:bidi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危险废物</w:t>
            </w:r>
          </w:p>
        </w:tc>
        <w:tc>
          <w:tcPr>
            <w:tcW w:w="1926" w:type="dxa"/>
            <w:noWrap w:val="0"/>
            <w:vAlign w:val="center"/>
          </w:tcPr>
          <w:p w14:paraId="6E3BBD5D">
            <w:pPr>
              <w:bidi w:val="0"/>
              <w:jc w:val="center"/>
              <w:rPr>
                <w:rFonts w:hint="eastAsia" w:ascii="Times New Roman" w:hAnsi="Times New Roman" w:eastAsia="宋体" w:cs="Times New Roman"/>
                <w:color w:val="auto"/>
                <w:sz w:val="24"/>
                <w:szCs w:val="24"/>
                <w:highlight w:val="none"/>
                <w:lang w:eastAsia="zh-CN"/>
              </w:rPr>
            </w:pPr>
          </w:p>
        </w:tc>
        <w:tc>
          <w:tcPr>
            <w:tcW w:w="1365" w:type="dxa"/>
            <w:noWrap w:val="0"/>
            <w:vAlign w:val="center"/>
          </w:tcPr>
          <w:p w14:paraId="617E1F1F">
            <w:pPr>
              <w:bidi w:val="0"/>
              <w:jc w:val="center"/>
              <w:rPr>
                <w:rFonts w:hint="default" w:ascii="Times New Roman" w:hAnsi="Times New Roman" w:eastAsia="宋体" w:cs="Times New Roman"/>
                <w:color w:val="auto"/>
                <w:sz w:val="24"/>
                <w:szCs w:val="24"/>
                <w:highlight w:val="none"/>
                <w:lang w:val="en-US" w:eastAsia="zh-CN"/>
              </w:rPr>
            </w:pPr>
          </w:p>
        </w:tc>
        <w:tc>
          <w:tcPr>
            <w:tcW w:w="1148" w:type="dxa"/>
            <w:noWrap w:val="0"/>
            <w:vAlign w:val="center"/>
          </w:tcPr>
          <w:p w14:paraId="1621B9ED">
            <w:pPr>
              <w:bidi w:val="0"/>
              <w:jc w:val="center"/>
              <w:rPr>
                <w:rFonts w:hint="default" w:ascii="Times New Roman" w:hAnsi="Times New Roman" w:eastAsia="宋体" w:cs="Times New Roman"/>
                <w:color w:val="auto"/>
                <w:sz w:val="24"/>
                <w:szCs w:val="24"/>
                <w:highlight w:val="none"/>
              </w:rPr>
            </w:pPr>
          </w:p>
        </w:tc>
        <w:tc>
          <w:tcPr>
            <w:tcW w:w="1322" w:type="dxa"/>
            <w:noWrap w:val="0"/>
            <w:vAlign w:val="center"/>
          </w:tcPr>
          <w:p w14:paraId="444BC1AC">
            <w:pPr>
              <w:bidi w:val="0"/>
              <w:jc w:val="center"/>
              <w:rPr>
                <w:rFonts w:hint="eastAsia" w:ascii="Times New Roman" w:hAnsi="Times New Roman" w:eastAsia="宋体" w:cs="Times New Roman"/>
                <w:color w:val="auto"/>
                <w:sz w:val="24"/>
                <w:szCs w:val="24"/>
                <w:highlight w:val="none"/>
                <w:lang w:val="en-US" w:eastAsia="zh-CN"/>
              </w:rPr>
            </w:pPr>
          </w:p>
        </w:tc>
        <w:tc>
          <w:tcPr>
            <w:tcW w:w="1640" w:type="dxa"/>
            <w:noWrap w:val="0"/>
            <w:vAlign w:val="center"/>
          </w:tcPr>
          <w:p w14:paraId="1C1D9884">
            <w:pPr>
              <w:bidi w:val="0"/>
              <w:jc w:val="center"/>
              <w:rPr>
                <w:rFonts w:hint="default" w:ascii="Times New Roman" w:hAnsi="Times New Roman" w:eastAsia="宋体" w:cs="Times New Roman"/>
                <w:color w:val="auto"/>
                <w:sz w:val="24"/>
                <w:szCs w:val="24"/>
                <w:highlight w:val="none"/>
                <w:lang w:val="en-US" w:eastAsia="zh-CN"/>
              </w:rPr>
            </w:pPr>
          </w:p>
        </w:tc>
        <w:tc>
          <w:tcPr>
            <w:tcW w:w="1547" w:type="dxa"/>
            <w:noWrap w:val="0"/>
            <w:vAlign w:val="center"/>
          </w:tcPr>
          <w:p w14:paraId="6DBF1761">
            <w:pPr>
              <w:bidi w:val="0"/>
              <w:jc w:val="center"/>
              <w:rPr>
                <w:rFonts w:hint="eastAsia" w:ascii="Times New Roman" w:hAnsi="Times New Roman" w:eastAsia="宋体" w:cs="Times New Roman"/>
                <w:color w:val="auto"/>
                <w:sz w:val="24"/>
                <w:szCs w:val="24"/>
                <w:highlight w:val="none"/>
                <w:lang w:val="en-US" w:eastAsia="zh-CN"/>
              </w:rPr>
            </w:pPr>
          </w:p>
        </w:tc>
        <w:tc>
          <w:tcPr>
            <w:tcW w:w="1575" w:type="dxa"/>
            <w:noWrap w:val="0"/>
            <w:vAlign w:val="center"/>
          </w:tcPr>
          <w:p w14:paraId="5A04B92A">
            <w:pPr>
              <w:bidi w:val="0"/>
              <w:jc w:val="center"/>
              <w:rPr>
                <w:rFonts w:hint="default" w:ascii="Times New Roman" w:hAnsi="Times New Roman" w:eastAsia="宋体" w:cs="Times New Roman"/>
                <w:color w:val="auto"/>
                <w:sz w:val="24"/>
                <w:szCs w:val="24"/>
                <w:highlight w:val="none"/>
                <w:lang w:val="en-US" w:eastAsia="zh-CN"/>
              </w:rPr>
            </w:pPr>
          </w:p>
        </w:tc>
        <w:tc>
          <w:tcPr>
            <w:tcW w:w="1567" w:type="dxa"/>
            <w:noWrap w:val="0"/>
            <w:vAlign w:val="center"/>
          </w:tcPr>
          <w:p w14:paraId="713728AC">
            <w:pPr>
              <w:bidi w:val="0"/>
              <w:jc w:val="center"/>
              <w:rPr>
                <w:rFonts w:hint="default" w:ascii="Times New Roman" w:hAnsi="Times New Roman" w:eastAsia="宋体" w:cs="Times New Roman"/>
                <w:color w:val="auto"/>
                <w:sz w:val="24"/>
                <w:szCs w:val="24"/>
                <w:highlight w:val="none"/>
                <w:lang w:val="en-US"/>
              </w:rPr>
            </w:pPr>
          </w:p>
        </w:tc>
      </w:tr>
      <w:tr w14:paraId="7F8E4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vMerge w:val="continue"/>
            <w:noWrap w:val="0"/>
            <w:vAlign w:val="center"/>
          </w:tcPr>
          <w:p w14:paraId="6BDC68FA">
            <w:pPr>
              <w:bidi w:val="0"/>
              <w:jc w:val="center"/>
              <w:rPr>
                <w:rFonts w:hint="default" w:ascii="Times New Roman" w:hAnsi="Times New Roman" w:eastAsia="宋体" w:cs="Times New Roman"/>
                <w:color w:val="auto"/>
                <w:sz w:val="24"/>
                <w:szCs w:val="24"/>
                <w:highlight w:val="none"/>
              </w:rPr>
            </w:pPr>
          </w:p>
        </w:tc>
        <w:tc>
          <w:tcPr>
            <w:tcW w:w="1926" w:type="dxa"/>
            <w:noWrap w:val="0"/>
            <w:vAlign w:val="center"/>
          </w:tcPr>
          <w:p w14:paraId="6F3EA3F9">
            <w:pPr>
              <w:bidi w:val="0"/>
              <w:jc w:val="center"/>
              <w:rPr>
                <w:rFonts w:hint="eastAsia" w:ascii="Times New Roman" w:hAnsi="Times New Roman" w:eastAsia="宋体" w:cs="Times New Roman"/>
                <w:color w:val="auto"/>
                <w:sz w:val="24"/>
                <w:szCs w:val="24"/>
                <w:highlight w:val="none"/>
                <w:lang w:eastAsia="zh-CN"/>
              </w:rPr>
            </w:pPr>
          </w:p>
        </w:tc>
        <w:tc>
          <w:tcPr>
            <w:tcW w:w="1365" w:type="dxa"/>
            <w:noWrap w:val="0"/>
            <w:vAlign w:val="center"/>
          </w:tcPr>
          <w:p w14:paraId="68E33E56">
            <w:pPr>
              <w:bidi w:val="0"/>
              <w:jc w:val="center"/>
              <w:rPr>
                <w:rFonts w:hint="default" w:ascii="Times New Roman" w:hAnsi="Times New Roman" w:eastAsia="宋体" w:cs="Times New Roman"/>
                <w:color w:val="auto"/>
                <w:sz w:val="24"/>
                <w:szCs w:val="24"/>
                <w:highlight w:val="none"/>
                <w:lang w:val="en-US" w:eastAsia="zh-CN"/>
              </w:rPr>
            </w:pPr>
          </w:p>
        </w:tc>
        <w:tc>
          <w:tcPr>
            <w:tcW w:w="1148" w:type="dxa"/>
            <w:noWrap w:val="0"/>
            <w:vAlign w:val="center"/>
          </w:tcPr>
          <w:p w14:paraId="621A52A3">
            <w:pPr>
              <w:bidi w:val="0"/>
              <w:jc w:val="center"/>
              <w:rPr>
                <w:rFonts w:hint="default" w:ascii="Times New Roman" w:hAnsi="Times New Roman" w:eastAsia="宋体" w:cs="Times New Roman"/>
                <w:color w:val="auto"/>
                <w:sz w:val="24"/>
                <w:szCs w:val="24"/>
                <w:highlight w:val="none"/>
              </w:rPr>
            </w:pPr>
          </w:p>
        </w:tc>
        <w:tc>
          <w:tcPr>
            <w:tcW w:w="1322" w:type="dxa"/>
            <w:noWrap w:val="0"/>
            <w:vAlign w:val="center"/>
          </w:tcPr>
          <w:p w14:paraId="2FA41B35">
            <w:pPr>
              <w:bidi w:val="0"/>
              <w:jc w:val="center"/>
              <w:rPr>
                <w:rFonts w:hint="eastAsia" w:ascii="Times New Roman" w:hAnsi="Times New Roman" w:eastAsia="宋体" w:cs="Times New Roman"/>
                <w:color w:val="auto"/>
                <w:sz w:val="24"/>
                <w:szCs w:val="24"/>
                <w:highlight w:val="none"/>
                <w:lang w:val="en-US" w:eastAsia="zh-CN"/>
              </w:rPr>
            </w:pPr>
          </w:p>
        </w:tc>
        <w:tc>
          <w:tcPr>
            <w:tcW w:w="1640" w:type="dxa"/>
            <w:noWrap w:val="0"/>
            <w:vAlign w:val="center"/>
          </w:tcPr>
          <w:p w14:paraId="29DA7E71">
            <w:pPr>
              <w:bidi w:val="0"/>
              <w:jc w:val="center"/>
              <w:rPr>
                <w:rFonts w:hint="default" w:ascii="Times New Roman" w:hAnsi="Times New Roman" w:eastAsia="宋体" w:cs="Times New Roman"/>
                <w:color w:val="auto"/>
                <w:sz w:val="24"/>
                <w:szCs w:val="24"/>
                <w:highlight w:val="none"/>
                <w:lang w:val="en-US" w:eastAsia="zh-CN"/>
              </w:rPr>
            </w:pPr>
          </w:p>
        </w:tc>
        <w:tc>
          <w:tcPr>
            <w:tcW w:w="1547" w:type="dxa"/>
            <w:noWrap w:val="0"/>
            <w:vAlign w:val="center"/>
          </w:tcPr>
          <w:p w14:paraId="0E895AA6">
            <w:pPr>
              <w:bidi w:val="0"/>
              <w:jc w:val="center"/>
              <w:rPr>
                <w:rFonts w:hint="eastAsia" w:ascii="Times New Roman" w:hAnsi="Times New Roman" w:eastAsia="宋体" w:cs="Times New Roman"/>
                <w:color w:val="auto"/>
                <w:sz w:val="24"/>
                <w:szCs w:val="24"/>
                <w:highlight w:val="none"/>
                <w:lang w:val="en-US" w:eastAsia="zh-CN"/>
              </w:rPr>
            </w:pPr>
          </w:p>
        </w:tc>
        <w:tc>
          <w:tcPr>
            <w:tcW w:w="1575" w:type="dxa"/>
            <w:noWrap w:val="0"/>
            <w:vAlign w:val="center"/>
          </w:tcPr>
          <w:p w14:paraId="1ACB4508">
            <w:pPr>
              <w:bidi w:val="0"/>
              <w:jc w:val="center"/>
              <w:rPr>
                <w:rFonts w:hint="eastAsia" w:ascii="Times New Roman" w:hAnsi="Times New Roman" w:eastAsia="宋体" w:cs="Times New Roman"/>
                <w:color w:val="auto"/>
                <w:sz w:val="24"/>
                <w:szCs w:val="24"/>
                <w:highlight w:val="none"/>
                <w:lang w:val="en-US" w:eastAsia="zh-CN"/>
              </w:rPr>
            </w:pPr>
          </w:p>
        </w:tc>
        <w:tc>
          <w:tcPr>
            <w:tcW w:w="1567" w:type="dxa"/>
            <w:noWrap w:val="0"/>
            <w:vAlign w:val="center"/>
          </w:tcPr>
          <w:p w14:paraId="3ADAD914">
            <w:pPr>
              <w:bidi w:val="0"/>
              <w:jc w:val="center"/>
              <w:rPr>
                <w:rFonts w:hint="default" w:ascii="Times New Roman" w:hAnsi="Times New Roman" w:eastAsia="宋体" w:cs="Times New Roman"/>
                <w:color w:val="auto"/>
                <w:sz w:val="24"/>
                <w:szCs w:val="24"/>
                <w:highlight w:val="none"/>
                <w:lang w:val="en-US"/>
              </w:rPr>
            </w:pPr>
          </w:p>
        </w:tc>
      </w:tr>
      <w:tr w14:paraId="1E490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7" w:type="dxa"/>
            <w:vMerge w:val="continue"/>
            <w:noWrap w:val="0"/>
            <w:vAlign w:val="center"/>
          </w:tcPr>
          <w:p w14:paraId="2F35B6DF">
            <w:pPr>
              <w:bidi w:val="0"/>
              <w:jc w:val="center"/>
              <w:rPr>
                <w:rFonts w:hint="default" w:ascii="Times New Roman" w:hAnsi="Times New Roman" w:eastAsia="宋体" w:cs="Times New Roman"/>
                <w:color w:val="auto"/>
                <w:sz w:val="24"/>
                <w:szCs w:val="24"/>
                <w:highlight w:val="none"/>
              </w:rPr>
            </w:pPr>
          </w:p>
        </w:tc>
        <w:tc>
          <w:tcPr>
            <w:tcW w:w="1926" w:type="dxa"/>
            <w:noWrap w:val="0"/>
            <w:vAlign w:val="center"/>
          </w:tcPr>
          <w:p w14:paraId="43BBE7AB">
            <w:pPr>
              <w:bidi w:val="0"/>
              <w:jc w:val="center"/>
              <w:rPr>
                <w:rFonts w:hint="default" w:ascii="Times New Roman" w:hAnsi="Times New Roman" w:eastAsia="宋体" w:cs="Times New Roman"/>
                <w:color w:val="auto"/>
                <w:sz w:val="24"/>
                <w:szCs w:val="24"/>
                <w:highlight w:val="none"/>
                <w:lang w:val="en-US" w:eastAsia="zh-CN"/>
              </w:rPr>
            </w:pPr>
          </w:p>
        </w:tc>
        <w:tc>
          <w:tcPr>
            <w:tcW w:w="1365" w:type="dxa"/>
            <w:noWrap w:val="0"/>
            <w:vAlign w:val="center"/>
          </w:tcPr>
          <w:p w14:paraId="09A47601">
            <w:pPr>
              <w:bidi w:val="0"/>
              <w:jc w:val="center"/>
              <w:rPr>
                <w:rFonts w:hint="eastAsia" w:ascii="Times New Roman" w:hAnsi="Times New Roman" w:eastAsia="宋体" w:cs="Times New Roman"/>
                <w:color w:val="auto"/>
                <w:sz w:val="24"/>
                <w:szCs w:val="24"/>
                <w:highlight w:val="none"/>
                <w:lang w:val="en-US" w:eastAsia="zh-CN"/>
              </w:rPr>
            </w:pPr>
          </w:p>
        </w:tc>
        <w:tc>
          <w:tcPr>
            <w:tcW w:w="1148" w:type="dxa"/>
            <w:noWrap w:val="0"/>
            <w:vAlign w:val="center"/>
          </w:tcPr>
          <w:p w14:paraId="1EFE6A1A">
            <w:pPr>
              <w:bidi w:val="0"/>
              <w:jc w:val="center"/>
              <w:rPr>
                <w:rFonts w:hint="eastAsia" w:ascii="Times New Roman" w:hAnsi="Times New Roman" w:eastAsia="宋体" w:cs="Times New Roman"/>
                <w:color w:val="auto"/>
                <w:sz w:val="24"/>
                <w:szCs w:val="24"/>
                <w:highlight w:val="none"/>
                <w:lang w:val="en-US" w:eastAsia="zh-CN"/>
              </w:rPr>
            </w:pPr>
          </w:p>
        </w:tc>
        <w:tc>
          <w:tcPr>
            <w:tcW w:w="1322" w:type="dxa"/>
            <w:noWrap w:val="0"/>
            <w:vAlign w:val="center"/>
          </w:tcPr>
          <w:p w14:paraId="228E210A">
            <w:pPr>
              <w:bidi w:val="0"/>
              <w:jc w:val="center"/>
              <w:rPr>
                <w:rFonts w:hint="eastAsia" w:ascii="Times New Roman" w:hAnsi="Times New Roman" w:eastAsia="宋体" w:cs="Times New Roman"/>
                <w:color w:val="auto"/>
                <w:sz w:val="24"/>
                <w:szCs w:val="24"/>
                <w:highlight w:val="none"/>
                <w:lang w:val="en-US" w:eastAsia="zh-CN"/>
              </w:rPr>
            </w:pPr>
          </w:p>
        </w:tc>
        <w:tc>
          <w:tcPr>
            <w:tcW w:w="1640" w:type="dxa"/>
            <w:noWrap w:val="0"/>
            <w:vAlign w:val="center"/>
          </w:tcPr>
          <w:p w14:paraId="4B65C401">
            <w:pPr>
              <w:bidi w:val="0"/>
              <w:jc w:val="center"/>
              <w:rPr>
                <w:rFonts w:hint="default" w:cs="Times New Roman"/>
                <w:color w:val="auto"/>
                <w:sz w:val="24"/>
                <w:szCs w:val="24"/>
                <w:highlight w:val="none"/>
                <w:lang w:val="en-US" w:eastAsia="zh-CN"/>
              </w:rPr>
            </w:pPr>
          </w:p>
        </w:tc>
        <w:tc>
          <w:tcPr>
            <w:tcW w:w="1547" w:type="dxa"/>
            <w:noWrap w:val="0"/>
            <w:vAlign w:val="center"/>
          </w:tcPr>
          <w:p w14:paraId="394D7AB3">
            <w:pPr>
              <w:bidi w:val="0"/>
              <w:jc w:val="center"/>
              <w:rPr>
                <w:rFonts w:hint="default" w:ascii="Times New Roman" w:hAnsi="Times New Roman" w:eastAsia="宋体" w:cs="Times New Roman"/>
                <w:color w:val="auto"/>
                <w:sz w:val="24"/>
                <w:szCs w:val="24"/>
                <w:highlight w:val="none"/>
                <w:lang w:val="en-US" w:eastAsia="zh-CN"/>
              </w:rPr>
            </w:pPr>
          </w:p>
        </w:tc>
        <w:tc>
          <w:tcPr>
            <w:tcW w:w="1575" w:type="dxa"/>
            <w:noWrap w:val="0"/>
            <w:vAlign w:val="center"/>
          </w:tcPr>
          <w:p w14:paraId="6B9BC186">
            <w:pPr>
              <w:bidi w:val="0"/>
              <w:jc w:val="center"/>
              <w:rPr>
                <w:rFonts w:hint="eastAsia" w:cs="Times New Roman"/>
                <w:color w:val="auto"/>
                <w:sz w:val="24"/>
                <w:szCs w:val="24"/>
                <w:highlight w:val="none"/>
                <w:lang w:val="en-US" w:eastAsia="zh-CN"/>
              </w:rPr>
            </w:pPr>
          </w:p>
        </w:tc>
        <w:tc>
          <w:tcPr>
            <w:tcW w:w="1567" w:type="dxa"/>
            <w:noWrap w:val="0"/>
            <w:vAlign w:val="center"/>
          </w:tcPr>
          <w:p w14:paraId="599C5FEC">
            <w:pPr>
              <w:bidi w:val="0"/>
              <w:jc w:val="center"/>
              <w:rPr>
                <w:rFonts w:hint="eastAsia" w:ascii="Times New Roman" w:hAnsi="Times New Roman" w:eastAsia="宋体" w:cs="Times New Roman"/>
                <w:color w:val="auto"/>
                <w:sz w:val="24"/>
                <w:szCs w:val="24"/>
                <w:highlight w:val="none"/>
                <w:lang w:val="en-US" w:eastAsia="zh-CN"/>
              </w:rPr>
            </w:pPr>
          </w:p>
        </w:tc>
      </w:tr>
    </w:tbl>
    <w:p w14:paraId="42A3C012">
      <w:pPr>
        <w:rPr>
          <w:rFonts w:ascii="宋体" w:hAnsi="宋体" w:eastAsia="黑体"/>
          <w:color w:val="auto"/>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footerReference r:id="rId6" w:type="default"/>
      <w:pgSz w:w="16838" w:h="11906" w:orient="landscape"/>
      <w:pgMar w:top="1531" w:right="1531" w:bottom="1531" w:left="153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30E2">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CDED">
    <w:pPr>
      <w:pStyle w:val="15"/>
      <w:framePr w:wrap="around" w:vAnchor="text" w:hAnchor="margin" w:xAlign="center" w:y="1"/>
      <w:rPr>
        <w:rStyle w:val="27"/>
      </w:rPr>
    </w:pPr>
    <w:r>
      <w:fldChar w:fldCharType="begin"/>
    </w:r>
    <w:r>
      <w:rPr>
        <w:rStyle w:val="27"/>
      </w:rPr>
      <w:instrText xml:space="preserve">PAGE  </w:instrText>
    </w:r>
    <w:r>
      <w:fldChar w:fldCharType="end"/>
    </w:r>
  </w:p>
  <w:p w14:paraId="12DA67BD">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0B246">
    <w:pPr>
      <w:pStyle w:val="15"/>
      <w:ind w:right="360"/>
      <w:jc w:val="both"/>
      <w:rPr>
        <w:rFonts w:hint="default" w:ascii="Times New Roman" w:hAnsi="Times New Roman" w:cs="Times New Roman"/>
      </w:rPr>
    </w:pPr>
    <w:r>
      <w:rPr>
        <w:rFonts w:hint="default"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-59055</wp:posOffset>
              </wp:positionV>
              <wp:extent cx="1828800" cy="18288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AB10DD">
                          <w:pPr>
                            <w:pStyle w:val="15"/>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4.65pt;height:144pt;width:144pt;mso-position-horizontal:center;mso-position-horizontal-relative:margin;mso-wrap-style:none;z-index:251659264;mso-width-relative:page;mso-height-relative:page;" filled="f" stroked="f" coordsize="21600,21600" o:gfxdata="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kZxMNQAAAAHAQAADwAA&#10;AAAAAAABACAAAAAiAAAAZHJzL2Rvd25yZXYueG1sUEsBAhQAFAAAAAgAh07iQPvjAk7hAQAAwQMA&#10;AA4AAAAAAAAAAQAgAAAAIwEAAGRycy9lMm9Eb2MueG1sUEsFBgAAAAAGAAYAWQEAAHYFAAAAAA==&#10;">
              <v:fill on="f" focussize="0,0"/>
              <v:stroke on="f"/>
              <v:imagedata o:title=""/>
              <o:lock v:ext="edit" aspectratio="f"/>
              <v:textbox inset="0mm,0mm,0mm,0mm" style="mso-fit-shape-to-text:t;">
                <w:txbxContent>
                  <w:p w14:paraId="44AB10DD">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8FA24">
    <w:pPr>
      <w:pStyle w:val="1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-59055</wp:posOffset>
              </wp:positionV>
              <wp:extent cx="1828800" cy="1828800"/>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B1CFF">
                          <w:pPr>
                            <w:pStyle w:val="15"/>
                          </w:pPr>
                          <w:r>
                            <w:fldChar w:fldCharType="begin"/>
                          </w:r>
                          <w:r>
                            <w:instrText xml:space="preserve"> PAGE  \* MERGEFORMAT </w:instrText>
                          </w:r>
                          <w:r>
                            <w:fldChar w:fldCharType="separate"/>
                          </w:r>
                          <w:r>
                            <w:t>51</w:t>
                          </w:r>
                          <w: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4.65pt;height:144pt;width:144pt;mso-position-horizontal:center;mso-position-horizontal-relative:margin;mso-wrap-style:none;z-index:251660288;mso-width-relative:page;mso-height-relative:page;" filled="f" stroked="f" coordsize="21600,21600" o:gfxdata="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KRnEw1AAAAAcBAAAPAAAA&#10;AAAAAAEAIAAAACIAAABkcnMvZG93bnJldi54bWxQSwECFAAUAAAACACHTuJAPBnV9uABAADBAwAA&#10;DgAAAAAAAAABACAAAAAjAQAAZHJzL2Uyb0RvYy54bWxQSwUGAAAAAAYABgBZAQAAdQUAAAAA&#10;">
              <v:fill on="f" focussize="0,0"/>
              <v:stroke on="f"/>
              <v:imagedata o:title=""/>
              <o:lock v:ext="edit" aspectratio="f"/>
              <v:textbox inset="0mm,0mm,0mm,0mm" style="mso-fit-shape-to-text:t;">
                <w:txbxContent>
                  <w:p w14:paraId="1F1B1CFF">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2FA0D"/>
    <w:multiLevelType w:val="singleLevel"/>
    <w:tmpl w:val="0702FA0D"/>
    <w:lvl w:ilvl="0" w:tentative="0">
      <w:start w:val="4"/>
      <w:numFmt w:val="chineseCounting"/>
      <w:suff w:val="nothing"/>
      <w:lvlText w:val="%1、"/>
      <w:lvlJc w:val="left"/>
      <w:rPr>
        <w:rFonts w:hint="eastAsia"/>
      </w:rPr>
    </w:lvl>
  </w:abstractNum>
  <w:abstractNum w:abstractNumId="1">
    <w:nsid w:val="71F4CB35"/>
    <w:multiLevelType w:val="singleLevel"/>
    <w:tmpl w:val="71F4CB35"/>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N2QzZWQ4YzgwNzQ5MTVkZjdmNmU2YWUyZTk1NmQ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665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9F7AE7"/>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E4E5E"/>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53372"/>
    <w:rsid w:val="01290F7E"/>
    <w:rsid w:val="014908E5"/>
    <w:rsid w:val="014D5DB8"/>
    <w:rsid w:val="015D1E09"/>
    <w:rsid w:val="0165280B"/>
    <w:rsid w:val="01C42B8B"/>
    <w:rsid w:val="01E44FDB"/>
    <w:rsid w:val="020016E9"/>
    <w:rsid w:val="02005598"/>
    <w:rsid w:val="02072DBA"/>
    <w:rsid w:val="021070BD"/>
    <w:rsid w:val="02182ED7"/>
    <w:rsid w:val="02547B8A"/>
    <w:rsid w:val="025E7A82"/>
    <w:rsid w:val="02697903"/>
    <w:rsid w:val="0280070A"/>
    <w:rsid w:val="028B36A9"/>
    <w:rsid w:val="02AD7AC3"/>
    <w:rsid w:val="02D34E2A"/>
    <w:rsid w:val="02F96569"/>
    <w:rsid w:val="030D3C16"/>
    <w:rsid w:val="0314671B"/>
    <w:rsid w:val="03463A74"/>
    <w:rsid w:val="036839EA"/>
    <w:rsid w:val="03693658"/>
    <w:rsid w:val="039E565E"/>
    <w:rsid w:val="03A52751"/>
    <w:rsid w:val="03EA7B21"/>
    <w:rsid w:val="04071455"/>
    <w:rsid w:val="043642E8"/>
    <w:rsid w:val="043A5387"/>
    <w:rsid w:val="045521C0"/>
    <w:rsid w:val="047D1717"/>
    <w:rsid w:val="04877EA0"/>
    <w:rsid w:val="04CF063E"/>
    <w:rsid w:val="04E470A0"/>
    <w:rsid w:val="04F15CAC"/>
    <w:rsid w:val="050634BB"/>
    <w:rsid w:val="05237BC9"/>
    <w:rsid w:val="05483AD3"/>
    <w:rsid w:val="054F44A2"/>
    <w:rsid w:val="057F6DC9"/>
    <w:rsid w:val="05A21435"/>
    <w:rsid w:val="05E25CD6"/>
    <w:rsid w:val="05E97064"/>
    <w:rsid w:val="05F83EAE"/>
    <w:rsid w:val="06161D63"/>
    <w:rsid w:val="063E7D85"/>
    <w:rsid w:val="065169B7"/>
    <w:rsid w:val="06652463"/>
    <w:rsid w:val="06710E08"/>
    <w:rsid w:val="069F6081"/>
    <w:rsid w:val="06A64F55"/>
    <w:rsid w:val="06A765D7"/>
    <w:rsid w:val="070659F4"/>
    <w:rsid w:val="07293586"/>
    <w:rsid w:val="07295285"/>
    <w:rsid w:val="072B7208"/>
    <w:rsid w:val="0735266F"/>
    <w:rsid w:val="074E7D0A"/>
    <w:rsid w:val="07636392"/>
    <w:rsid w:val="07743C52"/>
    <w:rsid w:val="07770C56"/>
    <w:rsid w:val="0797664C"/>
    <w:rsid w:val="07A07BF6"/>
    <w:rsid w:val="07B0770E"/>
    <w:rsid w:val="07CD5FDB"/>
    <w:rsid w:val="07E01DA1"/>
    <w:rsid w:val="07F00730"/>
    <w:rsid w:val="08002443"/>
    <w:rsid w:val="080F6B2A"/>
    <w:rsid w:val="0845254C"/>
    <w:rsid w:val="085409E1"/>
    <w:rsid w:val="08646E76"/>
    <w:rsid w:val="08760957"/>
    <w:rsid w:val="0878022B"/>
    <w:rsid w:val="087B7F35"/>
    <w:rsid w:val="087D5842"/>
    <w:rsid w:val="08871E21"/>
    <w:rsid w:val="088E7A4F"/>
    <w:rsid w:val="08B66FB2"/>
    <w:rsid w:val="08BB5702"/>
    <w:rsid w:val="092217DD"/>
    <w:rsid w:val="093700E7"/>
    <w:rsid w:val="093A7294"/>
    <w:rsid w:val="093F0D49"/>
    <w:rsid w:val="094822F4"/>
    <w:rsid w:val="09540C99"/>
    <w:rsid w:val="09866978"/>
    <w:rsid w:val="098C4D36"/>
    <w:rsid w:val="09AB63DF"/>
    <w:rsid w:val="0A1977EC"/>
    <w:rsid w:val="0A263993"/>
    <w:rsid w:val="0A2D3AC2"/>
    <w:rsid w:val="0A3665F0"/>
    <w:rsid w:val="0A4C7BC2"/>
    <w:rsid w:val="0A7B4003"/>
    <w:rsid w:val="0AA755DF"/>
    <w:rsid w:val="0AC57974"/>
    <w:rsid w:val="0AF02C43"/>
    <w:rsid w:val="0B006788"/>
    <w:rsid w:val="0B016BFE"/>
    <w:rsid w:val="0B120D44"/>
    <w:rsid w:val="0B380146"/>
    <w:rsid w:val="0B38086C"/>
    <w:rsid w:val="0B8E420A"/>
    <w:rsid w:val="0BD04822"/>
    <w:rsid w:val="0BD27BF6"/>
    <w:rsid w:val="0BE11D5C"/>
    <w:rsid w:val="0C0F66EB"/>
    <w:rsid w:val="0C1A2713"/>
    <w:rsid w:val="0C2F2D37"/>
    <w:rsid w:val="0C3B3C7D"/>
    <w:rsid w:val="0C68225D"/>
    <w:rsid w:val="0C8278CB"/>
    <w:rsid w:val="0C994C14"/>
    <w:rsid w:val="0CAB2EAE"/>
    <w:rsid w:val="0CC94663"/>
    <w:rsid w:val="0CD619C5"/>
    <w:rsid w:val="0D002EE5"/>
    <w:rsid w:val="0D076022"/>
    <w:rsid w:val="0D33389B"/>
    <w:rsid w:val="0D424A0A"/>
    <w:rsid w:val="0D5B1F41"/>
    <w:rsid w:val="0D621C7D"/>
    <w:rsid w:val="0D682F64"/>
    <w:rsid w:val="0DA87805"/>
    <w:rsid w:val="0DF04F6A"/>
    <w:rsid w:val="0E707BF7"/>
    <w:rsid w:val="0E73034D"/>
    <w:rsid w:val="0E9E6D6D"/>
    <w:rsid w:val="0EAA3109"/>
    <w:rsid w:val="0EB02414"/>
    <w:rsid w:val="0ED45019"/>
    <w:rsid w:val="0EDD34DE"/>
    <w:rsid w:val="0EE02FCE"/>
    <w:rsid w:val="0EFE5203"/>
    <w:rsid w:val="0F0C3DC3"/>
    <w:rsid w:val="0F13775A"/>
    <w:rsid w:val="0F56503F"/>
    <w:rsid w:val="0F5F45FE"/>
    <w:rsid w:val="0F751969"/>
    <w:rsid w:val="0F7554C5"/>
    <w:rsid w:val="0F7A6F7F"/>
    <w:rsid w:val="0F930041"/>
    <w:rsid w:val="0F946A4E"/>
    <w:rsid w:val="0F9A112B"/>
    <w:rsid w:val="0FD85A54"/>
    <w:rsid w:val="106D2F64"/>
    <w:rsid w:val="10795489"/>
    <w:rsid w:val="10A02A15"/>
    <w:rsid w:val="10A36062"/>
    <w:rsid w:val="10A97787"/>
    <w:rsid w:val="10B63710"/>
    <w:rsid w:val="10EB3318"/>
    <w:rsid w:val="10F10820"/>
    <w:rsid w:val="111C2F7A"/>
    <w:rsid w:val="11200625"/>
    <w:rsid w:val="11400648"/>
    <w:rsid w:val="11665CA1"/>
    <w:rsid w:val="116C116F"/>
    <w:rsid w:val="117874EE"/>
    <w:rsid w:val="117D4B05"/>
    <w:rsid w:val="117F6AE1"/>
    <w:rsid w:val="119B0176"/>
    <w:rsid w:val="11EB7CC0"/>
    <w:rsid w:val="11FF19BD"/>
    <w:rsid w:val="126D2DCB"/>
    <w:rsid w:val="128A572B"/>
    <w:rsid w:val="130354DD"/>
    <w:rsid w:val="130A23C8"/>
    <w:rsid w:val="13545D39"/>
    <w:rsid w:val="136A10B9"/>
    <w:rsid w:val="13951726"/>
    <w:rsid w:val="13D6674E"/>
    <w:rsid w:val="13E946D3"/>
    <w:rsid w:val="142310E3"/>
    <w:rsid w:val="14396509"/>
    <w:rsid w:val="147541B9"/>
    <w:rsid w:val="14983A03"/>
    <w:rsid w:val="14A66120"/>
    <w:rsid w:val="14AA3E63"/>
    <w:rsid w:val="14DC5FE6"/>
    <w:rsid w:val="14DD2C3C"/>
    <w:rsid w:val="14EA0E63"/>
    <w:rsid w:val="14F7697C"/>
    <w:rsid w:val="14FE5F5C"/>
    <w:rsid w:val="150F3E5D"/>
    <w:rsid w:val="15155054"/>
    <w:rsid w:val="15170DCC"/>
    <w:rsid w:val="15311E8E"/>
    <w:rsid w:val="155006BE"/>
    <w:rsid w:val="1598015F"/>
    <w:rsid w:val="15DF5D8E"/>
    <w:rsid w:val="15E46E11"/>
    <w:rsid w:val="16087E1D"/>
    <w:rsid w:val="164F12FA"/>
    <w:rsid w:val="16677B31"/>
    <w:rsid w:val="169923E1"/>
    <w:rsid w:val="16AB5C70"/>
    <w:rsid w:val="16C531D6"/>
    <w:rsid w:val="16C64858"/>
    <w:rsid w:val="16FE554D"/>
    <w:rsid w:val="170A6E3A"/>
    <w:rsid w:val="17231651"/>
    <w:rsid w:val="173739A8"/>
    <w:rsid w:val="173B4637"/>
    <w:rsid w:val="17701D14"/>
    <w:rsid w:val="17735226"/>
    <w:rsid w:val="17A80401"/>
    <w:rsid w:val="17CD1B55"/>
    <w:rsid w:val="17EA27C8"/>
    <w:rsid w:val="18423C6C"/>
    <w:rsid w:val="184E71FB"/>
    <w:rsid w:val="189F624C"/>
    <w:rsid w:val="18A62B93"/>
    <w:rsid w:val="18BC5F12"/>
    <w:rsid w:val="195645B9"/>
    <w:rsid w:val="19792055"/>
    <w:rsid w:val="19856C4C"/>
    <w:rsid w:val="19923117"/>
    <w:rsid w:val="199B3E7E"/>
    <w:rsid w:val="19E00326"/>
    <w:rsid w:val="19E931C1"/>
    <w:rsid w:val="19FA202D"/>
    <w:rsid w:val="1A1C66C0"/>
    <w:rsid w:val="1A3A0794"/>
    <w:rsid w:val="1A42393B"/>
    <w:rsid w:val="1A5A22E5"/>
    <w:rsid w:val="1A5D3725"/>
    <w:rsid w:val="1AAA762D"/>
    <w:rsid w:val="1AAD45DE"/>
    <w:rsid w:val="1AAE3F81"/>
    <w:rsid w:val="1AE14356"/>
    <w:rsid w:val="1B046F80"/>
    <w:rsid w:val="1B3267B5"/>
    <w:rsid w:val="1B40161D"/>
    <w:rsid w:val="1B441859"/>
    <w:rsid w:val="1B4B5C73"/>
    <w:rsid w:val="1B6606B1"/>
    <w:rsid w:val="1B8561B2"/>
    <w:rsid w:val="1BB83309"/>
    <w:rsid w:val="1BE20386"/>
    <w:rsid w:val="1C2F02D2"/>
    <w:rsid w:val="1C4F14DD"/>
    <w:rsid w:val="1C5E7925"/>
    <w:rsid w:val="1C7A236C"/>
    <w:rsid w:val="1C9A2A0F"/>
    <w:rsid w:val="1CBC1C20"/>
    <w:rsid w:val="1CBD494F"/>
    <w:rsid w:val="1CDE4B9F"/>
    <w:rsid w:val="1CFD070F"/>
    <w:rsid w:val="1D5F6196"/>
    <w:rsid w:val="1D6132A5"/>
    <w:rsid w:val="1D8E56D5"/>
    <w:rsid w:val="1D8E5DFD"/>
    <w:rsid w:val="1E3D5D47"/>
    <w:rsid w:val="1E7554E1"/>
    <w:rsid w:val="1E7A43DA"/>
    <w:rsid w:val="1EA25BAA"/>
    <w:rsid w:val="1F08268D"/>
    <w:rsid w:val="1F152820"/>
    <w:rsid w:val="1F1D16D5"/>
    <w:rsid w:val="1F262338"/>
    <w:rsid w:val="1F487B8C"/>
    <w:rsid w:val="1F525CF2"/>
    <w:rsid w:val="1F6B5D61"/>
    <w:rsid w:val="1F8135B5"/>
    <w:rsid w:val="1F8E4D63"/>
    <w:rsid w:val="1F8F25D3"/>
    <w:rsid w:val="1FE7539E"/>
    <w:rsid w:val="20036B1D"/>
    <w:rsid w:val="2010073A"/>
    <w:rsid w:val="201B68AC"/>
    <w:rsid w:val="202251F5"/>
    <w:rsid w:val="202D76F6"/>
    <w:rsid w:val="20671BE0"/>
    <w:rsid w:val="208512E0"/>
    <w:rsid w:val="20963CB8"/>
    <w:rsid w:val="20967991"/>
    <w:rsid w:val="20A81A1B"/>
    <w:rsid w:val="20B07FB6"/>
    <w:rsid w:val="20B646FB"/>
    <w:rsid w:val="20D14525"/>
    <w:rsid w:val="20E24984"/>
    <w:rsid w:val="213B74B1"/>
    <w:rsid w:val="21494A03"/>
    <w:rsid w:val="215A2310"/>
    <w:rsid w:val="21867A05"/>
    <w:rsid w:val="21DE318A"/>
    <w:rsid w:val="21EF5B80"/>
    <w:rsid w:val="22146DBF"/>
    <w:rsid w:val="223E3EF1"/>
    <w:rsid w:val="22576990"/>
    <w:rsid w:val="226F0499"/>
    <w:rsid w:val="228A0E2F"/>
    <w:rsid w:val="22C02AA3"/>
    <w:rsid w:val="22CD6F6E"/>
    <w:rsid w:val="22EA7B20"/>
    <w:rsid w:val="22F47480"/>
    <w:rsid w:val="23305E7B"/>
    <w:rsid w:val="23A67EEB"/>
    <w:rsid w:val="23C87302"/>
    <w:rsid w:val="23DE1C48"/>
    <w:rsid w:val="23E46C65"/>
    <w:rsid w:val="23F23130"/>
    <w:rsid w:val="23F5677C"/>
    <w:rsid w:val="240210CD"/>
    <w:rsid w:val="2406762A"/>
    <w:rsid w:val="2418037B"/>
    <w:rsid w:val="243C084F"/>
    <w:rsid w:val="245711E5"/>
    <w:rsid w:val="24A106B2"/>
    <w:rsid w:val="24B12063"/>
    <w:rsid w:val="24B86128"/>
    <w:rsid w:val="24BF09F7"/>
    <w:rsid w:val="24C7113C"/>
    <w:rsid w:val="252D53FE"/>
    <w:rsid w:val="25553977"/>
    <w:rsid w:val="256718FC"/>
    <w:rsid w:val="259135F3"/>
    <w:rsid w:val="259322B4"/>
    <w:rsid w:val="25DC4098"/>
    <w:rsid w:val="25EC2D81"/>
    <w:rsid w:val="261F21D6"/>
    <w:rsid w:val="263A491A"/>
    <w:rsid w:val="26760081"/>
    <w:rsid w:val="26D22DA5"/>
    <w:rsid w:val="26E31456"/>
    <w:rsid w:val="270F224B"/>
    <w:rsid w:val="27313F6F"/>
    <w:rsid w:val="2762099E"/>
    <w:rsid w:val="277057A2"/>
    <w:rsid w:val="277A3B68"/>
    <w:rsid w:val="278A3680"/>
    <w:rsid w:val="27D17500"/>
    <w:rsid w:val="28043432"/>
    <w:rsid w:val="282E6D26"/>
    <w:rsid w:val="28492DD3"/>
    <w:rsid w:val="28575C58"/>
    <w:rsid w:val="28EA6ACC"/>
    <w:rsid w:val="28EE0932"/>
    <w:rsid w:val="28EF0F9E"/>
    <w:rsid w:val="28F416F8"/>
    <w:rsid w:val="28F74D45"/>
    <w:rsid w:val="290A3B15"/>
    <w:rsid w:val="29206EB8"/>
    <w:rsid w:val="29364818"/>
    <w:rsid w:val="2939710B"/>
    <w:rsid w:val="295108F9"/>
    <w:rsid w:val="29595666"/>
    <w:rsid w:val="296028EA"/>
    <w:rsid w:val="29695C42"/>
    <w:rsid w:val="29874881"/>
    <w:rsid w:val="29C94933"/>
    <w:rsid w:val="29D84B76"/>
    <w:rsid w:val="29DF5EBE"/>
    <w:rsid w:val="29E17ECF"/>
    <w:rsid w:val="29E325E0"/>
    <w:rsid w:val="2A094D30"/>
    <w:rsid w:val="2A353D77"/>
    <w:rsid w:val="2A452503"/>
    <w:rsid w:val="2A9E7DA0"/>
    <w:rsid w:val="2B342280"/>
    <w:rsid w:val="2B434271"/>
    <w:rsid w:val="2B667F60"/>
    <w:rsid w:val="2B8C5C18"/>
    <w:rsid w:val="2B98280F"/>
    <w:rsid w:val="2BA936A8"/>
    <w:rsid w:val="2BCE6231"/>
    <w:rsid w:val="2BD91A55"/>
    <w:rsid w:val="2BF57C61"/>
    <w:rsid w:val="2BF9764B"/>
    <w:rsid w:val="2C137935"/>
    <w:rsid w:val="2C315A5A"/>
    <w:rsid w:val="2C464019"/>
    <w:rsid w:val="2C4B1C25"/>
    <w:rsid w:val="2C5B7754"/>
    <w:rsid w:val="2CD86C3B"/>
    <w:rsid w:val="2CEF46B1"/>
    <w:rsid w:val="2CFB12A7"/>
    <w:rsid w:val="2D0839C4"/>
    <w:rsid w:val="2D0B6272"/>
    <w:rsid w:val="2D19172E"/>
    <w:rsid w:val="2D206443"/>
    <w:rsid w:val="2D430559"/>
    <w:rsid w:val="2D9D410D"/>
    <w:rsid w:val="2D9E56F5"/>
    <w:rsid w:val="2DBE543C"/>
    <w:rsid w:val="2DEE2BBA"/>
    <w:rsid w:val="2E667F96"/>
    <w:rsid w:val="2E8226AB"/>
    <w:rsid w:val="2E8D676F"/>
    <w:rsid w:val="2EA414CB"/>
    <w:rsid w:val="2EAA4777"/>
    <w:rsid w:val="2ED3590C"/>
    <w:rsid w:val="2EE43FBD"/>
    <w:rsid w:val="2F000DF7"/>
    <w:rsid w:val="2F3445FD"/>
    <w:rsid w:val="2F61560E"/>
    <w:rsid w:val="2F68699C"/>
    <w:rsid w:val="2FCF07C9"/>
    <w:rsid w:val="2FD065E6"/>
    <w:rsid w:val="2FD96870"/>
    <w:rsid w:val="2FE23517"/>
    <w:rsid w:val="30073ABF"/>
    <w:rsid w:val="30274161"/>
    <w:rsid w:val="3048309B"/>
    <w:rsid w:val="30580BC9"/>
    <w:rsid w:val="306D76ED"/>
    <w:rsid w:val="308C2216"/>
    <w:rsid w:val="30BD0622"/>
    <w:rsid w:val="30DA5678"/>
    <w:rsid w:val="30ED7159"/>
    <w:rsid w:val="311E2ED7"/>
    <w:rsid w:val="31496359"/>
    <w:rsid w:val="315619EE"/>
    <w:rsid w:val="315C449C"/>
    <w:rsid w:val="317E4255"/>
    <w:rsid w:val="31833929"/>
    <w:rsid w:val="31A43590"/>
    <w:rsid w:val="31B23EFF"/>
    <w:rsid w:val="31B82709"/>
    <w:rsid w:val="31D05482"/>
    <w:rsid w:val="31E14697"/>
    <w:rsid w:val="31E7004C"/>
    <w:rsid w:val="32096215"/>
    <w:rsid w:val="320D55D9"/>
    <w:rsid w:val="32400B34"/>
    <w:rsid w:val="3255145A"/>
    <w:rsid w:val="32833E17"/>
    <w:rsid w:val="329E6876"/>
    <w:rsid w:val="32A63A63"/>
    <w:rsid w:val="32C1089D"/>
    <w:rsid w:val="32DC7485"/>
    <w:rsid w:val="330662B0"/>
    <w:rsid w:val="333015F2"/>
    <w:rsid w:val="333077D1"/>
    <w:rsid w:val="333170A5"/>
    <w:rsid w:val="334B6320"/>
    <w:rsid w:val="337F6063"/>
    <w:rsid w:val="33A30715"/>
    <w:rsid w:val="33B0609E"/>
    <w:rsid w:val="33D4015C"/>
    <w:rsid w:val="33D934D4"/>
    <w:rsid w:val="33E16D1D"/>
    <w:rsid w:val="33E50478"/>
    <w:rsid w:val="33E83C08"/>
    <w:rsid w:val="33FE2F6A"/>
    <w:rsid w:val="340E07E5"/>
    <w:rsid w:val="34235BF7"/>
    <w:rsid w:val="346E05B1"/>
    <w:rsid w:val="34833930"/>
    <w:rsid w:val="34A2025B"/>
    <w:rsid w:val="34B87A7E"/>
    <w:rsid w:val="34BB30CA"/>
    <w:rsid w:val="34EB1C02"/>
    <w:rsid w:val="35060BA5"/>
    <w:rsid w:val="35092088"/>
    <w:rsid w:val="352F2980"/>
    <w:rsid w:val="3538296D"/>
    <w:rsid w:val="35633E8E"/>
    <w:rsid w:val="358C5FA8"/>
    <w:rsid w:val="35C15DF1"/>
    <w:rsid w:val="36074A7F"/>
    <w:rsid w:val="360A60B7"/>
    <w:rsid w:val="36153124"/>
    <w:rsid w:val="36647258"/>
    <w:rsid w:val="36795DD9"/>
    <w:rsid w:val="36826596"/>
    <w:rsid w:val="36923549"/>
    <w:rsid w:val="36AA33F6"/>
    <w:rsid w:val="36B75FBF"/>
    <w:rsid w:val="36BD0C45"/>
    <w:rsid w:val="36CF10AF"/>
    <w:rsid w:val="36DA1F2E"/>
    <w:rsid w:val="36ED552D"/>
    <w:rsid w:val="37953819"/>
    <w:rsid w:val="37BB657C"/>
    <w:rsid w:val="37DE3C9F"/>
    <w:rsid w:val="37E00298"/>
    <w:rsid w:val="37FA002E"/>
    <w:rsid w:val="384800A4"/>
    <w:rsid w:val="38625D7A"/>
    <w:rsid w:val="38875604"/>
    <w:rsid w:val="388F6D48"/>
    <w:rsid w:val="38B302F9"/>
    <w:rsid w:val="38D71C86"/>
    <w:rsid w:val="38F12CD3"/>
    <w:rsid w:val="38F94775"/>
    <w:rsid w:val="390019F4"/>
    <w:rsid w:val="39057817"/>
    <w:rsid w:val="392971ED"/>
    <w:rsid w:val="3930052B"/>
    <w:rsid w:val="39325651"/>
    <w:rsid w:val="39924D42"/>
    <w:rsid w:val="39BB7451"/>
    <w:rsid w:val="39BD4E2C"/>
    <w:rsid w:val="39D07618"/>
    <w:rsid w:val="39E07108"/>
    <w:rsid w:val="39F71049"/>
    <w:rsid w:val="39F96B6F"/>
    <w:rsid w:val="3A1D5051"/>
    <w:rsid w:val="3A3B7187"/>
    <w:rsid w:val="3A872856"/>
    <w:rsid w:val="3A970136"/>
    <w:rsid w:val="3AA50AA5"/>
    <w:rsid w:val="3B223EA3"/>
    <w:rsid w:val="3B3763D1"/>
    <w:rsid w:val="3B7B1805"/>
    <w:rsid w:val="3B801F84"/>
    <w:rsid w:val="3B887BA7"/>
    <w:rsid w:val="3B8C3A12"/>
    <w:rsid w:val="3B9070ED"/>
    <w:rsid w:val="3B9A612F"/>
    <w:rsid w:val="3B9F72A2"/>
    <w:rsid w:val="3BA44599"/>
    <w:rsid w:val="3BA80662"/>
    <w:rsid w:val="3BB23479"/>
    <w:rsid w:val="3BDA29D0"/>
    <w:rsid w:val="3BEE202A"/>
    <w:rsid w:val="3BFC64A2"/>
    <w:rsid w:val="3C2F6E1E"/>
    <w:rsid w:val="3C3025F0"/>
    <w:rsid w:val="3C3B4CB8"/>
    <w:rsid w:val="3C4147FD"/>
    <w:rsid w:val="3C4936B2"/>
    <w:rsid w:val="3C4F64BA"/>
    <w:rsid w:val="3C552056"/>
    <w:rsid w:val="3C7324DC"/>
    <w:rsid w:val="3C8D359E"/>
    <w:rsid w:val="3CA134EE"/>
    <w:rsid w:val="3CD67100"/>
    <w:rsid w:val="3CDA245A"/>
    <w:rsid w:val="3D1E06B7"/>
    <w:rsid w:val="3D8D6767"/>
    <w:rsid w:val="3DBD7EB3"/>
    <w:rsid w:val="3DE356DF"/>
    <w:rsid w:val="3E4B1963"/>
    <w:rsid w:val="3EDA0523"/>
    <w:rsid w:val="3F085D1D"/>
    <w:rsid w:val="3F283A52"/>
    <w:rsid w:val="3F437E02"/>
    <w:rsid w:val="3F5B3E28"/>
    <w:rsid w:val="3F6C393F"/>
    <w:rsid w:val="3F6E3B5B"/>
    <w:rsid w:val="3F852C53"/>
    <w:rsid w:val="3FB37A3D"/>
    <w:rsid w:val="3FBA6DA0"/>
    <w:rsid w:val="3FDD49AB"/>
    <w:rsid w:val="3FDF6807"/>
    <w:rsid w:val="40073668"/>
    <w:rsid w:val="40421C07"/>
    <w:rsid w:val="404722ED"/>
    <w:rsid w:val="407A6407"/>
    <w:rsid w:val="40C31C84"/>
    <w:rsid w:val="40D0614F"/>
    <w:rsid w:val="40EC4EB1"/>
    <w:rsid w:val="411C3143"/>
    <w:rsid w:val="412169AB"/>
    <w:rsid w:val="41250249"/>
    <w:rsid w:val="41D34932"/>
    <w:rsid w:val="41EF2605"/>
    <w:rsid w:val="41F653EB"/>
    <w:rsid w:val="4200449D"/>
    <w:rsid w:val="422624CB"/>
    <w:rsid w:val="423A3BCC"/>
    <w:rsid w:val="424E57D2"/>
    <w:rsid w:val="427174BE"/>
    <w:rsid w:val="42772D26"/>
    <w:rsid w:val="42B26C49"/>
    <w:rsid w:val="42D911FA"/>
    <w:rsid w:val="431E31A2"/>
    <w:rsid w:val="433A6FE6"/>
    <w:rsid w:val="43480868"/>
    <w:rsid w:val="4350713C"/>
    <w:rsid w:val="436653E0"/>
    <w:rsid w:val="437453D2"/>
    <w:rsid w:val="4379487C"/>
    <w:rsid w:val="437C611B"/>
    <w:rsid w:val="43AF4742"/>
    <w:rsid w:val="43C4431A"/>
    <w:rsid w:val="440E1469"/>
    <w:rsid w:val="4416031D"/>
    <w:rsid w:val="44223166"/>
    <w:rsid w:val="446E0159"/>
    <w:rsid w:val="44B951CC"/>
    <w:rsid w:val="44CD14E0"/>
    <w:rsid w:val="44E54CEA"/>
    <w:rsid w:val="44F20B0B"/>
    <w:rsid w:val="452E5F4C"/>
    <w:rsid w:val="45612018"/>
    <w:rsid w:val="45815C6A"/>
    <w:rsid w:val="458946E9"/>
    <w:rsid w:val="4594599D"/>
    <w:rsid w:val="459B6220"/>
    <w:rsid w:val="45A24357"/>
    <w:rsid w:val="45A47C0E"/>
    <w:rsid w:val="4613720A"/>
    <w:rsid w:val="461915BC"/>
    <w:rsid w:val="46577FD6"/>
    <w:rsid w:val="46D955A7"/>
    <w:rsid w:val="46EC35B7"/>
    <w:rsid w:val="46FC7C9E"/>
    <w:rsid w:val="47133957"/>
    <w:rsid w:val="47265610"/>
    <w:rsid w:val="475A3E2D"/>
    <w:rsid w:val="477D1593"/>
    <w:rsid w:val="47A07E0C"/>
    <w:rsid w:val="47B2035D"/>
    <w:rsid w:val="47BC11DC"/>
    <w:rsid w:val="47CB5D32"/>
    <w:rsid w:val="481C1C7A"/>
    <w:rsid w:val="48517B76"/>
    <w:rsid w:val="48537D92"/>
    <w:rsid w:val="485F6737"/>
    <w:rsid w:val="4870272E"/>
    <w:rsid w:val="48952158"/>
    <w:rsid w:val="48A203D1"/>
    <w:rsid w:val="48D7601E"/>
    <w:rsid w:val="48DD4E3A"/>
    <w:rsid w:val="48DF5182"/>
    <w:rsid w:val="48EE4C01"/>
    <w:rsid w:val="48F30C2D"/>
    <w:rsid w:val="494F67AB"/>
    <w:rsid w:val="49584F34"/>
    <w:rsid w:val="497A75A0"/>
    <w:rsid w:val="497B7CC7"/>
    <w:rsid w:val="49802DCC"/>
    <w:rsid w:val="498D5DE8"/>
    <w:rsid w:val="499C12C5"/>
    <w:rsid w:val="49DC7715"/>
    <w:rsid w:val="49DF5C72"/>
    <w:rsid w:val="49E60786"/>
    <w:rsid w:val="49EE6CD1"/>
    <w:rsid w:val="49F7299F"/>
    <w:rsid w:val="4A023139"/>
    <w:rsid w:val="4A203CA4"/>
    <w:rsid w:val="4A45370A"/>
    <w:rsid w:val="4A603235"/>
    <w:rsid w:val="4A7B576F"/>
    <w:rsid w:val="4A8A3813"/>
    <w:rsid w:val="4A8F0E29"/>
    <w:rsid w:val="4ABA40F8"/>
    <w:rsid w:val="4AF561A9"/>
    <w:rsid w:val="4B157580"/>
    <w:rsid w:val="4B2B2900"/>
    <w:rsid w:val="4BA10B48"/>
    <w:rsid w:val="4BAF1783"/>
    <w:rsid w:val="4BB40B47"/>
    <w:rsid w:val="4BBA0128"/>
    <w:rsid w:val="4BBD05CA"/>
    <w:rsid w:val="4C15710C"/>
    <w:rsid w:val="4C1C493F"/>
    <w:rsid w:val="4C312198"/>
    <w:rsid w:val="4C4A0649"/>
    <w:rsid w:val="4C56649F"/>
    <w:rsid w:val="4C742085"/>
    <w:rsid w:val="4C7E5ECA"/>
    <w:rsid w:val="4C876AA5"/>
    <w:rsid w:val="4CBF59F6"/>
    <w:rsid w:val="4CF136D5"/>
    <w:rsid w:val="4CF24BB3"/>
    <w:rsid w:val="4D0B0C3B"/>
    <w:rsid w:val="4D0E00FB"/>
    <w:rsid w:val="4D176606"/>
    <w:rsid w:val="4D423DEA"/>
    <w:rsid w:val="4D423F31"/>
    <w:rsid w:val="4D4E2860"/>
    <w:rsid w:val="4D54181A"/>
    <w:rsid w:val="4D587BF8"/>
    <w:rsid w:val="4D5F4AE3"/>
    <w:rsid w:val="4D616AAD"/>
    <w:rsid w:val="4D9329DF"/>
    <w:rsid w:val="4DC25072"/>
    <w:rsid w:val="4DEC4FB0"/>
    <w:rsid w:val="4DF23BA9"/>
    <w:rsid w:val="4E075D8A"/>
    <w:rsid w:val="4E8F31A6"/>
    <w:rsid w:val="4EC00FAD"/>
    <w:rsid w:val="4EC05A55"/>
    <w:rsid w:val="4F167C4E"/>
    <w:rsid w:val="4F196F13"/>
    <w:rsid w:val="4F3B1580"/>
    <w:rsid w:val="4F597781"/>
    <w:rsid w:val="4F7D56F4"/>
    <w:rsid w:val="4F9843DC"/>
    <w:rsid w:val="4F9D6F64"/>
    <w:rsid w:val="4FC43323"/>
    <w:rsid w:val="4FC62A8C"/>
    <w:rsid w:val="4FC837D5"/>
    <w:rsid w:val="4FDF63AF"/>
    <w:rsid w:val="4FE20F0D"/>
    <w:rsid w:val="4FE51552"/>
    <w:rsid w:val="500E23E4"/>
    <w:rsid w:val="501068CE"/>
    <w:rsid w:val="502344EE"/>
    <w:rsid w:val="50453189"/>
    <w:rsid w:val="50504C4B"/>
    <w:rsid w:val="50560894"/>
    <w:rsid w:val="505A0327"/>
    <w:rsid w:val="506378EF"/>
    <w:rsid w:val="5064373B"/>
    <w:rsid w:val="509C6E7C"/>
    <w:rsid w:val="50A54F03"/>
    <w:rsid w:val="511E6A63"/>
    <w:rsid w:val="515D758B"/>
    <w:rsid w:val="5162104E"/>
    <w:rsid w:val="51656440"/>
    <w:rsid w:val="51723F68"/>
    <w:rsid w:val="518965D2"/>
    <w:rsid w:val="51905BB3"/>
    <w:rsid w:val="51AF590D"/>
    <w:rsid w:val="51EC5F5C"/>
    <w:rsid w:val="51FC2328"/>
    <w:rsid w:val="52050A33"/>
    <w:rsid w:val="522602C5"/>
    <w:rsid w:val="525E7A5F"/>
    <w:rsid w:val="526C0A50"/>
    <w:rsid w:val="52AD62F0"/>
    <w:rsid w:val="52B15DE1"/>
    <w:rsid w:val="52C11D9C"/>
    <w:rsid w:val="530F2B07"/>
    <w:rsid w:val="53193986"/>
    <w:rsid w:val="535624E4"/>
    <w:rsid w:val="53623BC1"/>
    <w:rsid w:val="536B711E"/>
    <w:rsid w:val="538E7ED0"/>
    <w:rsid w:val="53A039CC"/>
    <w:rsid w:val="53A1505A"/>
    <w:rsid w:val="53BA6F17"/>
    <w:rsid w:val="53BF62DB"/>
    <w:rsid w:val="53CB4FFF"/>
    <w:rsid w:val="53E93358"/>
    <w:rsid w:val="53F87A3F"/>
    <w:rsid w:val="54063E08"/>
    <w:rsid w:val="54077C82"/>
    <w:rsid w:val="540B1521"/>
    <w:rsid w:val="543437E8"/>
    <w:rsid w:val="544834D5"/>
    <w:rsid w:val="546E385E"/>
    <w:rsid w:val="547215A0"/>
    <w:rsid w:val="54D9517B"/>
    <w:rsid w:val="54F73313"/>
    <w:rsid w:val="54F80955"/>
    <w:rsid w:val="551D38D8"/>
    <w:rsid w:val="55502F73"/>
    <w:rsid w:val="555170A7"/>
    <w:rsid w:val="55630EE8"/>
    <w:rsid w:val="556F788D"/>
    <w:rsid w:val="5587536D"/>
    <w:rsid w:val="55995F7D"/>
    <w:rsid w:val="559B174B"/>
    <w:rsid w:val="55BF6A67"/>
    <w:rsid w:val="55CE0CF4"/>
    <w:rsid w:val="55D02A22"/>
    <w:rsid w:val="55D87B28"/>
    <w:rsid w:val="55F07B18"/>
    <w:rsid w:val="560501F2"/>
    <w:rsid w:val="563C00B7"/>
    <w:rsid w:val="56446F6C"/>
    <w:rsid w:val="564E1B99"/>
    <w:rsid w:val="56620990"/>
    <w:rsid w:val="56665134"/>
    <w:rsid w:val="56871D1E"/>
    <w:rsid w:val="56927CD7"/>
    <w:rsid w:val="56A64B36"/>
    <w:rsid w:val="56B22A9C"/>
    <w:rsid w:val="570450D6"/>
    <w:rsid w:val="57802226"/>
    <w:rsid w:val="57B679F5"/>
    <w:rsid w:val="57B72A76"/>
    <w:rsid w:val="57C3426C"/>
    <w:rsid w:val="57CA2856"/>
    <w:rsid w:val="57CE1F93"/>
    <w:rsid w:val="57F95B34"/>
    <w:rsid w:val="58044C05"/>
    <w:rsid w:val="581A7F84"/>
    <w:rsid w:val="58226E39"/>
    <w:rsid w:val="582708F3"/>
    <w:rsid w:val="582C415B"/>
    <w:rsid w:val="586340B6"/>
    <w:rsid w:val="588743D1"/>
    <w:rsid w:val="5887701A"/>
    <w:rsid w:val="5889510A"/>
    <w:rsid w:val="58AD704A"/>
    <w:rsid w:val="58C97722"/>
    <w:rsid w:val="58CC3CD1"/>
    <w:rsid w:val="58F20F01"/>
    <w:rsid w:val="59282B75"/>
    <w:rsid w:val="594B7688"/>
    <w:rsid w:val="5954396A"/>
    <w:rsid w:val="596D4B3E"/>
    <w:rsid w:val="597436C4"/>
    <w:rsid w:val="599516CE"/>
    <w:rsid w:val="599D3627"/>
    <w:rsid w:val="59A0270B"/>
    <w:rsid w:val="59BB7545"/>
    <w:rsid w:val="59C0439F"/>
    <w:rsid w:val="5A034988"/>
    <w:rsid w:val="5A0C1B4F"/>
    <w:rsid w:val="5A2B594F"/>
    <w:rsid w:val="5A3317D1"/>
    <w:rsid w:val="5A767910"/>
    <w:rsid w:val="5A84577D"/>
    <w:rsid w:val="5A9B1124"/>
    <w:rsid w:val="5ABE2233"/>
    <w:rsid w:val="5AFF3461"/>
    <w:rsid w:val="5B13515F"/>
    <w:rsid w:val="5B353327"/>
    <w:rsid w:val="5B3E21DC"/>
    <w:rsid w:val="5B751975"/>
    <w:rsid w:val="5BB31EA5"/>
    <w:rsid w:val="5BB73D3C"/>
    <w:rsid w:val="5BDF5D95"/>
    <w:rsid w:val="5BE56AFB"/>
    <w:rsid w:val="5BFE7528"/>
    <w:rsid w:val="5C2C7B02"/>
    <w:rsid w:val="5C3E7FB9"/>
    <w:rsid w:val="5C514191"/>
    <w:rsid w:val="5C69772C"/>
    <w:rsid w:val="5C732359"/>
    <w:rsid w:val="5C8E7193"/>
    <w:rsid w:val="5CC46711"/>
    <w:rsid w:val="5CDD5A24"/>
    <w:rsid w:val="5CFD7E74"/>
    <w:rsid w:val="5D8B18D5"/>
    <w:rsid w:val="5DFE5C52"/>
    <w:rsid w:val="5E0A0A9B"/>
    <w:rsid w:val="5E2467F1"/>
    <w:rsid w:val="5E341674"/>
    <w:rsid w:val="5E543AC4"/>
    <w:rsid w:val="5E600A81"/>
    <w:rsid w:val="5E653F23"/>
    <w:rsid w:val="5E666302"/>
    <w:rsid w:val="5E745F14"/>
    <w:rsid w:val="5E7A1BD8"/>
    <w:rsid w:val="5EE44E48"/>
    <w:rsid w:val="5F1A2B43"/>
    <w:rsid w:val="5F546472"/>
    <w:rsid w:val="5FA82319"/>
    <w:rsid w:val="5FB837BB"/>
    <w:rsid w:val="5FCA04E2"/>
    <w:rsid w:val="5FE61094"/>
    <w:rsid w:val="60110E2F"/>
    <w:rsid w:val="604C4DC4"/>
    <w:rsid w:val="605424A1"/>
    <w:rsid w:val="606049A2"/>
    <w:rsid w:val="60651FB9"/>
    <w:rsid w:val="607629D0"/>
    <w:rsid w:val="60A346D8"/>
    <w:rsid w:val="60A460DA"/>
    <w:rsid w:val="60B66CB8"/>
    <w:rsid w:val="60CC405A"/>
    <w:rsid w:val="60CC64DC"/>
    <w:rsid w:val="60F05F24"/>
    <w:rsid w:val="60FF065F"/>
    <w:rsid w:val="61016185"/>
    <w:rsid w:val="61330309"/>
    <w:rsid w:val="6172104A"/>
    <w:rsid w:val="61897F29"/>
    <w:rsid w:val="618B5A4F"/>
    <w:rsid w:val="61C251E9"/>
    <w:rsid w:val="61E215D8"/>
    <w:rsid w:val="61F555BE"/>
    <w:rsid w:val="621B3775"/>
    <w:rsid w:val="621E0B31"/>
    <w:rsid w:val="62210161"/>
    <w:rsid w:val="622A34BA"/>
    <w:rsid w:val="62364782"/>
    <w:rsid w:val="624B51DE"/>
    <w:rsid w:val="62724E61"/>
    <w:rsid w:val="62775066"/>
    <w:rsid w:val="628C5F22"/>
    <w:rsid w:val="629372B1"/>
    <w:rsid w:val="62DA4EE0"/>
    <w:rsid w:val="63116C2A"/>
    <w:rsid w:val="63750765"/>
    <w:rsid w:val="63770981"/>
    <w:rsid w:val="637864A7"/>
    <w:rsid w:val="6394356A"/>
    <w:rsid w:val="63C61B2C"/>
    <w:rsid w:val="63CD05A1"/>
    <w:rsid w:val="63D40BE9"/>
    <w:rsid w:val="63FA0916"/>
    <w:rsid w:val="63FD075A"/>
    <w:rsid w:val="64102431"/>
    <w:rsid w:val="642B6038"/>
    <w:rsid w:val="643B568E"/>
    <w:rsid w:val="64607667"/>
    <w:rsid w:val="64842C1C"/>
    <w:rsid w:val="64966BE4"/>
    <w:rsid w:val="649B41FB"/>
    <w:rsid w:val="64A5243A"/>
    <w:rsid w:val="64AF7CA6"/>
    <w:rsid w:val="64E75692"/>
    <w:rsid w:val="64E77440"/>
    <w:rsid w:val="64F531DE"/>
    <w:rsid w:val="651A5A67"/>
    <w:rsid w:val="65373578"/>
    <w:rsid w:val="653B59DE"/>
    <w:rsid w:val="655C6080"/>
    <w:rsid w:val="655E098A"/>
    <w:rsid w:val="65652A5B"/>
    <w:rsid w:val="65C37F02"/>
    <w:rsid w:val="65E9543A"/>
    <w:rsid w:val="660364FC"/>
    <w:rsid w:val="66093B0D"/>
    <w:rsid w:val="6628748E"/>
    <w:rsid w:val="66621BF7"/>
    <w:rsid w:val="6672542F"/>
    <w:rsid w:val="66763171"/>
    <w:rsid w:val="66BB0B84"/>
    <w:rsid w:val="66C37A39"/>
    <w:rsid w:val="66C7577B"/>
    <w:rsid w:val="671F124A"/>
    <w:rsid w:val="67207AD7"/>
    <w:rsid w:val="672145A0"/>
    <w:rsid w:val="67713939"/>
    <w:rsid w:val="677A33C6"/>
    <w:rsid w:val="67C95523"/>
    <w:rsid w:val="67E22141"/>
    <w:rsid w:val="67E934CF"/>
    <w:rsid w:val="68082A36"/>
    <w:rsid w:val="681F6961"/>
    <w:rsid w:val="6841155D"/>
    <w:rsid w:val="6848469A"/>
    <w:rsid w:val="68570D81"/>
    <w:rsid w:val="68610A2F"/>
    <w:rsid w:val="6861404E"/>
    <w:rsid w:val="687E455F"/>
    <w:rsid w:val="68805514"/>
    <w:rsid w:val="688B2C13"/>
    <w:rsid w:val="68B36009"/>
    <w:rsid w:val="68BE2BAE"/>
    <w:rsid w:val="68F4037D"/>
    <w:rsid w:val="68FE1B36"/>
    <w:rsid w:val="69034A64"/>
    <w:rsid w:val="691B50BE"/>
    <w:rsid w:val="692F13B6"/>
    <w:rsid w:val="69316E2F"/>
    <w:rsid w:val="694E2071"/>
    <w:rsid w:val="695B1CE7"/>
    <w:rsid w:val="69766163"/>
    <w:rsid w:val="697A3B33"/>
    <w:rsid w:val="6994390F"/>
    <w:rsid w:val="69BA15C7"/>
    <w:rsid w:val="69D44760"/>
    <w:rsid w:val="6A520EC7"/>
    <w:rsid w:val="6AA327B9"/>
    <w:rsid w:val="6AD95A7D"/>
    <w:rsid w:val="6AF87E20"/>
    <w:rsid w:val="6B322639"/>
    <w:rsid w:val="6B39476E"/>
    <w:rsid w:val="6B5E5F82"/>
    <w:rsid w:val="6B6555BF"/>
    <w:rsid w:val="6B6E0DDE"/>
    <w:rsid w:val="6B80239C"/>
    <w:rsid w:val="6B9D2F4E"/>
    <w:rsid w:val="6BB169FA"/>
    <w:rsid w:val="6BDA5F51"/>
    <w:rsid w:val="6BFF7765"/>
    <w:rsid w:val="6C0E1756"/>
    <w:rsid w:val="6C1D1022"/>
    <w:rsid w:val="6C3F58D0"/>
    <w:rsid w:val="6C636C38"/>
    <w:rsid w:val="6CAC1723"/>
    <w:rsid w:val="6CB542C8"/>
    <w:rsid w:val="6CCA7D73"/>
    <w:rsid w:val="6CF44DF0"/>
    <w:rsid w:val="6CF748E0"/>
    <w:rsid w:val="6D2C2C7B"/>
    <w:rsid w:val="6D536324"/>
    <w:rsid w:val="6D565D6F"/>
    <w:rsid w:val="6D7E46BA"/>
    <w:rsid w:val="6D98425A"/>
    <w:rsid w:val="6DB34098"/>
    <w:rsid w:val="6DB545B6"/>
    <w:rsid w:val="6DB95083"/>
    <w:rsid w:val="6DE02FB4"/>
    <w:rsid w:val="6E02353D"/>
    <w:rsid w:val="6E036E69"/>
    <w:rsid w:val="6E3B6A4F"/>
    <w:rsid w:val="6E514CED"/>
    <w:rsid w:val="6E5D69C5"/>
    <w:rsid w:val="6E646B4D"/>
    <w:rsid w:val="6E647817"/>
    <w:rsid w:val="6E657628"/>
    <w:rsid w:val="6E66587A"/>
    <w:rsid w:val="6E756463"/>
    <w:rsid w:val="6EB563D5"/>
    <w:rsid w:val="6ECC0606"/>
    <w:rsid w:val="6ED92677"/>
    <w:rsid w:val="6EF07839"/>
    <w:rsid w:val="6F0F4163"/>
    <w:rsid w:val="6F1928EC"/>
    <w:rsid w:val="6F225983"/>
    <w:rsid w:val="6F6D70DC"/>
    <w:rsid w:val="6F8306AD"/>
    <w:rsid w:val="6FEF7B2D"/>
    <w:rsid w:val="6FF3138F"/>
    <w:rsid w:val="6FF3443A"/>
    <w:rsid w:val="6FFC5590"/>
    <w:rsid w:val="7027728A"/>
    <w:rsid w:val="704B11CB"/>
    <w:rsid w:val="70645DE9"/>
    <w:rsid w:val="706D1DD0"/>
    <w:rsid w:val="70856B87"/>
    <w:rsid w:val="70B07280"/>
    <w:rsid w:val="70B12FF8"/>
    <w:rsid w:val="70BF3967"/>
    <w:rsid w:val="70D527EE"/>
    <w:rsid w:val="71153587"/>
    <w:rsid w:val="715B3690"/>
    <w:rsid w:val="715B5300"/>
    <w:rsid w:val="716A5681"/>
    <w:rsid w:val="71B903B6"/>
    <w:rsid w:val="71D27F8A"/>
    <w:rsid w:val="72077373"/>
    <w:rsid w:val="720F324E"/>
    <w:rsid w:val="723839D1"/>
    <w:rsid w:val="72457E9C"/>
    <w:rsid w:val="72553024"/>
    <w:rsid w:val="72621826"/>
    <w:rsid w:val="72F71196"/>
    <w:rsid w:val="73122968"/>
    <w:rsid w:val="731F5D5E"/>
    <w:rsid w:val="73375A36"/>
    <w:rsid w:val="733C4E1B"/>
    <w:rsid w:val="73571C35"/>
    <w:rsid w:val="735C549D"/>
    <w:rsid w:val="736B748E"/>
    <w:rsid w:val="73944C37"/>
    <w:rsid w:val="73B928EF"/>
    <w:rsid w:val="73C51AD5"/>
    <w:rsid w:val="73E4432F"/>
    <w:rsid w:val="741E793C"/>
    <w:rsid w:val="745E3944"/>
    <w:rsid w:val="74B87FBF"/>
    <w:rsid w:val="74C91B3E"/>
    <w:rsid w:val="75045DEC"/>
    <w:rsid w:val="750724A3"/>
    <w:rsid w:val="750B717B"/>
    <w:rsid w:val="75322959"/>
    <w:rsid w:val="75771A19"/>
    <w:rsid w:val="759F4605"/>
    <w:rsid w:val="75B22E9E"/>
    <w:rsid w:val="75C9152B"/>
    <w:rsid w:val="75DF5F11"/>
    <w:rsid w:val="76124539"/>
    <w:rsid w:val="7635099D"/>
    <w:rsid w:val="76790114"/>
    <w:rsid w:val="76BB24DB"/>
    <w:rsid w:val="76BF5F6B"/>
    <w:rsid w:val="76C75323"/>
    <w:rsid w:val="76F459ED"/>
    <w:rsid w:val="771F4916"/>
    <w:rsid w:val="77420E4E"/>
    <w:rsid w:val="776B7931"/>
    <w:rsid w:val="77762421"/>
    <w:rsid w:val="778E72C6"/>
    <w:rsid w:val="779A2A38"/>
    <w:rsid w:val="779F1DFC"/>
    <w:rsid w:val="77B04009"/>
    <w:rsid w:val="77B56B1F"/>
    <w:rsid w:val="77ED2B68"/>
    <w:rsid w:val="77FC724F"/>
    <w:rsid w:val="77FE0CE2"/>
    <w:rsid w:val="780F09F4"/>
    <w:rsid w:val="781A1483"/>
    <w:rsid w:val="78216CB5"/>
    <w:rsid w:val="786F1172"/>
    <w:rsid w:val="7899003F"/>
    <w:rsid w:val="78A0407E"/>
    <w:rsid w:val="78A90480"/>
    <w:rsid w:val="78DB557E"/>
    <w:rsid w:val="79020895"/>
    <w:rsid w:val="79181E66"/>
    <w:rsid w:val="79206F6D"/>
    <w:rsid w:val="79246A5D"/>
    <w:rsid w:val="792E6243"/>
    <w:rsid w:val="792F58EB"/>
    <w:rsid w:val="79464C25"/>
    <w:rsid w:val="79850A51"/>
    <w:rsid w:val="798C015E"/>
    <w:rsid w:val="799F7E92"/>
    <w:rsid w:val="79AB2CDA"/>
    <w:rsid w:val="79C8388C"/>
    <w:rsid w:val="79D73ACF"/>
    <w:rsid w:val="79DA35C0"/>
    <w:rsid w:val="79F226B7"/>
    <w:rsid w:val="79FC10BE"/>
    <w:rsid w:val="7A036672"/>
    <w:rsid w:val="7A2465E9"/>
    <w:rsid w:val="7A355ED5"/>
    <w:rsid w:val="7A364017"/>
    <w:rsid w:val="7A4A24F3"/>
    <w:rsid w:val="7A5B617F"/>
    <w:rsid w:val="7A5E7D4D"/>
    <w:rsid w:val="7A6F1F5A"/>
    <w:rsid w:val="7A8265E1"/>
    <w:rsid w:val="7A9814B1"/>
    <w:rsid w:val="7AAE09ED"/>
    <w:rsid w:val="7AC9693C"/>
    <w:rsid w:val="7ADB314B"/>
    <w:rsid w:val="7B1A0118"/>
    <w:rsid w:val="7B5178B1"/>
    <w:rsid w:val="7B573206"/>
    <w:rsid w:val="7B62037E"/>
    <w:rsid w:val="7B686D42"/>
    <w:rsid w:val="7B6C6499"/>
    <w:rsid w:val="7B71585E"/>
    <w:rsid w:val="7B841746"/>
    <w:rsid w:val="7B896A98"/>
    <w:rsid w:val="7BA23C69"/>
    <w:rsid w:val="7BA67BFD"/>
    <w:rsid w:val="7BCD3E00"/>
    <w:rsid w:val="7C0A708B"/>
    <w:rsid w:val="7C266648"/>
    <w:rsid w:val="7C653614"/>
    <w:rsid w:val="7C6B04FF"/>
    <w:rsid w:val="7C6C5AC7"/>
    <w:rsid w:val="7C9537CE"/>
    <w:rsid w:val="7CC6544B"/>
    <w:rsid w:val="7CEC7892"/>
    <w:rsid w:val="7CF84488"/>
    <w:rsid w:val="7D0239FF"/>
    <w:rsid w:val="7D1110A6"/>
    <w:rsid w:val="7D122A33"/>
    <w:rsid w:val="7D5E40CD"/>
    <w:rsid w:val="7D841250"/>
    <w:rsid w:val="7DB163E5"/>
    <w:rsid w:val="7DB859C6"/>
    <w:rsid w:val="7DC91981"/>
    <w:rsid w:val="7DCD56F2"/>
    <w:rsid w:val="7DFF35F5"/>
    <w:rsid w:val="7E1150D6"/>
    <w:rsid w:val="7E462FD2"/>
    <w:rsid w:val="7E722019"/>
    <w:rsid w:val="7E966CB8"/>
    <w:rsid w:val="7E9A331D"/>
    <w:rsid w:val="7ECA3C28"/>
    <w:rsid w:val="7F001CE7"/>
    <w:rsid w:val="7F0A04A3"/>
    <w:rsid w:val="7F196938"/>
    <w:rsid w:val="7F6F6E0B"/>
    <w:rsid w:val="7F824B03"/>
    <w:rsid w:val="7F8842A3"/>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uiPriority w:val="1"/>
    <w:pPr>
      <w:ind w:left="716"/>
      <w:outlineLvl w:val="1"/>
    </w:pPr>
    <w:rPr>
      <w:rFonts w:ascii="宋体" w:hAnsi="宋体" w:eastAsia="宋体" w:cs="宋体"/>
      <w:b/>
      <w:bCs/>
      <w:sz w:val="24"/>
      <w:szCs w:val="24"/>
      <w:lang w:val="zh-CN" w:eastAsia="zh-CN" w:bidi="zh-CN"/>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spacing w:line="336" w:lineRule="auto"/>
      <w:ind w:firstLine="527"/>
    </w:pPr>
    <w:rPr>
      <w:sz w:val="24"/>
      <w:szCs w:val="20"/>
    </w:rPr>
  </w:style>
  <w:style w:type="paragraph" w:customStyle="1" w:styleId="5">
    <w:name w:val="表头"/>
    <w:basedOn w:val="6"/>
    <w:next w:val="1"/>
    <w:qFormat/>
    <w:uiPriority w:val="0"/>
    <w:pPr>
      <w:adjustRightInd w:val="0"/>
      <w:snapToGrid w:val="0"/>
      <w:spacing w:beforeLines="25"/>
      <w:jc w:val="center"/>
      <w:textAlignment w:val="baseline"/>
    </w:pPr>
    <w:rPr>
      <w:rFonts w:hAnsi="宋体" w:eastAsia="仿宋_GB2312"/>
      <w:b/>
      <w:kern w:val="0"/>
      <w:sz w:val="28"/>
      <w:szCs w:val="28"/>
    </w:rPr>
  </w:style>
  <w:style w:type="paragraph" w:styleId="6">
    <w:name w:val="List"/>
    <w:basedOn w:val="1"/>
    <w:qFormat/>
    <w:uiPriority w:val="0"/>
    <w:pPr>
      <w:widowControl/>
      <w:overflowPunct w:val="0"/>
      <w:autoSpaceDE w:val="0"/>
      <w:autoSpaceDN w:val="0"/>
      <w:adjustRightInd w:val="0"/>
      <w:spacing w:line="360" w:lineRule="auto"/>
      <w:jc w:val="center"/>
      <w:textAlignment w:val="baseline"/>
    </w:pPr>
    <w:rPr>
      <w:kern w:val="0"/>
      <w:lang w:val="en-GB"/>
    </w:rPr>
  </w:style>
  <w:style w:type="paragraph" w:styleId="7">
    <w:name w:val="caption"/>
    <w:basedOn w:val="1"/>
    <w:next w:val="1"/>
    <w:qFormat/>
    <w:uiPriority w:val="0"/>
    <w:pPr>
      <w:tabs>
        <w:tab w:val="center" w:pos="10467"/>
        <w:tab w:val="left" w:pos="13095"/>
      </w:tabs>
      <w:ind w:firstLine="480" w:firstLineChars="200"/>
    </w:pPr>
    <w:rPr>
      <w:rFonts w:ascii="宋体" w:hAnsi="宋体" w:eastAsia="宋体"/>
      <w:sz w:val="24"/>
    </w:rPr>
  </w:style>
  <w:style w:type="paragraph" w:styleId="8">
    <w:name w:val="annotation text"/>
    <w:basedOn w:val="1"/>
    <w:link w:val="33"/>
    <w:semiHidden/>
    <w:qFormat/>
    <w:uiPriority w:val="0"/>
    <w:pPr>
      <w:jc w:val="left"/>
    </w:pPr>
    <w:rPr>
      <w:kern w:val="0"/>
      <w:sz w:val="24"/>
      <w:szCs w:val="20"/>
    </w:rPr>
  </w:style>
  <w:style w:type="paragraph" w:styleId="9">
    <w:name w:val="Body Text"/>
    <w:basedOn w:val="1"/>
    <w:next w:val="1"/>
    <w:link w:val="32"/>
    <w:qFormat/>
    <w:uiPriority w:val="0"/>
    <w:pPr>
      <w:widowControl/>
      <w:snapToGrid w:val="0"/>
      <w:spacing w:before="60" w:after="160" w:line="259" w:lineRule="auto"/>
      <w:ind w:right="113"/>
    </w:pPr>
    <w:rPr>
      <w:kern w:val="0"/>
      <w:sz w:val="18"/>
      <w:szCs w:val="20"/>
    </w:rPr>
  </w:style>
  <w:style w:type="paragraph" w:styleId="10">
    <w:name w:val="Body Text Indent"/>
    <w:basedOn w:val="1"/>
    <w:link w:val="34"/>
    <w:qFormat/>
    <w:uiPriority w:val="0"/>
    <w:pPr>
      <w:spacing w:after="120"/>
      <w:ind w:left="420" w:leftChars="200"/>
    </w:pPr>
    <w:rPr>
      <w:kern w:val="0"/>
      <w:sz w:val="24"/>
      <w:szCs w:val="20"/>
    </w:rPr>
  </w:style>
  <w:style w:type="paragraph" w:styleId="11">
    <w:name w:val="Plain Text"/>
    <w:basedOn w:val="1"/>
    <w:next w:val="12"/>
    <w:qFormat/>
    <w:uiPriority w:val="0"/>
    <w:rPr>
      <w:rFonts w:ascii="宋体" w:hAnsi="Courier New" w:cs="Courier New"/>
      <w:szCs w:val="21"/>
    </w:rPr>
  </w:style>
  <w:style w:type="paragraph" w:styleId="12">
    <w:name w:val="toc 1"/>
    <w:basedOn w:val="1"/>
    <w:next w:val="1"/>
    <w:qFormat/>
    <w:uiPriority w:val="0"/>
  </w:style>
  <w:style w:type="paragraph" w:styleId="13">
    <w:name w:val="Date"/>
    <w:basedOn w:val="1"/>
    <w:next w:val="1"/>
    <w:link w:val="35"/>
    <w:qFormat/>
    <w:uiPriority w:val="0"/>
    <w:pPr>
      <w:ind w:left="100" w:leftChars="2500"/>
    </w:pPr>
    <w:rPr>
      <w:kern w:val="0"/>
      <w:sz w:val="24"/>
      <w:szCs w:val="20"/>
    </w:rPr>
  </w:style>
  <w:style w:type="paragraph" w:styleId="14">
    <w:name w:val="Balloon Text"/>
    <w:basedOn w:val="1"/>
    <w:link w:val="36"/>
    <w:semiHidden/>
    <w:qFormat/>
    <w:uiPriority w:val="0"/>
    <w:rPr>
      <w:kern w:val="0"/>
      <w:sz w:val="18"/>
      <w:szCs w:val="20"/>
    </w:rPr>
  </w:style>
  <w:style w:type="paragraph" w:styleId="15">
    <w:name w:val="footer"/>
    <w:basedOn w:val="1"/>
    <w:next w:val="1"/>
    <w:link w:val="37"/>
    <w:qFormat/>
    <w:uiPriority w:val="99"/>
    <w:pPr>
      <w:tabs>
        <w:tab w:val="center" w:pos="4153"/>
        <w:tab w:val="right" w:pos="8306"/>
      </w:tabs>
      <w:snapToGrid w:val="0"/>
      <w:jc w:val="left"/>
    </w:pPr>
    <w:rPr>
      <w:kern w:val="0"/>
      <w:sz w:val="18"/>
      <w:szCs w:val="20"/>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Body Text Indent 3"/>
    <w:basedOn w:val="1"/>
    <w:unhideWhenUsed/>
    <w:qFormat/>
    <w:uiPriority w:val="99"/>
    <w:pPr>
      <w:ind w:left="658"/>
    </w:pPr>
    <w:rPr>
      <w:rFonts w:hAnsi="宋体"/>
      <w:bCs/>
      <w:sz w:val="32"/>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link w:val="39"/>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8"/>
    <w:next w:val="8"/>
    <w:link w:val="40"/>
    <w:semiHidden/>
    <w:qFormat/>
    <w:uiPriority w:val="0"/>
    <w:rPr>
      <w:b/>
      <w:sz w:val="24"/>
      <w:szCs w:val="20"/>
    </w:rPr>
  </w:style>
  <w:style w:type="paragraph" w:styleId="21">
    <w:name w:val="Body Text First Indent"/>
    <w:basedOn w:val="9"/>
    <w:next w:val="1"/>
    <w:qFormat/>
    <w:uiPriority w:val="0"/>
    <w:pPr>
      <w:snapToGrid/>
      <w:spacing w:before="0" w:beforeLines="0" w:after="120" w:line="240" w:lineRule="auto"/>
      <w:ind w:firstLine="420" w:firstLineChars="100"/>
    </w:pPr>
    <w:rPr>
      <w:rFonts w:ascii="Times New Roman" w:hAnsi="Times New Roman" w:eastAsia="宋体"/>
      <w:sz w:val="21"/>
      <w:szCs w:val="20"/>
    </w:rPr>
  </w:style>
  <w:style w:type="paragraph" w:styleId="22">
    <w:name w:val="Body Text First Indent 2"/>
    <w:basedOn w:val="10"/>
    <w:qFormat/>
    <w:uiPriority w:val="0"/>
    <w:pPr>
      <w:spacing w:after="120"/>
      <w:ind w:left="420" w:leftChars="200" w:firstLine="420"/>
    </w:pPr>
    <w:rPr>
      <w:spacing w:val="0"/>
      <w:kern w:val="0"/>
      <w:sz w:val="20"/>
      <w:szCs w:val="20"/>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basedOn w:val="25"/>
    <w:qFormat/>
    <w:uiPriority w:val="0"/>
    <w:rPr>
      <w:color w:val="0000FF"/>
      <w:u w:val="single"/>
    </w:rPr>
  </w:style>
  <w:style w:type="character" w:styleId="29">
    <w:name w:val="annotation reference"/>
    <w:semiHidden/>
    <w:qFormat/>
    <w:uiPriority w:val="0"/>
    <w:rPr>
      <w:sz w:val="21"/>
    </w:rPr>
  </w:style>
  <w:style w:type="paragraph" w:customStyle="1" w:styleId="30">
    <w:name w:val="表格"/>
    <w:basedOn w:val="4"/>
    <w:next w:val="1"/>
    <w:link w:val="45"/>
    <w:qFormat/>
    <w:uiPriority w:val="0"/>
    <w:pPr>
      <w:adjustRightInd w:val="0"/>
      <w:snapToGrid w:val="0"/>
      <w:spacing w:beforeLines="10" w:afterLines="10" w:line="259" w:lineRule="auto"/>
      <w:jc w:val="center"/>
    </w:pPr>
    <w:rPr>
      <w:rFonts w:ascii="宋体"/>
      <w:kern w:val="0"/>
      <w:szCs w:val="20"/>
    </w:rPr>
  </w:style>
  <w:style w:type="paragraph" w:customStyle="1" w:styleId="31">
    <w:name w:val="Date1"/>
    <w:basedOn w:val="1"/>
    <w:next w:val="1"/>
    <w:qFormat/>
    <w:uiPriority w:val="0"/>
    <w:pPr>
      <w:adjustRightInd w:val="0"/>
      <w:jc w:val="left"/>
      <w:textAlignment w:val="baseline"/>
    </w:pPr>
    <w:rPr>
      <w:rFonts w:ascii="宋体" w:hAnsi="宋体"/>
      <w:sz w:val="28"/>
      <w:szCs w:val="20"/>
    </w:rPr>
  </w:style>
  <w:style w:type="character" w:customStyle="1" w:styleId="32">
    <w:name w:val="正文文本 Char"/>
    <w:link w:val="9"/>
    <w:qFormat/>
    <w:uiPriority w:val="0"/>
    <w:rPr>
      <w:sz w:val="18"/>
    </w:rPr>
  </w:style>
  <w:style w:type="character" w:customStyle="1" w:styleId="33">
    <w:name w:val="批注文字 Char"/>
    <w:link w:val="8"/>
    <w:qFormat/>
    <w:uiPriority w:val="0"/>
    <w:rPr>
      <w:rFonts w:ascii="Times New Roman" w:hAnsi="Times New Roman" w:eastAsia="宋体"/>
      <w:sz w:val="24"/>
    </w:rPr>
  </w:style>
  <w:style w:type="character" w:customStyle="1" w:styleId="34">
    <w:name w:val="正文文本缩进 Char"/>
    <w:link w:val="10"/>
    <w:semiHidden/>
    <w:qFormat/>
    <w:uiPriority w:val="0"/>
    <w:rPr>
      <w:rFonts w:ascii="Times New Roman" w:hAnsi="Times New Roman" w:eastAsia="宋体"/>
      <w:sz w:val="24"/>
    </w:rPr>
  </w:style>
  <w:style w:type="character" w:customStyle="1" w:styleId="35">
    <w:name w:val="日期 Char"/>
    <w:link w:val="13"/>
    <w:qFormat/>
    <w:uiPriority w:val="0"/>
    <w:rPr>
      <w:rFonts w:ascii="Times New Roman" w:hAnsi="Times New Roman" w:eastAsia="宋体"/>
      <w:sz w:val="24"/>
    </w:rPr>
  </w:style>
  <w:style w:type="character" w:customStyle="1" w:styleId="36">
    <w:name w:val="批注框文本 Char"/>
    <w:link w:val="14"/>
    <w:semiHidden/>
    <w:qFormat/>
    <w:uiPriority w:val="0"/>
    <w:rPr>
      <w:rFonts w:ascii="Times New Roman" w:hAnsi="Times New Roman" w:eastAsia="宋体"/>
      <w:sz w:val="18"/>
    </w:rPr>
  </w:style>
  <w:style w:type="character" w:customStyle="1" w:styleId="37">
    <w:name w:val="页脚 Char"/>
    <w:link w:val="15"/>
    <w:qFormat/>
    <w:uiPriority w:val="99"/>
    <w:rPr>
      <w:sz w:val="18"/>
    </w:rPr>
  </w:style>
  <w:style w:type="character" w:customStyle="1" w:styleId="38">
    <w:name w:val="页眉 Char"/>
    <w:link w:val="16"/>
    <w:qFormat/>
    <w:uiPriority w:val="0"/>
    <w:rPr>
      <w:sz w:val="18"/>
    </w:rPr>
  </w:style>
  <w:style w:type="character" w:customStyle="1" w:styleId="39">
    <w:name w:val="普通(网站) Char"/>
    <w:link w:val="19"/>
    <w:qFormat/>
    <w:uiPriority w:val="0"/>
    <w:rPr>
      <w:rFonts w:ascii="宋体" w:hAnsi="宋体" w:eastAsia="宋体"/>
      <w:sz w:val="24"/>
    </w:rPr>
  </w:style>
  <w:style w:type="character" w:customStyle="1" w:styleId="40">
    <w:name w:val="批注主题 Char"/>
    <w:link w:val="20"/>
    <w:semiHidden/>
    <w:qFormat/>
    <w:uiPriority w:val="0"/>
    <w:rPr>
      <w:rFonts w:ascii="Times New Roman" w:hAnsi="Times New Roman" w:eastAsia="宋体"/>
      <w:b/>
      <w:kern w:val="2"/>
      <w:sz w:val="24"/>
    </w:rPr>
  </w:style>
  <w:style w:type="character" w:customStyle="1" w:styleId="41">
    <w:name w:val="页脚 字符"/>
    <w:basedOn w:val="25"/>
    <w:qFormat/>
    <w:uiPriority w:val="99"/>
  </w:style>
  <w:style w:type="character" w:customStyle="1" w:styleId="42">
    <w:name w:val="日期 字符"/>
    <w:semiHidden/>
    <w:qFormat/>
    <w:uiPriority w:val="0"/>
    <w:rPr>
      <w:rFonts w:ascii="Times New Roman" w:hAnsi="Times New Roman" w:eastAsia="宋体"/>
      <w:sz w:val="24"/>
    </w:rPr>
  </w:style>
  <w:style w:type="character" w:customStyle="1" w:styleId="43">
    <w:name w:val="批注文字 字符1"/>
    <w:semiHidden/>
    <w:qFormat/>
    <w:uiPriority w:val="0"/>
    <w:rPr>
      <w:rFonts w:ascii="Times New Roman" w:hAnsi="Times New Roman" w:eastAsia="宋体"/>
      <w:sz w:val="24"/>
    </w:rPr>
  </w:style>
  <w:style w:type="character" w:customStyle="1" w:styleId="44">
    <w:name w:val="正文文本 字符1"/>
    <w:semiHidden/>
    <w:qFormat/>
    <w:uiPriority w:val="0"/>
    <w:rPr>
      <w:rFonts w:ascii="Times New Roman" w:hAnsi="Times New Roman" w:eastAsia="宋体"/>
      <w:sz w:val="24"/>
    </w:rPr>
  </w:style>
  <w:style w:type="character" w:customStyle="1" w:styleId="45">
    <w:name w:val="表格 Char"/>
    <w:link w:val="30"/>
    <w:qFormat/>
    <w:uiPriority w:val="0"/>
    <w:rPr>
      <w:rFonts w:ascii="宋体"/>
      <w:sz w:val="21"/>
    </w:rPr>
  </w:style>
  <w:style w:type="paragraph" w:customStyle="1" w:styleId="46">
    <w:name w:val="hei"/>
    <w:basedOn w:val="1"/>
    <w:qFormat/>
    <w:uiPriority w:val="0"/>
    <w:pPr>
      <w:widowControl/>
      <w:spacing w:before="100" w:beforeAutospacing="1" w:after="100" w:afterAutospacing="1" w:line="300" w:lineRule="atLeast"/>
      <w:jc w:val="left"/>
    </w:pPr>
    <w:rPr>
      <w:rFonts w:ascii="宋体" w:hAnsi="宋体"/>
      <w:color w:val="000000"/>
      <w:kern w:val="0"/>
      <w:sz w:val="18"/>
      <w:szCs w:val="18"/>
    </w:rPr>
  </w:style>
  <w:style w:type="paragraph" w:customStyle="1" w:styleId="47">
    <w:name w:val="报告表小标题"/>
    <w:basedOn w:val="1"/>
    <w:qFormat/>
    <w:uiPriority w:val="0"/>
    <w:pPr>
      <w:spacing w:line="360" w:lineRule="auto"/>
    </w:pPr>
    <w:rPr>
      <w:b/>
      <w:sz w:val="24"/>
    </w:rPr>
  </w:style>
  <w:style w:type="paragraph" w:customStyle="1" w:styleId="48">
    <w:name w:val="正文（缩进）"/>
    <w:basedOn w:val="1"/>
    <w:next w:val="1"/>
    <w:qFormat/>
    <w:uiPriority w:val="99"/>
    <w:pPr>
      <w:spacing w:line="360" w:lineRule="auto"/>
      <w:ind w:firstLine="480" w:firstLineChars="200"/>
    </w:pPr>
    <w:rPr>
      <w:rFonts w:ascii="Times New Roman" w:hAnsi="Times New Roman" w:cs="Times New Roman"/>
      <w:sz w:val="24"/>
      <w:szCs w:val="24"/>
    </w:rPr>
  </w:style>
  <w:style w:type="paragraph" w:customStyle="1" w:styleId="49">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1">
    <w:name w:val="Table Paragraph"/>
    <w:basedOn w:val="1"/>
    <w:qFormat/>
    <w:uiPriority w:val="1"/>
    <w:rPr>
      <w:rFonts w:ascii="宋体" w:hAnsi="宋体" w:eastAsia="宋体" w:cs="宋体"/>
      <w:lang w:val="zh-CN" w:eastAsia="zh-CN" w:bidi="zh-CN"/>
    </w:rPr>
  </w:style>
  <w:style w:type="paragraph" w:customStyle="1" w:styleId="52">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53">
    <w:name w:val="表格1"/>
    <w:basedOn w:val="1"/>
    <w:next w:val="1"/>
    <w:qFormat/>
    <w:uiPriority w:val="0"/>
    <w:pPr>
      <w:widowControl/>
      <w:jc w:val="center"/>
    </w:pPr>
    <w:rPr>
      <w:rFonts w:ascii="宋体" w:hAnsi="宋体" w:eastAsia="仿宋_GB2312"/>
      <w:bCs/>
      <w:szCs w:val="24"/>
    </w:rPr>
  </w:style>
  <w:style w:type="paragraph" w:customStyle="1" w:styleId="54">
    <w:name w:val="样式 首行缩进:  2 字符"/>
    <w:basedOn w:val="1"/>
    <w:qFormat/>
    <w:uiPriority w:val="0"/>
    <w:pPr>
      <w:spacing w:line="360" w:lineRule="auto"/>
      <w:ind w:firstLine="420" w:firstLineChars="200"/>
    </w:pPr>
    <w:rPr>
      <w:sz w:val="21"/>
    </w:rPr>
  </w:style>
  <w:style w:type="paragraph" w:customStyle="1" w:styleId="55">
    <w:name w:val="表格内容"/>
    <w:basedOn w:val="4"/>
    <w:next w:val="1"/>
    <w:qFormat/>
    <w:uiPriority w:val="0"/>
    <w:pPr>
      <w:adjustRightInd w:val="0"/>
      <w:snapToGrid w:val="0"/>
      <w:spacing w:line="240" w:lineRule="auto"/>
      <w:ind w:firstLine="0" w:firstLineChars="0"/>
      <w:jc w:val="center"/>
    </w:pPr>
    <w:rPr>
      <w:sz w:val="21"/>
      <w:szCs w:val="18"/>
    </w:rPr>
  </w:style>
  <w:style w:type="paragraph" w:customStyle="1" w:styleId="56">
    <w:name w:val="Default"/>
    <w:next w:val="1"/>
    <w:qFormat/>
    <w:uiPriority w:val="99"/>
    <w:pPr>
      <w:widowControl w:val="0"/>
      <w:autoSpaceDE w:val="0"/>
      <w:autoSpaceDN w:val="0"/>
      <w:adjustRightInd w:val="0"/>
    </w:pPr>
    <w:rPr>
      <w:rFonts w:ascii="楷体" w:hAnsi="楷体" w:eastAsia="微软雅黑" w:cs="楷体"/>
      <w:color w:val="000000"/>
      <w:sz w:val="24"/>
      <w:szCs w:val="24"/>
      <w:lang w:val="en-US" w:eastAsia="zh-CN" w:bidi="ar-SA"/>
    </w:rPr>
  </w:style>
  <w:style w:type="paragraph" w:customStyle="1" w:styleId="57">
    <w:name w:val="报告正文"/>
    <w:basedOn w:val="1"/>
    <w:qFormat/>
    <w:uiPriority w:val="0"/>
    <w:pPr>
      <w:adjustRightInd w:val="0"/>
      <w:snapToGrid w:val="0"/>
      <w:spacing w:line="360" w:lineRule="auto"/>
      <w:ind w:firstLine="200" w:firstLineChars="200"/>
    </w:pPr>
    <w:rPr>
      <w:sz w:val="24"/>
      <w:szCs w:val="20"/>
    </w:rPr>
  </w:style>
  <w:style w:type="paragraph" w:customStyle="1" w:styleId="58">
    <w:name w:val="报告表正文"/>
    <w:basedOn w:val="1"/>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 w:type="paragraph" w:customStyle="1" w:styleId="59">
    <w:name w:val="表一级标题"/>
    <w:basedOn w:val="1"/>
    <w:qFormat/>
    <w:uiPriority w:val="0"/>
    <w:pPr>
      <w:adjustRightInd w:val="0"/>
      <w:snapToGrid w:val="0"/>
      <w:spacing w:before="50" w:beforeLines="50" w:after="50" w:afterLines="50"/>
      <w:jc w:val="left"/>
      <w:textAlignment w:val="baseline"/>
    </w:pPr>
    <w:rPr>
      <w:b/>
      <w:sz w:val="24"/>
    </w:rPr>
  </w:style>
  <w:style w:type="paragraph" w:customStyle="1" w:styleId="60">
    <w:name w:val="居中正文"/>
    <w:basedOn w:val="21"/>
    <w:qFormat/>
    <w:uiPriority w:val="0"/>
    <w:pPr>
      <w:adjustRightInd w:val="0"/>
      <w:spacing w:before="120" w:after="0" w:line="360" w:lineRule="auto"/>
      <w:ind w:firstLine="0" w:firstLineChars="0"/>
      <w:jc w:val="center"/>
      <w:textAlignment w:val="baseline"/>
    </w:pPr>
    <w:rPr>
      <w:rFonts w:ascii="宋体"/>
      <w:kern w:val="28"/>
      <w:sz w:val="24"/>
    </w:rPr>
  </w:style>
  <w:style w:type="paragraph" w:customStyle="1" w:styleId="61">
    <w:name w:val="表格文字"/>
    <w:basedOn w:val="11"/>
    <w:next w:val="1"/>
    <w:qFormat/>
    <w:uiPriority w:val="0"/>
    <w:pPr>
      <w:spacing w:beforeLines="10" w:afterLines="10" w:line="0" w:lineRule="atLeast"/>
      <w:jc w:val="center"/>
    </w:pPr>
    <w:rPr>
      <w:rFonts w:ascii="Times New Roman" w:hAnsi="Times New Roman" w:eastAsia="宋体" w:cs="Times New Roman"/>
      <w:kern w:val="2"/>
      <w:sz w:val="18"/>
      <w:szCs w:val="21"/>
      <w:lang w:val="en-US" w:eastAsia="zh-CN" w:bidi="ar-SA"/>
    </w:rPr>
  </w:style>
  <w:style w:type="paragraph" w:customStyle="1" w:styleId="62">
    <w:name w:val="报告表表头"/>
    <w:basedOn w:val="63"/>
    <w:next w:val="30"/>
    <w:qFormat/>
    <w:uiPriority w:val="0"/>
    <w:pPr>
      <w:snapToGrid w:val="0"/>
      <w:spacing w:line="240" w:lineRule="auto"/>
    </w:pPr>
    <w:rPr>
      <w:rFonts w:ascii="Times New Roman" w:hAnsi="Times New Roman" w:eastAsia="宋体"/>
      <w:b/>
      <w:sz w:val="21"/>
      <w:szCs w:val="28"/>
    </w:rPr>
  </w:style>
  <w:style w:type="paragraph" w:customStyle="1" w:styleId="63">
    <w:name w:val="表文"/>
    <w:basedOn w:val="1"/>
    <w:qFormat/>
    <w:uiPriority w:val="0"/>
    <w:pPr>
      <w:autoSpaceDE w:val="0"/>
      <w:autoSpaceDN w:val="0"/>
      <w:adjustRightInd w:val="0"/>
      <w:spacing w:line="360" w:lineRule="atLeast"/>
      <w:jc w:val="center"/>
      <w:textAlignment w:val="baseline"/>
    </w:pPr>
    <w:rPr>
      <w:rFonts w:ascii="宋体" w:hAnsi="Tms Rmn"/>
      <w:kern w:val="0"/>
      <w:sz w:val="24"/>
    </w:rPr>
  </w:style>
  <w:style w:type="character" w:customStyle="1" w:styleId="64">
    <w:name w:val="font101"/>
    <w:basedOn w:val="25"/>
    <w:qFormat/>
    <w:uiPriority w:val="0"/>
    <w:rPr>
      <w:rFonts w:ascii="宋体" w:hAnsi="宋体" w:eastAsia="宋体" w:cs="宋体"/>
      <w:b/>
      <w:bCs/>
      <w:color w:val="000000"/>
      <w:sz w:val="28"/>
      <w:szCs w:val="28"/>
      <w:u w:val="none"/>
    </w:rPr>
  </w:style>
  <w:style w:type="character" w:customStyle="1" w:styleId="65">
    <w:name w:val="font31"/>
    <w:basedOn w:val="25"/>
    <w:qFormat/>
    <w:uiPriority w:val="0"/>
    <w:rPr>
      <w:rFonts w:ascii="宋体" w:hAnsi="宋体" w:eastAsia="宋体" w:cs="宋体"/>
      <w:color w:val="505050"/>
      <w:sz w:val="24"/>
      <w:szCs w:val="24"/>
      <w:u w:val="none"/>
    </w:rPr>
  </w:style>
  <w:style w:type="character" w:customStyle="1" w:styleId="66">
    <w:name w:val="font112"/>
    <w:basedOn w:val="25"/>
    <w:qFormat/>
    <w:uiPriority w:val="0"/>
    <w:rPr>
      <w:rFonts w:ascii="宋体" w:hAnsi="宋体" w:eastAsia="宋体" w:cs="宋体"/>
      <w:color w:val="000000"/>
      <w:sz w:val="24"/>
      <w:szCs w:val="24"/>
      <w:u w:val="none"/>
    </w:rPr>
  </w:style>
  <w:style w:type="character" w:customStyle="1" w:styleId="67">
    <w:name w:val="font121"/>
    <w:basedOn w:val="25"/>
    <w:qFormat/>
    <w:uiPriority w:val="0"/>
    <w:rPr>
      <w:rFonts w:hint="default" w:ascii="Calibri" w:hAnsi="Calibri" w:cs="Calibri"/>
      <w:color w:val="000000"/>
      <w:sz w:val="24"/>
      <w:szCs w:val="24"/>
      <w:u w:val="none"/>
    </w:rPr>
  </w:style>
  <w:style w:type="character" w:customStyle="1" w:styleId="68">
    <w:name w:val="font131"/>
    <w:basedOn w:val="25"/>
    <w:qFormat/>
    <w:uiPriority w:val="0"/>
    <w:rPr>
      <w:rFonts w:ascii="宋体" w:hAnsi="宋体" w:eastAsia="宋体" w:cs="宋体"/>
      <w:color w:val="000000"/>
      <w:sz w:val="26"/>
      <w:szCs w:val="26"/>
      <w:u w:val="none"/>
    </w:rPr>
  </w:style>
  <w:style w:type="character" w:customStyle="1" w:styleId="69">
    <w:name w:val="font141"/>
    <w:basedOn w:val="25"/>
    <w:qFormat/>
    <w:uiPriority w:val="0"/>
    <w:rPr>
      <w:rFonts w:hint="default" w:ascii="Calibri" w:hAnsi="Calibri" w:cs="Calibri"/>
      <w:color w:val="000000"/>
      <w:sz w:val="26"/>
      <w:szCs w:val="26"/>
      <w:u w:val="none"/>
    </w:rPr>
  </w:style>
  <w:style w:type="paragraph" w:customStyle="1" w:styleId="70">
    <w:name w:val="Table Text"/>
    <w:basedOn w:val="1"/>
    <w:semiHidden/>
    <w:qFormat/>
    <w:uiPriority w:val="0"/>
    <w:rPr>
      <w:rFonts w:ascii="宋体" w:hAnsi="宋体" w:eastAsia="宋体" w:cs="宋体"/>
      <w:sz w:val="24"/>
      <w:szCs w:val="24"/>
      <w:lang w:val="en-US" w:eastAsia="en-US" w:bidi="ar-SA"/>
    </w:rPr>
  </w:style>
  <w:style w:type="paragraph" w:customStyle="1" w:styleId="71">
    <w:name w:val="环评正文"/>
    <w:basedOn w:val="13"/>
    <w:next w:val="1"/>
    <w:qFormat/>
    <w:uiPriority w:val="0"/>
    <w:pPr>
      <w:snapToGrid w:val="0"/>
      <w:spacing w:line="360" w:lineRule="auto"/>
      <w:ind w:firstLine="484"/>
      <w:jc w:val="left"/>
    </w:pPr>
    <w:rPr>
      <w:rFonts w:ascii="仿宋_GB2312" w:eastAsia="仿宋_GB2312"/>
      <w:spacing w:val="1"/>
      <w:position w:val="-3"/>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emf"/><Relationship Id="rId11" Type="http://schemas.openxmlformats.org/officeDocument/2006/relationships/oleObject" Target="embeddings/oleObject2.bin"/><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58</Pages>
  <Words>13333</Words>
  <Characters>14441</Characters>
  <Lines>13</Lines>
  <Paragraphs>3</Paragraphs>
  <TotalTime>2</TotalTime>
  <ScaleCrop>false</ScaleCrop>
  <LinksUpToDate>false</LinksUpToDate>
  <CharactersWithSpaces>14702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鱼儿</cp:lastModifiedBy>
  <cp:lastPrinted>2020-12-29T02:43:00Z</cp:lastPrinted>
  <dcterms:modified xsi:type="dcterms:W3CDTF">2025-12-18T02:44:50Z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A44CF24C7C4E4EB48BF827C2C0F3562F_13</vt:lpwstr>
  </property>
  <property fmtid="{D5CDD505-2E9C-101B-9397-08002B2CF9AE}" pid="4" name="KSOTemplateDocerSaveRecord">
    <vt:lpwstr>eyJoZGlkIjoiZTY5MGFlNTdlZjkzNjdlYzUyMzQ3OTY0OTRlZmU5N2IiLCJ1c2VySWQiOiI0NjI0MTY4NzQifQ==</vt:lpwstr>
  </property>
</Properties>
</file>