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70813">
      <w:pPr>
        <w:pStyle w:val="22"/>
        <w:ind w:left="0" w:leftChars="0" w:firstLine="0" w:firstLineChars="0"/>
        <w:rPr>
          <w:rFonts w:hint="default" w:eastAsia="宋体"/>
          <w:color w:val="000000" w:themeColor="text1"/>
          <w:lang w:val="en-US" w:eastAsia="zh-CN"/>
          <w14:textFill>
            <w14:solidFill>
              <w14:schemeClr w14:val="tx1"/>
            </w14:solidFill>
          </w14:textFill>
        </w:rPr>
      </w:pPr>
    </w:p>
    <w:p w14:paraId="11485454">
      <w:pPr>
        <w:ind w:left="0" w:leftChars="0" w:firstLine="0" w:firstLineChars="0"/>
        <w:rPr>
          <w:color w:val="000000" w:themeColor="text1"/>
          <w14:textFill>
            <w14:solidFill>
              <w14:schemeClr w14:val="tx1"/>
            </w14:solidFill>
          </w14:textFill>
        </w:rPr>
      </w:pPr>
    </w:p>
    <w:p w14:paraId="52C25A5B">
      <w:pPr>
        <w:keepNext w:val="0"/>
        <w:keepLines w:val="0"/>
        <w:pageBreakBefore w:val="0"/>
        <w:kinsoku/>
        <w:wordWrap/>
        <w:overflowPunct/>
        <w:topLinePunct w:val="0"/>
        <w:autoSpaceDE/>
        <w:autoSpaceDN/>
        <w:bidi w:val="0"/>
        <w:ind w:firstLine="0" w:firstLineChars="0"/>
        <w:textAlignment w:val="auto"/>
        <w:rPr>
          <w:color w:val="000000" w:themeColor="text1"/>
          <w14:textFill>
            <w14:solidFill>
              <w14:schemeClr w14:val="tx1"/>
            </w14:solidFill>
          </w14:textFill>
        </w:rPr>
      </w:pPr>
    </w:p>
    <w:p w14:paraId="4F0EAEB1">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0"/>
        <w:rPr>
          <w:rFonts w:hint="eastAsia"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14:paraId="7F5F8A6C">
      <w:pPr>
        <w:keepNext w:val="0"/>
        <w:keepLines w:val="0"/>
        <w:pageBreakBefore w:val="0"/>
        <w:widowControl/>
        <w:kinsoku/>
        <w:wordWrap/>
        <w:overflowPunct/>
        <w:topLinePunct w:val="0"/>
        <w:autoSpaceDE/>
        <w:autoSpaceDN/>
        <w:bidi w:val="0"/>
        <w:adjustRightInd w:val="0"/>
        <w:snapToGrid w:val="0"/>
        <w:spacing w:before="372" w:beforeLines="80"/>
        <w:ind w:firstLine="0" w:firstLineChars="0"/>
        <w:jc w:val="center"/>
        <w:textAlignment w:val="auto"/>
        <w:rPr>
          <w:rFonts w:hint="eastAsia"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（生态影响类）</w:t>
      </w:r>
      <w:bookmarkStart w:id="0" w:name="_Hlk57883728"/>
    </w:p>
    <w:bookmarkEnd w:id="0"/>
    <w:p w14:paraId="4B27FF5F">
      <w:pPr>
        <w:jc w:val="center"/>
        <w:rPr>
          <w:rFonts w:eastAsia="仿宋"/>
          <w:color w:val="000000" w:themeColor="text1"/>
          <w:sz w:val="52"/>
          <w:szCs w:val="52"/>
          <w:highlight w:val="none"/>
          <w14:textFill>
            <w14:solidFill>
              <w14:schemeClr w14:val="tx1"/>
            </w14:solidFill>
          </w14:textFill>
        </w:rPr>
      </w:pPr>
    </w:p>
    <w:p w14:paraId="28C7981A">
      <w:pPr>
        <w:ind w:firstLine="1040"/>
        <w:rPr>
          <w:rFonts w:eastAsia="仿宋"/>
          <w:color w:val="000000" w:themeColor="text1"/>
          <w:sz w:val="44"/>
          <w:szCs w:val="44"/>
          <w:highlight w:val="none"/>
          <w14:textFill>
            <w14:solidFill>
              <w14:schemeClr w14:val="tx1"/>
            </w14:solidFill>
          </w14:textFill>
        </w:rPr>
      </w:pPr>
    </w:p>
    <w:p w14:paraId="30E189C1">
      <w:pPr>
        <w:ind w:firstLine="1040"/>
        <w:rPr>
          <w:rFonts w:eastAsia="仿宋"/>
          <w:color w:val="000000" w:themeColor="text1"/>
          <w:sz w:val="44"/>
          <w:szCs w:val="44"/>
          <w:highlight w:val="none"/>
          <w14:textFill>
            <w14:solidFill>
              <w14:schemeClr w14:val="tx1"/>
            </w14:solidFill>
          </w14:textFill>
        </w:rPr>
      </w:pPr>
    </w:p>
    <w:p w14:paraId="70C161FD">
      <w:pPr>
        <w:ind w:firstLine="1040"/>
        <w:rPr>
          <w:rFonts w:eastAsia="仿宋"/>
          <w:color w:val="000000" w:themeColor="text1"/>
          <w:sz w:val="44"/>
          <w:szCs w:val="44"/>
          <w:highlight w:val="none"/>
          <w14:textFill>
            <w14:solidFill>
              <w14:schemeClr w14:val="tx1"/>
            </w14:solidFill>
          </w14:textFill>
        </w:rPr>
      </w:pPr>
    </w:p>
    <w:p w14:paraId="227CC422">
      <w:pPr>
        <w:rPr>
          <w:rFonts w:eastAsia="仿宋"/>
          <w:color w:val="000000" w:themeColor="text1"/>
          <w:sz w:val="44"/>
          <w:szCs w:val="44"/>
          <w:highlight w:val="none"/>
          <w14:textFill>
            <w14:solidFill>
              <w14:schemeClr w14:val="tx1"/>
            </w14:solidFill>
          </w14:textFill>
        </w:rPr>
      </w:pPr>
    </w:p>
    <w:p w14:paraId="1ECFA34E">
      <w:pPr>
        <w:spacing w:line="360" w:lineRule="auto"/>
        <w:ind w:firstLine="1040"/>
        <w:rPr>
          <w:rFonts w:eastAsia="仿宋"/>
          <w:color w:val="000000" w:themeColor="text1"/>
          <w:sz w:val="44"/>
          <w:szCs w:val="44"/>
          <w:highlight w:val="none"/>
          <w14:textFill>
            <w14:solidFill>
              <w14:schemeClr w14:val="tx1"/>
            </w14:solidFill>
          </w14:textFill>
        </w:rPr>
      </w:pPr>
    </w:p>
    <w:p w14:paraId="1ED5C9D4">
      <w:pPr>
        <w:adjustRightInd w:val="0"/>
        <w:snapToGrid w:val="0"/>
        <w:spacing w:line="288" w:lineRule="auto"/>
        <w:ind w:left="0" w:leftChars="0" w:firstLine="0" w:firstLineChars="0"/>
        <w:jc w:val="left"/>
        <w:rPr>
          <w:rFonts w:hint="eastAsia" w:eastAsia="仿宋_GB2312"/>
          <w:color w:val="000000" w:themeColor="text1"/>
          <w:sz w:val="36"/>
          <w:szCs w:val="36"/>
          <w:highlight w:val="none"/>
          <w:u w:val="single"/>
          <w:lang w:eastAsia="zh-CN"/>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项目名称：</w:t>
      </w:r>
      <w:r>
        <w:rPr>
          <w:rFonts w:hint="eastAsia" w:eastAsia="仿宋_GB2312"/>
          <w:color w:val="000000" w:themeColor="text1"/>
          <w:sz w:val="36"/>
          <w:szCs w:val="36"/>
          <w:highlight w:val="none"/>
          <w:u w:val="single"/>
          <w:lang w:eastAsia="zh-CN"/>
          <w14:textFill>
            <w14:solidFill>
              <w14:schemeClr w14:val="tx1"/>
            </w14:solidFill>
          </w14:textFill>
        </w:rPr>
        <w:t>中卫市宣和镇天景山天主峰灰石矿矿山生态</w:t>
      </w:r>
    </w:p>
    <w:p w14:paraId="340745F7">
      <w:pPr>
        <w:adjustRightInd w:val="0"/>
        <w:snapToGrid w:val="0"/>
        <w:spacing w:line="288" w:lineRule="auto"/>
        <w:ind w:left="0" w:leftChars="0" w:firstLine="1735" w:firstLineChars="500"/>
        <w:jc w:val="both"/>
        <w:rPr>
          <w:rFonts w:hint="default" w:eastAsia="仿宋_GB2312"/>
          <w:color w:val="000000" w:themeColor="text1"/>
          <w:sz w:val="36"/>
          <w:szCs w:val="36"/>
          <w:highlight w:val="none"/>
          <w:u w:val="single"/>
          <w:lang w:val="en-US" w:eastAsia="zh-CN"/>
          <w14:textFill>
            <w14:solidFill>
              <w14:schemeClr w14:val="tx1"/>
            </w14:solidFill>
          </w14:textFill>
        </w:rPr>
      </w:pP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olor w:val="000000" w:themeColor="text1"/>
          <w:sz w:val="36"/>
          <w:szCs w:val="36"/>
          <w:highlight w:val="none"/>
          <w:u w:val="single"/>
          <w:lang w:eastAsia="zh-CN"/>
          <w14:textFill>
            <w14:solidFill>
              <w14:schemeClr w14:val="tx1"/>
            </w14:solidFill>
          </w14:textFill>
        </w:rPr>
        <w:t>修复治理项目</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p>
    <w:p w14:paraId="04B3B3B6">
      <w:pPr>
        <w:adjustRightInd w:val="0"/>
        <w:snapToGrid w:val="0"/>
        <w:spacing w:line="288" w:lineRule="auto"/>
        <w:ind w:left="1884" w:hanging="1735" w:hangingChars="500"/>
        <w:rPr>
          <w:rFonts w:eastAsia="仿宋_GB2312"/>
          <w:color w:val="000000" w:themeColor="text1"/>
          <w:sz w:val="36"/>
          <w:szCs w:val="36"/>
          <w:highlight w:val="none"/>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建设单位（盖章）：</w:t>
      </w:r>
      <w:r>
        <w:rPr>
          <w:rFonts w:hint="eastAsia" w:eastAsia="仿宋_GB2312"/>
          <w:color w:val="000000" w:themeColor="text1"/>
          <w:sz w:val="36"/>
          <w:szCs w:val="36"/>
          <w:highlight w:val="none"/>
          <w:u w:val="single"/>
          <w14:textFill>
            <w14:solidFill>
              <w14:schemeClr w14:val="tx1"/>
            </w14:solidFill>
          </w14:textFill>
        </w:rPr>
        <w:t xml:space="preserve">   中卫市沙坡头区自然资源局   </w:t>
      </w:r>
    </w:p>
    <w:p w14:paraId="076C1C5B">
      <w:pPr>
        <w:adjustRightInd w:val="0"/>
        <w:snapToGrid w:val="0"/>
        <w:spacing w:line="288" w:lineRule="auto"/>
        <w:ind w:left="1884" w:hanging="1735" w:hangingChars="500"/>
        <w:rPr>
          <w:rFonts w:eastAsia="仿宋_GB2312"/>
          <w:color w:val="000000" w:themeColor="text1"/>
          <w:sz w:val="36"/>
          <w:szCs w:val="36"/>
          <w:highlight w:val="none"/>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编制日期：</w:t>
      </w:r>
      <w:r>
        <w:rPr>
          <w:rFonts w:hint="eastAsia" w:eastAsia="仿宋_GB2312"/>
          <w:color w:val="000000" w:themeColor="text1"/>
          <w:sz w:val="36"/>
          <w:szCs w:val="36"/>
          <w:highlight w:val="none"/>
          <w:u w:val="single"/>
          <w14:textFill>
            <w14:solidFill>
              <w14:schemeClr w14:val="tx1"/>
            </w14:solidFill>
          </w14:textFill>
        </w:rPr>
        <w:t xml:space="preserve">            202</w:t>
      </w:r>
      <w:r>
        <w:rPr>
          <w:rFonts w:hint="eastAsia" w:eastAsia="仿宋_GB2312"/>
          <w:color w:val="000000" w:themeColor="text1"/>
          <w:sz w:val="36"/>
          <w:szCs w:val="36"/>
          <w:highlight w:val="none"/>
          <w:u w:val="single"/>
          <w:lang w:val="en-US" w:eastAsia="zh-CN"/>
          <w14:textFill>
            <w14:solidFill>
              <w14:schemeClr w14:val="tx1"/>
            </w14:solidFill>
          </w14:textFill>
        </w:rPr>
        <w:t>5</w:t>
      </w:r>
      <w:r>
        <w:rPr>
          <w:rFonts w:hint="eastAsia" w:eastAsia="仿宋_GB2312"/>
          <w:color w:val="000000" w:themeColor="text1"/>
          <w:sz w:val="36"/>
          <w:szCs w:val="36"/>
          <w:highlight w:val="none"/>
          <w:u w:val="single"/>
          <w14:textFill>
            <w14:solidFill>
              <w14:schemeClr w14:val="tx1"/>
            </w14:solidFill>
          </w14:textFill>
        </w:rPr>
        <w:t>年</w:t>
      </w:r>
      <w:r>
        <w:rPr>
          <w:rFonts w:hint="eastAsia" w:eastAsia="仿宋_GB2312"/>
          <w:color w:val="000000" w:themeColor="text1"/>
          <w:sz w:val="36"/>
          <w:szCs w:val="36"/>
          <w:highlight w:val="none"/>
          <w:u w:val="single"/>
          <w:lang w:val="en-US" w:eastAsia="zh-CN"/>
          <w14:textFill>
            <w14:solidFill>
              <w14:schemeClr w14:val="tx1"/>
            </w14:solidFill>
          </w14:textFill>
        </w:rPr>
        <w:t>12</w:t>
      </w:r>
      <w:r>
        <w:rPr>
          <w:rFonts w:hint="eastAsia" w:eastAsia="仿宋_GB2312"/>
          <w:color w:val="000000" w:themeColor="text1"/>
          <w:sz w:val="36"/>
          <w:szCs w:val="36"/>
          <w:highlight w:val="none"/>
          <w:u w:val="single"/>
          <w14:textFill>
            <w14:solidFill>
              <w14:schemeClr w14:val="tx1"/>
            </w14:solidFill>
          </w14:textFill>
        </w:rPr>
        <w:t xml:space="preserve">月                </w:t>
      </w:r>
    </w:p>
    <w:p w14:paraId="5F5AB591">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6B4E5C8C">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40A835F3">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144F7147">
      <w:pPr>
        <w:adjustRightInd w:val="0"/>
        <w:snapToGrid w:val="0"/>
        <w:spacing w:line="288" w:lineRule="auto"/>
        <w:ind w:left="0" w:leftChars="0" w:firstLine="0" w:firstLineChars="0"/>
        <w:jc w:val="center"/>
        <w:rPr>
          <w:rFonts w:eastAsia="仿宋_GB2312"/>
          <w:color w:val="000000" w:themeColor="text1"/>
          <w:sz w:val="36"/>
          <w:szCs w:val="36"/>
          <w:highlight w:val="none"/>
          <w14:textFill>
            <w14:solidFill>
              <w14:schemeClr w14:val="tx1"/>
            </w14:solidFill>
          </w14:textFill>
        </w:rPr>
        <w:sectPr>
          <w:footerReference r:id="rId5" w:type="default"/>
          <w:pgSz w:w="11905" w:h="16838"/>
          <w:pgMar w:top="850" w:right="850" w:bottom="850" w:left="850" w:header="851" w:footer="964" w:gutter="0"/>
          <w:pgBorders>
            <w:top w:val="none" w:sz="0" w:space="0"/>
            <w:left w:val="none" w:sz="0" w:space="0"/>
            <w:bottom w:val="none" w:sz="0" w:space="0"/>
            <w:right w:val="none" w:sz="0" w:space="0"/>
          </w:pgBorders>
          <w:pgNumType w:fmt="numberInDash" w:start="21"/>
          <w:cols w:space="720" w:num="1"/>
          <w:rtlGutter w:val="0"/>
          <w:docGrid w:type="linesAndChars" w:linePitch="466" w:charSpace="-2709"/>
        </w:sectPr>
      </w:pPr>
      <w:r>
        <w:rPr>
          <w:rFonts w:eastAsia="楷体_GB2312"/>
          <w:color w:val="000000" w:themeColor="text1"/>
          <w:sz w:val="36"/>
          <w:szCs w:val="36"/>
          <w:highlight w:val="none"/>
          <w14:textFill>
            <w14:solidFill>
              <w14:schemeClr w14:val="tx1"/>
            </w14:solidFill>
          </w14:textFill>
        </w:rPr>
        <w:t>中华人民共和国生态环境部制</w:t>
      </w:r>
    </w:p>
    <w:p w14:paraId="4270DEEE">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一、建设项目基本情况</w:t>
      </w:r>
    </w:p>
    <w:tbl>
      <w:tblPr>
        <w:tblStyle w:val="27"/>
        <w:tblW w:w="9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33"/>
        <w:gridCol w:w="3136"/>
        <w:gridCol w:w="2238"/>
        <w:gridCol w:w="2795"/>
      </w:tblGrid>
      <w:tr w14:paraId="5E96B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7817BD7A">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建设项目名称</w:t>
            </w:r>
          </w:p>
        </w:tc>
        <w:tc>
          <w:tcPr>
            <w:tcW w:w="8169" w:type="dxa"/>
            <w:gridSpan w:val="3"/>
            <w:noWrap w:val="0"/>
            <w:vAlign w:val="center"/>
          </w:tcPr>
          <w:p w14:paraId="646F2E8C">
            <w:pPr>
              <w:keepNext w:val="0"/>
              <w:keepLines w:val="0"/>
              <w:pageBreakBefore w:val="0"/>
              <w:kinsoku/>
              <w:wordWrap/>
              <w:overflowPunct/>
              <w:topLinePunct w:val="0"/>
              <w:bidi w:val="0"/>
              <w:adjustRightInd/>
              <w:snapToGrid/>
              <w:ind w:firstLine="0" w:firstLineChars="0"/>
              <w:jc w:val="center"/>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中卫市宣和镇天景山天主峰灰石矿矿山生态修复治理项目</w:t>
            </w:r>
          </w:p>
        </w:tc>
      </w:tr>
      <w:tr w14:paraId="4E078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2AA694FA">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项目代码</w:t>
            </w:r>
          </w:p>
        </w:tc>
        <w:tc>
          <w:tcPr>
            <w:tcW w:w="8169" w:type="dxa"/>
            <w:gridSpan w:val="3"/>
            <w:noWrap w:val="0"/>
            <w:vAlign w:val="center"/>
          </w:tcPr>
          <w:p w14:paraId="61C0F98D">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2509-640502-15-05-899209</w:t>
            </w:r>
          </w:p>
        </w:tc>
      </w:tr>
      <w:tr w14:paraId="117DE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17466E59">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建设单位联系人</w:t>
            </w:r>
          </w:p>
        </w:tc>
        <w:tc>
          <w:tcPr>
            <w:tcW w:w="3136" w:type="dxa"/>
            <w:noWrap w:val="0"/>
            <w:vAlign w:val="center"/>
          </w:tcPr>
          <w:p w14:paraId="66A3AEE8">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吕亚东</w:t>
            </w:r>
          </w:p>
        </w:tc>
        <w:tc>
          <w:tcPr>
            <w:tcW w:w="2238" w:type="dxa"/>
            <w:noWrap w:val="0"/>
            <w:vAlign w:val="center"/>
          </w:tcPr>
          <w:p w14:paraId="61C9105B">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联系方式</w:t>
            </w:r>
          </w:p>
        </w:tc>
        <w:tc>
          <w:tcPr>
            <w:tcW w:w="2795" w:type="dxa"/>
            <w:noWrap w:val="0"/>
            <w:vAlign w:val="center"/>
          </w:tcPr>
          <w:p w14:paraId="332FB9E0">
            <w:pPr>
              <w:keepNext w:val="0"/>
              <w:keepLines w:val="0"/>
              <w:pageBreakBefore w:val="0"/>
              <w:kinsoku/>
              <w:wordWrap/>
              <w:overflowPunct/>
              <w:topLinePunct w:val="0"/>
              <w:bidi w:val="0"/>
              <w:adjustRightInd/>
              <w:snapToGrid/>
              <w:ind w:firstLine="0" w:firstLineChars="0"/>
              <w:jc w:val="center"/>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r>
      <w:tr w14:paraId="6AB47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36DE8980">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建设地点</w:t>
            </w:r>
          </w:p>
        </w:tc>
        <w:tc>
          <w:tcPr>
            <w:tcW w:w="8169" w:type="dxa"/>
            <w:gridSpan w:val="3"/>
            <w:noWrap w:val="0"/>
            <w:vAlign w:val="center"/>
          </w:tcPr>
          <w:p w14:paraId="6F8BA855">
            <w:pPr>
              <w:keepNext w:val="0"/>
              <w:keepLines w:val="0"/>
              <w:pageBreakBefore w:val="0"/>
              <w:widowControl/>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宁夏</w:t>
            </w:r>
            <w:r>
              <w:rPr>
                <w:rFonts w:hint="eastAsia" w:cs="Times New Roman"/>
                <w:color w:val="000000" w:themeColor="text1"/>
                <w:sz w:val="24"/>
                <w:szCs w:val="24"/>
                <w:highlight w:val="none"/>
                <w:u w:val="single"/>
                <w:lang w:val="en-US" w:eastAsia="zh-CN"/>
                <w14:textFill>
                  <w14:solidFill>
                    <w14:schemeClr w14:val="tx1"/>
                  </w14:solidFill>
                </w14:textFill>
              </w:rPr>
              <w:t>回族自治区</w:t>
            </w:r>
            <w:r>
              <w:rPr>
                <w:rFonts w:hint="default" w:ascii="Times New Roman" w:hAnsi="Times New Roman" w:cs="Times New Roman"/>
                <w:color w:val="000000" w:themeColor="text1"/>
                <w:sz w:val="24"/>
                <w:szCs w:val="24"/>
                <w:highlight w:val="none"/>
                <w14:textFill>
                  <w14:solidFill>
                    <w14:schemeClr w14:val="tx1"/>
                  </w14:solidFill>
                </w14:textFill>
              </w:rPr>
              <w:t>省（自治区）</w:t>
            </w:r>
            <w:r>
              <w:rPr>
                <w:rFonts w:hint="eastAsia" w:ascii="Times New Roman" w:hAnsi="Times New Roman" w:cs="Times New Roman"/>
                <w:color w:val="000000" w:themeColor="text1"/>
                <w:sz w:val="24"/>
                <w:szCs w:val="24"/>
                <w:highlight w:val="none"/>
                <w:u w:val="single"/>
                <w:lang w:val="en-US" w:eastAsia="zh-CN"/>
                <w14:textFill>
                  <w14:solidFill>
                    <w14:schemeClr w14:val="tx1"/>
                  </w14:solidFill>
                </w14:textFill>
              </w:rPr>
              <w:t>中卫</w:t>
            </w:r>
            <w:r>
              <w:rPr>
                <w:rFonts w:hint="default" w:ascii="Times New Roman" w:hAnsi="Times New Roman" w:cs="Times New Roman"/>
                <w:color w:val="000000" w:themeColor="text1"/>
                <w:sz w:val="24"/>
                <w:szCs w:val="24"/>
                <w:highlight w:val="none"/>
                <w14:textFill>
                  <w14:solidFill>
                    <w14:schemeClr w14:val="tx1"/>
                  </w14:solidFill>
                </w14:textFill>
              </w:rPr>
              <w:t>市</w:t>
            </w:r>
            <w:r>
              <w:rPr>
                <w:rFonts w:hint="default" w:ascii="Times New Roman" w:hAnsi="Times New Roman" w:cs="Times New Roman"/>
                <w:color w:val="000000" w:themeColor="text1"/>
                <w:sz w:val="24"/>
                <w:szCs w:val="24"/>
                <w:highlight w:val="none"/>
                <w:u w:val="single"/>
                <w14:textFill>
                  <w14:solidFill>
                    <w14:schemeClr w14:val="tx1"/>
                  </w14:solidFill>
                </w14:textFill>
              </w:rPr>
              <w:t>沙坡头</w:t>
            </w:r>
            <w:r>
              <w:rPr>
                <w:rFonts w:hint="default" w:ascii="Times New Roman" w:hAnsi="Times New Roman" w:cs="Times New Roman"/>
                <w:color w:val="000000" w:themeColor="text1"/>
                <w:sz w:val="24"/>
                <w:szCs w:val="24"/>
                <w:highlight w:val="none"/>
                <w14:textFill>
                  <w14:solidFill>
                    <w14:schemeClr w14:val="tx1"/>
                  </w14:solidFill>
                </w14:textFill>
              </w:rPr>
              <w:t>（区）</w:t>
            </w:r>
            <w:r>
              <w:rPr>
                <w:rFonts w:hint="eastAsia" w:cs="Times New Roman"/>
                <w:color w:val="000000" w:themeColor="text1"/>
                <w:sz w:val="24"/>
                <w:szCs w:val="24"/>
                <w:highlight w:val="none"/>
                <w:u w:val="single"/>
                <w:lang w:val="en-US" w:eastAsia="zh-CN"/>
                <w14:textFill>
                  <w14:solidFill>
                    <w14:schemeClr w14:val="tx1"/>
                  </w14:solidFill>
                </w14:textFill>
              </w:rPr>
              <w:t>宣和</w:t>
            </w:r>
            <w:r>
              <w:rPr>
                <w:rFonts w:hint="default" w:ascii="Times New Roman" w:hAnsi="Times New Roman" w:cs="Times New Roman"/>
                <w:color w:val="000000" w:themeColor="text1"/>
                <w:sz w:val="24"/>
                <w:szCs w:val="24"/>
                <w:highlight w:val="none"/>
                <w:u w:val="single"/>
                <w14:textFill>
                  <w14:solidFill>
                    <w14:schemeClr w14:val="tx1"/>
                  </w14:solidFill>
                </w14:textFill>
              </w:rPr>
              <w:t>镇</w:t>
            </w:r>
          </w:p>
        </w:tc>
      </w:tr>
      <w:tr w14:paraId="67703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292D53E4">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地理坐标</w:t>
            </w:r>
          </w:p>
        </w:tc>
        <w:tc>
          <w:tcPr>
            <w:tcW w:w="8169" w:type="dxa"/>
            <w:gridSpan w:val="3"/>
            <w:noWrap w:val="0"/>
            <w:vAlign w:val="center"/>
          </w:tcPr>
          <w:p w14:paraId="2491FF33">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105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度</w:t>
            </w:r>
            <w:r>
              <w:rPr>
                <w:rFonts w:hint="eastAsia" w:cs="Times New Roman"/>
                <w:color w:val="000000" w:themeColor="text1"/>
                <w:sz w:val="24"/>
                <w:szCs w:val="24"/>
                <w:highlight w:val="none"/>
                <w:u w:val="single"/>
                <w:lang w:val="en-US" w:eastAsia="zh-CN"/>
                <w14:textFill>
                  <w14:solidFill>
                    <w14:schemeClr w14:val="tx1"/>
                  </w14:solidFill>
                </w14:textFill>
              </w:rPr>
              <w:t>29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分</w:t>
            </w:r>
            <w:r>
              <w:rPr>
                <w:rFonts w:hint="eastAsia" w:cs="Times New Roman"/>
                <w:color w:val="000000" w:themeColor="text1"/>
                <w:sz w:val="24"/>
                <w:szCs w:val="24"/>
                <w:highlight w:val="none"/>
                <w:u w:val="single"/>
                <w:lang w:val="en-US" w:eastAsia="zh-CN"/>
                <w14:textFill>
                  <w14:solidFill>
                    <w14:schemeClr w14:val="tx1"/>
                  </w14:solidFill>
                </w14:textFill>
              </w:rPr>
              <w:t>36.204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秒，</w:t>
            </w:r>
            <w:r>
              <w:rPr>
                <w:rFonts w:hint="eastAsia" w:cs="Times New Roman"/>
                <w:color w:val="000000" w:themeColor="text1"/>
                <w:sz w:val="24"/>
                <w:szCs w:val="24"/>
                <w:highlight w:val="none"/>
                <w:u w:val="single"/>
                <w:lang w:val="en-US" w:eastAsia="zh-CN"/>
                <w14:textFill>
                  <w14:solidFill>
                    <w14:schemeClr w14:val="tx1"/>
                  </w14:solidFill>
                </w14:textFill>
              </w:rPr>
              <w:t>37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度</w:t>
            </w:r>
            <w:r>
              <w:rPr>
                <w:rFonts w:hint="eastAsia" w:cs="Times New Roman"/>
                <w:color w:val="000000" w:themeColor="text1"/>
                <w:sz w:val="24"/>
                <w:szCs w:val="24"/>
                <w:highlight w:val="none"/>
                <w:u w:val="single"/>
                <w:lang w:val="en-US" w:eastAsia="zh-CN"/>
                <w14:textFill>
                  <w14:solidFill>
                    <w14:schemeClr w14:val="tx1"/>
                  </w14:solidFill>
                </w14:textFill>
              </w:rPr>
              <w:t>17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分</w:t>
            </w:r>
            <w:r>
              <w:rPr>
                <w:rFonts w:hint="eastAsia" w:cs="Times New Roman"/>
                <w:color w:val="000000" w:themeColor="text1"/>
                <w:sz w:val="24"/>
                <w:szCs w:val="24"/>
                <w:highlight w:val="none"/>
                <w:u w:val="single"/>
                <w:lang w:val="en-US" w:eastAsia="zh-CN"/>
                <w14:textFill>
                  <w14:solidFill>
                    <w14:schemeClr w14:val="tx1"/>
                  </w14:solidFill>
                </w14:textFill>
              </w:rPr>
              <w:t>57.229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秒</w:t>
            </w:r>
          </w:p>
        </w:tc>
      </w:tr>
      <w:tr w14:paraId="75B65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33" w:type="dxa"/>
            <w:noWrap w:val="0"/>
            <w:tcMar>
              <w:top w:w="16" w:type="dxa"/>
              <w:left w:w="16" w:type="dxa"/>
              <w:right w:w="16" w:type="dxa"/>
            </w:tcMar>
            <w:vAlign w:val="center"/>
          </w:tcPr>
          <w:p w14:paraId="678594DB">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2837B01D">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行业类别</w:t>
            </w:r>
          </w:p>
        </w:tc>
        <w:tc>
          <w:tcPr>
            <w:tcW w:w="3136" w:type="dxa"/>
            <w:noWrap w:val="0"/>
            <w:vAlign w:val="center"/>
          </w:tcPr>
          <w:p w14:paraId="1BCBD2F5">
            <w:pPr>
              <w:pStyle w:val="17"/>
              <w:keepNext w:val="0"/>
              <w:keepLines w:val="0"/>
              <w:pageBreakBefore w:val="0"/>
              <w:kinsoku/>
              <w:wordWrap/>
              <w:overflowPunct/>
              <w:topLinePunct w:val="0"/>
              <w:bidi w:val="0"/>
              <w:adjustRightInd/>
              <w:snapToGrid/>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14:textFill>
                  <w14:solidFill>
                    <w14:schemeClr w14:val="tx1"/>
                  </w14:solidFill>
                </w14:textFill>
              </w:rPr>
              <w:t>八、非金属矿采选业1</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cs="Times New Roman"/>
                <w:color w:val="000000" w:themeColor="text1"/>
                <w:sz w:val="24"/>
                <w:szCs w:val="24"/>
                <w:highlight w:val="none"/>
                <w14:textFill>
                  <w14:solidFill>
                    <w14:schemeClr w14:val="tx1"/>
                  </w14:solidFill>
                </w14:textFill>
              </w:rPr>
              <w:t>土砂石开采101(不含河道采砂项目)</w:t>
            </w:r>
          </w:p>
        </w:tc>
        <w:tc>
          <w:tcPr>
            <w:tcW w:w="2238" w:type="dxa"/>
            <w:noWrap w:val="0"/>
            <w:vAlign w:val="center"/>
          </w:tcPr>
          <w:p w14:paraId="6A69C522">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用地（用海）面积（m</w:t>
            </w:r>
            <w:r>
              <w:rPr>
                <w:b/>
                <w:bCs/>
                <w:color w:val="000000" w:themeColor="text1"/>
                <w:sz w:val="24"/>
                <w:highlight w:val="none"/>
                <w:vertAlign w:val="superscript"/>
                <w14:textFill>
                  <w14:solidFill>
                    <w14:schemeClr w14:val="tx1"/>
                  </w14:solidFill>
                </w14:textFill>
              </w:rPr>
              <w:t>2</w:t>
            </w:r>
            <w:r>
              <w:rPr>
                <w:b/>
                <w:bCs/>
                <w:color w:val="000000" w:themeColor="text1"/>
                <w:sz w:val="24"/>
                <w:highlight w:val="none"/>
                <w14:textFill>
                  <w14:solidFill>
                    <w14:schemeClr w14:val="tx1"/>
                  </w14:solidFill>
                </w14:textFill>
              </w:rPr>
              <w:t>）/长度（km</w:t>
            </w:r>
            <w:r>
              <w:rPr>
                <w:color w:val="000000" w:themeColor="text1"/>
                <w:sz w:val="24"/>
                <w:highlight w:val="none"/>
                <w14:textFill>
                  <w14:solidFill>
                    <w14:schemeClr w14:val="tx1"/>
                  </w14:solidFill>
                </w14:textFill>
              </w:rPr>
              <w:t>）</w:t>
            </w:r>
          </w:p>
        </w:tc>
        <w:tc>
          <w:tcPr>
            <w:tcW w:w="2795" w:type="dxa"/>
            <w:noWrap w:val="0"/>
            <w:vAlign w:val="center"/>
          </w:tcPr>
          <w:p w14:paraId="7F1D6337">
            <w:pPr>
              <w:keepNext w:val="0"/>
              <w:keepLines w:val="0"/>
              <w:pageBreakBefore w:val="0"/>
              <w:kinsoku/>
              <w:wordWrap/>
              <w:overflowPunct/>
              <w:topLinePunct w:val="0"/>
              <w:bidi w:val="0"/>
              <w:adjustRightInd/>
              <w:snapToGrid/>
              <w:ind w:firstLine="0" w:firstLineChars="0"/>
              <w:jc w:val="center"/>
              <w:textAlignment w:val="auto"/>
              <w:rPr>
                <w:rFonts w:hint="default" w:ascii="Times New Roman" w:hAnsi="Times New Roman" w:cs="Times New Roman"/>
                <w:b w:val="0"/>
                <w:bCs w:val="0"/>
                <w:color w:val="000000" w:themeColor="text1"/>
                <w:sz w:val="24"/>
                <w:szCs w:val="24"/>
                <w:highlight w:val="none"/>
                <w:vertAlign w:val="superscript"/>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临时占地：344400</w:t>
            </w:r>
            <w:r>
              <w:rPr>
                <w:rFonts w:hint="default" w:ascii="Times New Roman" w:hAnsi="Times New Roman"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cs="Times New Roman"/>
                <w:b w:val="0"/>
                <w:bCs w:val="0"/>
                <w:color w:val="000000" w:themeColor="text1"/>
                <w:sz w:val="24"/>
                <w:szCs w:val="24"/>
                <w:highlight w:val="none"/>
                <w:vertAlign w:val="superscript"/>
                <w14:textFill>
                  <w14:solidFill>
                    <w14:schemeClr w14:val="tx1"/>
                  </w14:solidFill>
                </w14:textFill>
              </w:rPr>
              <w:t>2</w:t>
            </w:r>
          </w:p>
          <w:p w14:paraId="3437A659">
            <w:pPr>
              <w:keepNext w:val="0"/>
              <w:keepLines w:val="0"/>
              <w:pageBreakBefore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无永久占地</w:t>
            </w:r>
          </w:p>
        </w:tc>
      </w:tr>
      <w:tr w14:paraId="240B7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33" w:type="dxa"/>
            <w:noWrap w:val="0"/>
            <w:tcMar>
              <w:top w:w="16" w:type="dxa"/>
              <w:left w:w="16" w:type="dxa"/>
              <w:right w:w="16" w:type="dxa"/>
            </w:tcMar>
            <w:vAlign w:val="center"/>
          </w:tcPr>
          <w:p w14:paraId="577CAEE4">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建设性质</w:t>
            </w:r>
          </w:p>
        </w:tc>
        <w:tc>
          <w:tcPr>
            <w:tcW w:w="3136" w:type="dxa"/>
            <w:noWrap w:val="0"/>
            <w:vAlign w:val="center"/>
          </w:tcPr>
          <w:p w14:paraId="21D8E94D">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14:paraId="4309D687">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改建</w:t>
            </w:r>
          </w:p>
          <w:p w14:paraId="3A06CDBE">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扩建</w:t>
            </w:r>
          </w:p>
          <w:p w14:paraId="12B32CCC">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技术改造</w:t>
            </w:r>
          </w:p>
        </w:tc>
        <w:tc>
          <w:tcPr>
            <w:tcW w:w="2238" w:type="dxa"/>
            <w:noWrap w:val="0"/>
            <w:vAlign w:val="center"/>
          </w:tcPr>
          <w:p w14:paraId="1F6BF1C0">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52C5E79B">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申报情形</w:t>
            </w:r>
          </w:p>
        </w:tc>
        <w:tc>
          <w:tcPr>
            <w:tcW w:w="2795" w:type="dxa"/>
            <w:noWrap w:val="0"/>
            <w:vAlign w:val="center"/>
          </w:tcPr>
          <w:p w14:paraId="3360AEE0">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首次申报项目</w:t>
            </w:r>
          </w:p>
          <w:p w14:paraId="502EB197">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不予批准后再次申报项目</w:t>
            </w:r>
          </w:p>
          <w:p w14:paraId="50635D91">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超五年重新审核项目</w:t>
            </w:r>
          </w:p>
          <w:p w14:paraId="1DC17B0F">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重大变动重新报批项目</w:t>
            </w:r>
          </w:p>
        </w:tc>
      </w:tr>
      <w:tr w14:paraId="24F88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33" w:type="dxa"/>
            <w:noWrap w:val="0"/>
            <w:tcMar>
              <w:top w:w="16" w:type="dxa"/>
              <w:left w:w="16" w:type="dxa"/>
              <w:right w:w="16" w:type="dxa"/>
            </w:tcMar>
            <w:vAlign w:val="center"/>
          </w:tcPr>
          <w:p w14:paraId="0C6C43FC">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4854827A">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备案）部门（选填）</w:t>
            </w:r>
          </w:p>
        </w:tc>
        <w:tc>
          <w:tcPr>
            <w:tcW w:w="3136" w:type="dxa"/>
            <w:noWrap w:val="0"/>
            <w:vAlign w:val="center"/>
          </w:tcPr>
          <w:p w14:paraId="496D6329">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中卫市沙坡头区发展和改革局</w:t>
            </w:r>
          </w:p>
        </w:tc>
        <w:tc>
          <w:tcPr>
            <w:tcW w:w="2238" w:type="dxa"/>
            <w:noWrap w:val="0"/>
            <w:vAlign w:val="center"/>
          </w:tcPr>
          <w:p w14:paraId="06FD0006">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1726A899">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备案）文号（选填）</w:t>
            </w:r>
          </w:p>
        </w:tc>
        <w:tc>
          <w:tcPr>
            <w:tcW w:w="2795" w:type="dxa"/>
            <w:noWrap w:val="0"/>
            <w:vAlign w:val="center"/>
          </w:tcPr>
          <w:p w14:paraId="5697CA00">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卫沙发改(审批)发〔202</w:t>
            </w:r>
            <w:r>
              <w:rPr>
                <w:rFonts w:hint="eastAsia"/>
                <w:color w:val="000000" w:themeColor="text1"/>
                <w:sz w:val="24"/>
                <w:highlight w:val="none"/>
                <w:lang w:val="en-US" w:eastAsia="zh-CN"/>
                <w14:textFill>
                  <w14:solidFill>
                    <w14:schemeClr w14:val="tx1"/>
                  </w14:solidFill>
                </w14:textFill>
              </w:rPr>
              <w:t>5</w:t>
            </w:r>
            <w:r>
              <w:rPr>
                <w:rStyle w:val="33"/>
                <w:rFonts w:hint="eastAsia" w:ascii="宋体" w:hAnsi="宋体" w:cs="宋体"/>
                <w:color w:val="000000" w:themeColor="text1"/>
                <w:kern w:val="0"/>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101</w:t>
            </w:r>
            <w:r>
              <w:rPr>
                <w:rFonts w:hint="eastAsia"/>
                <w:color w:val="000000" w:themeColor="text1"/>
                <w:sz w:val="24"/>
                <w:highlight w:val="none"/>
                <w14:textFill>
                  <w14:solidFill>
                    <w14:schemeClr w14:val="tx1"/>
                  </w14:solidFill>
                </w14:textFill>
              </w:rPr>
              <w:t>号</w:t>
            </w:r>
          </w:p>
        </w:tc>
      </w:tr>
      <w:tr w14:paraId="5283D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38CF352E">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总投资（万元）</w:t>
            </w:r>
          </w:p>
        </w:tc>
        <w:tc>
          <w:tcPr>
            <w:tcW w:w="3136" w:type="dxa"/>
            <w:noWrap w:val="0"/>
            <w:vAlign w:val="center"/>
          </w:tcPr>
          <w:p w14:paraId="4E271DFB">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266.64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万元</w:t>
            </w:r>
          </w:p>
        </w:tc>
        <w:tc>
          <w:tcPr>
            <w:tcW w:w="2238" w:type="dxa"/>
            <w:noWrap w:val="0"/>
            <w:tcMar>
              <w:top w:w="16" w:type="dxa"/>
              <w:left w:w="16" w:type="dxa"/>
              <w:right w:w="16" w:type="dxa"/>
            </w:tcMar>
            <w:vAlign w:val="center"/>
          </w:tcPr>
          <w:p w14:paraId="74326CAA">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环保投资（万元）</w:t>
            </w:r>
          </w:p>
        </w:tc>
        <w:tc>
          <w:tcPr>
            <w:tcW w:w="2795" w:type="dxa"/>
            <w:noWrap w:val="0"/>
            <w:vAlign w:val="center"/>
          </w:tcPr>
          <w:p w14:paraId="7F2D3922">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266.64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万元</w:t>
            </w:r>
          </w:p>
        </w:tc>
      </w:tr>
      <w:tr w14:paraId="31D88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33" w:type="dxa"/>
            <w:noWrap w:val="0"/>
            <w:tcMar>
              <w:top w:w="16" w:type="dxa"/>
              <w:left w:w="16" w:type="dxa"/>
              <w:right w:w="16" w:type="dxa"/>
            </w:tcMar>
            <w:vAlign w:val="center"/>
          </w:tcPr>
          <w:p w14:paraId="35747D47">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环保投资占比（%）</w:t>
            </w:r>
          </w:p>
        </w:tc>
        <w:tc>
          <w:tcPr>
            <w:tcW w:w="3136" w:type="dxa"/>
            <w:noWrap w:val="0"/>
            <w:vAlign w:val="center"/>
          </w:tcPr>
          <w:p w14:paraId="1DA898F0">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100%</w:t>
            </w:r>
          </w:p>
        </w:tc>
        <w:tc>
          <w:tcPr>
            <w:tcW w:w="2238" w:type="dxa"/>
            <w:noWrap w:val="0"/>
            <w:tcMar>
              <w:top w:w="16" w:type="dxa"/>
              <w:left w:w="16" w:type="dxa"/>
              <w:right w:w="16" w:type="dxa"/>
            </w:tcMar>
            <w:vAlign w:val="center"/>
          </w:tcPr>
          <w:p w14:paraId="057222D3">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施工工期</w:t>
            </w:r>
          </w:p>
        </w:tc>
        <w:tc>
          <w:tcPr>
            <w:tcW w:w="2795" w:type="dxa"/>
            <w:noWrap w:val="0"/>
            <w:vAlign w:val="center"/>
          </w:tcPr>
          <w:p w14:paraId="3C6949E8">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9</w:t>
            </w:r>
            <w:r>
              <w:rPr>
                <w:color w:val="000000" w:themeColor="text1"/>
                <w:sz w:val="24"/>
                <w:highlight w:val="none"/>
                <w14:textFill>
                  <w14:solidFill>
                    <w14:schemeClr w14:val="tx1"/>
                  </w14:solidFill>
                </w14:textFill>
              </w:rPr>
              <w:t>个月</w:t>
            </w:r>
          </w:p>
        </w:tc>
      </w:tr>
      <w:tr w14:paraId="79359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4BA2B9FD">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是否开工建设</w:t>
            </w:r>
          </w:p>
        </w:tc>
        <w:tc>
          <w:tcPr>
            <w:tcW w:w="8169" w:type="dxa"/>
            <w:gridSpan w:val="3"/>
            <w:noWrap w:val="0"/>
            <w:vAlign w:val="center"/>
          </w:tcPr>
          <w:p w14:paraId="11F275A8">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否</w:t>
            </w:r>
          </w:p>
          <w:p w14:paraId="0F9E13DD">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36"/>
                <w:szCs w:val="36"/>
                <w:highlight w:val="none"/>
                <w14:textFill>
                  <w14:solidFill>
                    <w14:schemeClr w14:val="tx1"/>
                  </w14:solidFill>
                </w14:textFill>
              </w:rPr>
              <w:t>□</w:t>
            </w:r>
            <w:r>
              <w:rPr>
                <w:color w:val="000000" w:themeColor="text1"/>
                <w:sz w:val="24"/>
                <w:highlight w:val="none"/>
                <w14:textFill>
                  <w14:solidFill>
                    <w14:schemeClr w14:val="tx1"/>
                  </w14:solidFill>
                </w14:textFill>
              </w:rPr>
              <w:t>是：</w:t>
            </w:r>
            <w:r>
              <w:rPr>
                <w:color w:val="000000" w:themeColor="text1"/>
                <w:sz w:val="24"/>
                <w:highlight w:val="none"/>
                <w:u w:val="single"/>
                <w14:textFill>
                  <w14:solidFill>
                    <w14:schemeClr w14:val="tx1"/>
                  </w14:solidFill>
                </w14:textFill>
              </w:rPr>
              <w:t xml:space="preserve">                             </w:t>
            </w:r>
          </w:p>
        </w:tc>
      </w:tr>
      <w:tr w14:paraId="235F4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1133" w:type="dxa"/>
            <w:noWrap w:val="0"/>
            <w:tcMar>
              <w:top w:w="16" w:type="dxa"/>
              <w:left w:w="16" w:type="dxa"/>
              <w:right w:w="16" w:type="dxa"/>
            </w:tcMar>
            <w:vAlign w:val="center"/>
          </w:tcPr>
          <w:p w14:paraId="05497E80">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专项评价设置情况</w:t>
            </w:r>
          </w:p>
        </w:tc>
        <w:tc>
          <w:tcPr>
            <w:tcW w:w="8169" w:type="dxa"/>
            <w:gridSpan w:val="3"/>
            <w:noWrap w:val="0"/>
            <w:tcMar>
              <w:top w:w="16" w:type="dxa"/>
              <w:left w:w="16" w:type="dxa"/>
              <w:right w:w="16" w:type="dxa"/>
            </w:tcMar>
            <w:vAlign w:val="center"/>
          </w:tcPr>
          <w:p w14:paraId="22CDBDDF">
            <w:pPr>
              <w:keepNext w:val="0"/>
              <w:keepLines w:val="0"/>
              <w:pageBreakBefore w:val="0"/>
              <w:kinsoku/>
              <w:wordWrap/>
              <w:overflowPunct/>
              <w:topLinePunct w:val="0"/>
              <w:autoSpaceDE w:val="0"/>
              <w:autoSpaceDN w:val="0"/>
              <w:bidi w:val="0"/>
              <w:adjustRightInd/>
              <w:snapToGrid/>
              <w:ind w:firstLine="0" w:firstLineChars="0"/>
              <w:jc w:val="center"/>
              <w:textAlignment w:val="auto"/>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14:paraId="77202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26D1416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规划情况</w:t>
            </w:r>
          </w:p>
        </w:tc>
        <w:tc>
          <w:tcPr>
            <w:tcW w:w="8169" w:type="dxa"/>
            <w:gridSpan w:val="3"/>
            <w:noWrap w:val="0"/>
            <w:tcMar>
              <w:top w:w="16" w:type="dxa"/>
              <w:left w:w="16" w:type="dxa"/>
              <w:right w:w="16" w:type="dxa"/>
            </w:tcMar>
            <w:vAlign w:val="center"/>
          </w:tcPr>
          <w:p w14:paraId="5FB2A7D7">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规划名称：《中卫市矿产资源总体规划(2021-2025年)》</w:t>
            </w:r>
          </w:p>
          <w:p w14:paraId="256770B0">
            <w:pPr>
              <w:keepNext w:val="0"/>
              <w:keepLines w:val="0"/>
              <w:suppressLineNumbers w:val="0"/>
              <w:spacing w:before="0" w:beforeAutospacing="0" w:after="0" w:afterAutospacing="0"/>
              <w:ind w:left="0" w:right="0" w:firstLine="454" w:firstLineChars="200"/>
              <w:rPr>
                <w:rStyle w:val="33"/>
                <w:rFonts w:hint="default" w:cs="Times New Roman"/>
                <w:color w:val="000000" w:themeColor="text1"/>
                <w:kern w:val="0"/>
                <w:sz w:val="24"/>
                <w:highlight w:val="none"/>
                <w14:textFill>
                  <w14:solidFill>
                    <w14:schemeClr w14:val="tx1"/>
                  </w14:solidFill>
                </w14:textFill>
              </w:rPr>
            </w:pPr>
            <w:r>
              <w:rPr>
                <w:rStyle w:val="33"/>
                <w:rFonts w:hint="default" w:cs="Times New Roman"/>
                <w:color w:val="000000" w:themeColor="text1"/>
                <w:kern w:val="0"/>
                <w:sz w:val="24"/>
                <w:highlight w:val="none"/>
                <w14:textFill>
                  <w14:solidFill>
                    <w14:schemeClr w14:val="tx1"/>
                  </w14:solidFill>
                </w14:textFill>
              </w:rPr>
              <w:t>审批</w:t>
            </w:r>
            <w:r>
              <w:rPr>
                <w:rStyle w:val="33"/>
                <w:rFonts w:hint="eastAsia" w:cs="Times New Roman"/>
                <w:color w:val="000000" w:themeColor="text1"/>
                <w:kern w:val="0"/>
                <w:sz w:val="24"/>
                <w:highlight w:val="none"/>
                <w14:textFill>
                  <w14:solidFill>
                    <w14:schemeClr w14:val="tx1"/>
                  </w14:solidFill>
                </w14:textFill>
              </w:rPr>
              <w:t>单位</w:t>
            </w:r>
            <w:r>
              <w:rPr>
                <w:rStyle w:val="33"/>
                <w:rFonts w:hint="default" w:cs="Times New Roman"/>
                <w:color w:val="000000" w:themeColor="text1"/>
                <w:kern w:val="0"/>
                <w:sz w:val="24"/>
                <w:highlight w:val="none"/>
                <w14:textFill>
                  <w14:solidFill>
                    <w14:schemeClr w14:val="tx1"/>
                  </w14:solidFill>
                </w14:textFill>
              </w:rPr>
              <w:t>：中卫市人民政府办公室；</w:t>
            </w:r>
          </w:p>
          <w:p w14:paraId="725B8BD1">
            <w:pPr>
              <w:keepNext w:val="0"/>
              <w:keepLines w:val="0"/>
              <w:suppressLineNumbers w:val="0"/>
              <w:spacing w:before="0" w:beforeAutospacing="0" w:after="0" w:afterAutospacing="0"/>
              <w:ind w:left="0" w:right="0" w:firstLine="454" w:firstLineChars="200"/>
              <w:rPr>
                <w:rStyle w:val="33"/>
                <w:rFonts w:hint="eastAsia" w:eastAsia="宋体" w:cs="Times New Roman"/>
                <w:b/>
                <w:bCs/>
                <w:color w:val="000000" w:themeColor="text1"/>
                <w:kern w:val="0"/>
                <w:sz w:val="24"/>
                <w:highlight w:val="none"/>
                <w:lang w:eastAsia="zh-CN"/>
                <w14:textFill>
                  <w14:solidFill>
                    <w14:schemeClr w14:val="tx1"/>
                  </w14:solidFill>
                </w14:textFill>
              </w:rPr>
            </w:pPr>
            <w:r>
              <w:rPr>
                <w:rStyle w:val="33"/>
                <w:rFonts w:hint="default" w:cs="Times New Roman"/>
                <w:color w:val="000000" w:themeColor="text1"/>
                <w:kern w:val="0"/>
                <w:sz w:val="24"/>
                <w:highlight w:val="none"/>
                <w14:textFill>
                  <w14:solidFill>
                    <w14:schemeClr w14:val="tx1"/>
                  </w14:solidFill>
                </w14:textFill>
              </w:rPr>
              <w:t>批复文件名称及文号：关于印发</w:t>
            </w:r>
            <w:r>
              <w:rPr>
                <w:rStyle w:val="33"/>
                <w:rFonts w:hint="eastAsia" w:cs="Times New Roman"/>
                <w:color w:val="000000" w:themeColor="text1"/>
                <w:kern w:val="0"/>
                <w:sz w:val="24"/>
                <w:highlight w:val="none"/>
                <w14:textFill>
                  <w14:solidFill>
                    <w14:schemeClr w14:val="tx1"/>
                  </w14:solidFill>
                </w14:textFill>
              </w:rPr>
              <w:t>《</w:t>
            </w:r>
            <w:r>
              <w:rPr>
                <w:rStyle w:val="33"/>
                <w:rFonts w:hint="default" w:cs="Times New Roman"/>
                <w:color w:val="000000" w:themeColor="text1"/>
                <w:kern w:val="0"/>
                <w:sz w:val="24"/>
                <w:highlight w:val="none"/>
                <w14:textFill>
                  <w14:solidFill>
                    <w14:schemeClr w14:val="tx1"/>
                  </w14:solidFill>
                </w14:textFill>
              </w:rPr>
              <w:t>中卫市矿产资源总体规划（2021-2025年）</w:t>
            </w:r>
            <w:r>
              <w:rPr>
                <w:rStyle w:val="33"/>
                <w:rFonts w:hint="eastAsia" w:cs="Times New Roman"/>
                <w:color w:val="000000" w:themeColor="text1"/>
                <w:kern w:val="0"/>
                <w:sz w:val="24"/>
                <w:highlight w:val="none"/>
                <w14:textFill>
                  <w14:solidFill>
                    <w14:schemeClr w14:val="tx1"/>
                  </w14:solidFill>
                </w14:textFill>
              </w:rPr>
              <w:t>》</w:t>
            </w:r>
            <w:r>
              <w:rPr>
                <w:rStyle w:val="33"/>
                <w:rFonts w:hint="default" w:cs="Times New Roman"/>
                <w:color w:val="000000" w:themeColor="text1"/>
                <w:kern w:val="0"/>
                <w:sz w:val="24"/>
                <w:highlight w:val="none"/>
                <w14:textFill>
                  <w14:solidFill>
                    <w14:schemeClr w14:val="tx1"/>
                  </w14:solidFill>
                </w14:textFill>
              </w:rPr>
              <w:t>的通知</w:t>
            </w:r>
            <w:r>
              <w:rPr>
                <w:rStyle w:val="33"/>
                <w:rFonts w:hint="eastAsia" w:cs="Times New Roman"/>
                <w:color w:val="000000" w:themeColor="text1"/>
                <w:kern w:val="0"/>
                <w:sz w:val="24"/>
                <w:highlight w:val="none"/>
                <w14:textFill>
                  <w14:solidFill>
                    <w14:schemeClr w14:val="tx1"/>
                  </w14:solidFill>
                </w14:textFill>
              </w:rPr>
              <w:t>，卫政办发〔2022〕66号</w:t>
            </w:r>
            <w:r>
              <w:rPr>
                <w:rStyle w:val="33"/>
                <w:rFonts w:hint="eastAsia" w:cs="Times New Roman"/>
                <w:color w:val="000000" w:themeColor="text1"/>
                <w:kern w:val="0"/>
                <w:sz w:val="24"/>
                <w:highlight w:val="none"/>
                <w:lang w:eastAsia="zh-CN"/>
                <w14:textFill>
                  <w14:solidFill>
                    <w14:schemeClr w14:val="tx1"/>
                  </w14:solidFill>
                </w14:textFill>
              </w:rPr>
              <w:t>。</w:t>
            </w:r>
          </w:p>
          <w:p w14:paraId="1FC6BBE6">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规划名称：</w:t>
            </w:r>
            <w:r>
              <w:rPr>
                <w:rFonts w:hint="eastAsia"/>
                <w:color w:val="000000" w:themeColor="text1"/>
                <w:highlight w:val="none"/>
                <w14:textFill>
                  <w14:solidFill>
                    <w14:schemeClr w14:val="tx1"/>
                  </w14:solidFill>
                </w14:textFill>
              </w:rPr>
              <w:t>《全国重要生态系统保护和修复重大工程总体规划（2021-2035年）》</w:t>
            </w:r>
          </w:p>
          <w:p w14:paraId="4578B3DC">
            <w:pPr>
              <w:keepNext w:val="0"/>
              <w:keepLines w:val="0"/>
              <w:suppressLineNumbers w:val="0"/>
              <w:spacing w:before="0" w:beforeAutospacing="0" w:after="0" w:afterAutospacing="0"/>
              <w:ind w:left="0" w:right="0" w:firstLine="454" w:firstLineChars="200"/>
              <w:rPr>
                <w:rStyle w:val="33"/>
                <w:rFonts w:hint="default" w:cs="Times New Roman"/>
                <w:color w:val="000000" w:themeColor="text1"/>
                <w:kern w:val="0"/>
                <w:sz w:val="24"/>
                <w:highlight w:val="none"/>
                <w14:textFill>
                  <w14:solidFill>
                    <w14:schemeClr w14:val="tx1"/>
                  </w14:solidFill>
                </w14:textFill>
              </w:rPr>
            </w:pPr>
            <w:r>
              <w:rPr>
                <w:rStyle w:val="33"/>
                <w:rFonts w:hint="default" w:cs="Times New Roman"/>
                <w:color w:val="000000" w:themeColor="text1"/>
                <w:kern w:val="0"/>
                <w:sz w:val="24"/>
                <w:highlight w:val="none"/>
                <w14:textFill>
                  <w14:solidFill>
                    <w14:schemeClr w14:val="tx1"/>
                  </w14:solidFill>
                </w14:textFill>
              </w:rPr>
              <w:t>审批单位：发展改革委自然资源部；</w:t>
            </w:r>
          </w:p>
          <w:p w14:paraId="76104A96">
            <w:pPr>
              <w:ind w:firstLine="454" w:firstLineChars="200"/>
              <w:rPr>
                <w:rStyle w:val="33"/>
                <w:rFonts w:hint="eastAsia" w:eastAsia="宋体" w:cs="Times New Roman"/>
                <w:color w:val="000000" w:themeColor="text1"/>
                <w:kern w:val="0"/>
                <w:sz w:val="24"/>
                <w:highlight w:val="none"/>
                <w:lang w:eastAsia="zh-CN"/>
                <w14:textFill>
                  <w14:solidFill>
                    <w14:schemeClr w14:val="tx1"/>
                  </w14:solidFill>
                </w14:textFill>
              </w:rPr>
            </w:pPr>
            <w:r>
              <w:rPr>
                <w:rStyle w:val="33"/>
                <w:rFonts w:hint="default" w:cs="Times New Roman"/>
                <w:color w:val="000000" w:themeColor="text1"/>
                <w:kern w:val="0"/>
                <w:sz w:val="24"/>
                <w:highlight w:val="none"/>
                <w14:textFill>
                  <w14:solidFill>
                    <w14:schemeClr w14:val="tx1"/>
                  </w14:solidFill>
                </w14:textFill>
              </w:rPr>
              <w:t>批复文件名称及文号：国家发展改革委自然资源部关于印发《全国重要生态系统保护和修复重大工程总体规划（2021-2035年）》的通知，发改农经〔2020〕837号</w:t>
            </w:r>
            <w:r>
              <w:rPr>
                <w:rStyle w:val="33"/>
                <w:rFonts w:hint="eastAsia" w:cs="Times New Roman"/>
                <w:color w:val="000000" w:themeColor="text1"/>
                <w:kern w:val="0"/>
                <w:sz w:val="24"/>
                <w:highlight w:val="none"/>
                <w:lang w:eastAsia="zh-CN"/>
                <w14:textFill>
                  <w14:solidFill>
                    <w14:schemeClr w14:val="tx1"/>
                  </w14:solidFill>
                </w14:textFill>
              </w:rPr>
              <w:t>。</w:t>
            </w:r>
          </w:p>
          <w:p w14:paraId="3D027828">
            <w:pPr>
              <w:pStyle w:val="2"/>
              <w:numPr>
                <w:ilvl w:val="0"/>
                <w:numId w:val="0"/>
              </w:numPr>
              <w:bidi w:val="0"/>
              <w:jc w:val="left"/>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规划名称：</w:t>
            </w:r>
            <w:r>
              <w:rPr>
                <w:color w:val="000000" w:themeColor="text1"/>
                <w:highlight w:val="none"/>
                <w14:textFill>
                  <w14:solidFill>
                    <w14:schemeClr w14:val="tx1"/>
                  </w14:solidFill>
                </w14:textFill>
              </w:rPr>
              <w:t>《宁夏回族自治区矿产资源总体规划（2021-2025年）》</w:t>
            </w:r>
          </w:p>
          <w:p w14:paraId="36190ED4">
            <w:pPr>
              <w:keepNext w:val="0"/>
              <w:keepLines w:val="0"/>
              <w:suppressLineNumbers w:val="0"/>
              <w:spacing w:before="0" w:beforeAutospacing="0" w:after="0" w:afterAutospacing="0"/>
              <w:ind w:left="0" w:right="0" w:firstLine="454" w:firstLineChars="200"/>
              <w:jc w:val="left"/>
              <w:rPr>
                <w:rStyle w:val="33"/>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Style w:val="33"/>
                <w:rFonts w:hint="default" w:ascii="Times New Roman" w:hAnsi="Times New Roman" w:cs="Times New Roman"/>
                <w:color w:val="000000" w:themeColor="text1"/>
                <w:kern w:val="0"/>
                <w:sz w:val="24"/>
                <w:highlight w:val="none"/>
                <w14:textFill>
                  <w14:solidFill>
                    <w14:schemeClr w14:val="tx1"/>
                  </w14:solidFill>
                </w14:textFill>
              </w:rPr>
              <w:t>审批单位：中华人民共和国自然资源部</w:t>
            </w:r>
            <w:r>
              <w:rPr>
                <w:rStyle w:val="33"/>
                <w:rFonts w:hint="eastAsia" w:ascii="Times New Roman" w:hAnsi="Times New Roman" w:cs="Times New Roman"/>
                <w:color w:val="000000" w:themeColor="text1"/>
                <w:kern w:val="0"/>
                <w:sz w:val="24"/>
                <w:highlight w:val="none"/>
                <w:lang w:eastAsia="zh-CN"/>
                <w14:textFill>
                  <w14:solidFill>
                    <w14:schemeClr w14:val="tx1"/>
                  </w14:solidFill>
                </w14:textFill>
              </w:rPr>
              <w:t>；</w:t>
            </w:r>
          </w:p>
          <w:p w14:paraId="734AEFBB">
            <w:pPr>
              <w:keepNext w:val="0"/>
              <w:keepLines w:val="0"/>
              <w:suppressLineNumbers w:val="0"/>
              <w:spacing w:before="0" w:beforeAutospacing="0" w:after="0" w:afterAutospacing="0"/>
              <w:ind w:left="0" w:right="0" w:firstLine="454" w:firstLineChars="200"/>
              <w:rPr>
                <w:rStyle w:val="33"/>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Style w:val="33"/>
                <w:rFonts w:hint="default" w:cs="Times New Roman"/>
                <w:color w:val="000000" w:themeColor="text1"/>
                <w:kern w:val="0"/>
                <w:sz w:val="24"/>
                <w:highlight w:val="none"/>
                <w14:textFill>
                  <w14:solidFill>
                    <w14:schemeClr w14:val="tx1"/>
                  </w14:solidFill>
                </w14:textFill>
              </w:rPr>
              <w:t>批复文件名称及文号：</w:t>
            </w:r>
            <w:r>
              <w:rPr>
                <w:rStyle w:val="33"/>
                <w:rFonts w:hint="eastAsia" w:cs="Times New Roman"/>
                <w:color w:val="000000" w:themeColor="text1"/>
                <w:kern w:val="0"/>
                <w:sz w:val="24"/>
                <w:highlight w:val="none"/>
                <w:lang w:val="en-US" w:eastAsia="zh-CN"/>
                <w14:textFill>
                  <w14:solidFill>
                    <w14:schemeClr w14:val="tx1"/>
                  </w14:solidFill>
                </w14:textFill>
              </w:rPr>
              <w:t>/</w:t>
            </w:r>
            <w:r>
              <w:rPr>
                <w:rFonts w:hint="eastAsia" w:ascii="宋体" w:hAnsi="宋体" w:cs="宋体"/>
                <w:b w:val="0"/>
                <w:bCs w:val="0"/>
                <w:color w:val="000000" w:themeColor="text1"/>
                <w:sz w:val="24"/>
                <w:szCs w:val="24"/>
                <w:highlight w:val="none"/>
                <w:lang w:eastAsia="zh-CN"/>
                <w14:textFill>
                  <w14:solidFill>
                    <w14:schemeClr w14:val="tx1"/>
                  </w14:solidFill>
                </w14:textFill>
              </w:rPr>
              <w:t>。</w:t>
            </w:r>
          </w:p>
        </w:tc>
      </w:tr>
      <w:tr w14:paraId="70E12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7FB6443A">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规划环境影响评价情况</w:t>
            </w:r>
          </w:p>
        </w:tc>
        <w:tc>
          <w:tcPr>
            <w:tcW w:w="8169" w:type="dxa"/>
            <w:gridSpan w:val="3"/>
            <w:noWrap w:val="0"/>
            <w:tcMar>
              <w:top w:w="16" w:type="dxa"/>
              <w:left w:w="16" w:type="dxa"/>
              <w:right w:w="16" w:type="dxa"/>
            </w:tcMar>
            <w:vAlign w:val="center"/>
          </w:tcPr>
          <w:p w14:paraId="6C4FF0B6">
            <w:pPr>
              <w:pStyle w:val="2"/>
              <w:jc w:val="left"/>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、规划环境影响评价文件名称：《宁夏回族自治区矿产资源总体规划（2021-2025 年）环境影响报告书》；</w:t>
            </w:r>
          </w:p>
          <w:p w14:paraId="78748172">
            <w:pPr>
              <w:keepNext w:val="0"/>
              <w:keepLines w:val="0"/>
              <w:suppressLineNumbers w:val="0"/>
              <w:spacing w:before="0" w:beforeAutospacing="0" w:after="0" w:afterAutospacing="0"/>
              <w:ind w:left="0" w:right="0" w:firstLine="454" w:firstLineChars="200"/>
              <w:jc w:val="left"/>
              <w:rPr>
                <w:rStyle w:val="33"/>
                <w:rFonts w:hint="default" w:ascii="Times New Roman" w:hAnsi="Times New Roman" w:cs="Times New Roman"/>
                <w:color w:val="000000" w:themeColor="text1"/>
                <w:kern w:val="0"/>
                <w:sz w:val="24"/>
                <w:highlight w:val="none"/>
                <w14:textFill>
                  <w14:solidFill>
                    <w14:schemeClr w14:val="tx1"/>
                  </w14:solidFill>
                </w14:textFill>
              </w:rPr>
            </w:pPr>
            <w:r>
              <w:rPr>
                <w:rStyle w:val="33"/>
                <w:rFonts w:hint="default" w:ascii="Times New Roman" w:hAnsi="Times New Roman" w:cs="Times New Roman"/>
                <w:color w:val="000000" w:themeColor="text1"/>
                <w:kern w:val="0"/>
                <w:sz w:val="24"/>
                <w:highlight w:val="none"/>
                <w14:textFill>
                  <w14:solidFill>
                    <w14:schemeClr w14:val="tx1"/>
                  </w14:solidFill>
                </w14:textFill>
              </w:rPr>
              <w:t>审批单位：宁夏回族自治区</w:t>
            </w:r>
            <w:r>
              <w:rPr>
                <w:rStyle w:val="33"/>
                <w:rFonts w:hint="eastAsia" w:ascii="Times New Roman" w:hAnsi="Times New Roman" w:cs="Times New Roman"/>
                <w:color w:val="000000" w:themeColor="text1"/>
                <w:kern w:val="0"/>
                <w:sz w:val="24"/>
                <w:highlight w:val="none"/>
                <w14:textFill>
                  <w14:solidFill>
                    <w14:schemeClr w14:val="tx1"/>
                  </w14:solidFill>
                </w14:textFill>
              </w:rPr>
              <w:t>自然资源厅；</w:t>
            </w:r>
          </w:p>
          <w:p w14:paraId="0786F1F5">
            <w:pPr>
              <w:keepNext w:val="0"/>
              <w:keepLines w:val="0"/>
              <w:pageBreakBefore w:val="0"/>
              <w:widowControl w:val="0"/>
              <w:kinsoku/>
              <w:wordWrap/>
              <w:overflowPunct/>
              <w:topLinePunct w:val="0"/>
              <w:autoSpaceDE/>
              <w:autoSpaceDN/>
              <w:bidi w:val="0"/>
              <w:adjustRightInd/>
              <w:snapToGrid/>
              <w:ind w:firstLine="454" w:firstLineChars="200"/>
              <w:jc w:val="left"/>
              <w:textAlignment w:val="auto"/>
              <w:rPr>
                <w:color w:val="000000" w:themeColor="text1"/>
                <w:kern w:val="0"/>
                <w:sz w:val="24"/>
                <w:highlight w:val="none"/>
                <w14:textFill>
                  <w14:solidFill>
                    <w14:schemeClr w14:val="tx1"/>
                  </w14:solidFill>
                </w14:textFill>
              </w:rPr>
            </w:pPr>
            <w:r>
              <w:rPr>
                <w:rStyle w:val="33"/>
                <w:rFonts w:hint="default" w:ascii="Times New Roman" w:hAnsi="Times New Roman" w:cs="Times New Roman"/>
                <w:color w:val="000000" w:themeColor="text1"/>
                <w:kern w:val="0"/>
                <w:sz w:val="24"/>
                <w:highlight w:val="none"/>
                <w14:textFill>
                  <w14:solidFill>
                    <w14:schemeClr w14:val="tx1"/>
                  </w14:solidFill>
                </w14:textFill>
              </w:rPr>
              <w:t>批复文件名称及文号：《关于〈宁夏回族自治区矿产资源总体规划（2021-2025年）环境影响报告书〉的审查意见》（环审〔2022〕91号</w:t>
            </w:r>
            <w:r>
              <w:rPr>
                <w:rStyle w:val="33"/>
                <w:rFonts w:hint="eastAsia" w:ascii="Times New Roman" w:hAnsi="Times New Roman" w:cs="Times New Roman"/>
                <w:color w:val="000000" w:themeColor="text1"/>
                <w:kern w:val="0"/>
                <w:sz w:val="24"/>
                <w:highlight w:val="none"/>
                <w14:textFill>
                  <w14:solidFill>
                    <w14:schemeClr w14:val="tx1"/>
                  </w14:solidFill>
                </w14:textFill>
              </w:rPr>
              <w:t>）</w:t>
            </w:r>
            <w:r>
              <w:rPr>
                <w:rStyle w:val="33"/>
                <w:rFonts w:hint="eastAsia" w:ascii="Times New Roman" w:hAnsi="Times New Roman" w:cs="Times New Roman"/>
                <w:color w:val="000000" w:themeColor="text1"/>
                <w:kern w:val="0"/>
                <w:sz w:val="24"/>
                <w:highlight w:val="none"/>
                <w:lang w:eastAsia="zh-CN"/>
                <w14:textFill>
                  <w14:solidFill>
                    <w14:schemeClr w14:val="tx1"/>
                  </w14:solidFill>
                </w14:textFill>
              </w:rPr>
              <w:t>。</w:t>
            </w:r>
          </w:p>
        </w:tc>
      </w:tr>
      <w:tr w14:paraId="4C9A0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3" w:hRule="atLeast"/>
          <w:jc w:val="center"/>
        </w:trPr>
        <w:tc>
          <w:tcPr>
            <w:tcW w:w="1133" w:type="dxa"/>
            <w:noWrap w:val="0"/>
            <w:tcMar>
              <w:top w:w="16" w:type="dxa"/>
              <w:left w:w="16" w:type="dxa"/>
              <w:right w:w="16" w:type="dxa"/>
            </w:tcMar>
            <w:vAlign w:val="center"/>
          </w:tcPr>
          <w:p w14:paraId="7A85EBB4">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规划及</w:t>
            </w:r>
            <w:r>
              <w:rPr>
                <w:b/>
                <w:bCs/>
                <w:color w:val="000000" w:themeColor="text1"/>
                <w:sz w:val="24"/>
                <w:highlight w:val="none"/>
                <w14:textFill>
                  <w14:solidFill>
                    <w14:schemeClr w14:val="tx1"/>
                  </w14:solidFill>
                </w14:textFill>
              </w:rPr>
              <w:t>规划环境影响评价</w:t>
            </w:r>
            <w:r>
              <w:rPr>
                <w:b/>
                <w:bCs/>
                <w:color w:val="000000" w:themeColor="text1"/>
                <w:kern w:val="0"/>
                <w:sz w:val="24"/>
                <w:highlight w:val="none"/>
                <w14:textFill>
                  <w14:solidFill>
                    <w14:schemeClr w14:val="tx1"/>
                  </w14:solidFill>
                </w14:textFill>
              </w:rPr>
              <w:t>符合性分析</w:t>
            </w:r>
          </w:p>
        </w:tc>
        <w:tc>
          <w:tcPr>
            <w:tcW w:w="8169" w:type="dxa"/>
            <w:gridSpan w:val="3"/>
            <w:noWrap w:val="0"/>
            <w:tcMar>
              <w:top w:w="16" w:type="dxa"/>
              <w:left w:w="16" w:type="dxa"/>
              <w:right w:w="16" w:type="dxa"/>
            </w:tcMar>
            <w:vAlign w:val="center"/>
          </w:tcPr>
          <w:p w14:paraId="62F3A974">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项目与《</w:t>
            </w:r>
            <w:bookmarkStart w:id="1" w:name="_Hlk136461871"/>
            <w:r>
              <w:rPr>
                <w:rFonts w:hint="eastAsia"/>
                <w:color w:val="000000" w:themeColor="text1"/>
                <w:highlight w:val="none"/>
                <w14:textFill>
                  <w14:solidFill>
                    <w14:schemeClr w14:val="tx1"/>
                  </w14:solidFill>
                </w14:textFill>
              </w:rPr>
              <w:t>中卫市矿产资源总体规划</w:t>
            </w:r>
            <w:r>
              <w:rPr>
                <w:rFonts w:hint="default"/>
                <w:color w:val="000000" w:themeColor="text1"/>
                <w:highlight w:val="none"/>
                <w14:textFill>
                  <w14:solidFill>
                    <w14:schemeClr w14:val="tx1"/>
                  </w14:solidFill>
                </w14:textFill>
              </w:rPr>
              <w:t>(2021-2025年)》</w:t>
            </w:r>
            <w:bookmarkEnd w:id="1"/>
            <w:r>
              <w:rPr>
                <w:rFonts w:hint="default"/>
                <w:color w:val="000000" w:themeColor="text1"/>
                <w:highlight w:val="none"/>
                <w14:textFill>
                  <w14:solidFill>
                    <w14:schemeClr w14:val="tx1"/>
                  </w14:solidFill>
                </w14:textFill>
              </w:rPr>
              <w:t>的符合性分析</w:t>
            </w:r>
          </w:p>
          <w:p w14:paraId="7290A672">
            <w:pPr>
              <w:keepNext w:val="0"/>
              <w:keepLines w:val="0"/>
              <w:suppressLineNumbers w:val="0"/>
              <w:autoSpaceDE w:val="0"/>
              <w:autoSpaceDN w:val="0"/>
              <w:spacing w:before="0" w:beforeAutospacing="0" w:after="0" w:afterAutospacing="0"/>
              <w:ind w:left="0" w:right="0" w:firstLine="454" w:firstLineChars="200"/>
              <w:rPr>
                <w:rFonts w:hint="default" w:cs="Times New Roman"/>
                <w:color w:val="000000" w:themeColor="text1"/>
                <w:sz w:val="24"/>
                <w:highlight w:val="none"/>
                <w14:textFill>
                  <w14:solidFill>
                    <w14:schemeClr w14:val="tx1"/>
                  </w14:solidFill>
                </w14:textFill>
              </w:rPr>
            </w:pPr>
            <w:r>
              <w:rPr>
                <w:rFonts w:hint="default" w:cs="Times New Roman"/>
                <w:color w:val="000000" w:themeColor="text1"/>
                <w:sz w:val="24"/>
                <w:highlight w:val="none"/>
                <w14:textFill>
                  <w14:solidFill>
                    <w14:schemeClr w14:val="tx1"/>
                  </w14:solidFill>
                </w14:textFill>
              </w:rPr>
              <w:t>《中卫市矿产资源总体规划（2021-2025年）》（以下简称《规划》）依据《中华人民共和国矿产资源法》，《中华人民共和国矿产资源法实施细则》，《宁夏回族自治区矿产资源总体规划（2021-2025年）》和《中卫市国民经济和社会发展第十四个五年规划和二〇三五年远景目标纲要》制定</w:t>
            </w:r>
            <w:r>
              <w:rPr>
                <w:rFonts w:hint="eastAsia" w:cs="Times New Roman"/>
                <w:color w:val="000000" w:themeColor="text1"/>
                <w:sz w:val="24"/>
                <w:highlight w:val="none"/>
                <w14:textFill>
                  <w14:solidFill>
                    <w14:schemeClr w14:val="tx1"/>
                  </w14:solidFill>
                </w14:textFill>
              </w:rPr>
              <w:t>而成，是“十四五”时期中卫市行政区内矿产资源勘查、开发利用与保护的指导性文件。</w:t>
            </w:r>
          </w:p>
          <w:p w14:paraId="06D4E199">
            <w:pPr>
              <w:pStyle w:val="38"/>
              <w:keepNext w:val="0"/>
              <w:keepLines w:val="0"/>
              <w:suppressLineNumbers w:val="0"/>
              <w:adjustRightInd/>
              <w:snapToGrid/>
              <w:spacing w:before="46" w:beforeAutospacing="0" w:after="46" w:afterAutospacing="0" w:line="240" w:lineRule="auto"/>
              <w:ind w:left="0" w:right="0" w:firstLine="454" w:firstLineChars="200"/>
              <w:jc w:val="both"/>
              <w:rPr>
                <w:rFonts w:hint="eastAsia" w:ascii="Times New Roman" w:cs="Times New Roman"/>
                <w:color w:val="000000" w:themeColor="text1"/>
                <w:sz w:val="24"/>
                <w:highlight w:val="none"/>
                <w14:textFill>
                  <w14:solidFill>
                    <w14:schemeClr w14:val="tx1"/>
                  </w14:solidFill>
                </w14:textFill>
              </w:rPr>
            </w:pPr>
            <w:r>
              <w:rPr>
                <w:rFonts w:hint="eastAsia" w:ascii="Times New Roman" w:cs="Times New Roman"/>
                <w:color w:val="000000" w:themeColor="text1"/>
                <w:sz w:val="24"/>
                <w:highlight w:val="none"/>
                <w14:textFill>
                  <w14:solidFill>
                    <w14:schemeClr w14:val="tx1"/>
                  </w14:solidFill>
                </w14:textFill>
              </w:rPr>
              <w:t>规划要求：</w:t>
            </w:r>
            <w:r>
              <w:rPr>
                <w:rFonts w:hint="eastAsia" w:ascii="Times New Roman" w:cs="Times New Roman"/>
                <w:b/>
                <w:color w:val="000000" w:themeColor="text1"/>
                <w:sz w:val="24"/>
                <w:highlight w:val="none"/>
                <w14:textFill>
                  <w14:solidFill>
                    <w14:schemeClr w14:val="tx1"/>
                  </w14:solidFill>
                </w14:textFill>
              </w:rPr>
              <w:t>“</w:t>
            </w:r>
            <w:r>
              <w:rPr>
                <w:rFonts w:hint="default" w:ascii="Times New Roman" w:cs="Times New Roman"/>
                <w:b/>
                <w:color w:val="000000" w:themeColor="text1"/>
                <w:sz w:val="24"/>
                <w:highlight w:val="none"/>
                <w14:textFill>
                  <w14:solidFill>
                    <w14:schemeClr w14:val="tx1"/>
                  </w14:solidFill>
                </w14:textFill>
              </w:rPr>
              <w:t>六、全面推进矿业绿色发展</w:t>
            </w:r>
            <w:r>
              <w:rPr>
                <w:rFonts w:hint="eastAsia" w:ascii="Times New Roman" w:cs="Times New Roman"/>
                <w:b/>
                <w:color w:val="000000" w:themeColor="text1"/>
                <w:sz w:val="24"/>
                <w:highlight w:val="none"/>
                <w14:textFill>
                  <w14:solidFill>
                    <w14:schemeClr w14:val="tx1"/>
                  </w14:solidFill>
                </w14:textFill>
              </w:rPr>
              <w:t>”</w:t>
            </w:r>
            <w:r>
              <w:rPr>
                <w:rFonts w:hint="eastAsia" w:ascii="Times New Roman" w:cs="Times New Roman"/>
                <w:color w:val="000000" w:themeColor="text1"/>
                <w:sz w:val="24"/>
                <w:highlight w:val="none"/>
                <w14:textFill>
                  <w14:solidFill>
                    <w14:schemeClr w14:val="tx1"/>
                  </w14:solidFill>
                </w14:textFill>
              </w:rPr>
              <w:t>全面推进绿色勘查、绿色矿山建设、矿区生态保护修复，将绿色发展理念贯穿于矿产资源保护、勘查、开发利用全过程，体现源头管控、过程控制和末端治理。</w:t>
            </w:r>
          </w:p>
          <w:p w14:paraId="0C8AE334">
            <w:pPr>
              <w:pStyle w:val="38"/>
              <w:keepNext w:val="0"/>
              <w:keepLines w:val="0"/>
              <w:suppressLineNumbers w:val="0"/>
              <w:adjustRightInd/>
              <w:snapToGrid/>
              <w:spacing w:before="46" w:beforeAutospacing="0" w:after="46" w:afterAutospacing="0" w:line="240" w:lineRule="auto"/>
              <w:ind w:left="0" w:right="0" w:firstLine="454" w:firstLineChars="200"/>
              <w:jc w:val="both"/>
              <w:rPr>
                <w:rFonts w:hint="eastAsia" w:ascii="Times New Roman" w:cs="Times New Roman"/>
                <w:color w:val="000000" w:themeColor="text1"/>
                <w:sz w:val="24"/>
                <w:highlight w:val="none"/>
                <w14:textFill>
                  <w14:solidFill>
                    <w14:schemeClr w14:val="tx1"/>
                  </w14:solidFill>
                </w14:textFill>
              </w:rPr>
            </w:pPr>
            <w:r>
              <w:rPr>
                <w:rFonts w:hint="eastAsia" w:cs="Times New Roman"/>
                <w:b/>
                <w:color w:val="000000" w:themeColor="text1"/>
                <w:sz w:val="24"/>
                <w:highlight w:val="none"/>
                <w:lang w:eastAsia="zh-CN"/>
                <w14:textFill>
                  <w14:solidFill>
                    <w14:schemeClr w14:val="tx1"/>
                  </w14:solidFill>
                </w14:textFill>
              </w:rPr>
              <w:t>“</w:t>
            </w:r>
            <w:r>
              <w:rPr>
                <w:rFonts w:hint="eastAsia" w:ascii="Times New Roman" w:cs="Times New Roman"/>
                <w:b/>
                <w:color w:val="000000" w:themeColor="text1"/>
                <w:sz w:val="24"/>
                <w:highlight w:val="none"/>
                <w14:textFill>
                  <w14:solidFill>
                    <w14:schemeClr w14:val="tx1"/>
                  </w14:solidFill>
                </w14:textFill>
              </w:rPr>
              <w:t>生产和闭坑矿山环境保护与管理。</w:t>
            </w:r>
            <w:r>
              <w:rPr>
                <w:rFonts w:hint="eastAsia" w:cs="Times New Roman"/>
                <w:b/>
                <w:color w:val="000000" w:themeColor="text1"/>
                <w:sz w:val="24"/>
                <w:highlight w:val="none"/>
                <w:lang w:eastAsia="zh-CN"/>
                <w14:textFill>
                  <w14:solidFill>
                    <w14:schemeClr w14:val="tx1"/>
                  </w14:solidFill>
                </w14:textFill>
              </w:rPr>
              <w:t>”</w:t>
            </w:r>
            <w:r>
              <w:rPr>
                <w:rFonts w:hint="eastAsia" w:ascii="Times New Roman" w:cs="Times New Roman"/>
                <w:color w:val="000000" w:themeColor="text1"/>
                <w:sz w:val="24"/>
                <w:highlight w:val="none"/>
                <w14:textFill>
                  <w14:solidFill>
                    <w14:schemeClr w14:val="tx1"/>
                  </w14:solidFill>
                </w14:textFill>
              </w:rPr>
              <w:t>明确责任，建章立制，逐步关闭污染严重、破坏生态环境的矿山。矿山企业必须依法履行环境保护和土地复垦的义务，按照“谁破坏、谁治理”、“边开采、边治理”的原则，对矿山地质环境问题和损毁土地进行治理恢复。落实矿山地质环境恢复责任制和定期向社会公示检查结果，强化对采矿权人主体责任的社会监督和执法监管。严格闭坑矿山的审查和管理，政策性关闭矿山提交剩余资源储量核实报告，履行地质环境治理任务，按照国家、自治区相关政策文件要求执行。</w:t>
            </w:r>
          </w:p>
          <w:p w14:paraId="39CC9589">
            <w:pPr>
              <w:pStyle w:val="38"/>
              <w:keepNext w:val="0"/>
              <w:keepLines w:val="0"/>
              <w:suppressLineNumbers w:val="0"/>
              <w:adjustRightInd/>
              <w:snapToGrid/>
              <w:spacing w:before="46" w:beforeAutospacing="0" w:after="46" w:afterAutospacing="0" w:line="240" w:lineRule="auto"/>
              <w:ind w:left="0" w:right="0" w:firstLine="454" w:firstLineChars="200"/>
              <w:jc w:val="both"/>
              <w:rPr>
                <w:rFonts w:hint="default"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本项目主要对中卫市宣和镇天景山天主峰灰石矿进行生态修复治理</w:t>
            </w:r>
            <w:r>
              <w:rPr>
                <w:rFonts w:hint="default" w:cs="Times New Roman"/>
                <w:color w:val="000000" w:themeColor="text1"/>
                <w:sz w:val="24"/>
                <w:highlight w:val="none"/>
                <w14:textFill>
                  <w14:solidFill>
                    <w14:schemeClr w14:val="tx1"/>
                  </w14:solidFill>
                </w14:textFill>
              </w:rPr>
              <w:t>，总治理面积为</w:t>
            </w:r>
            <w:r>
              <w:rPr>
                <w:rFonts w:hint="eastAsia" w:cs="Times New Roman"/>
                <w:color w:val="000000" w:themeColor="text1"/>
                <w:kern w:val="0"/>
                <w:sz w:val="24"/>
                <w:highlight w:val="none"/>
                <w:lang w:val="en-US" w:eastAsia="zh-CN"/>
                <w14:textFill>
                  <w14:solidFill>
                    <w14:schemeClr w14:val="tx1"/>
                  </w14:solidFill>
                </w14:textFill>
              </w:rPr>
              <w:t>34.44</w:t>
            </w:r>
            <w:r>
              <w:rPr>
                <w:rFonts w:hint="default" w:cs="Times New Roman"/>
                <w:color w:val="000000" w:themeColor="text1"/>
                <w:sz w:val="24"/>
                <w:highlight w:val="none"/>
                <w14:textFill>
                  <w14:solidFill>
                    <w14:schemeClr w14:val="tx1"/>
                  </w14:solidFill>
                </w14:textFill>
              </w:rPr>
              <w:t>hm</w:t>
            </w:r>
            <w:r>
              <w:rPr>
                <w:rFonts w:hint="default" w:cs="Times New Roman"/>
                <w:color w:val="000000" w:themeColor="text1"/>
                <w:sz w:val="24"/>
                <w:highlight w:val="none"/>
                <w:vertAlign w:val="superscript"/>
                <w14:textFill>
                  <w14:solidFill>
                    <w14:schemeClr w14:val="tx1"/>
                  </w14:solidFill>
                </w14:textFill>
              </w:rPr>
              <w:t>2</w:t>
            </w:r>
            <w:r>
              <w:rPr>
                <w:rFonts w:hint="default" w:cs="Times New Roman"/>
                <w:color w:val="000000" w:themeColor="text1"/>
                <w:sz w:val="24"/>
                <w:highlight w:val="none"/>
                <w14:textFill>
                  <w14:solidFill>
                    <w14:schemeClr w14:val="tx1"/>
                  </w14:solidFill>
                </w14:textFill>
              </w:rPr>
              <w:t>。项目的实施，有效提高区域生态环境自我修复能力，提高区域植被覆盖率，对建设黄河流域生态保护和高质量发展先行区具有重要意义。</w:t>
            </w:r>
            <w:r>
              <w:rPr>
                <w:rFonts w:hint="eastAsia" w:cs="Times New Roman"/>
                <w:color w:val="000000" w:themeColor="text1"/>
                <w:sz w:val="24"/>
                <w:highlight w:val="none"/>
                <w14:textFill>
                  <w14:solidFill>
                    <w14:schemeClr w14:val="tx1"/>
                  </w14:solidFill>
                </w14:textFill>
              </w:rPr>
              <w:t>因此本项目符合</w:t>
            </w:r>
            <w:r>
              <w:rPr>
                <w:rFonts w:hint="default"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中卫市矿产资源总体规划</w:t>
            </w:r>
            <w:r>
              <w:rPr>
                <w:rFonts w:hint="default" w:cs="Times New Roman"/>
                <w:color w:val="000000" w:themeColor="text1"/>
                <w:sz w:val="24"/>
                <w:highlight w:val="none"/>
                <w14:textFill>
                  <w14:solidFill>
                    <w14:schemeClr w14:val="tx1"/>
                  </w14:solidFill>
                </w14:textFill>
              </w:rPr>
              <w:t>(2021-2025年)》</w:t>
            </w:r>
            <w:r>
              <w:rPr>
                <w:rFonts w:hint="eastAsia" w:cs="Times New Roman"/>
                <w:color w:val="000000" w:themeColor="text1"/>
                <w:sz w:val="24"/>
                <w:highlight w:val="none"/>
                <w14:textFill>
                  <w14:solidFill>
                    <w14:schemeClr w14:val="tx1"/>
                  </w14:solidFill>
                </w14:textFill>
              </w:rPr>
              <w:t>中相关要求。</w:t>
            </w:r>
          </w:p>
          <w:p w14:paraId="5D622C56">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项目与《全国重要生态系统保护和修复重大工程总体规划（2021-2035年）》的符合性分析</w:t>
            </w:r>
          </w:p>
          <w:p w14:paraId="249138A4">
            <w:pPr>
              <w:keepNext w:val="0"/>
              <w:keepLines w:val="0"/>
              <w:suppressLineNumbers w:val="0"/>
              <w:autoSpaceDE w:val="0"/>
              <w:autoSpaceDN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当前和今后一段时期推进全国重要生态系统保护和修复重大工程的指导性规划，是编制和实施有关重大工程建设规划的主要依据。</w:t>
            </w:r>
          </w:p>
          <w:p w14:paraId="75AE71C0">
            <w:pPr>
              <w:keepNext w:val="0"/>
              <w:keepLines w:val="0"/>
              <w:suppressLineNumbers w:val="0"/>
              <w:autoSpaceDE w:val="0"/>
              <w:autoSpaceDN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本项目位于宁夏回族自治区中卫市沙坡头区</w:t>
            </w:r>
            <w:r>
              <w:rPr>
                <w:rFonts w:hint="eastAsia" w:cs="Times New Roman"/>
                <w:color w:val="000000" w:themeColor="text1"/>
                <w:sz w:val="24"/>
                <w:szCs w:val="24"/>
                <w:highlight w:val="none"/>
                <w:u w:val="none"/>
                <w:lang w:val="en-US" w:eastAsia="zh-CN"/>
                <w14:textFill>
                  <w14:solidFill>
                    <w14:schemeClr w14:val="tx1"/>
                  </w14:solidFill>
                </w14:textFill>
              </w:rPr>
              <w:t>宣和</w:t>
            </w:r>
            <w:r>
              <w:rPr>
                <w:rFonts w:hint="default" w:ascii="Times New Roman" w:hAnsi="Times New Roman" w:cs="Times New Roman"/>
                <w:color w:val="000000" w:themeColor="text1"/>
                <w:sz w:val="24"/>
                <w:szCs w:val="24"/>
                <w:highlight w:val="none"/>
                <w:u w:val="none"/>
                <w14:textFill>
                  <w14:solidFill>
                    <w14:schemeClr w14:val="tx1"/>
                  </w14:solidFill>
                </w14:textFill>
              </w:rPr>
              <w:t>镇</w:t>
            </w:r>
            <w:r>
              <w:rPr>
                <w:rFonts w:hint="eastAsia" w:cs="Times New Roman"/>
                <w:color w:val="000000" w:themeColor="text1"/>
                <w:sz w:val="24"/>
                <w:highlight w:val="none"/>
                <w14:textFill>
                  <w14:solidFill>
                    <w14:schemeClr w14:val="tx1"/>
                  </w14:solidFill>
                </w14:textFill>
              </w:rPr>
              <w:t>，属于《规划》中黄河重点生态区，该区域主要生态问题有“矿产资源开采对生态系统破坏面大、破坏程度高、治理难度大”</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并提出主攻方向：加强矿区综合治理和生态修复，使区域内水土流失状况得到有效控制，完善自然保护地体系建设并保护区域内生物多样性。</w:t>
            </w:r>
          </w:p>
          <w:p w14:paraId="40A23172">
            <w:pPr>
              <w:bidi w:val="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本项目治理矿山面积</w:t>
            </w:r>
            <w:r>
              <w:rPr>
                <w:rFonts w:hint="eastAsia" w:cs="Times New Roman"/>
                <w:color w:val="000000" w:themeColor="text1"/>
                <w:sz w:val="24"/>
                <w:highlight w:val="none"/>
                <w:lang w:val="en-US" w:eastAsia="zh-CN"/>
                <w14:textFill>
                  <w14:solidFill>
                    <w14:schemeClr w14:val="tx1"/>
                  </w14:solidFill>
                </w14:textFill>
              </w:rPr>
              <w:t>34.44</w:t>
            </w:r>
            <w:r>
              <w:rPr>
                <w:rFonts w:hint="eastAsia" w:cs="Times New Roman"/>
                <w:color w:val="000000" w:themeColor="text1"/>
                <w:sz w:val="24"/>
                <w:highlight w:val="none"/>
                <w14:textFill>
                  <w14:solidFill>
                    <w14:schemeClr w14:val="tx1"/>
                  </w14:solidFill>
                </w14:textFill>
              </w:rPr>
              <w:t>hm</w:t>
            </w:r>
            <w:r>
              <w:rPr>
                <w:rFonts w:hint="eastAsia" w:cs="Times New Roman"/>
                <w:color w:val="000000" w:themeColor="text1"/>
                <w:sz w:val="24"/>
                <w:highlight w:val="none"/>
                <w:vertAlign w:val="superscript"/>
                <w14:textFill>
                  <w14:solidFill>
                    <w14:schemeClr w14:val="tx1"/>
                  </w14:solidFill>
                </w14:textFill>
              </w:rPr>
              <w:t>2</w:t>
            </w:r>
            <w:r>
              <w:rPr>
                <w:rFonts w:hint="eastAsia" w:cs="Times New Roman"/>
                <w:color w:val="000000" w:themeColor="text1"/>
                <w:sz w:val="24"/>
                <w:highlight w:val="none"/>
                <w14:textFill>
                  <w14:solidFill>
                    <w14:schemeClr w14:val="tx1"/>
                  </w14:solidFill>
                </w14:textFill>
              </w:rPr>
              <w:t>，本项目</w:t>
            </w:r>
            <w:r>
              <w:rPr>
                <w:rFonts w:hint="eastAsia" w:cs="Times New Roman"/>
                <w:color w:val="000000" w:themeColor="text1"/>
                <w:sz w:val="24"/>
                <w:highlight w:val="none"/>
                <w:lang w:val="en-US" w:eastAsia="zh-CN"/>
                <w14:textFill>
                  <w14:solidFill>
                    <w14:schemeClr w14:val="tx1"/>
                  </w14:solidFill>
                </w14:textFill>
              </w:rPr>
              <w:t>通过</w:t>
            </w:r>
            <w:r>
              <w:rPr>
                <w:rFonts w:hint="eastAsia" w:cs="Times New Roman"/>
                <w:color w:val="000000" w:themeColor="text1"/>
                <w:sz w:val="24"/>
                <w:highlight w:val="none"/>
                <w14:textFill>
                  <w14:solidFill>
                    <w14:schemeClr w14:val="tx1"/>
                  </w14:solidFill>
                </w14:textFill>
              </w:rPr>
              <w:t>实施地形地貌恢复工程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截排水工程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生态恢复工程</w:t>
            </w:r>
            <w:r>
              <w:rPr>
                <w:rFonts w:hint="eastAsia" w:cs="Times New Roman"/>
                <w:color w:val="000000" w:themeColor="text1"/>
                <w:sz w:val="24"/>
                <w:highlight w:val="none"/>
                <w:lang w:val="en-US" w:eastAsia="zh-CN"/>
                <w14:textFill>
                  <w14:solidFill>
                    <w14:schemeClr w14:val="tx1"/>
                  </w14:solidFill>
                </w14:textFill>
              </w:rPr>
              <w:t>等</w:t>
            </w:r>
            <w:r>
              <w:rPr>
                <w:rFonts w:hint="eastAsia" w:cs="Times New Roman"/>
                <w:color w:val="000000" w:themeColor="text1"/>
                <w:sz w:val="24"/>
                <w:highlight w:val="none"/>
                <w14:textFill>
                  <w14:solidFill>
                    <w14:schemeClr w14:val="tx1"/>
                  </w14:solidFill>
                </w14:textFill>
              </w:rPr>
              <w:t>，可有效提高区域生态环境自我修复能力。因此，本项目符合《全国重要生态系统保护和修复重大工程总体规划（2021-2035年）》中的相关要求。</w:t>
            </w:r>
          </w:p>
          <w:p w14:paraId="2BE8B7A5">
            <w:pPr>
              <w:pStyle w:val="2"/>
              <w:numPr>
                <w:ilvl w:val="0"/>
                <w:numId w:val="0"/>
              </w:numPr>
              <w:bidi w:val="0"/>
              <w:ind w:left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项目与</w:t>
            </w:r>
            <w:r>
              <w:rPr>
                <w:color w:val="000000" w:themeColor="text1"/>
                <w:highlight w:val="none"/>
                <w14:textFill>
                  <w14:solidFill>
                    <w14:schemeClr w14:val="tx1"/>
                  </w14:solidFill>
                </w14:textFill>
              </w:rPr>
              <w:t>《宁夏回族自治区矿产资源总体规划（2021-2025年）》</w:t>
            </w:r>
            <w:r>
              <w:rPr>
                <w:rFonts w:hint="eastAsia"/>
                <w:color w:val="000000" w:themeColor="text1"/>
                <w:highlight w:val="none"/>
                <w:lang w:eastAsia="zh-CN"/>
                <w14:textFill>
                  <w14:solidFill>
                    <w14:schemeClr w14:val="tx1"/>
                  </w14:solidFill>
                </w14:textFill>
              </w:rPr>
              <w:t>符合性分析</w:t>
            </w:r>
          </w:p>
          <w:p w14:paraId="5093F57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color w:val="000000" w:themeColor="text1"/>
                <w:highlight w:val="none"/>
                <w14:textFill>
                  <w14:solidFill>
                    <w14:schemeClr w14:val="tx1"/>
                  </w14:solidFill>
                </w14:textFill>
              </w:rPr>
              <w:t>《宁夏回族自治区矿产资源总体规划（2021-2025年）》</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六、全面推进矿业绿色发展</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三）强化生态保护修复加快推进历史遗留废弃矿山生态修复。通过政府引导，按照市场运作模式，建立多元化矿山生态修复资金投入和补偿机制，加大历史遗留废弃矿山生态修复力度。坚持“边开采、边治理”，督促采矿权人采取消除地质灾害隐患、土地复垦、恢复植被等措施，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67923AB8">
            <w:pPr>
              <w:keepNext w:val="0"/>
              <w:keepLines w:val="0"/>
              <w:suppressLineNumbers w:val="0"/>
              <w:spacing w:before="0" w:beforeAutospacing="0" w:after="0" w:afterAutospacing="0"/>
              <w:ind w:left="0" w:right="0" w:firstLine="454" w:firstLineChars="20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本项目主要对中卫市宣和镇天景山天主峰灰石矿进行生态修复治理</w:t>
            </w:r>
            <w:r>
              <w:rPr>
                <w:rFonts w:hint="default" w:cs="Times New Roman"/>
                <w:color w:val="000000" w:themeColor="text1"/>
                <w:sz w:val="24"/>
                <w:highlight w:val="none"/>
                <w14:textFill>
                  <w14:solidFill>
                    <w14:schemeClr w14:val="tx1"/>
                  </w14:solidFill>
                </w14:textFill>
              </w:rPr>
              <w:t>，总治理面积为</w:t>
            </w:r>
            <w:r>
              <w:rPr>
                <w:rFonts w:hint="eastAsia" w:cs="Times New Roman"/>
                <w:color w:val="000000" w:themeColor="text1"/>
                <w:kern w:val="0"/>
                <w:sz w:val="24"/>
                <w:highlight w:val="none"/>
                <w:lang w:val="en-US" w:eastAsia="zh-CN"/>
                <w14:textFill>
                  <w14:solidFill>
                    <w14:schemeClr w14:val="tx1"/>
                  </w14:solidFill>
                </w14:textFill>
              </w:rPr>
              <w:t>34.44</w:t>
            </w:r>
            <w:r>
              <w:rPr>
                <w:rFonts w:hint="default" w:cs="Times New Roman"/>
                <w:color w:val="000000" w:themeColor="text1"/>
                <w:sz w:val="24"/>
                <w:highlight w:val="none"/>
                <w14:textFill>
                  <w14:solidFill>
                    <w14:schemeClr w14:val="tx1"/>
                  </w14:solidFill>
                </w14:textFill>
              </w:rPr>
              <w:t>hm</w:t>
            </w:r>
            <w:r>
              <w:rPr>
                <w:rFonts w:hint="default" w:cs="Times New Roman"/>
                <w:color w:val="000000" w:themeColor="text1"/>
                <w:sz w:val="24"/>
                <w:highlight w:val="none"/>
                <w:vertAlign w:val="superscript"/>
                <w14:textFill>
                  <w14:solidFill>
                    <w14:schemeClr w14:val="tx1"/>
                  </w14:solidFill>
                </w14:textFill>
              </w:rPr>
              <w:t>2</w:t>
            </w:r>
            <w:r>
              <w:rPr>
                <w:rFonts w:hint="default"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项目实施地形地貌恢复工程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截排水工程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生态恢复工程</w:t>
            </w:r>
            <w:r>
              <w:rPr>
                <w:rFonts w:hint="eastAsia" w:cs="Times New Roman"/>
                <w:color w:val="000000" w:themeColor="text1"/>
                <w:sz w:val="24"/>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切实履行矿山生态修复责任</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符合</w:t>
            </w:r>
            <w:r>
              <w:rPr>
                <w:color w:val="000000" w:themeColor="text1"/>
                <w:highlight w:val="none"/>
                <w14:textFill>
                  <w14:solidFill>
                    <w14:schemeClr w14:val="tx1"/>
                  </w14:solidFill>
                </w14:textFill>
              </w:rPr>
              <w:t>《宁夏回族自治区矿产资源总体规划（2021-2025年）》</w:t>
            </w:r>
            <w:r>
              <w:rPr>
                <w:rFonts w:hint="eastAsia"/>
                <w:color w:val="000000" w:themeColor="text1"/>
                <w:highlight w:val="none"/>
                <w:lang w:val="en-US" w:eastAsia="zh-CN"/>
                <w14:textFill>
                  <w14:solidFill>
                    <w14:schemeClr w14:val="tx1"/>
                  </w14:solidFill>
                </w14:textFill>
              </w:rPr>
              <w:t>要求。</w:t>
            </w:r>
          </w:p>
          <w:p w14:paraId="6E48F339">
            <w:pPr>
              <w:pStyle w:val="2"/>
              <w:numPr>
                <w:ilvl w:val="0"/>
                <w:numId w:val="0"/>
              </w:numPr>
              <w:bidi w:val="0"/>
              <w:ind w:left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项目与《宁夏回族自治区矿产资源总体规划（2021-2025年）环境影响报告书》</w:t>
            </w:r>
            <w:r>
              <w:rPr>
                <w:rFonts w:hint="eastAsia"/>
                <w:color w:val="000000" w:themeColor="text1"/>
                <w:highlight w:val="none"/>
                <w:lang w:val="en-US" w:eastAsia="zh-CN"/>
                <w14:textFill>
                  <w14:solidFill>
                    <w14:schemeClr w14:val="tx1"/>
                  </w14:solidFill>
                </w14:textFill>
              </w:rPr>
              <w:t>及其审查意见</w:t>
            </w:r>
            <w:r>
              <w:rPr>
                <w:rFonts w:hint="eastAsia"/>
                <w:color w:val="000000" w:themeColor="text1"/>
                <w:highlight w:val="none"/>
                <w:lang w:eastAsia="zh-CN"/>
                <w14:textFill>
                  <w14:solidFill>
                    <w14:schemeClr w14:val="tx1"/>
                  </w14:solidFill>
                </w14:textFill>
              </w:rPr>
              <w:t>符合性分析</w:t>
            </w:r>
          </w:p>
          <w:p w14:paraId="0CE879E5">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项目与《宁夏回族自治区矿产资源总体规划（</w:t>
            </w:r>
            <w:r>
              <w:rPr>
                <w:rFonts w:hint="default"/>
                <w:color w:val="000000" w:themeColor="text1"/>
                <w:highlight w:val="none"/>
                <w:lang w:val="en-US" w:eastAsia="zh-CN"/>
                <w14:textFill>
                  <w14:solidFill>
                    <w14:schemeClr w14:val="tx1"/>
                  </w14:solidFill>
                </w14:textFill>
              </w:rPr>
              <w:t xml:space="preserve">2021-2025 </w:t>
            </w:r>
            <w:r>
              <w:rPr>
                <w:rFonts w:hint="eastAsia"/>
                <w:color w:val="000000" w:themeColor="text1"/>
                <w:highlight w:val="none"/>
                <w:lang w:val="en-US" w:eastAsia="zh-CN"/>
                <w14:textFill>
                  <w14:solidFill>
                    <w14:schemeClr w14:val="tx1"/>
                  </w14:solidFill>
                </w14:textFill>
              </w:rPr>
              <w:t>年）环境影响报告书》及其审查意见符合性分析见表1-1。</w:t>
            </w:r>
          </w:p>
          <w:p w14:paraId="2CB226BE">
            <w:pPr>
              <w:pStyle w:val="3"/>
              <w:bidi w:val="0"/>
              <w:rPr>
                <w:rFonts w:hint="default" w:cs="Times New Roman"/>
                <w:color w:val="000000" w:themeColor="text1"/>
                <w:sz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表1-1  项目与宁夏矿产资源规划环评及其审查意见符合性分析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4660"/>
              <w:gridCol w:w="1949"/>
              <w:gridCol w:w="819"/>
            </w:tblGrid>
            <w:tr w14:paraId="3FD1B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01F7BA32">
                  <w:pPr>
                    <w:pStyle w:val="38"/>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4660" w:type="dxa"/>
                  <w:tcBorders>
                    <w:tl2br w:val="nil"/>
                    <w:tr2bl w:val="nil"/>
                  </w:tcBorders>
                  <w:vAlign w:val="center"/>
                </w:tcPr>
                <w:p w14:paraId="7F76EBCB">
                  <w:pPr>
                    <w:pStyle w:val="38"/>
                    <w:bidi w:val="0"/>
                    <w:rPr>
                      <w:rFonts w:hint="eastAsia"/>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相关要求</w:t>
                  </w:r>
                </w:p>
              </w:tc>
              <w:tc>
                <w:tcPr>
                  <w:tcW w:w="1949" w:type="dxa"/>
                  <w:tcBorders>
                    <w:tl2br w:val="nil"/>
                    <w:tr2bl w:val="nil"/>
                  </w:tcBorders>
                  <w:vAlign w:val="center"/>
                </w:tcPr>
                <w:p w14:paraId="6665EEE0">
                  <w:pPr>
                    <w:pStyle w:val="38"/>
                    <w:bidi w:val="0"/>
                    <w:rPr>
                      <w:rFonts w:hint="eastAsia"/>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本项目情况</w:t>
                  </w:r>
                </w:p>
              </w:tc>
              <w:tc>
                <w:tcPr>
                  <w:tcW w:w="819" w:type="dxa"/>
                  <w:tcBorders>
                    <w:tl2br w:val="nil"/>
                    <w:tr2bl w:val="nil"/>
                  </w:tcBorders>
                  <w:vAlign w:val="center"/>
                </w:tcPr>
                <w:p w14:paraId="198A7136">
                  <w:pPr>
                    <w:pStyle w:val="38"/>
                    <w:bidi w:val="0"/>
                    <w:rPr>
                      <w:rFonts w:hint="eastAsia"/>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符合性</w:t>
                  </w:r>
                </w:p>
              </w:tc>
            </w:tr>
            <w:tr w14:paraId="2829A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7" w:type="dxa"/>
                  <w:gridSpan w:val="4"/>
                  <w:tcBorders>
                    <w:tl2br w:val="nil"/>
                    <w:tr2bl w:val="nil"/>
                  </w:tcBorders>
                  <w:vAlign w:val="center"/>
                </w:tcPr>
                <w:p w14:paraId="19B1EBFF">
                  <w:pPr>
                    <w:pStyle w:val="38"/>
                    <w:bidi w:val="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《宁夏回族自治区矿产资源总体规划（2021-2025年）环境影响报告书》</w:t>
                  </w:r>
                </w:p>
              </w:tc>
            </w:tr>
            <w:tr w14:paraId="2914A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1C17F31">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7428" w:type="dxa"/>
                  <w:gridSpan w:val="3"/>
                  <w:tcBorders>
                    <w:tl2br w:val="nil"/>
                    <w:tr2bl w:val="nil"/>
                  </w:tcBorders>
                  <w:vAlign w:val="center"/>
                </w:tcPr>
                <w:p w14:paraId="70FBD23D">
                  <w:pPr>
                    <w:pStyle w:val="38"/>
                    <w:bidi w:val="0"/>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规划内容/三、矿业绿色发展</w:t>
                  </w:r>
                </w:p>
              </w:tc>
            </w:tr>
            <w:tr w14:paraId="0EC46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365134BD">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p>
              </w:tc>
              <w:tc>
                <w:tcPr>
                  <w:tcW w:w="4660" w:type="dxa"/>
                  <w:tcBorders>
                    <w:tl2br w:val="nil"/>
                    <w:tr2bl w:val="nil"/>
                  </w:tcBorders>
                  <w:vAlign w:val="center"/>
                </w:tcPr>
                <w:p w14:paraId="08955FBC">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全面深入落实绿色勘查、绿色矿山建设、矿区生态保护修复各项政策，加快构建全区矿业绿色发展新格局。将绿色发展理念贯穿于矿产资源勘查、开发利用与保护全过程，体现源头管控、过程控制和末端治理。建立绿色矿业发展的工作体系、政策体系、监管体系和利益共享体系，健全绿色矿业发展长效机制，加强矿山环境保护法治宣传，增强绿色发展意识</w:t>
                  </w:r>
                </w:p>
              </w:tc>
              <w:tc>
                <w:tcPr>
                  <w:tcW w:w="1949" w:type="dxa"/>
                  <w:tcBorders>
                    <w:tl2br w:val="nil"/>
                    <w:tr2bl w:val="nil"/>
                  </w:tcBorders>
                  <w:vAlign w:val="center"/>
                </w:tcPr>
                <w:p w14:paraId="7F2AC05A">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通过实施地形地貌恢复工程、截排水工程、生态恢复工程</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5A85D243">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58E9D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0C5460D8">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p>
              </w:tc>
              <w:tc>
                <w:tcPr>
                  <w:tcW w:w="4660" w:type="dxa"/>
                  <w:tcBorders>
                    <w:tl2br w:val="nil"/>
                    <w:tr2bl w:val="nil"/>
                  </w:tcBorders>
                  <w:vAlign w:val="center"/>
                </w:tcPr>
                <w:p w14:paraId="643CDF24">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1.生态保护红线</w:t>
                  </w:r>
                </w:p>
                <w:p w14:paraId="4A209F12">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关于在国土空间规划中统筹划定落实三条控制线的指导意见》的要求，生态保护红线内，自然保护地核心保护区原则上禁止人为活动，其他区域严格禁止开发性、生产性建设活动，在符合现行法律法规前提下，除国家重大战略项目外，仅允许对生态功能不造成破坏的有限人为活动。生态保护红线原则上按禁止开发区域的要求进行管理，严禁不符合主体功能定位的各类开发活动，严禁任意改变用途，确保区域生态保护红线的生态功能不降低、面积不减少、性质不改变，维护国家生态安全。</w:t>
                  </w:r>
                </w:p>
                <w:p w14:paraId="21D0C1EB">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认真贯彻落实《中办国办关于划定并严守生态保护红线的若干意见》，严守生态保护红线，依法遵守环境敏感区规定，加强规划空间管制，合法开展矿产资源勘查和开发利用与保护。加强矿山地质环境恢复治理，促进矿业绿色发展。重点推进贺兰山矿山地质环境恢复治理依法退出生态空间内损害生态功能的产业和采矿等工业项目</w:t>
                  </w:r>
                </w:p>
              </w:tc>
              <w:tc>
                <w:tcPr>
                  <w:tcW w:w="1949" w:type="dxa"/>
                  <w:tcBorders>
                    <w:tl2br w:val="nil"/>
                    <w:tr2bl w:val="nil"/>
                  </w:tcBorders>
                  <w:vAlign w:val="center"/>
                </w:tcPr>
                <w:p w14:paraId="1FB02FAF">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本项目不涉及</w:t>
                  </w:r>
                  <w:r>
                    <w:rPr>
                      <w:color w:val="000000" w:themeColor="text1"/>
                      <w:highlight w:val="none"/>
                      <w14:textFill>
                        <w14:solidFill>
                          <w14:schemeClr w14:val="tx1"/>
                        </w14:solidFill>
                      </w14:textFill>
                    </w:rPr>
                    <w:t>生态保护红线</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1C5E6B58">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25B32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089A9C89">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p>
              </w:tc>
              <w:tc>
                <w:tcPr>
                  <w:tcW w:w="4660" w:type="dxa"/>
                  <w:tcBorders>
                    <w:tl2br w:val="nil"/>
                    <w:tr2bl w:val="nil"/>
                  </w:tcBorders>
                  <w:vAlign w:val="center"/>
                </w:tcPr>
                <w:p w14:paraId="40C77FD4">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2.环境质量底线</w:t>
                  </w:r>
                </w:p>
                <w:p w14:paraId="5C437C84">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规划实施应以改善环境质量为核心，严守空气、地表水、地下水、声和土壤等环境质量底线，落实评价提出的规划环境质量底线管控要求，提高废水和固体废弃物综合利用水平，最大化实现废弃物的资源化利用。矿产开发企业应当对产生的全部高盐废水、矿井废水进行处理，达到国家或者宁夏规定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w:t>
                  </w:r>
                </w:p>
              </w:tc>
              <w:tc>
                <w:tcPr>
                  <w:tcW w:w="1949" w:type="dxa"/>
                  <w:tcBorders>
                    <w:tl2br w:val="nil"/>
                    <w:tr2bl w:val="nil"/>
                  </w:tcBorders>
                  <w:vAlign w:val="center"/>
                </w:tcPr>
                <w:p w14:paraId="7D0DA5FE">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天景山天主峰灰石</w:t>
                  </w:r>
                  <w:r>
                    <w:rPr>
                      <w:rFonts w:hint="eastAsia"/>
                      <w:color w:val="000000" w:themeColor="text1"/>
                      <w:highlight w:val="none"/>
                      <w14:textFill>
                        <w14:solidFill>
                          <w14:schemeClr w14:val="tx1"/>
                        </w14:solidFill>
                      </w14:textFill>
                    </w:rPr>
                    <w:t>矿山进行生态修复治理</w:t>
                  </w:r>
                  <w:r>
                    <w:rPr>
                      <w:rFonts w:hint="eastAsia"/>
                      <w:color w:val="000000" w:themeColor="text1"/>
                      <w:highlight w:val="none"/>
                      <w:lang w:val="en-US" w:eastAsia="zh-CN"/>
                      <w14:textFill>
                        <w14:solidFill>
                          <w14:schemeClr w14:val="tx1"/>
                        </w14:solidFill>
                      </w14:textFill>
                    </w:rPr>
                    <w:t>；项目运营期无废气、废水、噪声及固体废弃物等的产生，本项目的实施相对于项目实施前更有利于周边的生态和水环境恢复，不会对区域空气、地表水、地下水、声和土壤等环境质量产生影响。</w:t>
                  </w:r>
                </w:p>
              </w:tc>
              <w:tc>
                <w:tcPr>
                  <w:tcW w:w="819" w:type="dxa"/>
                  <w:tcBorders>
                    <w:tl2br w:val="nil"/>
                    <w:tr2bl w:val="nil"/>
                  </w:tcBorders>
                  <w:vAlign w:val="center"/>
                </w:tcPr>
                <w:p w14:paraId="4808F88C">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459FC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16DB634A">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p>
              </w:tc>
              <w:tc>
                <w:tcPr>
                  <w:tcW w:w="4660" w:type="dxa"/>
                  <w:tcBorders>
                    <w:tl2br w:val="nil"/>
                    <w:tr2bl w:val="nil"/>
                  </w:tcBorders>
                  <w:vAlign w:val="center"/>
                </w:tcPr>
                <w:p w14:paraId="46241216">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3.资源利用上线</w:t>
                  </w:r>
                </w:p>
                <w:p w14:paraId="05E88EB5">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采矿权区块实施必须严格执行规划要求，不得超越矿权范围从事采矿活动，不得突破区块矿产资源利用上线。认真贯彻落实《宁夏回族自治区水资源管理条例》《宁夏回族自治区关于实施最严格水资源管理制度的意见》，实行用水总量控制和定额管理，严格执行水资源开发利用控制红线，严格取水制度，加强污废水无害化处理和资源化再利用，建设节水型社会。严格控制建设用地总量，优先保障重点开发区域土地供给，适度控制限制开发区域土地供给。推进节能降耗，严格能耗准入门槛。坚持节约优先，严控资源利用上线，降低资源消耗强度，建设资源节约型社会</w:t>
                  </w:r>
                </w:p>
              </w:tc>
              <w:tc>
                <w:tcPr>
                  <w:tcW w:w="1949" w:type="dxa"/>
                  <w:tcBorders>
                    <w:tl2br w:val="nil"/>
                    <w:tr2bl w:val="nil"/>
                  </w:tcBorders>
                  <w:vAlign w:val="center"/>
                </w:tcPr>
                <w:p w14:paraId="21646502">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天景山天主峰灰石</w:t>
                  </w:r>
                  <w:r>
                    <w:rPr>
                      <w:rFonts w:hint="eastAsia"/>
                      <w:color w:val="000000" w:themeColor="text1"/>
                      <w:highlight w:val="none"/>
                      <w14:textFill>
                        <w14:solidFill>
                          <w14:schemeClr w14:val="tx1"/>
                        </w14:solidFill>
                      </w14:textFill>
                    </w:rPr>
                    <w:t>矿山进行生态修复治理</w:t>
                  </w:r>
                  <w:r>
                    <w:rPr>
                      <w:rFonts w:hint="eastAsia"/>
                      <w:color w:val="000000" w:themeColor="text1"/>
                      <w:highlight w:val="none"/>
                      <w:lang w:val="en-US" w:eastAsia="zh-CN"/>
                      <w14:textFill>
                        <w14:solidFill>
                          <w14:schemeClr w14:val="tx1"/>
                        </w14:solidFill>
                      </w14:textFill>
                    </w:rPr>
                    <w:t>；项目不从事采矿活动，项目运营期不产生污废水，项目不涉及永久占地，运营期用水为养护用水，不会突破水资源利用上线。</w:t>
                  </w:r>
                </w:p>
              </w:tc>
              <w:tc>
                <w:tcPr>
                  <w:tcW w:w="819" w:type="dxa"/>
                  <w:tcBorders>
                    <w:tl2br w:val="nil"/>
                    <w:tr2bl w:val="nil"/>
                  </w:tcBorders>
                  <w:vAlign w:val="center"/>
                </w:tcPr>
                <w:p w14:paraId="136F44BA">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72D53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41E6AEB6">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p>
              </w:tc>
              <w:tc>
                <w:tcPr>
                  <w:tcW w:w="4660" w:type="dxa"/>
                  <w:tcBorders>
                    <w:tl2br w:val="nil"/>
                    <w:tr2bl w:val="nil"/>
                  </w:tcBorders>
                  <w:vAlign w:val="center"/>
                </w:tcPr>
                <w:p w14:paraId="55C82E4B">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4.生态环境准入清单</w:t>
                  </w:r>
                </w:p>
                <w:p w14:paraId="3C301EC4">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规划》应加强空间管控，严格执行《关于划定并严守生态保护红线的若干意见》《矿山生态环境保护与恢复治理技术规范（试行）》（HJ651-2013）《风景名胜区条例》《国家级森林公园管理办法》《森林公园管理办法》《基本农田保护条例》《饮用水水源保护区污染防治管理规定》等法律法规有关矿产资源勘查开发的准入要求。严格矿产资源开采项目准入，推进矿产资源开发利用布局与结构优化调整，落实《关于加快建设绿色矿山的实施意见》（国土资规</w:t>
                  </w:r>
                  <w:r>
                    <w:rPr>
                      <w:rFonts w:hint="eastAsia"/>
                      <w:color w:val="000000" w:themeColor="text1"/>
                      <w:highlight w:val="none"/>
                      <w:lang w:eastAsia="zh-CN"/>
                      <w14:textFill>
                        <w14:solidFill>
                          <w14:schemeClr w14:val="tx1"/>
                        </w14:solidFill>
                      </w14:textFill>
                    </w:rPr>
                    <w:t>〔2017〕4号</w:t>
                  </w:r>
                  <w:r>
                    <w:rPr>
                      <w:color w:val="000000" w:themeColor="text1"/>
                      <w:highlight w:val="none"/>
                      <w14:textFill>
                        <w14:solidFill>
                          <w14:schemeClr w14:val="tx1"/>
                        </w14:solidFill>
                      </w14:textFill>
                    </w:rPr>
                    <w:t>）等相关规定和要求，推动矿业绿色发展，实现资源开发利用与环境保护相协调的绿色发展格局。根据生态保护红线、环境质量底线、资源利用上线的管控要求，从空间布局约束、污染物排放管控、环境风险防控等方面，针对《规划》提出了优化布局、调整结构、控制规模等调控策略及导向性的环境治理要求，分类明确了禁止和限制的环境准入要求。</w:t>
                  </w:r>
                </w:p>
              </w:tc>
              <w:tc>
                <w:tcPr>
                  <w:tcW w:w="1949" w:type="dxa"/>
                  <w:tcBorders>
                    <w:tl2br w:val="nil"/>
                    <w:tr2bl w:val="nil"/>
                  </w:tcBorders>
                  <w:vAlign w:val="center"/>
                </w:tcPr>
                <w:p w14:paraId="6D19116E">
                  <w:pPr>
                    <w:pStyle w:val="38"/>
                    <w:bidi w:val="0"/>
                    <w:ind w:firstLine="394" w:firstLineChars="20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天景山天主峰灰石</w:t>
                  </w:r>
                  <w:r>
                    <w:rPr>
                      <w:rFonts w:hint="eastAsia"/>
                      <w:color w:val="000000" w:themeColor="text1"/>
                      <w:highlight w:val="none"/>
                      <w14:textFill>
                        <w14:solidFill>
                          <w14:schemeClr w14:val="tx1"/>
                        </w14:solidFill>
                      </w14:textFill>
                    </w:rPr>
                    <w:t>矿山进行生态修复治理</w:t>
                  </w:r>
                  <w:r>
                    <w:rPr>
                      <w:rFonts w:hint="eastAsia"/>
                      <w:color w:val="000000" w:themeColor="text1"/>
                      <w:highlight w:val="none"/>
                      <w:lang w:val="en-US" w:eastAsia="zh-CN"/>
                      <w14:textFill>
                        <w14:solidFill>
                          <w14:schemeClr w14:val="tx1"/>
                        </w14:solidFill>
                      </w14:textFill>
                    </w:rPr>
                    <w:t>；项目运营期无废气、废水、噪声及固体废弃物等的产生，项目的实施相对于项目实施前更有利于周边的生态和水环境恢复；项目建设符合规划中生态保护红线、环境质量底线、资源利用上线的管控要求，从空间布局约束、污染物排放管控、环境风险防控等方面要求。</w:t>
                  </w:r>
                </w:p>
              </w:tc>
              <w:tc>
                <w:tcPr>
                  <w:tcW w:w="819" w:type="dxa"/>
                  <w:tcBorders>
                    <w:tl2br w:val="nil"/>
                    <w:tr2bl w:val="nil"/>
                  </w:tcBorders>
                  <w:vAlign w:val="center"/>
                </w:tcPr>
                <w:p w14:paraId="2F8258C4">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24B68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4AC631D6">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7428" w:type="dxa"/>
                  <w:gridSpan w:val="3"/>
                  <w:tcBorders>
                    <w:tl2br w:val="nil"/>
                    <w:tr2bl w:val="nil"/>
                  </w:tcBorders>
                  <w:vAlign w:val="center"/>
                </w:tcPr>
                <w:p w14:paraId="15B809E3">
                  <w:pPr>
                    <w:pStyle w:val="38"/>
                    <w:bidi w:val="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《关于&lt;宁夏回族自治区矿产资源总体规划（2021-2025年）环境影响报告书&gt;的审查意见》（环审〔2022〕91号）</w:t>
                  </w:r>
                </w:p>
              </w:tc>
            </w:tr>
            <w:tr w14:paraId="58870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B19ADB8">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p>
              </w:tc>
              <w:tc>
                <w:tcPr>
                  <w:tcW w:w="4660" w:type="dxa"/>
                  <w:tcBorders>
                    <w:tl2br w:val="nil"/>
                    <w:tr2bl w:val="nil"/>
                  </w:tcBorders>
                  <w:vAlign w:val="center"/>
                </w:tcPr>
                <w:p w14:paraId="7A73A134">
                  <w:pPr>
                    <w:pStyle w:val="38"/>
                    <w:bidi w:val="0"/>
                    <w:ind w:firstLine="394" w:firstLineChars="20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一）坚持生态优先、绿色发展。坚持以习近平生态文明思想为指导，严格落实《黄河流域生态保护和高质量发展规划纲要》和维护西北生态安全的总体要求，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w:t>
                  </w:r>
                  <w:r>
                    <w:rPr>
                      <w:rFonts w:hint="eastAsia"/>
                      <w:color w:val="000000" w:themeColor="text1"/>
                      <w:highlight w:val="none"/>
                      <w:lang w:eastAsia="zh-CN"/>
                      <w14:textFill>
                        <w14:solidFill>
                          <w14:schemeClr w14:val="tx1"/>
                        </w14:solidFill>
                      </w14:textFill>
                    </w:rPr>
                    <w:t>。</w:t>
                  </w:r>
                </w:p>
                <w:p w14:paraId="70F49698">
                  <w:pPr>
                    <w:pStyle w:val="38"/>
                    <w:bidi w:val="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规划》应严格执行国家矿产资源合理开发利用“三率”（即开采回采率、选矿回收率、综合利用率）水平标准，确保原煤入选率达到80%以上，综合利用率达到90%以上，全区矿山整体“三率”水平达标率85%以上。合理确定布局、规模、结构和开发时序，采取严格的生态保护和修复措施，确保优化后的《规划》符合绿色发展要求，推动生态环境保护与矿产资源开发目标同步实现</w:t>
                  </w:r>
                  <w:r>
                    <w:rPr>
                      <w:rFonts w:hint="eastAsia"/>
                      <w:color w:val="000000" w:themeColor="text1"/>
                      <w:highlight w:val="none"/>
                      <w:lang w:eastAsia="zh-CN"/>
                      <w14:textFill>
                        <w14:solidFill>
                          <w14:schemeClr w14:val="tx1"/>
                        </w14:solidFill>
                      </w14:textFill>
                    </w:rPr>
                    <w:t>。</w:t>
                  </w:r>
                </w:p>
              </w:tc>
              <w:tc>
                <w:tcPr>
                  <w:tcW w:w="1949" w:type="dxa"/>
                  <w:tcBorders>
                    <w:tl2br w:val="nil"/>
                    <w:tr2bl w:val="nil"/>
                  </w:tcBorders>
                  <w:vAlign w:val="center"/>
                </w:tcPr>
                <w:p w14:paraId="27D8FDC3">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val="en-US" w:eastAsia="zh-CN"/>
                      <w14:textFill>
                        <w14:solidFill>
                          <w14:schemeClr w14:val="tx1"/>
                        </w14:solidFill>
                      </w14:textFill>
                    </w:rPr>
                    <w:t>，不涉及</w:t>
                  </w:r>
                  <w:r>
                    <w:rPr>
                      <w:color w:val="000000" w:themeColor="text1"/>
                      <w:highlight w:val="none"/>
                      <w14:textFill>
                        <w14:solidFill>
                          <w14:schemeClr w14:val="tx1"/>
                        </w14:solidFill>
                      </w14:textFill>
                    </w:rPr>
                    <w:t>矿产资源开发</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w:t>
                  </w:r>
                  <w:r>
                    <w:rPr>
                      <w:color w:val="000000" w:themeColor="text1"/>
                      <w:highlight w:val="none"/>
                      <w14:textFill>
                        <w14:solidFill>
                          <w14:schemeClr w14:val="tx1"/>
                        </w14:solidFill>
                      </w14:textFill>
                    </w:rPr>
                    <w:t>禁止开发的区域</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w:t>
                  </w:r>
                  <w:r>
                    <w:rPr>
                      <w:color w:val="000000" w:themeColor="text1"/>
                      <w:highlight w:val="none"/>
                      <w14:textFill>
                        <w14:solidFill>
                          <w14:schemeClr w14:val="tx1"/>
                        </w14:solidFill>
                      </w14:textFill>
                    </w:rPr>
                    <w:t>生态环境敏感区域</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1436EF30">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57A08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5B638AF1">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p>
              </w:tc>
              <w:tc>
                <w:tcPr>
                  <w:tcW w:w="4660" w:type="dxa"/>
                  <w:tcBorders>
                    <w:tl2br w:val="nil"/>
                    <w:tr2bl w:val="nil"/>
                  </w:tcBorders>
                  <w:vAlign w:val="center"/>
                </w:tcPr>
                <w:p w14:paraId="27C1E2E9">
                  <w:pPr>
                    <w:pStyle w:val="38"/>
                    <w:bidi w:val="0"/>
                    <w:ind w:firstLine="394" w:firstLineChars="20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二）严格保护生态空间，优化《规划》空间布局。将生态保护红线作为保障和维护区域生态安全的底线，应进一步优化矿业权设置和空间布局，依法依规对生态空间实施严格保护。与生态保护红线存在空间冲突的能源资源基地NY001，国家规划矿区GK001~GK004、GK006、GK008，重点勘査区KZ002、KZ004~KZ006，重点开采区CZ001~CZ004、CZ006，勘查规划区块KO005、KO007、KO027和开采规划区块CO012、CO051、CO056等，应进一步优化布局，确保满足生态保护红线相关管控要求。与永久基本农田存在空间冲突的非战略性矿产资源勘查规划区块KQ015、KO021~KQ025，KQ029~KQ033和开采规划区块C0034~C0039、C0047、C0056等，应进一步优化规划布局，确保满足永久基本农田相关管控要求。与饮用水水源保护区存在空间冲突的勘查规划区块KO014、KQ029和开采规划区块CQ027等区块，应进一步优化规划布局，强化生态环境保护措施，确保满足饮用水水源保护区相关管控要求</w:t>
                  </w:r>
                  <w:r>
                    <w:rPr>
                      <w:rFonts w:hint="eastAsia"/>
                      <w:color w:val="000000" w:themeColor="text1"/>
                      <w:highlight w:val="none"/>
                      <w:lang w:eastAsia="zh-CN"/>
                      <w14:textFill>
                        <w14:solidFill>
                          <w14:schemeClr w14:val="tx1"/>
                        </w14:solidFill>
                      </w14:textFill>
                    </w:rPr>
                    <w:t>。</w:t>
                  </w:r>
                </w:p>
              </w:tc>
              <w:tc>
                <w:tcPr>
                  <w:tcW w:w="1949" w:type="dxa"/>
                  <w:tcBorders>
                    <w:tl2br w:val="nil"/>
                    <w:tr2bl w:val="nil"/>
                  </w:tcBorders>
                  <w:vAlign w:val="center"/>
                </w:tcPr>
                <w:p w14:paraId="135C4500">
                  <w:pPr>
                    <w:pStyle w:val="38"/>
                    <w:bidi w:val="0"/>
                    <w:ind w:firstLine="394" w:firstLineChars="200"/>
                    <w:jc w:val="lef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不涉及生态保护红线。</w:t>
                  </w:r>
                </w:p>
              </w:tc>
              <w:tc>
                <w:tcPr>
                  <w:tcW w:w="819" w:type="dxa"/>
                  <w:tcBorders>
                    <w:tl2br w:val="nil"/>
                    <w:tr2bl w:val="nil"/>
                  </w:tcBorders>
                  <w:vAlign w:val="center"/>
                </w:tcPr>
                <w:p w14:paraId="1591DCD2">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70D0E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F9DB458">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p>
              </w:tc>
              <w:tc>
                <w:tcPr>
                  <w:tcW w:w="4660" w:type="dxa"/>
                  <w:tcBorders>
                    <w:tl2br w:val="nil"/>
                    <w:tr2bl w:val="nil"/>
                  </w:tcBorders>
                  <w:vAlign w:val="center"/>
                </w:tcPr>
                <w:p w14:paraId="7DBFDD08">
                  <w:pPr>
                    <w:pStyle w:val="38"/>
                    <w:bidi w:val="0"/>
                    <w:ind w:firstLine="394"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严格产业准入，合理控制矿山开采种类和规模。严格落实《规划》目标和准入要求，矿山总数控制在260个左右，大中型矿山比例达到85~90%，重点矿种矿山执行最低开采规模准入。加大低效产能压减、无效产能腾退力度，逐步关闭退出安全隐患突出、生态环境问题明显、违法违规问题多的“小弱散”矿山和未达到最低生产规模的矿山。原则上不再批准新建露天煤矿，新建井工煤矿、技改、资源整合煤矿最低开采规模不低于60万吨/年；坚持“先立后破”和保障能源安全要求，引导现有开采规模60万吨/年以下煤矿逐步稳妥退出。依法关闭严重破坏生态环境、严重浪费水资源、限期整改仍未达到环保和安全标准的矿山。严格尾矿库的新建和管理，确保符合相关要求</w:t>
                  </w:r>
                </w:p>
              </w:tc>
              <w:tc>
                <w:tcPr>
                  <w:tcW w:w="1949" w:type="dxa"/>
                  <w:tcBorders>
                    <w:tl2br w:val="nil"/>
                    <w:tr2bl w:val="nil"/>
                  </w:tcBorders>
                  <w:vAlign w:val="center"/>
                </w:tcPr>
                <w:p w14:paraId="12F6644C">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w:t>
                  </w:r>
                  <w:r>
                    <w:rPr>
                      <w:color w:val="000000" w:themeColor="text1"/>
                      <w:highlight w:val="none"/>
                      <w14:textFill>
                        <w14:solidFill>
                          <w14:schemeClr w14:val="tx1"/>
                        </w14:solidFill>
                      </w14:textFill>
                    </w:rPr>
                    <w:t>矿山开采</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0810D905">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676A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148D2CE2">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w:t>
                  </w:r>
                </w:p>
              </w:tc>
              <w:tc>
                <w:tcPr>
                  <w:tcW w:w="4660" w:type="dxa"/>
                  <w:tcBorders>
                    <w:tl2br w:val="nil"/>
                    <w:tr2bl w:val="nil"/>
                  </w:tcBorders>
                  <w:vAlign w:val="center"/>
                </w:tcPr>
                <w:p w14:paraId="54950736">
                  <w:pPr>
                    <w:pStyle w:val="38"/>
                    <w:bidi w:val="0"/>
                    <w:ind w:firstLine="394" w:firstLineChars="20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四）严格环境准入，保护区域生态功能。按照宁夏回族自治区生态环境分区管控方案、生态环境保护规划等要求，与一般生态空间存在冲突的24个勘查规划区块和40个开采规划区块，应按照一般生态空间管控要求，严格控制勘查、开采活动范围和强度，严格落实绿色勘查、绿色开采及矿山环境保护、生态修复相关要求，确保生态系统结构稳定和生态功能不退化。严格控制涉及生物多样性保护优先区域、国家重点生态功能区、水土流失重点防治区等具有重要生态功能的区域矿产开采活动，并采取严格有针对性的保护措施，防止对区域生态功能产生不良环境影响</w:t>
                  </w:r>
                  <w:r>
                    <w:rPr>
                      <w:rFonts w:hint="eastAsia"/>
                      <w:color w:val="000000" w:themeColor="text1"/>
                      <w:highlight w:val="none"/>
                      <w:lang w:eastAsia="zh-CN"/>
                      <w14:textFill>
                        <w14:solidFill>
                          <w14:schemeClr w14:val="tx1"/>
                        </w14:solidFill>
                      </w14:textFill>
                    </w:rPr>
                    <w:t>。</w:t>
                  </w:r>
                </w:p>
              </w:tc>
              <w:tc>
                <w:tcPr>
                  <w:tcW w:w="1949" w:type="dxa"/>
                  <w:tcBorders>
                    <w:tl2br w:val="nil"/>
                    <w:tr2bl w:val="nil"/>
                  </w:tcBorders>
                  <w:vAlign w:val="center"/>
                </w:tcPr>
                <w:p w14:paraId="6259F027">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w:t>
                  </w:r>
                  <w:r>
                    <w:rPr>
                      <w:color w:val="000000" w:themeColor="text1"/>
                      <w:highlight w:val="none"/>
                      <w14:textFill>
                        <w14:solidFill>
                          <w14:schemeClr w14:val="tx1"/>
                        </w14:solidFill>
                      </w14:textFill>
                    </w:rPr>
                    <w:t>矿山开采</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316699F1">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3EC19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446DE750">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w:t>
                  </w:r>
                </w:p>
              </w:tc>
              <w:tc>
                <w:tcPr>
                  <w:tcW w:w="4660" w:type="dxa"/>
                  <w:tcBorders>
                    <w:tl2br w:val="nil"/>
                    <w:tr2bl w:val="nil"/>
                  </w:tcBorders>
                  <w:vAlign w:val="center"/>
                </w:tcPr>
                <w:p w14:paraId="067FDAE2">
                  <w:pPr>
                    <w:pStyle w:val="38"/>
                    <w:bidi w:val="0"/>
                    <w:ind w:firstLine="394" w:firstLineChars="20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五）加强矿山生态修复和环境治理。结合区域生态环境质量改善目标和主要生态环境问题，分区域、分矿种确定矿山生态修复和环境治理总体要求，强化生态环境保护。严格落实《黄河流域宁夏段历史遗留废弃矿山生态修复治理实施方案（2020~2023年）》《贺兰山生态保护修复专项规划》《罗山生态保护修复专项规划》《六盘山生态保护修复专项规划》等相关要求，重视关闭矿山及历史遗留矿山的生态环境问题，明确污染治理、生态修复的任务、要求和时限</w:t>
                  </w:r>
                  <w:r>
                    <w:rPr>
                      <w:rFonts w:hint="eastAsia"/>
                      <w:color w:val="000000" w:themeColor="text1"/>
                      <w:highlight w:val="none"/>
                      <w:lang w:eastAsia="zh-CN"/>
                      <w14:textFill>
                        <w14:solidFill>
                          <w14:schemeClr w14:val="tx1"/>
                        </w14:solidFill>
                      </w14:textFill>
                    </w:rPr>
                    <w:t>。</w:t>
                  </w:r>
                </w:p>
              </w:tc>
              <w:tc>
                <w:tcPr>
                  <w:tcW w:w="1949" w:type="dxa"/>
                  <w:tcBorders>
                    <w:tl2br w:val="nil"/>
                    <w:tr2bl w:val="nil"/>
                  </w:tcBorders>
                  <w:vAlign w:val="center"/>
                </w:tcPr>
                <w:p w14:paraId="6EECF3E2">
                  <w:pPr>
                    <w:pStyle w:val="38"/>
                    <w:bidi w:val="0"/>
                    <w:ind w:firstLine="394" w:firstLineChars="200"/>
                    <w:jc w:val="left"/>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通过地形地貌恢复工程、截排水工程、生态恢复工程</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p>
              </w:tc>
              <w:tc>
                <w:tcPr>
                  <w:tcW w:w="819" w:type="dxa"/>
                  <w:tcBorders>
                    <w:tl2br w:val="nil"/>
                    <w:tr2bl w:val="nil"/>
                  </w:tcBorders>
                  <w:vAlign w:val="center"/>
                </w:tcPr>
                <w:p w14:paraId="65EA894E">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r w14:paraId="5E962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dxa"/>
                  <w:tcBorders>
                    <w:tl2br w:val="nil"/>
                    <w:tr2bl w:val="nil"/>
                  </w:tcBorders>
                  <w:vAlign w:val="center"/>
                </w:tcPr>
                <w:p w14:paraId="25F26420">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6 \* GB3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⑥</w:t>
                  </w:r>
                  <w:r>
                    <w:rPr>
                      <w:rFonts w:hint="eastAsia"/>
                      <w:color w:val="000000" w:themeColor="text1"/>
                      <w:highlight w:val="none"/>
                      <w:lang w:val="en-US" w:eastAsia="zh-CN"/>
                      <w14:textFill>
                        <w14:solidFill>
                          <w14:schemeClr w14:val="tx1"/>
                        </w14:solidFill>
                      </w14:textFill>
                    </w:rPr>
                    <w:fldChar w:fldCharType="end"/>
                  </w:r>
                </w:p>
              </w:tc>
              <w:tc>
                <w:tcPr>
                  <w:tcW w:w="4660" w:type="dxa"/>
                  <w:tcBorders>
                    <w:tl2br w:val="nil"/>
                    <w:tr2bl w:val="nil"/>
                  </w:tcBorders>
                  <w:vAlign w:val="center"/>
                </w:tcPr>
                <w:p w14:paraId="216AC7B8">
                  <w:pPr>
                    <w:pStyle w:val="38"/>
                    <w:bidi w:val="0"/>
                    <w:ind w:firstLine="394" w:firstLineChars="200"/>
                    <w:jc w:val="left"/>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六）加强生态环境保护监测和预警。结合生态保护、饮用水水源保护区及水环境功能区水质保护及改善要求、土壤污染防治目标等，推进重点矿区建立生态、地表水、地下水、土壤等环境要素的长期监测监控体系，在用尾矿库100%安装在线监测装置，明确责任主体、强化资金保障；组织开展主要矿种集中开采区域生态修复效果评估，并根据监测和评估结果增加或优化必要的保护措施。针对地表水环境及土壤环境累积影响、地下水环境质量下降、生态退化等情形，建立预警机制</w:t>
                  </w:r>
                  <w:r>
                    <w:rPr>
                      <w:rFonts w:hint="eastAsia"/>
                      <w:color w:val="000000" w:themeColor="text1"/>
                      <w:highlight w:val="none"/>
                      <w:lang w:eastAsia="zh-CN"/>
                      <w14:textFill>
                        <w14:solidFill>
                          <w14:schemeClr w14:val="tx1"/>
                        </w14:solidFill>
                      </w14:textFill>
                    </w:rPr>
                    <w:t>。</w:t>
                  </w:r>
                </w:p>
              </w:tc>
              <w:tc>
                <w:tcPr>
                  <w:tcW w:w="1949" w:type="dxa"/>
                  <w:tcBorders>
                    <w:tl2br w:val="nil"/>
                    <w:tr2bl w:val="nil"/>
                  </w:tcBorders>
                  <w:vAlign w:val="center"/>
                </w:tcPr>
                <w:p w14:paraId="56F0EA2B">
                  <w:pPr>
                    <w:pStyle w:val="38"/>
                    <w:bidi w:val="0"/>
                    <w:ind w:firstLine="394" w:firstLineChars="200"/>
                    <w:jc w:val="lef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通过地形地貌恢复工程、截排水工程、生态恢复工程等</w:t>
                  </w:r>
                  <w:r>
                    <w:rPr>
                      <w:rFonts w:hint="eastAsia"/>
                      <w:color w:val="000000" w:themeColor="text1"/>
                      <w:highlight w:val="none"/>
                      <w14:textFill>
                        <w14:solidFill>
                          <w14:schemeClr w14:val="tx1"/>
                        </w14:solidFill>
                      </w14:textFill>
                    </w:rPr>
                    <w:t>对矿山进行生态修复治理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不涉及矿山开采，不会对</w:t>
                  </w:r>
                  <w:r>
                    <w:rPr>
                      <w:color w:val="000000" w:themeColor="text1"/>
                      <w:highlight w:val="none"/>
                      <w14:textFill>
                        <w14:solidFill>
                          <w14:schemeClr w14:val="tx1"/>
                        </w14:solidFill>
                      </w14:textFill>
                    </w:rPr>
                    <w:t>地表水环境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土壤环境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地下水环境质量</w:t>
                  </w:r>
                  <w:r>
                    <w:rPr>
                      <w:rFonts w:hint="eastAsia"/>
                      <w:color w:val="000000" w:themeColor="text1"/>
                      <w:highlight w:val="none"/>
                      <w:lang w:val="en-US" w:eastAsia="zh-CN"/>
                      <w14:textFill>
                        <w14:solidFill>
                          <w14:schemeClr w14:val="tx1"/>
                        </w14:solidFill>
                      </w14:textFill>
                    </w:rPr>
                    <w:t>产生影响。</w:t>
                  </w:r>
                </w:p>
              </w:tc>
              <w:tc>
                <w:tcPr>
                  <w:tcW w:w="819" w:type="dxa"/>
                  <w:tcBorders>
                    <w:tl2br w:val="nil"/>
                    <w:tr2bl w:val="nil"/>
                  </w:tcBorders>
                  <w:vAlign w:val="center"/>
                </w:tcPr>
                <w:p w14:paraId="2979B5E6">
                  <w:pPr>
                    <w:pStyle w:val="38"/>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符合</w:t>
                  </w:r>
                </w:p>
              </w:tc>
            </w:tr>
          </w:tbl>
          <w:p w14:paraId="4F42F23C">
            <w:pPr>
              <w:bidi w:val="0"/>
              <w:rPr>
                <w:rFonts w:hint="default"/>
                <w:color w:val="000000" w:themeColor="text1"/>
                <w:highlight w:val="none"/>
                <w:lang w:val="en-US" w:eastAsia="zh-CN"/>
                <w14:textFill>
                  <w14:solidFill>
                    <w14:schemeClr w14:val="tx1"/>
                  </w14:solidFill>
                </w14:textFill>
              </w:rPr>
            </w:pPr>
          </w:p>
        </w:tc>
      </w:tr>
      <w:tr w14:paraId="56942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133" w:type="dxa"/>
            <w:noWrap w:val="0"/>
            <w:tcMar>
              <w:top w:w="16" w:type="dxa"/>
              <w:left w:w="16" w:type="dxa"/>
              <w:right w:w="16" w:type="dxa"/>
            </w:tcMar>
            <w:vAlign w:val="center"/>
          </w:tcPr>
          <w:p w14:paraId="7FE1865A">
            <w:pPr>
              <w:autoSpaceDE w:val="0"/>
              <w:autoSpaceDN w:val="0"/>
              <w:ind w:left="0" w:leftChars="0" w:firstLine="0" w:firstLineChars="0"/>
              <w:jc w:val="center"/>
              <w:rPr>
                <w:b/>
                <w:bCs/>
                <w:color w:val="000000" w:themeColor="text1"/>
                <w:kern w:val="0"/>
                <w:sz w:val="24"/>
                <w:highlight w:val="none"/>
                <w14:textFill>
                  <w14:solidFill>
                    <w14:schemeClr w14:val="tx1"/>
                  </w14:solidFill>
                </w14:textFill>
              </w:rPr>
            </w:pPr>
            <w:bookmarkStart w:id="2" w:name="_Hlk56690880"/>
            <w:r>
              <w:rPr>
                <w:b/>
                <w:bCs/>
                <w:color w:val="000000" w:themeColor="text1"/>
                <w:kern w:val="0"/>
                <w:sz w:val="24"/>
                <w:highlight w:val="none"/>
                <w14:textFill>
                  <w14:solidFill>
                    <w14:schemeClr w14:val="tx1"/>
                  </w14:solidFill>
                </w14:textFill>
              </w:rPr>
              <w:t>其他符合性分析</w:t>
            </w:r>
            <w:bookmarkEnd w:id="2"/>
          </w:p>
        </w:tc>
        <w:tc>
          <w:tcPr>
            <w:tcW w:w="8169" w:type="dxa"/>
            <w:gridSpan w:val="3"/>
            <w:noWrap w:val="0"/>
            <w:tcMar>
              <w:top w:w="16" w:type="dxa"/>
              <w:left w:w="16" w:type="dxa"/>
              <w:right w:w="16" w:type="dxa"/>
            </w:tcMar>
            <w:vAlign w:val="center"/>
          </w:tcPr>
          <w:p w14:paraId="1937D7A8">
            <w:pPr>
              <w:pStyle w:val="2"/>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产业政策符合性分析</w:t>
            </w:r>
          </w:p>
          <w:p w14:paraId="2098BF6F">
            <w:pPr>
              <w:keepNext w:val="0"/>
              <w:keepLines w:val="0"/>
              <w:widowControl/>
              <w:suppressLineNumbers w:val="0"/>
              <w:spacing w:before="0" w:beforeAutospacing="0" w:after="0" w:afterAutospacing="0"/>
              <w:ind w:left="0" w:right="0"/>
              <w:jc w:val="left"/>
              <w:rPr>
                <w:rFonts w:hint="eastAsia"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highlight w:val="none"/>
                <w14:textFill>
                  <w14:solidFill>
                    <w14:schemeClr w14:val="tx1"/>
                  </w14:solidFill>
                </w14:textFill>
              </w:rPr>
              <w:t>根据中华人民共和国国家发展和改革委员会第7号令《产业结构调整指导目录（</w:t>
            </w:r>
            <w:r>
              <w:rPr>
                <w:rFonts w:hint="default" w:ascii="Times New Roman" w:hAnsi="Times New Roman" w:cs="Times New Roman"/>
                <w:color w:val="000000" w:themeColor="text1"/>
                <w:kern w:val="0"/>
                <w:sz w:val="24"/>
                <w:highlight w:val="none"/>
                <w14:textFill>
                  <w14:solidFill>
                    <w14:schemeClr w14:val="tx1"/>
                  </w14:solidFill>
                </w14:textFill>
              </w:rPr>
              <w:t>20</w:t>
            </w:r>
            <w:r>
              <w:rPr>
                <w:rFonts w:hint="eastAsia" w:ascii="Times New Roman" w:hAnsi="Times New Roman" w:cs="Times New Roman"/>
                <w:color w:val="000000" w:themeColor="text1"/>
                <w:kern w:val="0"/>
                <w:sz w:val="24"/>
                <w:highlight w:val="none"/>
                <w14:textFill>
                  <w14:solidFill>
                    <w14:schemeClr w14:val="tx1"/>
                  </w14:solidFill>
                </w14:textFill>
              </w:rPr>
              <w:t>24年本）》</w:t>
            </w:r>
            <w:r>
              <w:rPr>
                <w:rFonts w:hint="default" w:cs="Times New Roman"/>
                <w:color w:val="000000" w:themeColor="text1"/>
                <w:sz w:val="24"/>
                <w:highlight w:val="none"/>
                <w14:textFill>
                  <w14:solidFill>
                    <w14:schemeClr w14:val="tx1"/>
                  </w14:solidFill>
                </w14:textFill>
              </w:rPr>
              <w:t>，本项目属于鼓励类：四十二、环境保护与资源节约综合利用—2、生态环境修复和资源利用：矿山生态环境恢复工程。</w:t>
            </w:r>
            <w:r>
              <w:rPr>
                <w:rFonts w:hint="eastAsia" w:cs="Times New Roman"/>
                <w:color w:val="000000" w:themeColor="text1"/>
                <w:sz w:val="24"/>
                <w:highlight w:val="none"/>
                <w:lang w:val="en-US" w:eastAsia="zh-CN"/>
                <w14:textFill>
                  <w14:solidFill>
                    <w14:schemeClr w14:val="tx1"/>
                  </w14:solidFill>
                </w14:textFill>
              </w:rPr>
              <w:t>且本项目已取得中卫市沙坡头区发展和改革局“关于中卫市宣和镇天景山天主峰灰石矿矿山生态修复治理项目初步设计的批复，批复文号为：</w:t>
            </w:r>
            <w:r>
              <w:rPr>
                <w:rFonts w:hint="eastAsia"/>
                <w:color w:val="000000" w:themeColor="text1"/>
                <w:sz w:val="24"/>
                <w:highlight w:val="none"/>
                <w14:textFill>
                  <w14:solidFill>
                    <w14:schemeClr w14:val="tx1"/>
                  </w14:solidFill>
                </w14:textFill>
              </w:rPr>
              <w:t>卫沙发改(审批)发〔202</w:t>
            </w:r>
            <w:r>
              <w:rPr>
                <w:rFonts w:hint="eastAsia"/>
                <w:color w:val="000000" w:themeColor="text1"/>
                <w:sz w:val="24"/>
                <w:highlight w:val="none"/>
                <w:lang w:val="en-US" w:eastAsia="zh-CN"/>
                <w14:textFill>
                  <w14:solidFill>
                    <w14:schemeClr w14:val="tx1"/>
                  </w14:solidFill>
                </w14:textFill>
              </w:rPr>
              <w:t>5</w:t>
            </w:r>
            <w:r>
              <w:rPr>
                <w:rStyle w:val="33"/>
                <w:rFonts w:hint="eastAsia" w:ascii="宋体" w:hAnsi="宋体" w:cs="宋体"/>
                <w:color w:val="000000" w:themeColor="text1"/>
                <w:kern w:val="0"/>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101</w:t>
            </w:r>
            <w:r>
              <w:rPr>
                <w:rFonts w:hint="eastAsia"/>
                <w:color w:val="000000" w:themeColor="text1"/>
                <w:sz w:val="24"/>
                <w:highlight w:val="none"/>
                <w14:textFill>
                  <w14:solidFill>
                    <w14:schemeClr w14:val="tx1"/>
                  </w14:solidFill>
                </w14:textFill>
              </w:rPr>
              <w:t>号</w:t>
            </w:r>
            <w:r>
              <w:rPr>
                <w:rFonts w:hint="eastAsia" w:cs="Times New Roman"/>
                <w:color w:val="000000" w:themeColor="text1"/>
                <w:sz w:val="24"/>
                <w:highlight w:val="none"/>
                <w:lang w:val="en-US" w:eastAsia="zh-CN"/>
                <w14:textFill>
                  <w14:solidFill>
                    <w14:schemeClr w14:val="tx1"/>
                  </w14:solidFill>
                </w14:textFill>
              </w:rPr>
              <w:t>”。</w:t>
            </w:r>
          </w:p>
          <w:p w14:paraId="70DAED56">
            <w:pPr>
              <w:keepNext w:val="0"/>
              <w:keepLines w:val="0"/>
              <w:widowControl/>
              <w:suppressLineNumbers w:val="0"/>
              <w:spacing w:before="0" w:beforeAutospacing="0" w:after="0" w:afterAutospacing="0"/>
              <w:ind w:left="0" w:right="0"/>
              <w:jc w:val="left"/>
              <w:rPr>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因此，本项目的建设符合国家相关产业政策。</w:t>
            </w:r>
          </w:p>
          <w:p w14:paraId="2674DE76">
            <w:pPr>
              <w:pStyle w:val="2"/>
              <w:bidi w:val="0"/>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三线一单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符合性分析</w:t>
            </w:r>
          </w:p>
          <w:p w14:paraId="1399C1F8">
            <w:pPr>
              <w:keepNext w:val="0"/>
              <w:keepLines w:val="0"/>
              <w:suppressLineNumbers w:val="0"/>
              <w:bidi w:val="0"/>
              <w:spacing w:before="0" w:beforeAutospacing="0" w:after="0" w:afterAutospacing="0"/>
              <w:ind w:left="0" w:right="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⑴生态保护红线与生态空间</w:t>
            </w:r>
          </w:p>
          <w:p w14:paraId="48920B4A">
            <w:pPr>
              <w:keepNext w:val="0"/>
              <w:keepLines w:val="0"/>
              <w:suppressLineNumbers w:val="0"/>
              <w:bidi w:val="0"/>
              <w:spacing w:before="0" w:beforeAutospacing="0" w:after="0" w:afterAutospacing="0"/>
              <w:ind w:left="0" w:right="0"/>
              <w:rPr>
                <w:rFonts w:hint="default" w:eastAsia="宋体" w:cs="Times New Roman"/>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①生态保护红线</w:t>
            </w:r>
          </w:p>
          <w:p w14:paraId="7FB67D43">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号），本项目不在中卫市生态保护红线范围内，符合生态保护红线相关要求。项目与中卫市生态保护红线位置关系见附图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p>
          <w:p w14:paraId="3D36D88E">
            <w:pPr>
              <w:keepNext w:val="0"/>
              <w:keepLines w:val="0"/>
              <w:suppressLineNumbers w:val="0"/>
              <w:bidi w:val="0"/>
              <w:spacing w:before="0" w:beforeAutospacing="0" w:after="0" w:afterAutospacing="0"/>
              <w:ind w:left="0" w:right="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②生态空间</w:t>
            </w:r>
          </w:p>
          <w:p w14:paraId="322F99D2">
            <w:pPr>
              <w:keepNext w:val="0"/>
              <w:keepLines w:val="0"/>
              <w:suppressLineNumbers w:val="0"/>
              <w:bidi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根据《市人民政府办公室关于发布</w:t>
            </w:r>
            <w:r>
              <w:rPr>
                <w:rFonts w:hint="default"/>
                <w:color w:val="000000" w:themeColor="text1"/>
                <w:highlight w:val="none"/>
                <w:lang w:val="en-US" w:eastAsia="zh-CN"/>
                <w14:textFill>
                  <w14:solidFill>
                    <w14:schemeClr w14:val="tx1"/>
                  </w14:solidFill>
                </w14:textFill>
              </w:rPr>
              <w:t>&lt;</w:t>
            </w:r>
            <w:r>
              <w:rPr>
                <w:rFonts w:hint="eastAsia"/>
                <w:color w:val="000000" w:themeColor="text1"/>
                <w:highlight w:val="none"/>
                <w:lang w:val="en-US" w:eastAsia="zh-CN"/>
                <w14:textFill>
                  <w14:solidFill>
                    <w14:schemeClr w14:val="tx1"/>
                  </w14:solidFill>
                </w14:textFill>
              </w:rPr>
              <w:t>中卫市生态环境分区管控动态更新成果</w:t>
            </w:r>
            <w:r>
              <w:rPr>
                <w:rFonts w:hint="default"/>
                <w:color w:val="000000" w:themeColor="text1"/>
                <w:highlight w:val="none"/>
                <w:lang w:val="en-US" w:eastAsia="zh-CN"/>
                <w14:textFill>
                  <w14:solidFill>
                    <w14:schemeClr w14:val="tx1"/>
                  </w14:solidFill>
                </w14:textFill>
              </w:rPr>
              <w:t>&gt;</w:t>
            </w:r>
            <w:r>
              <w:rPr>
                <w:rFonts w:hint="eastAsia"/>
                <w:color w:val="000000" w:themeColor="text1"/>
                <w:highlight w:val="none"/>
                <w:lang w:val="en-US" w:eastAsia="zh-CN"/>
                <w14:textFill>
                  <w14:solidFill>
                    <w14:schemeClr w14:val="tx1"/>
                  </w14:solidFill>
                </w14:textFill>
              </w:rPr>
              <w:t>的通知》（卫政办发〔</w:t>
            </w:r>
            <w:r>
              <w:rPr>
                <w:rFonts w:hint="default"/>
                <w:color w:val="000000" w:themeColor="text1"/>
                <w:highlight w:val="none"/>
                <w:lang w:val="en-US" w:eastAsia="zh-CN"/>
                <w14:textFill>
                  <w14:solidFill>
                    <w14:schemeClr w14:val="tx1"/>
                  </w14:solidFill>
                </w14:textFill>
              </w:rPr>
              <w:t>2024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33</w:t>
            </w:r>
            <w:r>
              <w:rPr>
                <w:rFonts w:hint="eastAsia"/>
                <w:color w:val="000000" w:themeColor="text1"/>
                <w:highlight w:val="none"/>
                <w:lang w:val="en-US" w:eastAsia="zh-CN"/>
                <w14:textFill>
                  <w14:solidFill>
                    <w14:schemeClr w14:val="tx1"/>
                  </w14:solidFill>
                </w14:textFill>
              </w:rPr>
              <w:t>号），本项目部分治理区位于一般生态空间。一般生态空间管控要求为：</w:t>
            </w:r>
            <w:r>
              <w:rPr>
                <w:rFonts w:hint="default"/>
                <w:color w:val="000000" w:themeColor="text1"/>
                <w:highlight w:val="none"/>
                <w14:textFill>
                  <w14:solidFill>
                    <w14:schemeClr w14:val="tx1"/>
                  </w14:solidFill>
                </w14:textFill>
              </w:rPr>
              <w:t>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符合条件的农业开发项目，须依法由县级及以上地方人民政府统筹安排，有序引导生态空间用途之间的相互转换，鼓励向有利于生态功能提升的方向转变，严格限制不符合生态保护要求或有损生态功能的转换</w:t>
            </w:r>
            <w:r>
              <w:rPr>
                <w:rFonts w:hint="eastAsia"/>
                <w:color w:val="000000" w:themeColor="text1"/>
                <w:highlight w:val="none"/>
                <w:lang w:eastAsia="zh-CN"/>
                <w14:textFill>
                  <w14:solidFill>
                    <w14:schemeClr w14:val="tx1"/>
                  </w14:solidFill>
                </w14:textFill>
              </w:rPr>
              <w:t>。</w:t>
            </w:r>
          </w:p>
          <w:p w14:paraId="3AB3B950">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已取得《中卫市沙坡头区发展和改革局关于中卫市宣和镇天景山天主峰灰石矿矿山生态修复治理项目初步设计的批复》（卫沙发改（审批）发〔2025〕101号），项目代码：2509-640502-15-05-899209。本项目主要对矿山进行生态修复治理，</w:t>
            </w:r>
            <w:r>
              <w:rPr>
                <w:rFonts w:hint="default"/>
                <w:color w:val="000000" w:themeColor="text1"/>
                <w:highlight w:val="none"/>
                <w14:textFill>
                  <w14:solidFill>
                    <w14:schemeClr w14:val="tx1"/>
                  </w14:solidFill>
                </w14:textFill>
              </w:rPr>
              <w:t>有利于</w:t>
            </w:r>
            <w:r>
              <w:rPr>
                <w:rFonts w:hint="eastAsia"/>
                <w:color w:val="000000" w:themeColor="text1"/>
                <w:highlight w:val="none"/>
                <w:lang w:val="en-US" w:eastAsia="zh-CN"/>
                <w14:textFill>
                  <w14:solidFill>
                    <w14:schemeClr w14:val="tx1"/>
                  </w14:solidFill>
                </w14:textFill>
              </w:rPr>
              <w:t>向</w:t>
            </w:r>
            <w:r>
              <w:rPr>
                <w:rFonts w:hint="default"/>
                <w:color w:val="000000" w:themeColor="text1"/>
                <w:highlight w:val="none"/>
                <w14:textFill>
                  <w14:solidFill>
                    <w14:schemeClr w14:val="tx1"/>
                  </w14:solidFill>
                </w14:textFill>
              </w:rPr>
              <w:t>生态功能提升的方向转变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符合</w:t>
            </w:r>
            <w:r>
              <w:rPr>
                <w:rFonts w:hint="default"/>
                <w:color w:val="000000" w:themeColor="text1"/>
                <w:highlight w:val="none"/>
                <w14:textFill>
                  <w14:solidFill>
                    <w14:schemeClr w14:val="tx1"/>
                  </w14:solidFill>
                </w14:textFill>
              </w:rPr>
              <w:t>一般生态空间</w:t>
            </w:r>
            <w:r>
              <w:rPr>
                <w:rFonts w:hint="eastAsia"/>
                <w:color w:val="000000" w:themeColor="text1"/>
                <w:highlight w:val="none"/>
                <w:lang w:val="en-US" w:eastAsia="zh-CN"/>
                <w14:textFill>
                  <w14:solidFill>
                    <w14:schemeClr w14:val="tx1"/>
                  </w14:solidFill>
                </w14:textFill>
              </w:rPr>
              <w:t>管控要求。本</w:t>
            </w:r>
            <w:r>
              <w:rPr>
                <w:rFonts w:hint="eastAsia" w:cs="Times New Roman"/>
                <w:color w:val="000000" w:themeColor="text1"/>
                <w:highlight w:val="none"/>
                <w:lang w:val="en-US" w:eastAsia="zh-CN"/>
                <w14:textFill>
                  <w14:solidFill>
                    <w14:schemeClr w14:val="tx1"/>
                  </w14:solidFill>
                </w14:textFill>
              </w:rPr>
              <w:t>项目与</w:t>
            </w:r>
            <w:r>
              <w:rPr>
                <w:rFonts w:hint="eastAsia"/>
                <w:color w:val="000000" w:themeColor="text1"/>
                <w:highlight w:val="none"/>
                <w:lang w:val="en-US" w:eastAsia="zh-CN"/>
                <w14:textFill>
                  <w14:solidFill>
                    <w14:schemeClr w14:val="tx1"/>
                  </w14:solidFill>
                </w14:textFill>
              </w:rPr>
              <w:t>中卫市生态空间分布图位置关系见</w:t>
            </w:r>
            <w:r>
              <w:rPr>
                <w:rFonts w:hint="eastAsia" w:cs="Times New Roman"/>
                <w:color w:val="000000" w:themeColor="text1"/>
                <w:highlight w:val="none"/>
                <w:lang w:val="en-US" w:eastAsia="zh-CN"/>
                <w14:textFill>
                  <w14:solidFill>
                    <w14:schemeClr w14:val="tx1"/>
                  </w14:solidFill>
                </w14:textFill>
              </w:rPr>
              <w:t>附</w:t>
            </w:r>
            <w:r>
              <w:rPr>
                <w:rFonts w:hint="eastAsia"/>
                <w:color w:val="000000" w:themeColor="text1"/>
                <w:highlight w:val="none"/>
                <w:lang w:val="en-US" w:eastAsia="zh-CN"/>
                <w14:textFill>
                  <w14:solidFill>
                    <w14:schemeClr w14:val="tx1"/>
                  </w14:solidFill>
                </w14:textFill>
              </w:rPr>
              <w:t>图1-2。</w:t>
            </w:r>
          </w:p>
          <w:p w14:paraId="36F1F21B">
            <w:pPr>
              <w:bidi w:val="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⑵环境质量底线及分区管控</w:t>
            </w:r>
          </w:p>
          <w:p w14:paraId="416DE853">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①大气环境质量底线及分区管控</w:t>
            </w:r>
          </w:p>
          <w:p w14:paraId="4A4353DA">
            <w:pPr>
              <w:keepNext w:val="0"/>
              <w:keepLines w:val="0"/>
              <w:suppressLineNumbers w:val="0"/>
              <w:bidi w:val="0"/>
              <w:spacing w:before="0" w:beforeAutospacing="0" w:after="0" w:afterAutospacing="0"/>
              <w:ind w:left="0" w:right="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大气环境质量底线：根据《市人民政府办公室关于发布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号）中中“表3-2中卫市大气环境质量目标”，中卫市沙坡头区2025年、2035年PM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目标</w:t>
            </w:r>
            <w:r>
              <w:rPr>
                <w:rFonts w:hint="eastAsia" w:eastAsia="宋体" w:cs="Times New Roman"/>
                <w:color w:val="000000" w:themeColor="text1"/>
                <w:highlight w:val="none"/>
                <w:lang w:val="en-US" w:eastAsia="zh-CN"/>
                <w14:textFill>
                  <w14:solidFill>
                    <w14:schemeClr w14:val="tx1"/>
                  </w14:solidFill>
                </w14:textFill>
              </w:rPr>
              <w:t>值30</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eastAsia="宋体" w:cs="Times New Roman"/>
                <w:color w:val="000000" w:themeColor="text1"/>
                <w:highlight w:val="none"/>
                <w:lang w:val="en-US" w:eastAsia="zh-CN"/>
                <w14:textFill>
                  <w14:solidFill>
                    <w14:schemeClr w14:val="tx1"/>
                  </w14:solidFill>
                </w14:textFill>
              </w:rPr>
              <w:t>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、PM</w:t>
            </w:r>
            <w:r>
              <w:rPr>
                <w:rFonts w:hint="eastAsia" w:cs="Times New Roman"/>
                <w:color w:val="000000" w:themeColor="text1"/>
                <w:highlight w:val="none"/>
                <w:vertAlign w:val="subscript"/>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目标值63.5</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eastAsia="宋体" w:cs="Times New Roman"/>
                <w:color w:val="000000" w:themeColor="text1"/>
                <w:highlight w:val="none"/>
                <w:lang w:val="en-US" w:eastAsia="zh-CN"/>
                <w14:textFill>
                  <w14:solidFill>
                    <w14:schemeClr w14:val="tx1"/>
                  </w14:solidFill>
                </w14:textFill>
              </w:rPr>
              <w:t>g</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。根据《2024年宁夏生态环境质量状况》评价结论，扣除沙尘天气影响，沙坡头区PM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为31</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cs="Times New Roman"/>
                <w:color w:val="000000" w:themeColor="text1"/>
                <w:highlight w:val="none"/>
                <w:lang w:val="en-US" w:eastAsia="zh-CN"/>
                <w14:textFill>
                  <w14:solidFill>
                    <w14:schemeClr w14:val="tx1"/>
                  </w14:solidFill>
                </w14:textFill>
              </w:rPr>
              <w:t>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，PM</w:t>
            </w:r>
            <w:r>
              <w:rPr>
                <w:rFonts w:hint="eastAsia" w:cs="Times New Roman"/>
                <w:color w:val="000000" w:themeColor="text1"/>
                <w:highlight w:val="none"/>
                <w:vertAlign w:val="subscript"/>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为62</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eastAsia="宋体" w:cs="Times New Roman"/>
                <w:color w:val="000000" w:themeColor="text1"/>
                <w:highlight w:val="none"/>
                <w:lang w:val="en-US" w:eastAsia="zh-CN"/>
                <w14:textFill>
                  <w14:solidFill>
                    <w14:schemeClr w14:val="tx1"/>
                  </w14:solidFill>
                </w14:textFill>
              </w:rPr>
              <w:t>g</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，属于达标区，PM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未满足目标值要求。本项目运营期不排放废气，不会影响</w:t>
            </w:r>
            <w:r>
              <w:rPr>
                <w:rFonts w:hint="eastAsia" w:cs="Times New Roman"/>
                <w:color w:val="000000" w:themeColor="text1"/>
                <w:highlight w:val="none"/>
                <w14:textFill>
                  <w14:solidFill>
                    <w14:schemeClr w14:val="tx1"/>
                  </w14:solidFill>
                </w14:textFill>
              </w:rPr>
              <w:t>大气环境质量底线</w:t>
            </w:r>
            <w:r>
              <w:rPr>
                <w:rFonts w:hint="eastAsia" w:cs="Times New Roman"/>
                <w:color w:val="000000" w:themeColor="text1"/>
                <w:highlight w:val="none"/>
                <w:lang w:eastAsia="zh-CN"/>
                <w14:textFill>
                  <w14:solidFill>
                    <w14:schemeClr w14:val="tx1"/>
                  </w14:solidFill>
                </w14:textFill>
              </w:rPr>
              <w:t>。</w:t>
            </w:r>
          </w:p>
          <w:p w14:paraId="78543995">
            <w:pPr>
              <w:keepNext w:val="0"/>
              <w:keepLines w:val="0"/>
              <w:suppressLineNumbers w:val="0"/>
              <w:bidi w:val="0"/>
              <w:spacing w:before="0" w:beforeAutospacing="0" w:after="0" w:afterAutospacing="0"/>
              <w:ind w:left="0" w:right="0"/>
              <w:rPr>
                <w:rFonts w:hint="default" w:ascii="黑体" w:hAnsi="宋体" w:eastAsia="黑体" w:cs="黑体"/>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基于大气环境脆弱性、敏感性、重要性评价结果，考虑大气污染传输规律和城市用地特征，识别网格单元主导属性，将中卫市划分为大气环境优先保护区、大气环境重点管控区和大气环境一般管控区，本项目建设地点为沙坡头宣和镇天景山北麓，位于大气环境一般管控区。分区管控符合性分析见表1-2。项目与中卫市大气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3。</w:t>
            </w:r>
          </w:p>
          <w:p w14:paraId="0178BAA1">
            <w:pPr>
              <w:pStyle w:val="3"/>
              <w:keepNext w:val="0"/>
              <w:keepLines w:val="0"/>
              <w:suppressLineNumbers w:val="0"/>
              <w:bidi w:val="0"/>
              <w:spacing w:before="0" w:beforeAutospacing="0" w:after="0" w:afterAutospacing="0"/>
              <w:ind w:left="0" w:right="0"/>
              <w:rPr>
                <w:rFonts w:hint="default"/>
                <w:color w:val="000000" w:themeColor="text1"/>
                <w:highlight w:val="none"/>
                <w:vertAlign w:val="baseline"/>
                <w14:textFill>
                  <w14:solidFill>
                    <w14:schemeClr w14:val="tx1"/>
                  </w14:solidFill>
                </w14:textFill>
              </w:rPr>
            </w:pPr>
            <w:r>
              <w:rPr>
                <w:rFonts w:hint="default" w:ascii="黑体" w:hAnsi="宋体" w:eastAsia="黑体" w:cs="黑体"/>
                <w:color w:val="000000" w:themeColor="text1"/>
                <w:kern w:val="0"/>
                <w:sz w:val="24"/>
                <w:szCs w:val="24"/>
                <w:highlight w:val="none"/>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eastAsia="宋体"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ascii="黑体" w:hAnsi="宋体" w:eastAsia="黑体" w:cs="黑体"/>
                <w:color w:val="000000" w:themeColor="text1"/>
                <w:kern w:val="0"/>
                <w:sz w:val="24"/>
                <w:szCs w:val="24"/>
                <w:highlight w:val="none"/>
                <w:lang w:val="en-US" w:eastAsia="zh-CN" w:bidi="ar"/>
                <w14:textFill>
                  <w14:solidFill>
                    <w14:schemeClr w14:val="tx1"/>
                  </w14:solidFill>
                </w14:textFill>
              </w:rPr>
              <w:t>大气环境分区管控符合性分析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373"/>
              <w:gridCol w:w="2526"/>
              <w:gridCol w:w="692"/>
            </w:tblGrid>
            <w:tr w14:paraId="18F49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6BCDC44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30C242C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4357" w:type="dxa"/>
                  <w:tcBorders>
                    <w:tl2br w:val="nil"/>
                    <w:tr2bl w:val="nil"/>
                  </w:tcBorders>
                  <w:noWrap w:val="0"/>
                  <w:vAlign w:val="center"/>
                </w:tcPr>
                <w:p w14:paraId="01BDF5F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2517" w:type="dxa"/>
                  <w:tcBorders>
                    <w:tl2br w:val="nil"/>
                    <w:tr2bl w:val="nil"/>
                  </w:tcBorders>
                  <w:noWrap w:val="0"/>
                  <w:vAlign w:val="center"/>
                </w:tcPr>
                <w:p w14:paraId="593CFF7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1FF623C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2EE5B01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398C3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3C32F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一般管控区</w:t>
                  </w:r>
                </w:p>
              </w:tc>
              <w:tc>
                <w:tcPr>
                  <w:tcW w:w="4357" w:type="dxa"/>
                  <w:tcBorders>
                    <w:tl2br w:val="nil"/>
                    <w:tr2bl w:val="nil"/>
                  </w:tcBorders>
                  <w:noWrap w:val="0"/>
                  <w:vAlign w:val="center"/>
                </w:tcPr>
                <w:p w14:paraId="7D67627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tc>
              <w:tc>
                <w:tcPr>
                  <w:tcW w:w="2517" w:type="dxa"/>
                  <w:tcBorders>
                    <w:tl2br w:val="nil"/>
                    <w:tr2bl w:val="nil"/>
                  </w:tcBorders>
                  <w:noWrap w:val="0"/>
                  <w:vAlign w:val="center"/>
                </w:tcPr>
                <w:p w14:paraId="5982F2B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主要对矿山进行生态修复治理。营运期无废气产生，项目废气主要为施工期废气，其中施工扬尘采取措施为施工场地设置施工围挡、定期洒水降尘、运输车辆加盖篷布；临时堆土场采取措施为施工期临时堆土堆放在治理区内，并采用纤维网苫盖，定期洒水保湿；机械废气采取措施为加强机械设备管理和保养维修</w:t>
                  </w:r>
                  <w:r>
                    <w:rPr>
                      <w:rFonts w:hint="eastAsia" w:cs="Times New Roman"/>
                      <w:color w:val="000000" w:themeColor="text1"/>
                      <w:highlight w:val="none"/>
                      <w:lang w:val="en-US" w:eastAsia="zh-CN"/>
                      <w14:textFill>
                        <w14:solidFill>
                          <w14:schemeClr w14:val="tx1"/>
                        </w14:solidFill>
                      </w14:textFill>
                    </w:rPr>
                    <w:t>。随着施工期结束后，施工期废气影响也会消失。因此，可满足一般管控区管控要求。</w:t>
                  </w:r>
                </w:p>
              </w:tc>
              <w:tc>
                <w:tcPr>
                  <w:tcW w:w="689" w:type="dxa"/>
                  <w:tcBorders>
                    <w:tl2br w:val="nil"/>
                    <w:tr2bl w:val="nil"/>
                  </w:tcBorders>
                  <w:noWrap w:val="0"/>
                  <w:vAlign w:val="center"/>
                </w:tcPr>
                <w:p w14:paraId="3677A93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61B86928">
            <w:pPr>
              <w:keepNext w:val="0"/>
              <w:keepLines w:val="0"/>
              <w:suppressLineNumbers w:val="0"/>
              <w:bidi w:val="0"/>
              <w:spacing w:before="0" w:beforeAutospacing="0" w:after="0" w:afterAutospacing="0"/>
              <w:ind w:left="0" w:right="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②水环境质量底线及分区管控</w:t>
            </w:r>
          </w:p>
          <w:p w14:paraId="7687BDB4">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水环境质量底线：本项目所在地最近的地表水体为沙沟和寺口子沟，沙沟位于项目区东南侧2.9km，为季节性沟道，无长流水。寺口子沟位于项目区北侧3.9km，流经沙坡头区、中宁县，于中宁县大战场镇清河村汇入清水河。根据《中卫市“三线一单”编制文本》中“表3-1中卫市水环境质量底线目标”，中卫市清水河2025年、2035年水质目标均为Ⅲ类标准及以上要求。根据《2024年宁夏生态环境质量报告书》结论，清水河泉眼山断面（中卫市入黄口）水质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Ⅳ</w:t>
            </w:r>
            <w:r>
              <w:rPr>
                <w:rFonts w:hint="default" w:ascii="Times New Roman" w:hAnsi="Times New Roman" w:eastAsia="宋体" w:cs="Times New Roman"/>
                <w:color w:val="000000" w:themeColor="text1"/>
                <w:highlight w:val="none"/>
                <w:lang w:val="en-US" w:eastAsia="zh-CN"/>
                <w14:textFill>
                  <w14:solidFill>
                    <w14:schemeClr w14:val="tx1"/>
                  </w14:solidFill>
                </w14:textFill>
              </w:rPr>
              <w:t>类水质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，不满足Ⅲ</w:t>
            </w:r>
            <w:r>
              <w:rPr>
                <w:rFonts w:hint="default" w:ascii="Times New Roman" w:hAnsi="Times New Roman" w:eastAsia="宋体" w:cs="Times New Roman"/>
                <w:color w:val="000000" w:themeColor="text1"/>
                <w:highlight w:val="none"/>
                <w:lang w:val="en-US" w:eastAsia="zh-CN"/>
                <w14:textFill>
                  <w14:solidFill>
                    <w14:schemeClr w14:val="tx1"/>
                  </w14:solidFill>
                </w14:textFill>
              </w:rPr>
              <w:t>类</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考核标准。</w:t>
            </w:r>
            <w:r>
              <w:rPr>
                <w:rFonts w:hint="eastAsia" w:cs="Times New Roman"/>
                <w:color w:val="000000" w:themeColor="text1"/>
                <w:highlight w:val="none"/>
                <w:lang w:val="en-US" w:eastAsia="zh-CN"/>
                <w14:textFill>
                  <w14:solidFill>
                    <w14:schemeClr w14:val="tx1"/>
                  </w14:solidFill>
                </w14:textFill>
              </w:rPr>
              <w:t>本项目运营期仅使用少量草地养护用水，无废水排放，不会对影响水环境质量底线。</w:t>
            </w:r>
          </w:p>
          <w:p w14:paraId="5E05B454">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根据《市人民政府办公室关于发布</w:t>
            </w:r>
            <w:r>
              <w:rPr>
                <w:rFonts w:hint="default" w:ascii="Times New Roman" w:hAnsi="Times New Roman" w:eastAsia="宋体" w:cs="Times New Roman"/>
                <w:color w:val="000000" w:themeColor="text1"/>
                <w:highlight w:val="none"/>
                <w:lang w:val="en-US" w:eastAsia="zh-CN"/>
                <w14:textFill>
                  <w14:solidFill>
                    <w14:schemeClr w14:val="tx1"/>
                  </w14:solidFill>
                </w14:textFill>
              </w:rPr>
              <w:t>&lt;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中卫市生态环境分区管控动态更新成果</w:t>
            </w:r>
            <w:r>
              <w:rPr>
                <w:rFonts w:hint="default" w:ascii="Times New Roman" w:hAnsi="Times New Roman" w:eastAsia="宋体" w:cs="Times New Roman"/>
                <w:color w:val="000000" w:themeColor="text1"/>
                <w:highlight w:val="none"/>
                <w:lang w:val="en-US" w:eastAsia="zh-CN"/>
                <w14:textFill>
                  <w14:solidFill>
                    <w14:schemeClr w14:val="tx1"/>
                  </w14:solidFill>
                </w14:textFill>
              </w:rPr>
              <w:t>&gt;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的通知》（卫政办发〔</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w:t>
            </w:r>
            <w:r>
              <w:rPr>
                <w:rFonts w:hint="default"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w:t>
            </w:r>
            <w:r>
              <w:rPr>
                <w:rFonts w:hint="eastAsia" w:cs="Times New Roman"/>
                <w:color w:val="000000" w:themeColor="text1"/>
                <w:highlight w:val="none"/>
                <w:lang w:eastAsia="zh-CN"/>
                <w14:textFill>
                  <w14:solidFill>
                    <w14:schemeClr w14:val="tx1"/>
                  </w14:solidFill>
                </w14:textFill>
              </w:rPr>
              <w:t>，中卫市水环境管控分区共分为三大类：水环境优先保护区、水环境重点管控区（含水环境工业污染源重点管控区、水环境农业污染源重点管控区、水环境城镇生活污染源重点管控区）和水环境一般管控区。</w:t>
            </w:r>
            <w:r>
              <w:rPr>
                <w:rFonts w:hint="eastAsia" w:cs="Times New Roman"/>
                <w:color w:val="000000" w:themeColor="text1"/>
                <w:sz w:val="24"/>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项目位于水环境一般管控区。分区管控符合性分析见表1-3。项目与中卫市水环境分区管控图位置关系图见附图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4。</w:t>
            </w:r>
          </w:p>
          <w:p w14:paraId="387120A0">
            <w:pPr>
              <w:pStyle w:val="3"/>
              <w:bidi w:val="0"/>
              <w:rPr>
                <w:rFonts w:hint="default"/>
                <w:color w:val="000000" w:themeColor="text1"/>
                <w:highlight w:val="none"/>
                <w:vertAlign w:val="baseli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水环境分区管符合性分析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460"/>
              <w:gridCol w:w="1439"/>
              <w:gridCol w:w="692"/>
            </w:tblGrid>
            <w:tr w14:paraId="1BF43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80F470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109200B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5440" w:type="dxa"/>
                  <w:tcBorders>
                    <w:tl2br w:val="nil"/>
                    <w:tr2bl w:val="nil"/>
                  </w:tcBorders>
                  <w:noWrap w:val="0"/>
                  <w:vAlign w:val="center"/>
                </w:tcPr>
                <w:p w14:paraId="544D29E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1434" w:type="dxa"/>
                  <w:tcBorders>
                    <w:tl2br w:val="nil"/>
                    <w:tr2bl w:val="nil"/>
                  </w:tcBorders>
                  <w:noWrap w:val="0"/>
                  <w:vAlign w:val="center"/>
                </w:tcPr>
                <w:p w14:paraId="7205255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72CA2C6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1E8F10B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216D0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26459B7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一般管控区</w:t>
                  </w:r>
                </w:p>
              </w:tc>
              <w:tc>
                <w:tcPr>
                  <w:tcW w:w="5440" w:type="dxa"/>
                  <w:tcBorders>
                    <w:tl2br w:val="nil"/>
                    <w:tr2bl w:val="nil"/>
                  </w:tcBorders>
                  <w:noWrap w:val="0"/>
                  <w:vAlign w:val="center"/>
                </w:tcPr>
                <w:p w14:paraId="3835240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tc>
              <w:tc>
                <w:tcPr>
                  <w:tcW w:w="1434" w:type="dxa"/>
                  <w:tcBorders>
                    <w:tl2br w:val="nil"/>
                    <w:tr2bl w:val="nil"/>
                  </w:tcBorders>
                  <w:noWrap w:val="0"/>
                  <w:vAlign w:val="center"/>
                </w:tcPr>
                <w:p w14:paraId="3F782AB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本项目运营期仅使用少量养护用水，无废水排放</w:t>
                  </w:r>
                </w:p>
              </w:tc>
              <w:tc>
                <w:tcPr>
                  <w:tcW w:w="689" w:type="dxa"/>
                  <w:tcBorders>
                    <w:tl2br w:val="nil"/>
                    <w:tr2bl w:val="nil"/>
                  </w:tcBorders>
                  <w:noWrap w:val="0"/>
                  <w:vAlign w:val="center"/>
                </w:tcPr>
                <w:p w14:paraId="42FC6CB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2831A387">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p>
          <w:p w14:paraId="1256135B">
            <w:pPr>
              <w:keepNext w:val="0"/>
              <w:keepLines w:val="0"/>
              <w:suppressLineNumbers w:val="0"/>
              <w:bidi w:val="0"/>
              <w:spacing w:before="0" w:beforeAutospacing="0" w:after="0" w:afterAutospacing="0"/>
              <w:ind w:left="0" w:right="0"/>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③土壤环境风险管控底线及分区管控</w:t>
            </w:r>
          </w:p>
          <w:p w14:paraId="180952B2">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zh-CN"/>
                <w14:textFill>
                  <w14:solidFill>
                    <w14:schemeClr w14:val="tx1"/>
                  </w14:solidFill>
                </w14:textFill>
              </w:rPr>
              <w:t>土壤环境质量底线：</w:t>
            </w: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w:t>
            </w:r>
            <w:r>
              <w:rPr>
                <w:rFonts w:hint="eastAsia" w:cs="Times New Roman"/>
                <w:color w:val="000000" w:themeColor="text1"/>
                <w:highlight w:val="none"/>
                <w:lang w:val="zh-CN"/>
                <w14:textFill>
                  <w14:solidFill>
                    <w14:schemeClr w14:val="tx1"/>
                  </w14:solidFill>
                </w14:textFill>
              </w:rPr>
              <w:t>土壤</w:t>
            </w:r>
            <w:r>
              <w:rPr>
                <w:rFonts w:hint="eastAsia" w:cs="Times New Roman"/>
                <w:color w:val="000000" w:themeColor="text1"/>
                <w:highlight w:val="none"/>
                <w:lang w:val="en-US" w:eastAsia="zh-CN"/>
                <w14:textFill>
                  <w14:solidFill>
                    <w14:schemeClr w14:val="tx1"/>
                  </w14:solidFill>
                </w14:textFill>
              </w:rPr>
              <w:t>环境质量底线，</w:t>
            </w:r>
            <w:r>
              <w:rPr>
                <w:rFonts w:hint="eastAsia" w:cs="Times New Roman"/>
                <w:color w:val="000000" w:themeColor="text1"/>
                <w:highlight w:val="none"/>
                <w:lang w:val="zh-CN"/>
                <w14:textFill>
                  <w14:solidFill>
                    <w14:schemeClr w14:val="tx1"/>
                  </w14:solidFill>
                </w14:textFill>
              </w:rPr>
              <w:t>到2025年，全市土壤环境质量总体持续稳中向好，重点建设用地安全利用得到有效保障，受污染耕地和污染地块安全利用率完成自治区“十四五”考核目标。</w:t>
            </w:r>
          </w:p>
          <w:p w14:paraId="1EDA885E">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根据土壤环境质量现状、土地利用现状，综合考虑全市农用地土壤污染状况详查和重点行业企业用地详查结果，衔接现有污染地块名录、土壤环境重点监管企业清单等，将全市划分为农用地优先保护区、建设用地污染风险重点管控区和土壤环境一般管控区。</w:t>
            </w:r>
            <w:r>
              <w:rPr>
                <w:rFonts w:hint="eastAsia" w:cs="Times New Roman"/>
                <w:color w:val="000000" w:themeColor="text1"/>
                <w:sz w:val="24"/>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项目位于</w:t>
            </w:r>
            <w:r>
              <w:rPr>
                <w:rFonts w:hint="eastAsia" w:cs="Times New Roman"/>
                <w:color w:val="000000" w:themeColor="text1"/>
                <w:highlight w:val="none"/>
                <w:lang w:eastAsia="zh-CN"/>
                <w14:textFill>
                  <w14:solidFill>
                    <w14:schemeClr w14:val="tx1"/>
                  </w14:solidFill>
                </w14:textFill>
              </w:rPr>
              <w:t>土壤污染风险</w:t>
            </w:r>
            <w:r>
              <w:rPr>
                <w:rFonts w:hint="eastAsia" w:cs="Times New Roman"/>
                <w:color w:val="000000" w:themeColor="text1"/>
                <w:highlight w:val="none"/>
                <w:lang w:val="en-US" w:eastAsia="zh-CN"/>
                <w14:textFill>
                  <w14:solidFill>
                    <w14:schemeClr w14:val="tx1"/>
                  </w14:solidFill>
                </w14:textFill>
              </w:rPr>
              <w:t>一般管控单元。分区管控符合性分析见表1-4。项目与中卫市</w:t>
            </w:r>
            <w:r>
              <w:rPr>
                <w:rFonts w:hint="eastAsia" w:cs="Times New Roman"/>
                <w:color w:val="000000" w:themeColor="text1"/>
                <w:highlight w:val="none"/>
                <w:lang w:eastAsia="zh-CN"/>
                <w14:textFill>
                  <w14:solidFill>
                    <w14:schemeClr w14:val="tx1"/>
                  </w14:solidFill>
                </w14:textFill>
              </w:rPr>
              <w:t>土壤污染风险</w:t>
            </w:r>
            <w:r>
              <w:rPr>
                <w:rFonts w:hint="eastAsia" w:cs="Times New Roman"/>
                <w:color w:val="000000" w:themeColor="text1"/>
                <w:highlight w:val="none"/>
                <w:lang w:val="en-US" w:eastAsia="zh-CN"/>
                <w14:textFill>
                  <w14:solidFill>
                    <w14:schemeClr w14:val="tx1"/>
                  </w14:solidFill>
                </w14:textFill>
              </w:rPr>
              <w:t>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5。</w:t>
            </w:r>
          </w:p>
          <w:p w14:paraId="391CBFA1">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表1-4  </w:t>
            </w:r>
            <w:r>
              <w:rPr>
                <w:rFonts w:hint="eastAsia"/>
                <w:color w:val="000000" w:themeColor="text1"/>
                <w:highlight w:val="none"/>
                <w:lang w:eastAsia="zh-CN"/>
                <w14:textFill>
                  <w14:solidFill>
                    <w14:schemeClr w14:val="tx1"/>
                  </w14:solidFill>
                </w14:textFill>
              </w:rPr>
              <w:t>土壤污染风险</w:t>
            </w:r>
            <w:r>
              <w:rPr>
                <w:rFonts w:hint="eastAsia"/>
                <w:color w:val="000000" w:themeColor="text1"/>
                <w:highlight w:val="none"/>
                <w:lang w:val="en-US" w:eastAsia="zh-CN"/>
                <w14:textFill>
                  <w14:solidFill>
                    <w14:schemeClr w14:val="tx1"/>
                  </w14:solidFill>
                </w14:textFill>
              </w:rPr>
              <w:t>分区管控符合性分析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5351"/>
              <w:gridCol w:w="1549"/>
              <w:gridCol w:w="692"/>
            </w:tblGrid>
            <w:tr w14:paraId="333B6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5F1BA24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15A6485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5331" w:type="dxa"/>
                  <w:tcBorders>
                    <w:tl2br w:val="nil"/>
                    <w:tr2bl w:val="nil"/>
                  </w:tcBorders>
                  <w:noWrap w:val="0"/>
                  <w:vAlign w:val="center"/>
                </w:tcPr>
                <w:p w14:paraId="4317FBD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1543" w:type="dxa"/>
                  <w:tcBorders>
                    <w:tl2br w:val="nil"/>
                    <w:tr2bl w:val="nil"/>
                  </w:tcBorders>
                  <w:noWrap w:val="0"/>
                  <w:vAlign w:val="center"/>
                </w:tcPr>
                <w:p w14:paraId="34A9EA3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0C549F4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7135242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749EF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0C57106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一般管控单元</w:t>
                  </w:r>
                </w:p>
              </w:tc>
              <w:tc>
                <w:tcPr>
                  <w:tcW w:w="5331" w:type="dxa"/>
                  <w:tcBorders>
                    <w:tl2br w:val="nil"/>
                    <w:tr2bl w:val="nil"/>
                  </w:tcBorders>
                  <w:noWrap w:val="0"/>
                  <w:vAlign w:val="center"/>
                </w:tcPr>
                <w:p w14:paraId="565B6A5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543" w:type="dxa"/>
                  <w:tcBorders>
                    <w:tl2br w:val="nil"/>
                    <w:tr2bl w:val="nil"/>
                  </w:tcBorders>
                  <w:noWrap w:val="0"/>
                  <w:vAlign w:val="center"/>
                </w:tcPr>
                <w:p w14:paraId="5D7092F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本项目不涉及</w:t>
                  </w:r>
                  <w:r>
                    <w:rPr>
                      <w:rFonts w:hint="default" w:cs="Times New Roman"/>
                      <w:color w:val="000000" w:themeColor="text1"/>
                      <w:highlight w:val="none"/>
                      <w14:textFill>
                        <w14:solidFill>
                          <w14:schemeClr w14:val="tx1"/>
                        </w14:solidFill>
                      </w14:textFill>
                    </w:rPr>
                    <w:t>有色金属冶炼、焦化等行业企业</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不排放</w:t>
                  </w:r>
                  <w:r>
                    <w:rPr>
                      <w:rFonts w:hint="default" w:cs="Times New Roman"/>
                      <w:color w:val="000000" w:themeColor="text1"/>
                      <w:highlight w:val="none"/>
                      <w14:textFill>
                        <w14:solidFill>
                          <w14:schemeClr w14:val="tx1"/>
                        </w14:solidFill>
                      </w14:textFill>
                    </w:rPr>
                    <w:t>重点污染物</w:t>
                  </w:r>
                </w:p>
              </w:tc>
              <w:tc>
                <w:tcPr>
                  <w:tcW w:w="689" w:type="dxa"/>
                  <w:tcBorders>
                    <w:tl2br w:val="nil"/>
                    <w:tr2bl w:val="nil"/>
                  </w:tcBorders>
                  <w:noWrap w:val="0"/>
                  <w:vAlign w:val="center"/>
                </w:tcPr>
                <w:p w14:paraId="037749E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75F02295">
            <w:pPr>
              <w:bidi w:val="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⑶资源利用上线及分区管控</w:t>
            </w:r>
          </w:p>
          <w:p w14:paraId="27299714">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①能源（煤炭）资源利用上线及分区管控</w:t>
            </w:r>
          </w:p>
          <w:p w14:paraId="707EF71B">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本项目运营期不涉及煤炭能源消耗。因此，项目的建设符合能源（煤炭）资源利用上线及分区管控要求</w:t>
            </w:r>
            <w:r>
              <w:rPr>
                <w:rFonts w:hint="eastAsia" w:cs="Times New Roman"/>
                <w:color w:val="000000" w:themeColor="text1"/>
                <w:highlight w:val="none"/>
                <w14:textFill>
                  <w14:solidFill>
                    <w14:schemeClr w14:val="tx1"/>
                  </w14:solidFill>
                </w14:textFill>
              </w:rPr>
              <w:t>。</w:t>
            </w:r>
          </w:p>
          <w:p w14:paraId="2B66CC0B">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②</w:t>
            </w:r>
            <w:r>
              <w:rPr>
                <w:rFonts w:hint="eastAsia" w:cs="Times New Roman"/>
                <w:b/>
                <w:bCs/>
                <w:color w:val="000000" w:themeColor="text1"/>
                <w:highlight w:val="none"/>
                <w:lang w:val="en-US" w:eastAsia="zh-CN"/>
                <w14:textFill>
                  <w14:solidFill>
                    <w14:schemeClr w14:val="tx1"/>
                  </w14:solidFill>
                </w14:textFill>
              </w:rPr>
              <w:t>水资源利用上线及分区管控</w:t>
            </w:r>
          </w:p>
          <w:p w14:paraId="346E610A">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本项目施工期使用生活用水，用水量较少；运营期仅使用少量养护用水，无废水排放</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不会对区域水资源利用造成影响，因此，本项目符合水资源利用上线及分区管控要求。</w:t>
            </w:r>
          </w:p>
          <w:p w14:paraId="58A154A9">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③土地资源利用上线及分区管控</w:t>
            </w:r>
          </w:p>
          <w:p w14:paraId="0402BA0A">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，中卫市无土地资源重点管控区，本项目不新增永久占地，临时占地面积</w:t>
            </w:r>
            <w:r>
              <w:rPr>
                <w:rFonts w:hint="eastAsia" w:cs="Times New Roman"/>
                <w:color w:val="000000" w:themeColor="text1"/>
                <w:sz w:val="24"/>
                <w:highlight w:val="none"/>
                <w:lang w:val="en-US" w:eastAsia="zh-CN"/>
                <w14:textFill>
                  <w14:solidFill>
                    <w14:schemeClr w14:val="tx1"/>
                  </w14:solidFill>
                </w14:textFill>
              </w:rPr>
              <w:t>34.44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，占地类型主要为</w:t>
            </w:r>
            <w:r>
              <w:rPr>
                <w:rFonts w:hint="eastAsia" w:cs="Times New Roman"/>
                <w:color w:val="000000" w:themeColor="text1"/>
                <w:sz w:val="24"/>
                <w:highlight w:val="none"/>
                <w:lang w:val="en-US" w:eastAsia="zh-CN"/>
                <w14:textFill>
                  <w14:solidFill>
                    <w14:schemeClr w14:val="tx1"/>
                  </w14:solidFill>
                </w14:textFill>
              </w:rPr>
              <w:t>草地及工矿用地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，通过土地翻松、撒播草籽等生态恢复措施对临时用地进行生态恢复，符合土地资源利用上线及分区管控要求。</w:t>
            </w:r>
          </w:p>
          <w:p w14:paraId="279EA6DE">
            <w:pPr>
              <w:keepNext w:val="0"/>
              <w:keepLines w:val="0"/>
              <w:suppressLineNumbers w:val="0"/>
              <w:bidi w:val="0"/>
              <w:spacing w:before="0" w:beforeAutospacing="0" w:after="0" w:afterAutospacing="0"/>
              <w:ind w:left="0" w:right="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⑷环境管控单元与准入清单</w:t>
            </w:r>
          </w:p>
          <w:p w14:paraId="4D4C6249">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号）中《中卫市生态环境分区管控方案图集》及《中卫市生态环境分区管控方案文本》可知，本项目位于沙坡头区优先保护单元2。项目与中卫市生态环境分区管控图位置关系图见附图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6。</w:t>
            </w:r>
          </w:p>
          <w:p w14:paraId="4F4B89B0">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项目与</w:t>
            </w:r>
            <w:r>
              <w:rPr>
                <w:rFonts w:hint="eastAsia" w:cs="Times New Roman"/>
                <w:color w:val="000000" w:themeColor="text1"/>
                <w:highlight w:val="none"/>
                <w:lang w:val="en-US" w:eastAsia="zh-CN"/>
                <w14:textFill>
                  <w14:solidFill>
                    <w14:schemeClr w14:val="tx1"/>
                  </w14:solidFill>
                </w14:textFill>
              </w:rPr>
              <w:t>中卫</w:t>
            </w:r>
            <w:r>
              <w:rPr>
                <w:rFonts w:hint="eastAsia" w:cs="Times New Roman"/>
                <w:color w:val="000000" w:themeColor="text1"/>
                <w:highlight w:val="none"/>
                <w14:textFill>
                  <w14:solidFill>
                    <w14:schemeClr w14:val="tx1"/>
                  </w14:solidFill>
                </w14:textFill>
              </w:rPr>
              <w:t>市市级生态环境准入清单符合性分析见下表1-</w:t>
            </w:r>
            <w:r>
              <w:rPr>
                <w:rFonts w:hint="eastAsia" w:cs="Times New Roman"/>
                <w:color w:val="000000" w:themeColor="text1"/>
                <w:highlight w:val="none"/>
                <w:lang w:val="en-US" w:eastAsia="zh-CN"/>
                <w14:textFill>
                  <w14:solidFill>
                    <w14:schemeClr w14:val="tx1"/>
                  </w14:solidFill>
                </w14:textFill>
              </w:rPr>
              <w:t>5</w:t>
            </w:r>
            <w:r>
              <w:rPr>
                <w:rFonts w:hint="eastAsia" w:cs="Times New Roman"/>
                <w:color w:val="000000" w:themeColor="text1"/>
                <w:highlight w:val="none"/>
                <w14:textFill>
                  <w14:solidFill>
                    <w14:schemeClr w14:val="tx1"/>
                  </w14:solidFill>
                </w14:textFill>
              </w:rPr>
              <w:t>，与</w:t>
            </w:r>
            <w:r>
              <w:rPr>
                <w:rFonts w:hint="eastAsia" w:cs="Times New Roman"/>
                <w:color w:val="000000" w:themeColor="text1"/>
                <w:highlight w:val="none"/>
                <w:lang w:val="en-US" w:eastAsia="zh-CN"/>
                <w14:textFill>
                  <w14:solidFill>
                    <w14:schemeClr w14:val="tx1"/>
                  </w14:solidFill>
                </w14:textFill>
              </w:rPr>
              <w:t>沙坡头区环境管控单元生态环境准入清单符合性</w:t>
            </w:r>
            <w:r>
              <w:rPr>
                <w:rFonts w:hint="eastAsia" w:cs="Times New Roman"/>
                <w:color w:val="000000" w:themeColor="text1"/>
                <w:highlight w:val="none"/>
                <w14:textFill>
                  <w14:solidFill>
                    <w14:schemeClr w14:val="tx1"/>
                  </w14:solidFill>
                </w14:textFill>
              </w:rPr>
              <w:t>分析见下表1-</w:t>
            </w:r>
            <w:r>
              <w:rPr>
                <w:rFonts w:hint="eastAsia" w:cs="Times New Roman"/>
                <w:color w:val="000000" w:themeColor="text1"/>
                <w:highlight w:val="none"/>
                <w:lang w:val="en-US" w:eastAsia="zh-CN"/>
                <w14:textFill>
                  <w14:solidFill>
                    <w14:schemeClr w14:val="tx1"/>
                  </w14:solidFill>
                </w14:textFill>
              </w:rPr>
              <w:t>6</w:t>
            </w:r>
            <w:r>
              <w:rPr>
                <w:rFonts w:hint="eastAsia" w:cs="Times New Roman"/>
                <w:color w:val="000000" w:themeColor="text1"/>
                <w:highlight w:val="none"/>
                <w14:textFill>
                  <w14:solidFill>
                    <w14:schemeClr w14:val="tx1"/>
                  </w14:solidFill>
                </w14:textFill>
              </w:rPr>
              <w:t>。</w:t>
            </w:r>
          </w:p>
          <w:p w14:paraId="02160E31">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表1-5  </w:t>
            </w:r>
            <w:r>
              <w:rPr>
                <w:rFonts w:hint="default"/>
                <w:color w:val="000000" w:themeColor="text1"/>
                <w:highlight w:val="none"/>
                <w14:textFill>
                  <w14:solidFill>
                    <w14:schemeClr w14:val="tx1"/>
                  </w14:solidFill>
                </w14:textFill>
              </w:rPr>
              <w:t>本项目与</w:t>
            </w:r>
            <w:r>
              <w:rPr>
                <w:rFonts w:hint="eastAsia"/>
                <w:color w:val="000000" w:themeColor="text1"/>
                <w:highlight w:val="none"/>
                <w:lang w:val="en-US" w:eastAsia="zh-CN"/>
                <w14:textFill>
                  <w14:solidFill>
                    <w14:schemeClr w14:val="tx1"/>
                  </w14:solidFill>
                </w14:textFill>
              </w:rPr>
              <w:t>中卫</w:t>
            </w:r>
            <w:r>
              <w:rPr>
                <w:rFonts w:hint="eastAsia"/>
                <w:color w:val="000000" w:themeColor="text1"/>
                <w:highlight w:val="none"/>
                <w14:textFill>
                  <w14:solidFill>
                    <w14:schemeClr w14:val="tx1"/>
                  </w14:solidFill>
                </w14:textFill>
              </w:rPr>
              <w:t>市市级生态环境准入清单</w:t>
            </w:r>
            <w:r>
              <w:rPr>
                <w:rFonts w:hint="default"/>
                <w:color w:val="000000" w:themeColor="text1"/>
                <w:highlight w:val="none"/>
                <w14:textFill>
                  <w14:solidFill>
                    <w14:schemeClr w14:val="tx1"/>
                  </w14:solidFill>
                </w14:textFill>
              </w:rPr>
              <w:t>符合性分析表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12"/>
              <w:gridCol w:w="3672"/>
              <w:gridCol w:w="2503"/>
              <w:gridCol w:w="706"/>
            </w:tblGrid>
            <w:tr w14:paraId="07201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gridSpan w:val="2"/>
                  <w:noWrap w:val="0"/>
                  <w:vAlign w:val="center"/>
                </w:tcPr>
                <w:p w14:paraId="62FC7DA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管控维度</w:t>
                  </w:r>
                </w:p>
              </w:tc>
              <w:tc>
                <w:tcPr>
                  <w:tcW w:w="3632" w:type="dxa"/>
                  <w:noWrap w:val="0"/>
                  <w:vAlign w:val="center"/>
                </w:tcPr>
                <w:p w14:paraId="626F1BC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准入要求</w:t>
                  </w:r>
                </w:p>
              </w:tc>
              <w:tc>
                <w:tcPr>
                  <w:tcW w:w="2476" w:type="dxa"/>
                  <w:noWrap w:val="0"/>
                  <w:vAlign w:val="center"/>
                </w:tcPr>
                <w:p w14:paraId="7355AF1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本项目情况</w:t>
                  </w:r>
                </w:p>
              </w:tc>
              <w:tc>
                <w:tcPr>
                  <w:tcW w:w="698" w:type="dxa"/>
                  <w:noWrap w:val="0"/>
                  <w:vAlign w:val="center"/>
                </w:tcPr>
                <w:p w14:paraId="1AEF83B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符合性</w:t>
                  </w:r>
                </w:p>
              </w:tc>
            </w:tr>
            <w:tr w14:paraId="5458D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65EB939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A1空间布局约束</w:t>
                  </w:r>
                </w:p>
              </w:tc>
              <w:tc>
                <w:tcPr>
                  <w:tcW w:w="704" w:type="dxa"/>
                  <w:vMerge w:val="restart"/>
                  <w:noWrap w:val="0"/>
                  <w:vAlign w:val="center"/>
                </w:tcPr>
                <w:p w14:paraId="2DD5CF5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A1.1禁止开发建设活动的要求</w:t>
                  </w:r>
                </w:p>
              </w:tc>
              <w:tc>
                <w:tcPr>
                  <w:tcW w:w="3632" w:type="dxa"/>
                  <w:noWrap w:val="0"/>
                  <w:vAlign w:val="center"/>
                </w:tcPr>
                <w:p w14:paraId="6D0732A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严禁在黄河干流及主要支流临岸1公里范围内新建</w:t>
                  </w:r>
                  <w:r>
                    <w:rPr>
                      <w:rFonts w:hint="eastAsia" w:cs="Times New Roman"/>
                      <w:color w:val="000000" w:themeColor="text1"/>
                      <w:highlight w:val="none"/>
                      <w14:textFill>
                        <w14:solidFill>
                          <w14:schemeClr w14:val="tx1"/>
                        </w14:solidFill>
                      </w14:textFill>
                    </w:rPr>
                    <w:t>“两高一资”</w:t>
                  </w:r>
                  <w:r>
                    <w:rPr>
                      <w:rFonts w:hint="default" w:cs="Times New Roman"/>
                      <w:color w:val="000000" w:themeColor="text1"/>
                      <w:highlight w:val="none"/>
                      <w14:textFill>
                        <w14:solidFill>
                          <w14:schemeClr w14:val="tx1"/>
                        </w14:solidFill>
                      </w14:textFill>
                    </w:rPr>
                    <w:t>项目及相关产业园区</w:t>
                  </w:r>
                </w:p>
              </w:tc>
              <w:tc>
                <w:tcPr>
                  <w:tcW w:w="2476" w:type="dxa"/>
                  <w:noWrap w:val="0"/>
                  <w:vAlign w:val="center"/>
                </w:tcPr>
                <w:p w14:paraId="6D4A46E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本项目不在黄河干流及主要支流临岸一定范围内建设，项目周边无黄河主要支流，与黄河最近距离大于5km，且不属于“两高一资”项目和产业园区。</w:t>
                  </w:r>
                </w:p>
              </w:tc>
              <w:tc>
                <w:tcPr>
                  <w:tcW w:w="698" w:type="dxa"/>
                  <w:noWrap w:val="0"/>
                  <w:vAlign w:val="center"/>
                </w:tcPr>
                <w:p w14:paraId="1792507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DA08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75F0F61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79DFB7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6F4FAA5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黄河沿线两岸3公里范围内不再新建养殖场</w:t>
                  </w:r>
                </w:p>
              </w:tc>
              <w:tc>
                <w:tcPr>
                  <w:tcW w:w="2476" w:type="dxa"/>
                  <w:noWrap w:val="0"/>
                  <w:vAlign w:val="center"/>
                </w:tcPr>
                <w:p w14:paraId="4857763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不属于养殖项目</w:t>
                  </w:r>
                </w:p>
              </w:tc>
              <w:tc>
                <w:tcPr>
                  <w:tcW w:w="698" w:type="dxa"/>
                  <w:noWrap w:val="0"/>
                  <w:vAlign w:val="center"/>
                </w:tcPr>
                <w:p w14:paraId="144D6CA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A1CF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CC0AB2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5FF5C4F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366466E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所有工业企业原则上一律入园，工业园区及产业集聚区外不再建设工业项目</w:t>
                  </w:r>
                </w:p>
              </w:tc>
              <w:tc>
                <w:tcPr>
                  <w:tcW w:w="2476" w:type="dxa"/>
                  <w:noWrap w:val="0"/>
                  <w:vAlign w:val="center"/>
                </w:tcPr>
                <w:p w14:paraId="201242B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不属于工业项目</w:t>
                  </w:r>
                </w:p>
              </w:tc>
              <w:tc>
                <w:tcPr>
                  <w:tcW w:w="698" w:type="dxa"/>
                  <w:noWrap w:val="0"/>
                  <w:vAlign w:val="center"/>
                </w:tcPr>
                <w:p w14:paraId="0F422C4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5D0B6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665632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0A29B36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441807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禁止露天焚烧产生有毒有害烟尘和恶臭气体的物质或将其用作燃料</w:t>
                  </w:r>
                </w:p>
              </w:tc>
              <w:tc>
                <w:tcPr>
                  <w:tcW w:w="2476" w:type="dxa"/>
                  <w:noWrap w:val="0"/>
                  <w:vAlign w:val="center"/>
                </w:tcPr>
                <w:p w14:paraId="17C8D60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751D80E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4E89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3A3E25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6444F38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7B18FCD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除已列入计划内项目，“十四五”期间不再新增燃煤自备电厂（区域背压式供热机组除外）</w:t>
                  </w:r>
                </w:p>
              </w:tc>
              <w:tc>
                <w:tcPr>
                  <w:tcW w:w="2476" w:type="dxa"/>
                  <w:noWrap w:val="0"/>
                  <w:vAlign w:val="center"/>
                </w:tcPr>
                <w:p w14:paraId="37463E8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0DAF72B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F987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AC28A4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575EDFD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C9D4CF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严禁在优先保护类耕地集中区域新建污染土壤的行业企业</w:t>
                  </w:r>
                </w:p>
              </w:tc>
              <w:tc>
                <w:tcPr>
                  <w:tcW w:w="2476" w:type="dxa"/>
                  <w:noWrap w:val="0"/>
                  <w:vAlign w:val="center"/>
                </w:tcPr>
                <w:p w14:paraId="607F7DC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为矿山生态修复项目，不属于污染土壤的行业企业</w:t>
                  </w:r>
                </w:p>
              </w:tc>
              <w:tc>
                <w:tcPr>
                  <w:tcW w:w="698" w:type="dxa"/>
                  <w:noWrap w:val="0"/>
                  <w:vAlign w:val="center"/>
                </w:tcPr>
                <w:p w14:paraId="3885DE1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536C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694E21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2A7D2F2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A1.2限制开发建设活动的要求</w:t>
                  </w:r>
                </w:p>
              </w:tc>
              <w:tc>
                <w:tcPr>
                  <w:tcW w:w="3632" w:type="dxa"/>
                  <w:noWrap w:val="0"/>
                  <w:vAlign w:val="center"/>
                </w:tcPr>
                <w:p w14:paraId="47E61BE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2476" w:type="dxa"/>
                  <w:noWrap w:val="0"/>
                  <w:vAlign w:val="center"/>
                </w:tcPr>
                <w:p w14:paraId="2B20676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项目属于《产业结构调整指导名录（2024年本）》中鼓励类，不属于“两高”项目，不属于产能落后项目。</w:t>
                  </w:r>
                </w:p>
              </w:tc>
              <w:tc>
                <w:tcPr>
                  <w:tcW w:w="698" w:type="dxa"/>
                  <w:noWrap w:val="0"/>
                  <w:vAlign w:val="center"/>
                </w:tcPr>
                <w:p w14:paraId="166BA03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3A4F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69F2F7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restart"/>
                  <w:noWrap w:val="0"/>
                  <w:vAlign w:val="center"/>
                </w:tcPr>
                <w:p w14:paraId="307F7B5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A1.3不符合空间布局要求活动的退出要求</w:t>
                  </w:r>
                </w:p>
              </w:tc>
              <w:tc>
                <w:tcPr>
                  <w:tcW w:w="3632" w:type="dxa"/>
                  <w:noWrap w:val="0"/>
                  <w:vAlign w:val="center"/>
                </w:tcPr>
                <w:p w14:paraId="2D04460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对列入建设用地土壤污染风险管控和修复名录需要实施修复的地块，土壤污染责任人应当按照规定编制修复方案，报所在地生态环境主管部门备案并实施</w:t>
                  </w:r>
                </w:p>
              </w:tc>
              <w:tc>
                <w:tcPr>
                  <w:tcW w:w="2476" w:type="dxa"/>
                  <w:noWrap w:val="0"/>
                  <w:vAlign w:val="center"/>
                </w:tcPr>
                <w:p w14:paraId="32250DD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w:t>
                  </w:r>
                  <w:r>
                    <w:rPr>
                      <w:rFonts w:hint="eastAsia" w:cs="Times New Roman"/>
                      <w:color w:val="000000" w:themeColor="text1"/>
                      <w:highlight w:val="none"/>
                      <w:lang w:val="en-US" w:eastAsia="zh-CN"/>
                      <w14:textFill>
                        <w14:solidFill>
                          <w14:schemeClr w14:val="tx1"/>
                        </w14:solidFill>
                      </w14:textFill>
                    </w:rPr>
                    <w:t>涉及</w:t>
                  </w:r>
                  <w:r>
                    <w:rPr>
                      <w:rFonts w:hint="eastAsia" w:cs="Times New Roman"/>
                      <w:color w:val="000000" w:themeColor="text1"/>
                      <w:highlight w:val="none"/>
                      <w14:textFill>
                        <w14:solidFill>
                          <w14:schemeClr w14:val="tx1"/>
                        </w14:solidFill>
                      </w14:textFill>
                    </w:rPr>
                    <w:t>建设用地土壤污染风险管控和修复名录需要实施修复的地块</w:t>
                  </w:r>
                </w:p>
              </w:tc>
              <w:tc>
                <w:tcPr>
                  <w:tcW w:w="698" w:type="dxa"/>
                  <w:noWrap w:val="0"/>
                  <w:vAlign w:val="center"/>
                </w:tcPr>
                <w:p w14:paraId="045D539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175F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D81FF1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377A73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43B3C2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严格管控自然保护地范围内非生态活动，稳妥推进核心区内居民、耕地、矿权有序退出</w:t>
                  </w:r>
                </w:p>
              </w:tc>
              <w:tc>
                <w:tcPr>
                  <w:tcW w:w="2476" w:type="dxa"/>
                  <w:noWrap w:val="0"/>
                  <w:vAlign w:val="center"/>
                </w:tcPr>
                <w:p w14:paraId="3B8112D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36036D9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BC67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D26BBD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033DBAE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60698E4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对所有现状不达标的养殖场，明确治理时限和治理措施，在规定时间内不能完成污染治理的养殖场，要按照有关规定实施严肃处罚</w:t>
                  </w:r>
                </w:p>
              </w:tc>
              <w:tc>
                <w:tcPr>
                  <w:tcW w:w="2476" w:type="dxa"/>
                  <w:noWrap w:val="0"/>
                  <w:vAlign w:val="center"/>
                </w:tcPr>
                <w:p w14:paraId="53B615E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7DCF90B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88F7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8DCDA6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6F34893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9325A0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476" w:type="dxa"/>
                  <w:noWrap w:val="0"/>
                  <w:vAlign w:val="center"/>
                </w:tcPr>
                <w:p w14:paraId="0657ED5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2A0FEC3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F669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68BAE16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A2污染物排放管控</w:t>
                  </w:r>
                </w:p>
              </w:tc>
              <w:tc>
                <w:tcPr>
                  <w:tcW w:w="704" w:type="dxa"/>
                  <w:vMerge w:val="restart"/>
                  <w:noWrap w:val="0"/>
                  <w:vAlign w:val="center"/>
                </w:tcPr>
                <w:p w14:paraId="622D1D2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A2.1允许排放量要求</w:t>
                  </w:r>
                </w:p>
              </w:tc>
              <w:tc>
                <w:tcPr>
                  <w:tcW w:w="3632" w:type="dxa"/>
                  <w:noWrap w:val="0"/>
                  <w:vAlign w:val="center"/>
                </w:tcPr>
                <w:p w14:paraId="2579108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化学需氧量、氨氮、氮氧化物和挥发性有机物排放总量完成自治区下达任务</w:t>
                  </w:r>
                </w:p>
              </w:tc>
              <w:tc>
                <w:tcPr>
                  <w:tcW w:w="2476" w:type="dxa"/>
                  <w:noWrap w:val="0"/>
                  <w:vAlign w:val="center"/>
                </w:tcPr>
                <w:p w14:paraId="747F76D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015A43A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B51E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09" w:type="dxa"/>
                  <w:vMerge w:val="continue"/>
                  <w:noWrap w:val="0"/>
                  <w:vAlign w:val="center"/>
                </w:tcPr>
                <w:p w14:paraId="620EC94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252E9BD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843396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O</w:t>
                  </w:r>
                  <w:r>
                    <w:rPr>
                      <w:rFonts w:hint="eastAsia" w:cs="Times New Roman"/>
                      <w:color w:val="000000" w:themeColor="text1"/>
                      <w:highlight w:val="none"/>
                      <w:vertAlign w:val="subscript"/>
                      <w:lang w:val="en-US" w:eastAsia="zh-CN"/>
                      <w14:textFill>
                        <w14:solidFill>
                          <w14:schemeClr w14:val="tx1"/>
                        </w14:solidFill>
                      </w14:textFill>
                    </w:rPr>
                    <w:t>3</w:t>
                  </w:r>
                  <w:r>
                    <w:rPr>
                      <w:rFonts w:hint="eastAsia" w:cs="Times New Roman"/>
                      <w:color w:val="000000" w:themeColor="text1"/>
                      <w:highlight w:val="none"/>
                      <w14:textFill>
                        <w14:solidFill>
                          <w14:schemeClr w14:val="tx1"/>
                        </w14:solidFill>
                      </w14:textFill>
                    </w:rPr>
                    <w:t>未达标城市，新、改、扩建项目实施更严格的污染物排放总量控制要求，所需二氧化硫、NOx、VO</w:t>
                  </w:r>
                  <w:r>
                    <w:rPr>
                      <w:rFonts w:hint="eastAsia" w:cs="Times New Roman"/>
                      <w:color w:val="000000" w:themeColor="text1"/>
                      <w:highlight w:val="none"/>
                      <w:lang w:val="en-US" w:eastAsia="zh-CN"/>
                      <w14:textFill>
                        <w14:solidFill>
                          <w14:schemeClr w14:val="tx1"/>
                        </w14:solidFill>
                      </w14:textFill>
                    </w:rPr>
                    <w:t>C</w:t>
                  </w:r>
                  <w:r>
                    <w:rPr>
                      <w:rFonts w:hint="eastAsia" w:cs="Times New Roman"/>
                      <w:color w:val="000000" w:themeColor="text1"/>
                      <w:highlight w:val="none"/>
                      <w14:textFill>
                        <w14:solidFill>
                          <w14:schemeClr w14:val="tx1"/>
                        </w14:solidFill>
                      </w14:textFill>
                    </w:rPr>
                    <w:t>s排放量指标要进行减量替代</w:t>
                  </w:r>
                </w:p>
              </w:tc>
              <w:tc>
                <w:tcPr>
                  <w:tcW w:w="2476" w:type="dxa"/>
                  <w:noWrap w:val="0"/>
                  <w:vAlign w:val="center"/>
                </w:tcPr>
                <w:p w14:paraId="66D7C5B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本项目所在区域PM</w:t>
                  </w:r>
                  <w:r>
                    <w:rPr>
                      <w:rFonts w:hint="eastAsia" w:cs="Times New Roman"/>
                      <w:color w:val="000000" w:themeColor="text1"/>
                      <w:highlight w:val="none"/>
                      <w:vertAlign w:val="subscript"/>
                      <w14:textFill>
                        <w14:solidFill>
                          <w14:schemeClr w14:val="tx1"/>
                        </w14:solidFill>
                      </w14:textFill>
                    </w:rPr>
                    <w:t>2.5</w:t>
                  </w:r>
                  <w:r>
                    <w:rPr>
                      <w:rFonts w:hint="eastAsia" w:cs="Times New Roman"/>
                      <w:color w:val="000000" w:themeColor="text1"/>
                      <w:highlight w:val="none"/>
                      <w14:textFill>
                        <w14:solidFill>
                          <w14:schemeClr w14:val="tx1"/>
                        </w14:solidFill>
                      </w14:textFill>
                    </w:rPr>
                    <w:t>和O</w:t>
                  </w:r>
                  <w:r>
                    <w:rPr>
                      <w:rFonts w:hint="eastAsia" w:cs="Times New Roman"/>
                      <w:color w:val="000000" w:themeColor="text1"/>
                      <w:highlight w:val="none"/>
                      <w:vertAlign w:val="subscript"/>
                      <w14:textFill>
                        <w14:solidFill>
                          <w14:schemeClr w14:val="tx1"/>
                        </w14:solidFill>
                      </w14:textFill>
                    </w:rPr>
                    <w:t>3</w:t>
                  </w:r>
                  <w:r>
                    <w:rPr>
                      <w:rFonts w:hint="eastAsia" w:cs="Times New Roman"/>
                      <w:color w:val="000000" w:themeColor="text1"/>
                      <w:highlight w:val="none"/>
                      <w14:textFill>
                        <w14:solidFill>
                          <w14:schemeClr w14:val="tx1"/>
                        </w14:solidFill>
                      </w14:textFill>
                    </w:rPr>
                    <w:t>达标，且本项目不涉及二氧化硫、NOx、VOCs排放</w:t>
                  </w:r>
                </w:p>
              </w:tc>
              <w:tc>
                <w:tcPr>
                  <w:tcW w:w="698" w:type="dxa"/>
                  <w:noWrap w:val="0"/>
                  <w:vAlign w:val="center"/>
                </w:tcPr>
                <w:p w14:paraId="5F8F35D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77582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A03202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74E81B2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E59A16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 1.2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1</w:t>
                  </w:r>
                </w:p>
              </w:tc>
              <w:tc>
                <w:tcPr>
                  <w:tcW w:w="2476" w:type="dxa"/>
                  <w:noWrap w:val="0"/>
                  <w:vAlign w:val="center"/>
                </w:tcPr>
                <w:p w14:paraId="000AB04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本项目不属于</w:t>
                  </w:r>
                  <w:r>
                    <w:rPr>
                      <w:rFonts w:hint="default" w:cs="Times New Roman"/>
                      <w:color w:val="000000" w:themeColor="text1"/>
                      <w:highlight w:val="none"/>
                      <w14:textFill>
                        <w14:solidFill>
                          <w14:schemeClr w14:val="tx1"/>
                        </w14:solidFill>
                      </w14:textFill>
                    </w:rPr>
                    <w:t>重金属重点行业建设项目</w:t>
                  </w:r>
                </w:p>
              </w:tc>
              <w:tc>
                <w:tcPr>
                  <w:tcW w:w="698" w:type="dxa"/>
                  <w:noWrap w:val="0"/>
                  <w:vAlign w:val="center"/>
                </w:tcPr>
                <w:p w14:paraId="0B66B73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D32F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5C29D4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5B24D5D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8B5F9B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到2025年，中卫市畜禽养殖废物综合利用率达到95%，规模养殖场粪污处理设施装备配套率达到100%</w:t>
                  </w:r>
                </w:p>
              </w:tc>
              <w:tc>
                <w:tcPr>
                  <w:tcW w:w="2476" w:type="dxa"/>
                  <w:noWrap w:val="0"/>
                  <w:vAlign w:val="center"/>
                </w:tcPr>
                <w:p w14:paraId="44B4D88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75DE785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74D23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72771D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restart"/>
                  <w:noWrap w:val="0"/>
                  <w:vAlign w:val="center"/>
                </w:tcPr>
                <w:p w14:paraId="2CD641D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A2.2现有源提标升级改造</w:t>
                  </w:r>
                </w:p>
              </w:tc>
              <w:tc>
                <w:tcPr>
                  <w:tcW w:w="3632" w:type="dxa"/>
                  <w:noWrap w:val="0"/>
                  <w:vAlign w:val="center"/>
                </w:tcPr>
                <w:p w14:paraId="32A3107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力争到2024年底，所有钢铁企业主要大气污染物基本达到超低排放指标限值</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有序推进水泥行业超低排放改造计划，水泥熟料窑改造后氮氧化物排放浓度不高于100毫克/立方米</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焦化企业参照《关于推进实施钢铁行业超低排放的意见》要求实施升级改造，改造后氮氧化物排放浓度不高于150毫克/立方米</w:t>
                  </w:r>
                </w:p>
              </w:tc>
              <w:tc>
                <w:tcPr>
                  <w:tcW w:w="2476" w:type="dxa"/>
                  <w:noWrap w:val="0"/>
                  <w:vAlign w:val="center"/>
                </w:tcPr>
                <w:p w14:paraId="33074E2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r>
                    <w:rPr>
                      <w:rFonts w:hint="eastAsia" w:cs="Times New Roman"/>
                      <w:color w:val="000000" w:themeColor="text1"/>
                      <w:highlight w:val="none"/>
                      <w:lang w:val="en-US" w:eastAsia="zh-CN"/>
                      <w14:textFill>
                        <w14:solidFill>
                          <w14:schemeClr w14:val="tx1"/>
                        </w14:solidFill>
                      </w14:textFill>
                    </w:rPr>
                    <w:t>相关企业</w:t>
                  </w:r>
                </w:p>
              </w:tc>
              <w:tc>
                <w:tcPr>
                  <w:tcW w:w="698" w:type="dxa"/>
                  <w:noWrap w:val="0"/>
                  <w:vAlign w:val="center"/>
                </w:tcPr>
                <w:p w14:paraId="02661DA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C87A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FB1C84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066C86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39BF556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2024年底前，烧结、炼铁、炼钢轧钢、自备电厂等有组织排放污染物实行超低排放限值</w:t>
                  </w:r>
                </w:p>
              </w:tc>
              <w:tc>
                <w:tcPr>
                  <w:tcW w:w="2476" w:type="dxa"/>
                  <w:noWrap w:val="0"/>
                  <w:vAlign w:val="center"/>
                </w:tcPr>
                <w:p w14:paraId="7106DB5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本项目不涉及</w:t>
                  </w:r>
                </w:p>
              </w:tc>
              <w:tc>
                <w:tcPr>
                  <w:tcW w:w="698" w:type="dxa"/>
                  <w:noWrap w:val="0"/>
                  <w:vAlign w:val="center"/>
                </w:tcPr>
                <w:p w14:paraId="08B4782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r w14:paraId="5599E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580BD41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A3环境风险防控</w:t>
                  </w:r>
                </w:p>
              </w:tc>
              <w:tc>
                <w:tcPr>
                  <w:tcW w:w="704" w:type="dxa"/>
                  <w:vMerge w:val="restart"/>
                  <w:noWrap w:val="0"/>
                  <w:vAlign w:val="center"/>
                </w:tcPr>
                <w:p w14:paraId="2F42424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A3.1联防联控要求</w:t>
                  </w:r>
                </w:p>
              </w:tc>
              <w:tc>
                <w:tcPr>
                  <w:tcW w:w="3632" w:type="dxa"/>
                  <w:noWrap w:val="0"/>
                  <w:vAlign w:val="center"/>
                </w:tcPr>
                <w:p w14:paraId="137D722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健全市生态环境局与公安、交通、应急、气象、水务等部门联动机制，细化落实各相关部门之间联防联控责任与任务分工，联合开展突发环境污染事件处置应急演练，提高联防联控实战能力</w:t>
                  </w:r>
                </w:p>
              </w:tc>
              <w:tc>
                <w:tcPr>
                  <w:tcW w:w="2476" w:type="dxa"/>
                  <w:noWrap w:val="0"/>
                  <w:vAlign w:val="center"/>
                </w:tcPr>
                <w:p w14:paraId="0EE153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6FB2CD1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228D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FAF0BA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23C0E01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D4595D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以黄河干流和主要支流为重点，严控石化、化工、有色金属、印染、原料药制造等行业企业环境风险，加强油气管道环境风险防范，开展新污染物环境调</w:t>
                  </w:r>
                  <w:r>
                    <w:rPr>
                      <w:rFonts w:hint="eastAsia" w:cs="Times New Roman"/>
                      <w:color w:val="000000" w:themeColor="text1"/>
                      <w:highlight w:val="none"/>
                      <w:lang w:eastAsia="zh-CN"/>
                      <w14:textFill>
                        <w14:solidFill>
                          <w14:schemeClr w14:val="tx1"/>
                        </w14:solidFill>
                      </w14:textFill>
                    </w:rPr>
                    <w:t>查</w:t>
                  </w:r>
                  <w:r>
                    <w:rPr>
                      <w:rFonts w:hint="eastAsia" w:cs="Times New Roman"/>
                      <w:color w:val="000000" w:themeColor="text1"/>
                      <w:highlight w:val="none"/>
                      <w14:textFill>
                        <w14:solidFill>
                          <w14:schemeClr w14:val="tx1"/>
                        </w14:solidFill>
                      </w14:textFill>
                    </w:rPr>
                    <w:t>监测和环境风险评估，推进流域突发环境风险调</w:t>
                  </w:r>
                  <w:r>
                    <w:rPr>
                      <w:rFonts w:hint="eastAsia" w:cs="Times New Roman"/>
                      <w:color w:val="000000" w:themeColor="text1"/>
                      <w:highlight w:val="none"/>
                      <w:lang w:eastAsia="zh-CN"/>
                      <w14:textFill>
                        <w14:solidFill>
                          <w14:schemeClr w14:val="tx1"/>
                        </w14:solidFill>
                      </w14:textFill>
                    </w:rPr>
                    <w:t>查</w:t>
                  </w:r>
                  <w:r>
                    <w:rPr>
                      <w:rFonts w:hint="eastAsia" w:cs="Times New Roman"/>
                      <w:color w:val="000000" w:themeColor="text1"/>
                      <w:highlight w:val="none"/>
                      <w14:textFill>
                        <w14:solidFill>
                          <w14:schemeClr w14:val="tx1"/>
                        </w14:solidFill>
                      </w14:textFill>
                    </w:rPr>
                    <w:t>与监控预警体系建设，构建市-县(区)-区城-企业四级应急物资储备网络</w:t>
                  </w:r>
                </w:p>
              </w:tc>
              <w:tc>
                <w:tcPr>
                  <w:tcW w:w="2476" w:type="dxa"/>
                  <w:noWrap w:val="0"/>
                  <w:vAlign w:val="center"/>
                </w:tcPr>
                <w:p w14:paraId="3E87F88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30424DD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62C8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867552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412BDF2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A3.2企业环境风险防控要求</w:t>
                  </w:r>
                </w:p>
              </w:tc>
              <w:tc>
                <w:tcPr>
                  <w:tcW w:w="3632" w:type="dxa"/>
                  <w:noWrap w:val="0"/>
                  <w:vAlign w:val="center"/>
                </w:tcPr>
                <w:p w14:paraId="1336504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紧盯涉危险废物涉重金属企业、化工园区、水源地，强化环境应急三级防控体系建设，落实企业环境安全主体责任，推行企业突发环境事件应急预案电子备案</w:t>
                  </w:r>
                </w:p>
              </w:tc>
              <w:tc>
                <w:tcPr>
                  <w:tcW w:w="2476" w:type="dxa"/>
                  <w:noWrap w:val="0"/>
                  <w:vAlign w:val="center"/>
                </w:tcPr>
                <w:p w14:paraId="07CE2A6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41A7685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BD39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5714201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A4资源利用效率要求</w:t>
                  </w:r>
                </w:p>
              </w:tc>
              <w:tc>
                <w:tcPr>
                  <w:tcW w:w="704" w:type="dxa"/>
                  <w:vMerge w:val="restart"/>
                  <w:noWrap w:val="0"/>
                  <w:vAlign w:val="center"/>
                </w:tcPr>
                <w:p w14:paraId="25746EA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A4.1能源利用总量及效率要求</w:t>
                  </w:r>
                </w:p>
              </w:tc>
              <w:tc>
                <w:tcPr>
                  <w:tcW w:w="3632" w:type="dxa"/>
                  <w:noWrap w:val="0"/>
                  <w:vAlign w:val="center"/>
                </w:tcPr>
                <w:p w14:paraId="23781A3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全面贯彻落实国家和自治区下达煤炭消费总量目标，严格控制耗煤行业煤炭新增量，优先保障民生供暖新增用煤需求</w:t>
                  </w:r>
                </w:p>
              </w:tc>
              <w:tc>
                <w:tcPr>
                  <w:tcW w:w="2476" w:type="dxa"/>
                  <w:noWrap w:val="0"/>
                  <w:vAlign w:val="center"/>
                </w:tcPr>
                <w:p w14:paraId="578DE55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50AAA99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D192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F8A78B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786A8AF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34FB44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新增产能必须符合国内先进能效标准</w:t>
                  </w:r>
                </w:p>
              </w:tc>
              <w:tc>
                <w:tcPr>
                  <w:tcW w:w="2476" w:type="dxa"/>
                  <w:noWrap w:val="0"/>
                  <w:vAlign w:val="center"/>
                </w:tcPr>
                <w:p w14:paraId="7772809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32914FD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B91A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3270790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3B7AA7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162722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国家大气污染防治重点区域内新建耗煤项目应严格按规定采取煤炭消费减量</w:t>
                  </w:r>
                  <w:r>
                    <w:rPr>
                      <w:rFonts w:hint="eastAsia" w:cs="Times New Roman"/>
                      <w:color w:val="000000" w:themeColor="text1"/>
                      <w:highlight w:val="none"/>
                      <w:lang w:eastAsia="zh-CN"/>
                      <w14:textFill>
                        <w14:solidFill>
                          <w14:schemeClr w14:val="tx1"/>
                        </w14:solidFill>
                      </w14:textFill>
                    </w:rPr>
                    <w:t>替代</w:t>
                  </w:r>
                  <w:r>
                    <w:rPr>
                      <w:rFonts w:hint="eastAsia" w:cs="Times New Roman"/>
                      <w:color w:val="000000" w:themeColor="text1"/>
                      <w:highlight w:val="none"/>
                      <w14:textFill>
                        <w14:solidFill>
                          <w14:schemeClr w14:val="tx1"/>
                        </w14:solidFill>
                      </w14:textFill>
                    </w:rPr>
                    <w:t>措施，不得使用高污染燃料作为煤炭减量替代措施</w:t>
                  </w:r>
                </w:p>
              </w:tc>
              <w:tc>
                <w:tcPr>
                  <w:tcW w:w="2476" w:type="dxa"/>
                  <w:noWrap w:val="0"/>
                  <w:vAlign w:val="center"/>
                </w:tcPr>
                <w:p w14:paraId="1C1B6BD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3B9BB49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5EC1C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3336245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17A46B0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A4.2水资源利用总量及效率要求</w:t>
                  </w:r>
                </w:p>
              </w:tc>
              <w:tc>
                <w:tcPr>
                  <w:tcW w:w="3632" w:type="dxa"/>
                  <w:noWrap w:val="0"/>
                  <w:vAlign w:val="center"/>
                </w:tcPr>
                <w:p w14:paraId="662A83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建立水资源刚性约束制度，严格准入条件，按照地区取水总量限值审核新、改、扩建项目，取水总量不得超过地区水资源取用上限或承载能力</w:t>
                  </w:r>
                </w:p>
              </w:tc>
              <w:tc>
                <w:tcPr>
                  <w:tcW w:w="2476" w:type="dxa"/>
                  <w:noWrap w:val="0"/>
                  <w:vAlign w:val="center"/>
                </w:tcPr>
                <w:p w14:paraId="32CB9FF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运营期仅使用少量养护用水，无废水排放。不会对区域水资源利用造成影响。</w:t>
                  </w:r>
                </w:p>
              </w:tc>
              <w:tc>
                <w:tcPr>
                  <w:tcW w:w="698" w:type="dxa"/>
                  <w:noWrap w:val="0"/>
                  <w:vAlign w:val="center"/>
                </w:tcPr>
                <w:p w14:paraId="021542A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bl>
          <w:p w14:paraId="0FBB0273">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表1-6  本项目</w:t>
            </w:r>
            <w:r>
              <w:rPr>
                <w:rFonts w:hint="eastAsia"/>
                <w:color w:val="000000" w:themeColor="text1"/>
                <w:highlight w:val="none"/>
                <w14:textFill>
                  <w14:solidFill>
                    <w14:schemeClr w14:val="tx1"/>
                  </w14:solidFill>
                </w14:textFill>
              </w:rPr>
              <w:t>与</w:t>
            </w:r>
            <w:r>
              <w:rPr>
                <w:rFonts w:hint="eastAsia"/>
                <w:color w:val="000000" w:themeColor="text1"/>
                <w:highlight w:val="none"/>
                <w:lang w:val="en-US" w:eastAsia="zh-CN"/>
                <w14:textFill>
                  <w14:solidFill>
                    <w14:schemeClr w14:val="tx1"/>
                  </w14:solidFill>
                </w14:textFill>
              </w:rPr>
              <w:t>沙坡头环境管控单元生态环境准入清单符合性</w:t>
            </w:r>
            <w:r>
              <w:rPr>
                <w:rFonts w:hint="eastAsia"/>
                <w:color w:val="000000" w:themeColor="text1"/>
                <w:highlight w:val="none"/>
                <w14:textFill>
                  <w14:solidFill>
                    <w14:schemeClr w14:val="tx1"/>
                  </w14:solidFill>
                </w14:textFill>
              </w:rPr>
              <w:t>分析</w:t>
            </w:r>
          </w:p>
          <w:tbl>
            <w:tblPr>
              <w:tblStyle w:val="27"/>
              <w:tblpPr w:leftFromText="180" w:rightFromText="180" w:vertAnchor="text" w:tblpX="1"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27"/>
              <w:gridCol w:w="708"/>
              <w:gridCol w:w="813"/>
              <w:gridCol w:w="3066"/>
              <w:gridCol w:w="1943"/>
              <w:gridCol w:w="650"/>
            </w:tblGrid>
            <w:tr w14:paraId="5D590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tcBorders>
                    <w:tl2br w:val="nil"/>
                    <w:tr2bl w:val="nil"/>
                  </w:tcBorders>
                  <w:noWrap w:val="0"/>
                  <w:vAlign w:val="center"/>
                </w:tcPr>
                <w:p w14:paraId="4403298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环境管控单元名称</w:t>
                  </w:r>
                </w:p>
              </w:tc>
              <w:tc>
                <w:tcPr>
                  <w:tcW w:w="708" w:type="dxa"/>
                  <w:tcBorders>
                    <w:tl2br w:val="nil"/>
                    <w:tr2bl w:val="nil"/>
                  </w:tcBorders>
                  <w:noWrap w:val="0"/>
                  <w:vAlign w:val="center"/>
                </w:tcPr>
                <w:p w14:paraId="3B0762E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要素属性</w:t>
                  </w:r>
                </w:p>
              </w:tc>
              <w:tc>
                <w:tcPr>
                  <w:tcW w:w="3879" w:type="dxa"/>
                  <w:gridSpan w:val="2"/>
                  <w:tcBorders>
                    <w:tl2br w:val="nil"/>
                    <w:tr2bl w:val="nil"/>
                  </w:tcBorders>
                  <w:noWrap w:val="0"/>
                  <w:vAlign w:val="center"/>
                </w:tcPr>
                <w:p w14:paraId="4D18878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管控要求</w:t>
                  </w:r>
                </w:p>
              </w:tc>
              <w:tc>
                <w:tcPr>
                  <w:tcW w:w="1943" w:type="dxa"/>
                  <w:tcBorders>
                    <w:tl2br w:val="nil"/>
                    <w:tr2bl w:val="nil"/>
                  </w:tcBorders>
                  <w:noWrap w:val="0"/>
                  <w:vAlign w:val="center"/>
                </w:tcPr>
                <w:p w14:paraId="2051A1E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本项目情况</w:t>
                  </w:r>
                </w:p>
              </w:tc>
              <w:tc>
                <w:tcPr>
                  <w:tcW w:w="650" w:type="dxa"/>
                  <w:tcBorders>
                    <w:tl2br w:val="nil"/>
                    <w:tr2bl w:val="nil"/>
                  </w:tcBorders>
                  <w:noWrap w:val="0"/>
                  <w:vAlign w:val="center"/>
                </w:tcPr>
                <w:p w14:paraId="0A38DF4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是否符合</w:t>
                  </w:r>
                </w:p>
              </w:tc>
            </w:tr>
            <w:tr w14:paraId="46895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restart"/>
                  <w:tcBorders>
                    <w:tl2br w:val="nil"/>
                    <w:tr2bl w:val="nil"/>
                  </w:tcBorders>
                  <w:noWrap w:val="0"/>
                  <w:vAlign w:val="center"/>
                </w:tcPr>
                <w:p w14:paraId="2DEB882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14:textFill>
                        <w14:solidFill>
                          <w14:schemeClr w14:val="tx1"/>
                        </w14:solidFill>
                      </w14:textFill>
                    </w:rPr>
                    <w:t>ZH6405021000</w:t>
                  </w:r>
                  <w:r>
                    <w:rPr>
                      <w:rFonts w:hint="eastAsia" w:cs="Times New Roman"/>
                      <w:color w:val="000000" w:themeColor="text1"/>
                      <w:highlight w:val="none"/>
                      <w:lang w:val="en-US" w:eastAsia="zh-CN"/>
                      <w14:textFill>
                        <w14:solidFill>
                          <w14:schemeClr w14:val="tx1"/>
                        </w14:solidFill>
                      </w14:textFill>
                    </w:rPr>
                    <w:t>4</w:t>
                  </w:r>
                  <w:r>
                    <w:rPr>
                      <w:rFonts w:hint="default" w:cs="Times New Roman"/>
                      <w:color w:val="000000" w:themeColor="text1"/>
                      <w:highlight w:val="none"/>
                      <w14:textFill>
                        <w14:solidFill>
                          <w14:schemeClr w14:val="tx1"/>
                        </w14:solidFill>
                      </w14:textFill>
                    </w:rPr>
                    <w:t>沙坡头区优先保护单元</w:t>
                  </w:r>
                  <w:r>
                    <w:rPr>
                      <w:rFonts w:hint="eastAsia"/>
                      <w:color w:val="000000" w:themeColor="text1"/>
                      <w:highlight w:val="none"/>
                      <w:lang w:val="en-US" w:eastAsia="zh-CN"/>
                      <w14:textFill>
                        <w14:solidFill>
                          <w14:schemeClr w14:val="tx1"/>
                        </w14:solidFill>
                      </w14:textFill>
                    </w:rPr>
                    <w:t>2</w:t>
                  </w:r>
                </w:p>
              </w:tc>
              <w:tc>
                <w:tcPr>
                  <w:tcW w:w="708" w:type="dxa"/>
                  <w:vMerge w:val="restart"/>
                  <w:tcBorders>
                    <w:tl2br w:val="nil"/>
                    <w:tr2bl w:val="nil"/>
                  </w:tcBorders>
                  <w:noWrap w:val="0"/>
                  <w:vAlign w:val="center"/>
                </w:tcPr>
                <w:p w14:paraId="5DB453F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生态保护红线</w:t>
                  </w:r>
                </w:p>
                <w:p w14:paraId="0599EC7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14:textFill>
                        <w14:solidFill>
                          <w14:schemeClr w14:val="tx1"/>
                        </w14:solidFill>
                      </w14:textFill>
                    </w:rPr>
                    <w:t>+生态空间</w:t>
                  </w:r>
                </w:p>
              </w:tc>
              <w:tc>
                <w:tcPr>
                  <w:tcW w:w="813" w:type="dxa"/>
                  <w:tcBorders>
                    <w:tl2br w:val="nil"/>
                    <w:tr2bl w:val="nil"/>
                  </w:tcBorders>
                  <w:noWrap w:val="0"/>
                  <w:vAlign w:val="center"/>
                </w:tcPr>
                <w:p w14:paraId="7758536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空间布局约束</w:t>
                  </w:r>
                </w:p>
              </w:tc>
              <w:tc>
                <w:tcPr>
                  <w:tcW w:w="3066" w:type="dxa"/>
                  <w:tcBorders>
                    <w:tl2br w:val="nil"/>
                    <w:tr2bl w:val="nil"/>
                  </w:tcBorders>
                  <w:noWrap w:val="0"/>
                  <w:vAlign w:val="center"/>
                </w:tcPr>
                <w:p w14:paraId="6F5CAB44">
                  <w:pPr>
                    <w:pStyle w:val="3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1.禁止新建项目乱征滥占草地、破坏沙生植被，严格限制在区域内采砂取土。</w:t>
                  </w:r>
                </w:p>
                <w:p w14:paraId="6F28D2B8">
                  <w:pPr>
                    <w:pStyle w:val="3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p>
                <w:p w14:paraId="356BBD67">
                  <w:pPr>
                    <w:pStyle w:val="3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olor w:val="000000" w:themeColor="text1"/>
                      <w:highlight w:val="none"/>
                      <w:lang w:val="en-US" w:eastAsia="zh-CN"/>
                      <w14:textFill>
                        <w14:solidFill>
                          <w14:schemeClr w14:val="tx1"/>
                        </w14:solidFill>
                      </w14:textFill>
                    </w:rPr>
                  </w:pPr>
                  <w:r>
                    <w:rPr>
                      <w:rFonts w:hint="default" w:eastAsia="宋体" w:cs="Times New Roman"/>
                      <w:color w:val="000000" w:themeColor="text1"/>
                      <w:highlight w:val="none"/>
                      <w:lang w:val="en-US" w:eastAsia="zh-CN"/>
                      <w14:textFill>
                        <w14:solidFill>
                          <w14:schemeClr w14:val="tx1"/>
                        </w14:solidFill>
                      </w14:textFill>
                    </w:rPr>
                    <w:t>3.对区域内“散乱污”企业根据实际情况采取关停或搬迁入园措施。禁养区内现有的畜禽养殖场（小区）污染物的排放要符合《畜禽养殖污染物排放标准》的要求，并限期实现关停、转产或搬迁。</w:t>
                  </w:r>
                </w:p>
              </w:tc>
              <w:tc>
                <w:tcPr>
                  <w:tcW w:w="1943" w:type="dxa"/>
                  <w:tcBorders>
                    <w:tl2br w:val="nil"/>
                    <w:tr2bl w:val="nil"/>
                  </w:tcBorders>
                  <w:noWrap w:val="0"/>
                  <w:vAlign w:val="center"/>
                </w:tcPr>
                <w:p w14:paraId="7F92D82F">
                  <w:pPr>
                    <w:pStyle w:val="3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1.本项目属于矿山生态修复项目，不涉及矿山开采，项目的实施有利于植被的恢复及地貌景观的协调</w:t>
                  </w:r>
                </w:p>
                <w:p w14:paraId="76DF6833">
                  <w:pPr>
                    <w:pStyle w:val="3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2.本项目不占用生态红线，主要对矿山进行生态修复治理，属于十类</w:t>
                  </w:r>
                  <w:r>
                    <w:rPr>
                      <w:rFonts w:hint="default" w:cs="Times New Roman"/>
                      <w:color w:val="000000" w:themeColor="text1"/>
                      <w:highlight w:val="none"/>
                      <w:lang w:val="en-US" w:eastAsia="zh-CN"/>
                      <w14:textFill>
                        <w14:solidFill>
                          <w14:schemeClr w14:val="tx1"/>
                        </w14:solidFill>
                      </w14:textFill>
                    </w:rPr>
                    <w:t>对生态功能不造成破坏的有限人为活动</w:t>
                  </w:r>
                  <w:r>
                    <w:rPr>
                      <w:rFonts w:hint="eastAsia" w:cs="Times New Roman"/>
                      <w:color w:val="000000" w:themeColor="text1"/>
                      <w:highlight w:val="none"/>
                      <w:lang w:val="en-US" w:eastAsia="zh-CN"/>
                      <w14:textFill>
                        <w14:solidFill>
                          <w14:schemeClr w14:val="tx1"/>
                        </w14:solidFill>
                      </w14:textFill>
                    </w:rPr>
                    <w:t>之一，项目的开展有利于生态功能的恢复</w:t>
                  </w:r>
                </w:p>
                <w:p w14:paraId="26A7583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2.本项目不属于“散乱污”行业与企业</w:t>
                  </w:r>
                </w:p>
              </w:tc>
              <w:tc>
                <w:tcPr>
                  <w:tcW w:w="650" w:type="dxa"/>
                  <w:tcBorders>
                    <w:tl2br w:val="nil"/>
                    <w:tr2bl w:val="nil"/>
                  </w:tcBorders>
                  <w:noWrap w:val="0"/>
                  <w:vAlign w:val="center"/>
                </w:tcPr>
                <w:p w14:paraId="2C40FD8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00BF9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50D7116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5666474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28BB76F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污染物排放管控</w:t>
                  </w:r>
                </w:p>
              </w:tc>
              <w:tc>
                <w:tcPr>
                  <w:tcW w:w="3066" w:type="dxa"/>
                  <w:tcBorders>
                    <w:tl2br w:val="nil"/>
                    <w:tr2bl w:val="nil"/>
                  </w:tcBorders>
                  <w:noWrap w:val="0"/>
                  <w:vAlign w:val="center"/>
                </w:tcPr>
                <w:p w14:paraId="6D005C7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7DA3C95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2A65806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1A223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208EFB1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49CD805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639A098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环境风险防控</w:t>
                  </w:r>
                </w:p>
              </w:tc>
              <w:tc>
                <w:tcPr>
                  <w:tcW w:w="3066" w:type="dxa"/>
                  <w:tcBorders>
                    <w:tl2br w:val="nil"/>
                    <w:tr2bl w:val="nil"/>
                  </w:tcBorders>
                  <w:noWrap w:val="0"/>
                  <w:vAlign w:val="center"/>
                </w:tcPr>
                <w:p w14:paraId="3A9A748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633357C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0762FA7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0ED94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556BAD9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09CC669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458BF0D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资源开发效率</w:t>
                  </w:r>
                </w:p>
              </w:tc>
              <w:tc>
                <w:tcPr>
                  <w:tcW w:w="3066" w:type="dxa"/>
                  <w:tcBorders>
                    <w:tl2br w:val="nil"/>
                    <w:tr2bl w:val="nil"/>
                  </w:tcBorders>
                  <w:noWrap w:val="0"/>
                  <w:vAlign w:val="center"/>
                </w:tcPr>
                <w:p w14:paraId="4BB812D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728A38E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765429A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bl>
          <w:p w14:paraId="5DE19C19">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项目与《矿山生态环境保护与恢复治理技术规范（试行）》（HJ651-2013）相符性分析</w:t>
            </w:r>
          </w:p>
          <w:p w14:paraId="31AB5E57">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本项目与</w:t>
            </w:r>
            <w:r>
              <w:rPr>
                <w:rFonts w:hint="eastAsia"/>
                <w:color w:val="000000" w:themeColor="text1"/>
                <w:highlight w:val="none"/>
                <w14:textFill>
                  <w14:solidFill>
                    <w14:schemeClr w14:val="tx1"/>
                  </w14:solidFill>
                </w14:textFill>
              </w:rPr>
              <w:t>《矿山生态环境保护与恢复治理技术规范（试行）》（HJ651-2013）相符性分析</w:t>
            </w:r>
            <w:r>
              <w:rPr>
                <w:rFonts w:hint="eastAsia"/>
                <w:color w:val="000000" w:themeColor="text1"/>
                <w:highlight w:val="none"/>
                <w:lang w:val="en-US" w:eastAsia="zh-CN"/>
                <w14:textFill>
                  <w14:solidFill>
                    <w14:schemeClr w14:val="tx1"/>
                  </w14:solidFill>
                </w14:textFill>
              </w:rPr>
              <w:t>见表1-7。</w:t>
            </w:r>
          </w:p>
          <w:p w14:paraId="269F01C0">
            <w:pPr>
              <w:pStyle w:val="3"/>
              <w:bidi w:val="0"/>
              <w:ind w:left="0" w:leftChars="0" w:firstLine="0" w:firstLineChars="0"/>
              <w:jc w:val="both"/>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14:textFill>
                  <w14:solidFill>
                    <w14:schemeClr w14:val="tx1"/>
                  </w14:solidFill>
                </w14:textFill>
              </w:rPr>
              <w:t>本项目与《矿山生态环境保护与恢复治理技术规范（试行）》相符性分析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8"/>
              <w:gridCol w:w="2903"/>
              <w:gridCol w:w="806"/>
            </w:tblGrid>
            <w:tr w14:paraId="60E0B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350" w:type="dxa"/>
                  <w:noWrap w:val="0"/>
                  <w:vAlign w:val="center"/>
                </w:tcPr>
                <w:p w14:paraId="4118C7FC">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矿山生态环境保护与恢复治理的一般要求</w:t>
                  </w:r>
                </w:p>
              </w:tc>
              <w:tc>
                <w:tcPr>
                  <w:tcW w:w="2871" w:type="dxa"/>
                  <w:noWrap w:val="0"/>
                  <w:vAlign w:val="center"/>
                </w:tcPr>
                <w:p w14:paraId="630CF731">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本项目</w:t>
                  </w:r>
                </w:p>
              </w:tc>
              <w:tc>
                <w:tcPr>
                  <w:tcW w:w="797" w:type="dxa"/>
                  <w:noWrap w:val="0"/>
                  <w:vAlign w:val="center"/>
                </w:tcPr>
                <w:p w14:paraId="369FF26F">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是否符合</w:t>
                  </w:r>
                </w:p>
              </w:tc>
            </w:tr>
            <w:tr w14:paraId="451DD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520389AE">
                  <w:pPr>
                    <w:pStyle w:val="38"/>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871" w:type="dxa"/>
                  <w:noWrap w:val="0"/>
                  <w:vAlign w:val="center"/>
                </w:tcPr>
                <w:p w14:paraId="3AE4F786">
                  <w:pPr>
                    <w:pStyle w:val="38"/>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本项目不属于采矿项目，属于</w:t>
                  </w:r>
                  <w:r>
                    <w:rPr>
                      <w:rFonts w:hint="default" w:cs="Times New Roman"/>
                      <w:color w:val="000000" w:themeColor="text1"/>
                      <w:highlight w:val="none"/>
                      <w14:textFill>
                        <w14:solidFill>
                          <w14:schemeClr w14:val="tx1"/>
                        </w14:solidFill>
                      </w14:textFill>
                    </w:rPr>
                    <w:t>矿山生态</w:t>
                  </w:r>
                  <w:r>
                    <w:rPr>
                      <w:rFonts w:hint="eastAsia" w:cs="Times New Roman"/>
                      <w:color w:val="000000" w:themeColor="text1"/>
                      <w:highlight w:val="none"/>
                      <w:lang w:val="en-US" w:eastAsia="zh-CN"/>
                      <w14:textFill>
                        <w14:solidFill>
                          <w14:schemeClr w14:val="tx1"/>
                        </w14:solidFill>
                      </w14:textFill>
                    </w:rPr>
                    <w:t>修复</w:t>
                  </w:r>
                  <w:r>
                    <w:rPr>
                      <w:rFonts w:hint="eastAsia" w:cs="Times New Roman"/>
                      <w:color w:val="000000" w:themeColor="text1"/>
                      <w:highlight w:val="none"/>
                      <w14:textFill>
                        <w14:solidFill>
                          <w14:schemeClr w14:val="tx1"/>
                        </w14:solidFill>
                      </w14:textFill>
                    </w:rPr>
                    <w:t>项目</w:t>
                  </w:r>
                </w:p>
              </w:tc>
              <w:tc>
                <w:tcPr>
                  <w:tcW w:w="797" w:type="dxa"/>
                  <w:noWrap w:val="0"/>
                  <w:vAlign w:val="center"/>
                </w:tcPr>
                <w:p w14:paraId="05610D9E">
                  <w:pPr>
                    <w:pStyle w:val="38"/>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4EC5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375B2007">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矿产资源开发活动应符合国家和区域主体功能区规划、生态功能区划、生态环境保护规划的要求，采取有效预防和保护措施，避免或减轻矿产资源开发活动造成的生态破坏和环境污染</w:t>
                  </w:r>
                </w:p>
              </w:tc>
              <w:tc>
                <w:tcPr>
                  <w:tcW w:w="2871" w:type="dxa"/>
                  <w:noWrap w:val="0"/>
                  <w:vAlign w:val="center"/>
                </w:tcPr>
                <w:p w14:paraId="61174754">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本项目不涉及矿产资源开发活动</w:t>
                  </w:r>
                </w:p>
              </w:tc>
              <w:tc>
                <w:tcPr>
                  <w:tcW w:w="797" w:type="dxa"/>
                  <w:noWrap w:val="0"/>
                  <w:vAlign w:val="center"/>
                </w:tcPr>
                <w:p w14:paraId="69403D90">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051D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1942BBA8">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871" w:type="dxa"/>
                  <w:noWrap w:val="0"/>
                  <w:vAlign w:val="center"/>
                </w:tcPr>
                <w:p w14:paraId="5F72F30E">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w:t>
                  </w:r>
                  <w:r>
                    <w:rPr>
                      <w:rFonts w:hint="default" w:cs="Times New Roman"/>
                      <w:color w:val="000000" w:themeColor="text1"/>
                      <w:highlight w:val="none"/>
                      <w14:textFill>
                        <w14:solidFill>
                          <w14:schemeClr w14:val="tx1"/>
                        </w14:solidFill>
                      </w14:textFill>
                    </w:rPr>
                    <w:t>项目通过</w:t>
                  </w:r>
                  <w:r>
                    <w:rPr>
                      <w:rFonts w:hint="eastAsia" w:cs="Times New Roman"/>
                      <w:color w:val="000000" w:themeColor="text1"/>
                      <w:highlight w:val="none"/>
                      <w:lang w:val="en-US" w:eastAsia="zh-CN"/>
                      <w14:textFill>
                        <w14:solidFill>
                          <w14:schemeClr w14:val="tx1"/>
                        </w14:solidFill>
                      </w14:textFill>
                    </w:rPr>
                    <w:t>地形地貌恢复工程、截排水工程、生态恢复工程等</w:t>
                  </w:r>
                  <w:r>
                    <w:rPr>
                      <w:rFonts w:hint="eastAsia" w:cs="Times New Roman"/>
                      <w:color w:val="000000" w:themeColor="text1"/>
                      <w:highlight w:val="none"/>
                      <w14:textFill>
                        <w14:solidFill>
                          <w14:schemeClr w14:val="tx1"/>
                        </w14:solidFill>
                      </w14:textFill>
                    </w:rPr>
                    <w:t>，恢复区域内的地形地貌，防止水土流失，减轻地质灾害，消除生态环境问题及隐患</w:t>
                  </w:r>
                </w:p>
              </w:tc>
              <w:tc>
                <w:tcPr>
                  <w:tcW w:w="797" w:type="dxa"/>
                  <w:noWrap w:val="0"/>
                  <w:vAlign w:val="center"/>
                </w:tcPr>
                <w:p w14:paraId="122C7898">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D2B2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2753899F">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恢复治理后的各类场地应实现，安全稳定，对人类和动植物不造成威胁；对周边环境不产生污染，与周边自然环境和景观相协调；恢复土地基本功能，因地制宜实现</w:t>
                  </w:r>
                  <w:r>
                    <w:rPr>
                      <w:rFonts w:hint="eastAsia" w:cs="Times New Roman"/>
                      <w:color w:val="000000" w:themeColor="text1"/>
                      <w:highlight w:val="none"/>
                      <w:lang w:eastAsia="zh-CN"/>
                      <w14:textFill>
                        <w14:solidFill>
                          <w14:schemeClr w14:val="tx1"/>
                        </w14:solidFill>
                      </w14:textFill>
                    </w:rPr>
                    <w:t>土地</w:t>
                  </w:r>
                  <w:r>
                    <w:rPr>
                      <w:rFonts w:hint="eastAsia" w:cs="Times New Roman"/>
                      <w:color w:val="000000" w:themeColor="text1"/>
                      <w:highlight w:val="none"/>
                      <w14:textFill>
                        <w14:solidFill>
                          <w14:schemeClr w14:val="tx1"/>
                        </w14:solidFill>
                      </w14:textFill>
                    </w:rPr>
                    <w:t>可持续利用；区域整体生态功能得到保护和恢复</w:t>
                  </w:r>
                </w:p>
              </w:tc>
              <w:tc>
                <w:tcPr>
                  <w:tcW w:w="2871" w:type="dxa"/>
                  <w:noWrap w:val="0"/>
                  <w:vAlign w:val="center"/>
                </w:tcPr>
                <w:p w14:paraId="7D29DD23">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恢复治理后的各类场地对周边环境不会产生污染，区域整体生态功能得到保护和恢复</w:t>
                  </w:r>
                </w:p>
              </w:tc>
              <w:tc>
                <w:tcPr>
                  <w:tcW w:w="797" w:type="dxa"/>
                  <w:noWrap w:val="0"/>
                  <w:vAlign w:val="center"/>
                </w:tcPr>
                <w:p w14:paraId="6AC67F75">
                  <w:pPr>
                    <w:pStyle w:val="38"/>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bl>
          <w:p w14:paraId="74BB0716">
            <w:pPr>
              <w:pStyle w:val="55"/>
              <w:keepNext w:val="0"/>
              <w:keepLines w:val="0"/>
              <w:suppressLineNumbers w:val="0"/>
              <w:spacing w:before="0" w:beforeAutospacing="0" w:after="0" w:afterAutospacing="0"/>
              <w:ind w:left="0" w:right="0" w:firstLine="454" w:firstLineChars="200"/>
              <w:rPr>
                <w:rFonts w:hint="eastAsia" w:cs="Times New Roman"/>
                <w:color w:val="000000" w:themeColor="text1"/>
                <w:kern w:val="0"/>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综上，本项目符合《矿山生态环境保护与恢复治理技术规范（试行）》（HJ651-2013）中的相关要求。</w:t>
            </w:r>
          </w:p>
          <w:p w14:paraId="385CD091">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与《宁夏回族自治区建设黄河流域生态保护和高质量发展先行区促进条例》符合性分析</w:t>
            </w:r>
          </w:p>
          <w:p w14:paraId="39B09CA5">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根据《</w:t>
            </w:r>
            <w:r>
              <w:rPr>
                <w:rFonts w:hint="eastAsia" w:ascii="宋体" w:hAnsi="宋体" w:cs="宋体"/>
                <w:b w:val="0"/>
                <w:bCs w:val="0"/>
                <w:color w:val="000000" w:themeColor="text1"/>
                <w:sz w:val="24"/>
                <w:szCs w:val="24"/>
                <w:highlight w:val="none"/>
                <w:lang w:eastAsia="zh-CN"/>
                <w14:textFill>
                  <w14:solidFill>
                    <w14:schemeClr w14:val="tx1"/>
                  </w14:solidFill>
                </w14:textFill>
              </w:rPr>
              <w:t>宁夏回族自治区建设黄河流域生态保护和高质量发展先行区促进条例</w:t>
            </w:r>
            <w:r>
              <w:rPr>
                <w:rFonts w:hint="default" w:ascii="宋体" w:hAnsi="宋体" w:eastAsia="宋体" w:cs="宋体"/>
                <w:b w:val="0"/>
                <w:bCs w:val="0"/>
                <w:color w:val="000000" w:themeColor="text1"/>
                <w:sz w:val="24"/>
                <w:szCs w:val="24"/>
                <w:highlight w:val="none"/>
                <w14:textFill>
                  <w14:solidFill>
                    <w14:schemeClr w14:val="tx1"/>
                  </w14:solidFill>
                </w14:textFill>
              </w:rPr>
              <w:t>》第三章生态环境保护和治理、第十八条</w:t>
            </w:r>
            <w:r>
              <w:rPr>
                <w:rFonts w:hint="eastAsia" w:ascii="TimesNewRomanPSMT" w:hAnsi="TimesNewRomanPSMT" w:eastAsia="宋体" w:cs="TimesNewRomanPSMT"/>
                <w:b w:val="0"/>
                <w:bCs w:val="0"/>
                <w:color w:val="000000" w:themeColor="text1"/>
                <w:sz w:val="24"/>
                <w:szCs w:val="24"/>
                <w:highlight w:val="none"/>
                <w:lang w:eastAsia="zh-CN"/>
                <w14:textFill>
                  <w14:solidFill>
                    <w14:schemeClr w14:val="tx1"/>
                  </w14:solidFill>
                </w14:textFill>
              </w:rPr>
              <w:t>：</w:t>
            </w:r>
            <w:r>
              <w:rPr>
                <w:rFonts w:hint="eastAsia" w:ascii="TimesNewRomanPSMT" w:hAnsi="TimesNewRomanPSMT" w:cs="TimesNewRomanPSMT"/>
                <w:b w:val="0"/>
                <w:bCs w:val="0"/>
                <w:color w:val="000000" w:themeColor="text1"/>
                <w:sz w:val="24"/>
                <w:szCs w:val="24"/>
                <w:highlight w:val="none"/>
                <w:lang w:eastAsia="zh-CN"/>
                <w14:textFill>
                  <w14:solidFill>
                    <w14:schemeClr w14:val="tx1"/>
                  </w14:solidFill>
                </w14:textFill>
              </w:rPr>
              <w:t>“</w:t>
            </w:r>
            <w:r>
              <w:rPr>
                <w:rFonts w:hint="default" w:ascii="宋体" w:hAnsi="宋体" w:eastAsia="宋体" w:cs="宋体"/>
                <w:b w:val="0"/>
                <w:bCs w:val="0"/>
                <w:color w:val="000000" w:themeColor="text1"/>
                <w:sz w:val="24"/>
                <w:szCs w:val="24"/>
                <w:highlight w:val="none"/>
                <w14:textFill>
                  <w14:solidFill>
                    <w14:schemeClr w14:val="tx1"/>
                  </w14:solidFill>
                </w14:textFill>
              </w:rPr>
              <w:t>县级以上人民政府应当因地制宜采取消除地质灾害隐患、土地复垦、恢复植被防治污染等措施，加快开展历史遗留矿山生态环境治理和恢复，加强对在建和生产矿山的监督管理，督促采矿权人履行矿山污染防治和生态修复责任。”</w:t>
            </w:r>
          </w:p>
          <w:p w14:paraId="369A3D0F">
            <w:pPr>
              <w:pStyle w:val="55"/>
              <w:ind w:firstLine="454" w:firstLineChars="20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本项目</w:t>
            </w:r>
            <w:r>
              <w:rPr>
                <w:rFonts w:hint="default" w:ascii="宋体" w:hAnsi="宋体" w:eastAsia="宋体" w:cs="宋体"/>
                <w:b w:val="0"/>
                <w:bCs w:val="0"/>
                <w:color w:val="000000" w:themeColor="text1"/>
                <w:sz w:val="24"/>
                <w:szCs w:val="24"/>
                <w:highlight w:val="none"/>
                <w14:textFill>
                  <w14:solidFill>
                    <w14:schemeClr w14:val="tx1"/>
                  </w14:solidFill>
                </w14:textFill>
              </w:rPr>
              <w:t>建设地点</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位于</w:t>
            </w:r>
            <w:r>
              <w:rPr>
                <w:rFonts w:hint="default" w:ascii="宋体" w:hAnsi="宋体" w:eastAsia="宋体" w:cs="宋体"/>
                <w:b w:val="0"/>
                <w:bCs w:val="0"/>
                <w:color w:val="000000" w:themeColor="text1"/>
                <w:sz w:val="24"/>
                <w:szCs w:val="24"/>
                <w:highlight w:val="none"/>
                <w14:textFill>
                  <w14:solidFill>
                    <w14:schemeClr w14:val="tx1"/>
                  </w14:solidFill>
                </w14:textFill>
              </w:rPr>
              <w:t>沙坡头宣和镇天景山</w:t>
            </w:r>
            <w:r>
              <w:rPr>
                <w:rFonts w:hint="eastAsia" w:ascii="宋体" w:hAnsi="宋体" w:cs="宋体"/>
                <w:b w:val="0"/>
                <w:bCs w:val="0"/>
                <w:color w:val="000000" w:themeColor="text1"/>
                <w:sz w:val="24"/>
                <w:szCs w:val="24"/>
                <w:highlight w:val="none"/>
                <w:lang w:eastAsia="zh-CN"/>
                <w14:textFill>
                  <w14:solidFill>
                    <w14:schemeClr w14:val="tx1"/>
                  </w14:solidFill>
                </w14:textFill>
              </w:rPr>
              <w:t>北麓</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，拟对天景山天主峰灰石</w:t>
            </w:r>
            <w:r>
              <w:rPr>
                <w:rFonts w:hint="eastAsia"/>
                <w:color w:val="000000" w:themeColor="text1"/>
                <w:sz w:val="24"/>
                <w:highlight w:val="none"/>
                <w:lang w:val="en-US" w:eastAsia="zh-CN"/>
                <w14:textFill>
                  <w14:solidFill>
                    <w14:schemeClr w14:val="tx1"/>
                  </w14:solidFill>
                </w14:textFill>
              </w:rPr>
              <w:t>矿山实施地形地貌恢复工程、截排水工程、生态恢复工程</w:t>
            </w:r>
            <w:r>
              <w:rPr>
                <w:rFonts w:hint="eastAsia" w:cs="Times New Roman"/>
                <w:color w:val="000000" w:themeColor="text1"/>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szCs w:val="24"/>
                <w:highlight w:val="none"/>
                <w14:textFill>
                  <w14:solidFill>
                    <w14:schemeClr w14:val="tx1"/>
                  </w14:solidFill>
                </w14:textFill>
              </w:rPr>
              <w:t>建设完成后可消除滑坡</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冲沟</w:t>
            </w:r>
            <w:r>
              <w:rPr>
                <w:rFonts w:hint="default" w:ascii="宋体" w:hAnsi="宋体" w:eastAsia="宋体" w:cs="宋体"/>
                <w:b w:val="0"/>
                <w:bCs w:val="0"/>
                <w:color w:val="000000" w:themeColor="text1"/>
                <w:sz w:val="24"/>
                <w:szCs w:val="24"/>
                <w:highlight w:val="none"/>
                <w14:textFill>
                  <w14:solidFill>
                    <w14:schemeClr w14:val="tx1"/>
                  </w14:solidFill>
                </w14:textFill>
              </w:rPr>
              <w:t>等地质灾害影响，使地貌与周边环境相协调。符合《宁夏回族自治区建设黄河流域生态保护和高质量发展先行区促进条例》相关要求。</w:t>
            </w:r>
          </w:p>
          <w:p w14:paraId="4FBF1481">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5、与《中卫市生态环境保护“十四五”规划》符合性分析</w:t>
            </w:r>
          </w:p>
          <w:p w14:paraId="0058B63C">
            <w:pPr>
              <w:keepNext w:val="0"/>
              <w:keepLines w:val="0"/>
              <w:suppressLineNumbers w:val="0"/>
              <w:bidi w:val="0"/>
              <w:spacing w:before="0" w:beforeAutospacing="0" w:after="0" w:afterAutospacing="0"/>
              <w:ind w:left="0" w:right="0"/>
              <w:rPr>
                <w:rFonts w:hint="default" w:ascii="宋体" w:hAnsi="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cs="宋体"/>
                <w:b w:val="0"/>
                <w:bCs w:val="0"/>
                <w:color w:val="000000" w:themeColor="text1"/>
                <w:sz w:val="24"/>
                <w:szCs w:val="24"/>
                <w:highlight w:val="none"/>
                <w:lang w:val="en-US" w:eastAsia="zh-CN"/>
                <w14:textFill>
                  <w14:solidFill>
                    <w14:schemeClr w14:val="tx1"/>
                  </w14:solidFill>
                </w14:textFill>
              </w:rPr>
              <w:t>《中卫市生态环境保护“十四五”规划》第七章第二节要求</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r>
              <w:rPr>
                <w:rFonts w:hint="default" w:ascii="宋体" w:hAnsi="宋体" w:cs="宋体"/>
                <w:b w:val="0"/>
                <w:bCs w:val="0"/>
                <w:color w:val="000000" w:themeColor="text1"/>
                <w:sz w:val="24"/>
                <w:szCs w:val="24"/>
                <w:highlight w:val="none"/>
                <w:lang w:val="en-US" w:eastAsia="zh-CN"/>
                <w14:textFill>
                  <w14:solidFill>
                    <w14:schemeClr w14:val="tx1"/>
                  </w14:solidFill>
                </w14:textFill>
              </w:rPr>
              <w:t>加强矿山地质环境保护与生态恢复，推进绿色矿山建设，督促矿山企业依法依规编制矿山地质环境保护与土地复垦方案，制定落实露天矿山生态修复计划</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p>
          <w:p w14:paraId="5D9435E3">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本项目通过地貌恢复工程、截排水工程、生态恢复工程等对项目区</w:t>
            </w:r>
            <w:r>
              <w:rPr>
                <w:rFonts w:hint="eastAsia" w:cs="Times New Roman"/>
                <w:color w:val="000000" w:themeColor="text1"/>
                <w:sz w:val="24"/>
                <w:highlight w:val="none"/>
                <w:lang w:eastAsia="zh-CN"/>
                <w14:textFill>
                  <w14:solidFill>
                    <w14:schemeClr w14:val="tx1"/>
                  </w14:solidFill>
                </w14:textFill>
              </w:rPr>
              <w:t>历史遗留废弃矿山</w:t>
            </w:r>
            <w:r>
              <w:rPr>
                <w:rFonts w:hint="eastAsia" w:cs="Times New Roman"/>
                <w:color w:val="000000" w:themeColor="text1"/>
                <w:sz w:val="24"/>
                <w:highlight w:val="none"/>
                <w:lang w:val="en-US" w:eastAsia="zh-CN"/>
                <w14:textFill>
                  <w14:solidFill>
                    <w14:schemeClr w14:val="tx1"/>
                  </w14:solidFill>
                </w14:textFill>
              </w:rPr>
              <w:t>进行</w:t>
            </w:r>
            <w:r>
              <w:rPr>
                <w:rFonts w:hint="eastAsia" w:cs="Times New Roman"/>
                <w:color w:val="000000" w:themeColor="text1"/>
                <w:sz w:val="24"/>
                <w:highlight w:val="none"/>
                <w:lang w:eastAsia="zh-CN"/>
                <w14:textFill>
                  <w14:solidFill>
                    <w14:schemeClr w14:val="tx1"/>
                  </w14:solidFill>
                </w14:textFill>
              </w:rPr>
              <w:t>恢复治理，</w:t>
            </w:r>
            <w:r>
              <w:rPr>
                <w:rFonts w:hint="eastAsia" w:cs="Times New Roman"/>
                <w:b w:val="0"/>
                <w:bCs w:val="0"/>
                <w:snapToGrid w:val="0"/>
                <w:color w:val="000000" w:themeColor="text1"/>
                <w:kern w:val="0"/>
                <w:sz w:val="24"/>
                <w:szCs w:val="22"/>
                <w:highlight w:val="none"/>
                <w:lang w:val="en-US" w:eastAsia="zh-CN"/>
                <w14:textFill>
                  <w14:solidFill>
                    <w14:schemeClr w14:val="tx1"/>
                  </w14:solidFill>
                </w14:textFill>
              </w:rPr>
              <w:t>有利于</w:t>
            </w:r>
            <w:r>
              <w:rPr>
                <w:rFonts w:hint="default" w:ascii="宋体" w:hAnsi="宋体" w:cs="宋体"/>
                <w:b w:val="0"/>
                <w:bCs w:val="0"/>
                <w:color w:val="000000" w:themeColor="text1"/>
                <w:sz w:val="24"/>
                <w:szCs w:val="24"/>
                <w:highlight w:val="none"/>
                <w:lang w:val="en-US" w:eastAsia="zh-CN"/>
                <w14:textFill>
                  <w14:solidFill>
                    <w14:schemeClr w14:val="tx1"/>
                  </w14:solidFill>
                </w14:textFill>
              </w:rPr>
              <w:t>加强</w:t>
            </w:r>
            <w:r>
              <w:rPr>
                <w:rFonts w:hint="eastAsia" w:cs="Times New Roman"/>
                <w:b w:val="0"/>
                <w:bCs w:val="0"/>
                <w:snapToGrid w:val="0"/>
                <w:color w:val="000000" w:themeColor="text1"/>
                <w:kern w:val="0"/>
                <w:sz w:val="24"/>
                <w:szCs w:val="22"/>
                <w:highlight w:val="none"/>
                <w14:textFill>
                  <w14:solidFill>
                    <w14:schemeClr w14:val="tx1"/>
                  </w14:solidFill>
                </w14:textFill>
              </w:rPr>
              <w:t>中卫市沙坡头区</w:t>
            </w:r>
            <w:r>
              <w:rPr>
                <w:rFonts w:hint="default" w:ascii="宋体" w:hAnsi="宋体" w:cs="宋体"/>
                <w:b w:val="0"/>
                <w:bCs w:val="0"/>
                <w:color w:val="000000" w:themeColor="text1"/>
                <w:sz w:val="24"/>
                <w:szCs w:val="24"/>
                <w:highlight w:val="none"/>
                <w:lang w:val="en-US" w:eastAsia="zh-CN"/>
                <w14:textFill>
                  <w14:solidFill>
                    <w14:schemeClr w14:val="tx1"/>
                  </w14:solidFill>
                </w14:textFill>
              </w:rPr>
              <w:t>矿山地质环境保护与生态恢复</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项目符合《规划》要求。</w:t>
            </w:r>
          </w:p>
          <w:p w14:paraId="0DDFEDD0">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6、与《中卫市沙坡头区生态环境保护“十四五”规划》符合性分析</w:t>
            </w:r>
          </w:p>
          <w:p w14:paraId="7AC88400">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《中卫市沙坡头区生态环境保护“十四五”规划》</w:t>
            </w:r>
            <w:r>
              <w:rPr>
                <w:rFonts w:hint="eastAsia"/>
                <w:color w:val="000000" w:themeColor="text1"/>
                <w:highlight w:val="none"/>
                <w:lang w:val="en-US" w:eastAsia="zh-CN"/>
                <w14:textFill>
                  <w14:solidFill>
                    <w14:schemeClr w14:val="tx1"/>
                  </w14:solidFill>
                </w14:textFill>
              </w:rPr>
              <w:t>第三章 “十四五”生态环境保护主要任务的</w:t>
            </w:r>
            <w:r>
              <w:rPr>
                <w:rFonts w:hint="default"/>
                <w:color w:val="000000" w:themeColor="text1"/>
                <w:highlight w:val="none"/>
                <w:lang w:val="en-US" w:eastAsia="zh-CN"/>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 xml:space="preserve">八节 </w:t>
            </w:r>
            <w:r>
              <w:rPr>
                <w:rFonts w:hint="default"/>
                <w:color w:val="000000" w:themeColor="text1"/>
                <w:highlight w:val="none"/>
                <w:lang w:val="en-US" w:eastAsia="zh-CN"/>
                <w14:textFill>
                  <w14:solidFill>
                    <w14:schemeClr w14:val="tx1"/>
                  </w14:solidFill>
                </w14:textFill>
              </w:rPr>
              <w:t>系统修复，筑牢生态安全屏障</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lang w:val="en-US" w:eastAsia="zh-CN"/>
                <w14:textFill>
                  <w14:solidFill>
                    <w14:schemeClr w14:val="tx1"/>
                  </w14:solidFill>
                </w14:textFill>
              </w:rPr>
              <w:t>三、推进矿山综合治理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。在沙坡头区东园北山铁矿区、东园郑口水铁矿区、镇罗镇涩井沟铁矿区、迎水桥镇甘塘石膏矿区、东园镇北山二人山膨润土铁矿区、</w:t>
            </w:r>
            <w:r>
              <w:rPr>
                <w:rFonts w:hint="default"/>
                <w:b/>
                <w:bCs/>
                <w:color w:val="000000" w:themeColor="text1"/>
                <w:highlight w:val="none"/>
                <w:lang w:val="en-US" w:eastAsia="zh-CN"/>
                <w14:textFill>
                  <w14:solidFill>
                    <w14:schemeClr w14:val="tx1"/>
                  </w14:solidFill>
                </w14:textFill>
              </w:rPr>
              <w:t>宣和镇寺口子天景山矿区、</w:t>
            </w:r>
            <w:r>
              <w:rPr>
                <w:rFonts w:hint="default"/>
                <w:color w:val="000000" w:themeColor="text1"/>
                <w:highlight w:val="none"/>
                <w:lang w:val="en-US" w:eastAsia="zh-CN"/>
                <w14:textFill>
                  <w14:solidFill>
                    <w14:schemeClr w14:val="tx1"/>
                  </w14:solidFill>
                </w14:textFill>
              </w:rPr>
              <w:t>永康镇校育川煤矿区实施矿山生态环境保护，防治过度开采，改善采矿区生态环境，对废水、废渣、粉尘等污染物进行综合防治，加强矿山生态环境保护修复制度建设和监督管理工作，进一步规范采矿活动，减少矿业生产对环境的影响，以矿山资源整合为契机，使矿山企业走经营规模化、集约化和清洁化的道路。</w:t>
            </w:r>
          </w:p>
          <w:p w14:paraId="13E96321">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本项目位于宣和镇寺口子天景山矿区，通过</w:t>
            </w:r>
            <w:r>
              <w:rPr>
                <w:rFonts w:hint="eastAsia"/>
                <w:color w:val="000000" w:themeColor="text1"/>
                <w:sz w:val="24"/>
                <w:highlight w:val="none"/>
                <w:lang w:val="en-US" w:eastAsia="zh-CN"/>
                <w14:textFill>
                  <w14:solidFill>
                    <w14:schemeClr w14:val="tx1"/>
                  </w14:solidFill>
                </w14:textFill>
              </w:rPr>
              <w:t>地形地貌恢复工程、截排水工程、生态恢复工程</w:t>
            </w:r>
            <w:r>
              <w:rPr>
                <w:rFonts w:hint="eastAsia" w:cs="Times New Roman"/>
                <w:color w:val="000000" w:themeColor="text1"/>
                <w:highlight w:val="none"/>
                <w:lang w:val="en-US" w:eastAsia="zh-CN"/>
                <w14:textFill>
                  <w14:solidFill>
                    <w14:schemeClr w14:val="tx1"/>
                  </w14:solidFill>
                </w14:textFill>
              </w:rPr>
              <w:t>等对项目区</w:t>
            </w:r>
            <w:r>
              <w:rPr>
                <w:rFonts w:hint="eastAsia" w:cs="Times New Roman"/>
                <w:color w:val="000000" w:themeColor="text1"/>
                <w:sz w:val="24"/>
                <w:highlight w:val="none"/>
                <w:lang w:val="en-US" w:eastAsia="zh-CN"/>
                <w14:textFill>
                  <w14:solidFill>
                    <w14:schemeClr w14:val="tx1"/>
                  </w14:solidFill>
                </w14:textFill>
              </w:rPr>
              <w:t>灰石</w:t>
            </w:r>
            <w:r>
              <w:rPr>
                <w:rFonts w:hint="eastAsia" w:cs="Times New Roman"/>
                <w:color w:val="000000" w:themeColor="text1"/>
                <w:sz w:val="24"/>
                <w:highlight w:val="none"/>
                <w:lang w:eastAsia="zh-CN"/>
                <w14:textFill>
                  <w14:solidFill>
                    <w14:schemeClr w14:val="tx1"/>
                  </w14:solidFill>
                </w14:textFill>
              </w:rPr>
              <w:t>矿山</w:t>
            </w:r>
            <w:r>
              <w:rPr>
                <w:rFonts w:hint="eastAsia" w:cs="Times New Roman"/>
                <w:color w:val="000000" w:themeColor="text1"/>
                <w:sz w:val="24"/>
                <w:highlight w:val="none"/>
                <w:lang w:val="en-US" w:eastAsia="zh-CN"/>
                <w14:textFill>
                  <w14:solidFill>
                    <w14:schemeClr w14:val="tx1"/>
                  </w14:solidFill>
                </w14:textFill>
              </w:rPr>
              <w:t>进行生态</w:t>
            </w:r>
            <w:r>
              <w:rPr>
                <w:rFonts w:hint="eastAsia" w:cs="Times New Roman"/>
                <w:color w:val="000000" w:themeColor="text1"/>
                <w:sz w:val="24"/>
                <w:highlight w:val="none"/>
                <w:lang w:eastAsia="zh-CN"/>
                <w14:textFill>
                  <w14:solidFill>
                    <w14:schemeClr w14:val="tx1"/>
                  </w14:solidFill>
                </w14:textFill>
              </w:rPr>
              <w:t>恢复治理</w:t>
            </w:r>
            <w:r>
              <w:rPr>
                <w:rFonts w:hint="eastAsia"/>
                <w:color w:val="000000" w:themeColor="text1"/>
                <w:highlight w:val="none"/>
                <w:lang w:val="en-US" w:eastAsia="zh-CN"/>
                <w14:textFill>
                  <w14:solidFill>
                    <w14:schemeClr w14:val="tx1"/>
                  </w14:solidFill>
                </w14:textFill>
              </w:rPr>
              <w:t>，解决本项目矿山占地堆放废渣土，对天然植被造成破坏等问题，项目的实施有利于矿区植被的恢复，有利于实现与周边自然环境地形地貌景观的协调。因此，本</w:t>
            </w:r>
            <w:r>
              <w:rPr>
                <w:rFonts w:hint="default"/>
                <w:color w:val="000000" w:themeColor="text1"/>
                <w:highlight w:val="none"/>
                <w:lang w:val="en-US" w:eastAsia="zh-CN"/>
                <w14:textFill>
                  <w14:solidFill>
                    <w14:schemeClr w14:val="tx1"/>
                  </w14:solidFill>
                </w14:textFill>
              </w:rPr>
              <w:t>项目符合《中卫市沙坡头区生态环境保护“十四五”规划》要求。</w:t>
            </w:r>
          </w:p>
          <w:p w14:paraId="2E4A9977">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7、与</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val="en-US" w:eastAsia="zh-CN"/>
                <w14:textFill>
                  <w14:solidFill>
                    <w14:schemeClr w14:val="tx1"/>
                  </w14:solidFill>
                </w14:textFill>
              </w:rPr>
              <w:t>符合性分析</w:t>
            </w:r>
          </w:p>
          <w:p w14:paraId="7A66E122">
            <w:pPr>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 xml:space="preserve">8.1.1 </w:t>
            </w:r>
            <w:r>
              <w:rPr>
                <w:rFonts w:hint="eastAsia"/>
                <w:color w:val="000000" w:themeColor="text1"/>
                <w:highlight w:val="none"/>
                <w:lang w:val="en-US" w:eastAsia="zh-CN"/>
                <w14:textFill>
                  <w14:solidFill>
                    <w14:schemeClr w14:val="tx1"/>
                  </w14:solidFill>
                </w14:textFill>
              </w:rPr>
              <w:t>矿山应根据矿产资源勘查开采活动造成的矿区地面崩塌、滑坡、地形地貌景观破坏、地表植被损毁、预防和修复治理以及矿山地质环境监测等方面的实际情况，因矿制宜编制矿山地质环境保护与土地复垦方案，并严格实施，做到资源开发利用方案、矿山地质环境保护与土地复垦方案同时设计、同时施工、同时管理。</w:t>
            </w:r>
            <w:r>
              <w:rPr>
                <w:rFonts w:hint="default"/>
                <w:color w:val="000000" w:themeColor="text1"/>
                <w:highlight w:val="none"/>
                <w:lang w:val="en-US" w:eastAsia="zh-CN"/>
                <w14:textFill>
                  <w14:solidFill>
                    <w14:schemeClr w14:val="tx1"/>
                  </w14:solidFill>
                </w14:textFill>
              </w:rPr>
              <w:t xml:space="preserve">8.1.2 </w:t>
            </w:r>
            <w:r>
              <w:rPr>
                <w:rFonts w:hint="eastAsia"/>
                <w:color w:val="000000" w:themeColor="text1"/>
                <w:highlight w:val="none"/>
                <w:lang w:val="en-US" w:eastAsia="zh-CN"/>
                <w14:textFill>
                  <w14:solidFill>
                    <w14:schemeClr w14:val="tx1"/>
                  </w14:solidFill>
                </w14:textFill>
              </w:rPr>
              <w:t>矿山企业应按照满足实际需求的原则，根据矿山地质环境保护与土地复垦方案制定完善的治理措施和年度计划，切实履行矿山地质环境保护与土地复垦义务。</w:t>
            </w:r>
          </w:p>
          <w:p w14:paraId="0DCA0F04">
            <w:pPr>
              <w:pStyle w:val="55"/>
              <w:ind w:firstLine="454"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通过地形地貌恢复工程、截排水工程、生态恢复工程等</w:t>
            </w:r>
            <w:r>
              <w:rPr>
                <w:rFonts w:hint="eastAsia"/>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天景山天主峰灰石</w:t>
            </w:r>
            <w:r>
              <w:rPr>
                <w:rFonts w:hint="eastAsia"/>
                <w:color w:val="000000" w:themeColor="text1"/>
                <w:highlight w:val="none"/>
                <w14:textFill>
                  <w14:solidFill>
                    <w14:schemeClr w14:val="tx1"/>
                  </w14:solidFill>
                </w14:textFill>
              </w:rPr>
              <w:t>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工程设计与实施规范符合本项目所在矿区《</w:t>
            </w:r>
            <w:r>
              <w:rPr>
                <w:rFonts w:hint="eastAsia"/>
                <w:color w:val="000000" w:themeColor="text1"/>
                <w:highlight w:val="none"/>
                <w:lang w:eastAsia="zh-CN"/>
                <w14:textFill>
                  <w14:solidFill>
                    <w14:schemeClr w14:val="tx1"/>
                  </w14:solidFill>
                </w14:textFill>
              </w:rPr>
              <w:t>矿山地质环境保护与土地复垦方案》。</w:t>
            </w:r>
            <w:r>
              <w:rPr>
                <w:rFonts w:hint="eastAsia"/>
                <w:color w:val="000000" w:themeColor="text1"/>
                <w:highlight w:val="none"/>
                <w:lang w:val="en-US" w:eastAsia="zh-CN"/>
                <w14:textFill>
                  <w14:solidFill>
                    <w14:schemeClr w14:val="tx1"/>
                  </w14:solidFill>
                </w14:textFill>
              </w:rPr>
              <w:t>综上所述，本项目符合《</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val="en-US" w:eastAsia="zh-CN"/>
                <w14:textFill>
                  <w14:solidFill>
                    <w14:schemeClr w14:val="tx1"/>
                  </w14:solidFill>
                </w14:textFill>
              </w:rPr>
              <w:t>要求。</w:t>
            </w:r>
          </w:p>
          <w:p w14:paraId="6C63EE1D">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0D15CAD3">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3A98A318">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04511ACE">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1BA84159">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317D95D6">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p w14:paraId="59DF1CB1">
            <w:pPr>
              <w:pStyle w:val="55"/>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tc>
      </w:tr>
    </w:tbl>
    <w:p w14:paraId="26A2F041">
      <w:pPr>
        <w:spacing w:line="360" w:lineRule="auto"/>
        <w:outlineLvl w:val="0"/>
        <w:rPr>
          <w:rFonts w:eastAsia="黑体"/>
          <w:color w:val="000000" w:themeColor="text1"/>
          <w:sz w:val="30"/>
          <w:highlight w:val="none"/>
          <w14:textFill>
            <w14:solidFill>
              <w14:schemeClr w14:val="tx1"/>
            </w14:solidFill>
          </w14:textFill>
        </w:rPr>
        <w:sectPr>
          <w:footerReference r:id="rId6" w:type="default"/>
          <w:pgSz w:w="11905" w:h="16838"/>
          <w:pgMar w:top="1417" w:right="1417" w:bottom="1417" w:left="1417" w:header="851" w:footer="964" w:gutter="0"/>
          <w:pgBorders>
            <w:top w:val="none" w:sz="0" w:space="0"/>
            <w:left w:val="none" w:sz="0" w:space="0"/>
            <w:bottom w:val="none" w:sz="0" w:space="0"/>
            <w:right w:val="none" w:sz="0" w:space="0"/>
          </w:pgBorders>
          <w:pgNumType w:fmt="numberInDash" w:start="1"/>
          <w:cols w:space="720" w:num="1"/>
          <w:rtlGutter w:val="0"/>
          <w:docGrid w:type="linesAndChars" w:linePitch="466" w:charSpace="-2709"/>
        </w:sectPr>
      </w:pPr>
    </w:p>
    <w:p w14:paraId="56066E8E">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二、建设内容</w:t>
      </w:r>
    </w:p>
    <w:tbl>
      <w:tblPr>
        <w:tblStyle w:val="27"/>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444"/>
      </w:tblGrid>
      <w:tr w14:paraId="5FE6F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46" w:type="dxa"/>
            <w:noWrap w:val="0"/>
            <w:vAlign w:val="center"/>
          </w:tcPr>
          <w:p w14:paraId="4853B40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地理位置</w:t>
            </w:r>
          </w:p>
        </w:tc>
        <w:tc>
          <w:tcPr>
            <w:tcW w:w="8444" w:type="dxa"/>
            <w:noWrap w:val="0"/>
            <w:vAlign w:val="center"/>
          </w:tcPr>
          <w:p w14:paraId="555517EA">
            <w:pPr>
              <w:ind w:firstLine="454" w:firstLineChars="200"/>
              <w:rPr>
                <w:rFonts w:hint="default" w:eastAsia="宋体"/>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本项目生态恢复天景山天主峰灰石矿山位于中卫市天景山北麓，距中卫市30.5公里，宣和镇18.3公里，属中卫市沙坡头区宣和镇管辖。矿山生态修复治理区总面积33.44hm</w:t>
            </w:r>
            <w:r>
              <w:rPr>
                <w:rFonts w:hint="eastAsia"/>
                <w:color w:val="000000" w:themeColor="text1"/>
                <w:kern w:val="0"/>
                <w:sz w:val="24"/>
                <w:highlight w:val="none"/>
                <w:vertAlign w:val="superscript"/>
                <w:lang w:val="en-US" w:eastAsia="zh-CN"/>
                <w14:textFill>
                  <w14:solidFill>
                    <w14:schemeClr w14:val="tx1"/>
                  </w14:solidFill>
                </w14:textFill>
              </w:rPr>
              <w:t>2</w:t>
            </w:r>
            <w:r>
              <w:rPr>
                <w:rFonts w:hint="eastAsia"/>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治理区拐点坐标见表2-1，地理位置图见附图2-1</w:t>
            </w:r>
            <w:r>
              <w:rPr>
                <w:rFonts w:hint="eastAsia"/>
                <w:color w:val="000000" w:themeColor="text1"/>
                <w:kern w:val="0"/>
                <w:sz w:val="24"/>
                <w:highlight w:val="none"/>
                <w:lang w:val="en-US" w:eastAsia="zh-CN"/>
                <w14:textFill>
                  <w14:solidFill>
                    <w14:schemeClr w14:val="tx1"/>
                  </w14:solidFill>
                </w14:textFill>
              </w:rPr>
              <w:t>。</w:t>
            </w:r>
          </w:p>
          <w:p w14:paraId="0ED5088E">
            <w:pPr>
              <w:pStyle w:val="3"/>
              <w:bidi w:val="0"/>
              <w:rPr>
                <w:rFonts w:hint="eastAsia" w:ascii="Times New Roman" w:hAnsi="Times New Roman" w:cs="宋体"/>
                <w:color w:val="000000" w:themeColor="text1"/>
                <w:highlight w:val="none"/>
                <w:lang w:val="en-US" w:eastAsia="zh-CN"/>
                <w14:textFill>
                  <w14:solidFill>
                    <w14:schemeClr w14:val="tx1"/>
                  </w14:solidFill>
                </w14:textFill>
              </w:rPr>
            </w:pPr>
            <w:r>
              <w:rPr>
                <w:rFonts w:hint="eastAsia" w:ascii="Times New Roman" w:hAnsi="Times New Roman" w:cs="宋体"/>
                <w:color w:val="000000" w:themeColor="text1"/>
                <w:highlight w:val="none"/>
                <w:lang w:val="en-US" w:eastAsia="zh-CN"/>
                <w14:textFill>
                  <w14:solidFill>
                    <w14:schemeClr w14:val="tx1"/>
                  </w14:solidFill>
                </w14:textFill>
              </w:rPr>
              <w:t>表2-1  项目区拐点坐标表</w:t>
            </w:r>
          </w:p>
          <w:tbl>
            <w:tblPr>
              <w:tblStyle w:val="27"/>
              <w:tblW w:w="4997"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58"/>
              <w:gridCol w:w="1606"/>
              <w:gridCol w:w="1737"/>
              <w:gridCol w:w="759"/>
              <w:gridCol w:w="1606"/>
              <w:gridCol w:w="1737"/>
            </w:tblGrid>
            <w:tr w14:paraId="10BB5D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blHeader/>
              </w:trPr>
              <w:tc>
                <w:tcPr>
                  <w:tcW w:w="462" w:type="pct"/>
                  <w:tcBorders>
                    <w:tl2br w:val="nil"/>
                    <w:tr2bl w:val="nil"/>
                  </w:tcBorders>
                  <w:shd w:val="clear" w:color="auto" w:fill="FFFFFF"/>
                  <w:noWrap/>
                  <w:vAlign w:val="center"/>
                </w:tcPr>
                <w:p w14:paraId="6FAA59AA">
                  <w:pPr>
                    <w:pStyle w:val="38"/>
                    <w:bidi w:val="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点号</w:t>
                  </w:r>
                </w:p>
              </w:tc>
              <w:tc>
                <w:tcPr>
                  <w:tcW w:w="978" w:type="pct"/>
                  <w:tcBorders>
                    <w:tl2br w:val="nil"/>
                    <w:tr2bl w:val="nil"/>
                  </w:tcBorders>
                  <w:shd w:val="clear" w:color="auto" w:fill="FFFFFF"/>
                  <w:noWrap/>
                  <w:vAlign w:val="center"/>
                </w:tcPr>
                <w:p w14:paraId="70CC5454">
                  <w:pPr>
                    <w:pStyle w:val="38"/>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X坐标</w:t>
                  </w:r>
                </w:p>
              </w:tc>
              <w:tc>
                <w:tcPr>
                  <w:tcW w:w="1058" w:type="pct"/>
                  <w:tcBorders>
                    <w:tl2br w:val="nil"/>
                    <w:tr2bl w:val="nil"/>
                  </w:tcBorders>
                  <w:shd w:val="clear" w:color="auto" w:fill="FFFFFF"/>
                  <w:noWrap/>
                  <w:vAlign w:val="center"/>
                </w:tcPr>
                <w:p w14:paraId="60637482">
                  <w:pPr>
                    <w:pStyle w:val="38"/>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Y坐标</w:t>
                  </w:r>
                </w:p>
              </w:tc>
              <w:tc>
                <w:tcPr>
                  <w:tcW w:w="462" w:type="pct"/>
                  <w:tcBorders>
                    <w:tl2br w:val="nil"/>
                    <w:tr2bl w:val="nil"/>
                  </w:tcBorders>
                  <w:shd w:val="clear" w:color="auto" w:fill="FFFFFF"/>
                  <w:noWrap/>
                  <w:vAlign w:val="center"/>
                </w:tcPr>
                <w:p w14:paraId="0280862D">
                  <w:pPr>
                    <w:pStyle w:val="38"/>
                    <w:bidi w:val="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点号</w:t>
                  </w:r>
                </w:p>
              </w:tc>
              <w:tc>
                <w:tcPr>
                  <w:tcW w:w="978" w:type="pct"/>
                  <w:tcBorders>
                    <w:tl2br w:val="nil"/>
                    <w:tr2bl w:val="nil"/>
                  </w:tcBorders>
                  <w:shd w:val="clear" w:color="auto" w:fill="FFFFFF"/>
                  <w:noWrap/>
                  <w:vAlign w:val="center"/>
                </w:tcPr>
                <w:p w14:paraId="44A6E81A">
                  <w:pPr>
                    <w:pStyle w:val="38"/>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Y</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坐标</w:t>
                  </w:r>
                </w:p>
              </w:tc>
              <w:tc>
                <w:tcPr>
                  <w:tcW w:w="1058" w:type="pct"/>
                  <w:tcBorders>
                    <w:tl2br w:val="nil"/>
                    <w:tr2bl w:val="nil"/>
                  </w:tcBorders>
                  <w:shd w:val="clear" w:color="auto" w:fill="FFFFFF"/>
                  <w:noWrap/>
                  <w:vAlign w:val="center"/>
                </w:tcPr>
                <w:p w14:paraId="33BC6F2A">
                  <w:pPr>
                    <w:pStyle w:val="38"/>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X</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坐标</w:t>
                  </w:r>
                </w:p>
              </w:tc>
            </w:tr>
            <w:tr w14:paraId="7CA158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907F0B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J01</w:t>
                  </w:r>
                </w:p>
              </w:tc>
              <w:tc>
                <w:tcPr>
                  <w:tcW w:w="978" w:type="pct"/>
                  <w:tcBorders>
                    <w:tl2br w:val="nil"/>
                    <w:tr2bl w:val="nil"/>
                  </w:tcBorders>
                  <w:shd w:val="clear" w:color="auto" w:fill="FFFFFF"/>
                  <w:noWrap/>
                  <w:vAlign w:val="center"/>
                </w:tcPr>
                <w:p w14:paraId="6E1A1D5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4130169.055</w:t>
                  </w:r>
                </w:p>
              </w:tc>
              <w:tc>
                <w:tcPr>
                  <w:tcW w:w="1058" w:type="pct"/>
                  <w:tcBorders>
                    <w:tl2br w:val="nil"/>
                    <w:tr2bl w:val="nil"/>
                  </w:tcBorders>
                  <w:shd w:val="clear" w:color="auto" w:fill="FFFFFF"/>
                  <w:noWrap/>
                  <w:vAlign w:val="center"/>
                </w:tcPr>
                <w:p w14:paraId="1B58AA2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35543210.609</w:t>
                  </w:r>
                </w:p>
              </w:tc>
              <w:tc>
                <w:tcPr>
                  <w:tcW w:w="462" w:type="pct"/>
                  <w:tcBorders>
                    <w:tl2br w:val="nil"/>
                    <w:tr2bl w:val="nil"/>
                  </w:tcBorders>
                  <w:shd w:val="clear" w:color="auto" w:fill="FFFFFF"/>
                  <w:noWrap/>
                  <w:vAlign w:val="center"/>
                </w:tcPr>
                <w:p w14:paraId="1EBF2B3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J46</w:t>
                  </w:r>
                </w:p>
              </w:tc>
              <w:tc>
                <w:tcPr>
                  <w:tcW w:w="978" w:type="pct"/>
                  <w:tcBorders>
                    <w:tl2br w:val="nil"/>
                    <w:tr2bl w:val="nil"/>
                  </w:tcBorders>
                  <w:shd w:val="clear" w:color="auto" w:fill="FFFFFF"/>
                  <w:noWrap/>
                  <w:vAlign w:val="center"/>
                </w:tcPr>
                <w:p w14:paraId="2F01300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4129481.198</w:t>
                  </w:r>
                </w:p>
              </w:tc>
              <w:tc>
                <w:tcPr>
                  <w:tcW w:w="1058" w:type="pct"/>
                  <w:tcBorders>
                    <w:tl2br w:val="nil"/>
                    <w:tr2bl w:val="nil"/>
                  </w:tcBorders>
                  <w:shd w:val="clear" w:color="auto" w:fill="FFFFFF"/>
                  <w:noWrap/>
                  <w:vAlign w:val="center"/>
                </w:tcPr>
                <w:p w14:paraId="00D03A6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35543364.829</w:t>
                  </w:r>
                </w:p>
              </w:tc>
            </w:tr>
            <w:tr w14:paraId="2B2316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1F7C9C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J02</w:t>
                  </w:r>
                </w:p>
              </w:tc>
              <w:tc>
                <w:tcPr>
                  <w:tcW w:w="978" w:type="pct"/>
                  <w:tcBorders>
                    <w:tl2br w:val="nil"/>
                    <w:tr2bl w:val="nil"/>
                  </w:tcBorders>
                  <w:shd w:val="clear" w:color="auto" w:fill="FFFFFF"/>
                  <w:noWrap/>
                  <w:vAlign w:val="center"/>
                </w:tcPr>
                <w:p w14:paraId="047A210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4130165.087</w:t>
                  </w:r>
                </w:p>
              </w:tc>
              <w:tc>
                <w:tcPr>
                  <w:tcW w:w="1058" w:type="pct"/>
                  <w:tcBorders>
                    <w:tl2br w:val="nil"/>
                    <w:tr2bl w:val="nil"/>
                  </w:tcBorders>
                  <w:shd w:val="clear" w:color="auto" w:fill="FFFFFF"/>
                  <w:noWrap/>
                  <w:vAlign w:val="center"/>
                </w:tcPr>
                <w:p w14:paraId="0384E87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35543230.453</w:t>
                  </w:r>
                </w:p>
              </w:tc>
              <w:tc>
                <w:tcPr>
                  <w:tcW w:w="462" w:type="pct"/>
                  <w:tcBorders>
                    <w:tl2br w:val="nil"/>
                    <w:tr2bl w:val="nil"/>
                  </w:tcBorders>
                  <w:shd w:val="clear" w:color="auto" w:fill="FFFFFF"/>
                  <w:noWrap/>
                  <w:vAlign w:val="center"/>
                </w:tcPr>
                <w:p w14:paraId="68C87F3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J47</w:t>
                  </w:r>
                </w:p>
              </w:tc>
              <w:tc>
                <w:tcPr>
                  <w:tcW w:w="978" w:type="pct"/>
                  <w:tcBorders>
                    <w:tl2br w:val="nil"/>
                    <w:tr2bl w:val="nil"/>
                  </w:tcBorders>
                  <w:shd w:val="clear" w:color="auto" w:fill="FFFFFF"/>
                  <w:noWrap/>
                  <w:vAlign w:val="center"/>
                </w:tcPr>
                <w:p w14:paraId="2A73AAB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4129489.085</w:t>
                  </w:r>
                </w:p>
              </w:tc>
              <w:tc>
                <w:tcPr>
                  <w:tcW w:w="1058" w:type="pct"/>
                  <w:tcBorders>
                    <w:tl2br w:val="nil"/>
                    <w:tr2bl w:val="nil"/>
                  </w:tcBorders>
                  <w:shd w:val="clear" w:color="auto" w:fill="FFFFFF"/>
                  <w:noWrap/>
                  <w:vAlign w:val="center"/>
                </w:tcPr>
                <w:p w14:paraId="416EBD4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35543333.392</w:t>
                  </w:r>
                </w:p>
              </w:tc>
            </w:tr>
            <w:tr w14:paraId="45D715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26BC0F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J03</w:t>
                  </w:r>
                </w:p>
              </w:tc>
              <w:tc>
                <w:tcPr>
                  <w:tcW w:w="978" w:type="pct"/>
                  <w:tcBorders>
                    <w:tl2br w:val="nil"/>
                    <w:tr2bl w:val="nil"/>
                  </w:tcBorders>
                  <w:shd w:val="clear" w:color="auto" w:fill="FFFFFF"/>
                  <w:noWrap/>
                  <w:vAlign w:val="center"/>
                </w:tcPr>
                <w:p w14:paraId="0679617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4130161.719</w:t>
                  </w:r>
                </w:p>
              </w:tc>
              <w:tc>
                <w:tcPr>
                  <w:tcW w:w="1058" w:type="pct"/>
                  <w:tcBorders>
                    <w:tl2br w:val="nil"/>
                    <w:tr2bl w:val="nil"/>
                  </w:tcBorders>
                  <w:shd w:val="clear" w:color="auto" w:fill="FFFFFF"/>
                  <w:noWrap/>
                  <w:vAlign w:val="center"/>
                </w:tcPr>
                <w:p w14:paraId="164E6DA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35543237.647</w:t>
                  </w:r>
                </w:p>
              </w:tc>
              <w:tc>
                <w:tcPr>
                  <w:tcW w:w="462" w:type="pct"/>
                  <w:tcBorders>
                    <w:tl2br w:val="nil"/>
                    <w:tr2bl w:val="nil"/>
                  </w:tcBorders>
                  <w:shd w:val="clear" w:color="auto" w:fill="FFFFFF"/>
                  <w:noWrap/>
                  <w:vAlign w:val="center"/>
                </w:tcPr>
                <w:p w14:paraId="1052AA6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J48</w:t>
                  </w:r>
                </w:p>
              </w:tc>
              <w:tc>
                <w:tcPr>
                  <w:tcW w:w="978" w:type="pct"/>
                  <w:tcBorders>
                    <w:tl2br w:val="nil"/>
                    <w:tr2bl w:val="nil"/>
                  </w:tcBorders>
                  <w:shd w:val="clear" w:color="auto" w:fill="FFFFFF"/>
                  <w:noWrap/>
                  <w:vAlign w:val="center"/>
                </w:tcPr>
                <w:p w14:paraId="68C942E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4129554.574</w:t>
                  </w:r>
                </w:p>
              </w:tc>
              <w:tc>
                <w:tcPr>
                  <w:tcW w:w="1058" w:type="pct"/>
                  <w:tcBorders>
                    <w:tl2br w:val="nil"/>
                    <w:tr2bl w:val="nil"/>
                  </w:tcBorders>
                  <w:shd w:val="clear" w:color="auto" w:fill="FFFFFF"/>
                  <w:noWrap/>
                  <w:vAlign w:val="center"/>
                </w:tcPr>
                <w:p w14:paraId="4628ABF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35543254.739</w:t>
                  </w:r>
                </w:p>
              </w:tc>
            </w:tr>
            <w:tr w14:paraId="639311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2A36A1A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J04</w:t>
                  </w:r>
                </w:p>
              </w:tc>
              <w:tc>
                <w:tcPr>
                  <w:tcW w:w="978" w:type="pct"/>
                  <w:tcBorders>
                    <w:tl2br w:val="nil"/>
                    <w:tr2bl w:val="nil"/>
                  </w:tcBorders>
                  <w:shd w:val="clear" w:color="auto" w:fill="FFFFFF"/>
                  <w:noWrap/>
                  <w:vAlign w:val="center"/>
                </w:tcPr>
                <w:p w14:paraId="0296B90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4130152.508</w:t>
                  </w:r>
                </w:p>
              </w:tc>
              <w:tc>
                <w:tcPr>
                  <w:tcW w:w="1058" w:type="pct"/>
                  <w:tcBorders>
                    <w:tl2br w:val="nil"/>
                    <w:tr2bl w:val="nil"/>
                  </w:tcBorders>
                  <w:shd w:val="clear" w:color="auto" w:fill="FFFFFF"/>
                  <w:noWrap/>
                  <w:vAlign w:val="center"/>
                </w:tcPr>
                <w:p w14:paraId="0DD00A4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35543240.063</w:t>
                  </w:r>
                </w:p>
              </w:tc>
              <w:tc>
                <w:tcPr>
                  <w:tcW w:w="462" w:type="pct"/>
                  <w:tcBorders>
                    <w:tl2br w:val="nil"/>
                    <w:tr2bl w:val="nil"/>
                  </w:tcBorders>
                  <w:shd w:val="clear" w:color="auto" w:fill="FFFFFF"/>
                  <w:noWrap/>
                  <w:vAlign w:val="center"/>
                </w:tcPr>
                <w:p w14:paraId="0BB65D7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J49</w:t>
                  </w:r>
                </w:p>
              </w:tc>
              <w:tc>
                <w:tcPr>
                  <w:tcW w:w="978" w:type="pct"/>
                  <w:tcBorders>
                    <w:tl2br w:val="nil"/>
                    <w:tr2bl w:val="nil"/>
                  </w:tcBorders>
                  <w:shd w:val="clear" w:color="auto" w:fill="FFFFFF"/>
                  <w:noWrap/>
                  <w:vAlign w:val="center"/>
                </w:tcPr>
                <w:p w14:paraId="6C9F409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4129543.889</w:t>
                  </w:r>
                </w:p>
              </w:tc>
              <w:tc>
                <w:tcPr>
                  <w:tcW w:w="1058" w:type="pct"/>
                  <w:tcBorders>
                    <w:tl2br w:val="nil"/>
                    <w:tr2bl w:val="nil"/>
                  </w:tcBorders>
                  <w:shd w:val="clear" w:color="auto" w:fill="FFFFFF"/>
                  <w:noWrap/>
                  <w:vAlign w:val="center"/>
                </w:tcPr>
                <w:p w14:paraId="460D948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35543231.165</w:t>
                  </w:r>
                </w:p>
              </w:tc>
            </w:tr>
            <w:tr w14:paraId="304390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8200E0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J05</w:t>
                  </w:r>
                </w:p>
              </w:tc>
              <w:tc>
                <w:tcPr>
                  <w:tcW w:w="978" w:type="pct"/>
                  <w:tcBorders>
                    <w:tl2br w:val="nil"/>
                    <w:tr2bl w:val="nil"/>
                  </w:tcBorders>
                  <w:shd w:val="clear" w:color="auto" w:fill="FFFFFF"/>
                  <w:noWrap/>
                  <w:vAlign w:val="center"/>
                </w:tcPr>
                <w:p w14:paraId="5D48060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4130140.886</w:t>
                  </w:r>
                </w:p>
              </w:tc>
              <w:tc>
                <w:tcPr>
                  <w:tcW w:w="1058" w:type="pct"/>
                  <w:tcBorders>
                    <w:tl2br w:val="nil"/>
                    <w:tr2bl w:val="nil"/>
                  </w:tcBorders>
                  <w:shd w:val="clear" w:color="auto" w:fill="FFFFFF"/>
                  <w:noWrap/>
                  <w:vAlign w:val="center"/>
                </w:tcPr>
                <w:p w14:paraId="27F1310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35543237.032</w:t>
                  </w:r>
                </w:p>
              </w:tc>
              <w:tc>
                <w:tcPr>
                  <w:tcW w:w="462" w:type="pct"/>
                  <w:tcBorders>
                    <w:tl2br w:val="nil"/>
                    <w:tr2bl w:val="nil"/>
                  </w:tcBorders>
                  <w:shd w:val="clear" w:color="auto" w:fill="FFFFFF"/>
                  <w:noWrap/>
                  <w:vAlign w:val="center"/>
                </w:tcPr>
                <w:p w14:paraId="3069710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J50</w:t>
                  </w:r>
                </w:p>
              </w:tc>
              <w:tc>
                <w:tcPr>
                  <w:tcW w:w="978" w:type="pct"/>
                  <w:tcBorders>
                    <w:tl2br w:val="nil"/>
                    <w:tr2bl w:val="nil"/>
                  </w:tcBorders>
                  <w:shd w:val="clear" w:color="auto" w:fill="FFFFFF"/>
                  <w:noWrap/>
                  <w:vAlign w:val="center"/>
                </w:tcPr>
                <w:p w14:paraId="6B43271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4129541.620</w:t>
                  </w:r>
                </w:p>
              </w:tc>
              <w:tc>
                <w:tcPr>
                  <w:tcW w:w="1058" w:type="pct"/>
                  <w:tcBorders>
                    <w:tl2br w:val="nil"/>
                    <w:tr2bl w:val="nil"/>
                  </w:tcBorders>
                  <w:shd w:val="clear" w:color="auto" w:fill="FFFFFF"/>
                  <w:noWrap/>
                  <w:vAlign w:val="center"/>
                </w:tcPr>
                <w:p w14:paraId="008E002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35543200.795</w:t>
                  </w:r>
                </w:p>
              </w:tc>
            </w:tr>
            <w:tr w14:paraId="360C95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34B3E58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J06</w:t>
                  </w:r>
                </w:p>
              </w:tc>
              <w:tc>
                <w:tcPr>
                  <w:tcW w:w="978" w:type="pct"/>
                  <w:tcBorders>
                    <w:tl2br w:val="nil"/>
                    <w:tr2bl w:val="nil"/>
                  </w:tcBorders>
                  <w:shd w:val="clear" w:color="auto" w:fill="FFFFFF"/>
                  <w:noWrap/>
                  <w:vAlign w:val="center"/>
                </w:tcPr>
                <w:p w14:paraId="5B7598E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4130143.448</w:t>
                  </w:r>
                </w:p>
              </w:tc>
              <w:tc>
                <w:tcPr>
                  <w:tcW w:w="1058" w:type="pct"/>
                  <w:tcBorders>
                    <w:tl2br w:val="nil"/>
                    <w:tr2bl w:val="nil"/>
                  </w:tcBorders>
                  <w:shd w:val="clear" w:color="auto" w:fill="FFFFFF"/>
                  <w:noWrap/>
                  <w:vAlign w:val="center"/>
                </w:tcPr>
                <w:p w14:paraId="0101FC9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35543250.025</w:t>
                  </w:r>
                </w:p>
              </w:tc>
              <w:tc>
                <w:tcPr>
                  <w:tcW w:w="462" w:type="pct"/>
                  <w:tcBorders>
                    <w:tl2br w:val="nil"/>
                    <w:tr2bl w:val="nil"/>
                  </w:tcBorders>
                  <w:shd w:val="clear" w:color="auto" w:fill="FFFFFF"/>
                  <w:noWrap/>
                  <w:vAlign w:val="center"/>
                </w:tcPr>
                <w:p w14:paraId="48B09DF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J51</w:t>
                  </w:r>
                </w:p>
              </w:tc>
              <w:tc>
                <w:tcPr>
                  <w:tcW w:w="978" w:type="pct"/>
                  <w:tcBorders>
                    <w:tl2br w:val="nil"/>
                    <w:tr2bl w:val="nil"/>
                  </w:tcBorders>
                  <w:shd w:val="clear" w:color="auto" w:fill="FFFFFF"/>
                  <w:noWrap/>
                  <w:vAlign w:val="center"/>
                </w:tcPr>
                <w:p w14:paraId="7870DA4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4129552.000</w:t>
                  </w:r>
                </w:p>
              </w:tc>
              <w:tc>
                <w:tcPr>
                  <w:tcW w:w="1058" w:type="pct"/>
                  <w:tcBorders>
                    <w:tl2br w:val="nil"/>
                    <w:tr2bl w:val="nil"/>
                  </w:tcBorders>
                  <w:shd w:val="clear" w:color="auto" w:fill="FFFFFF"/>
                  <w:noWrap/>
                  <w:vAlign w:val="center"/>
                </w:tcPr>
                <w:p w14:paraId="3457D52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35543165.297</w:t>
                  </w:r>
                </w:p>
              </w:tc>
            </w:tr>
            <w:tr w14:paraId="6D585D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61550C4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J07</w:t>
                  </w:r>
                </w:p>
              </w:tc>
              <w:tc>
                <w:tcPr>
                  <w:tcW w:w="978" w:type="pct"/>
                  <w:tcBorders>
                    <w:tl2br w:val="nil"/>
                    <w:tr2bl w:val="nil"/>
                  </w:tcBorders>
                  <w:shd w:val="clear" w:color="auto" w:fill="FFFFFF"/>
                  <w:noWrap/>
                  <w:vAlign w:val="center"/>
                </w:tcPr>
                <w:p w14:paraId="41D5FAA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4130147.455</w:t>
                  </w:r>
                </w:p>
              </w:tc>
              <w:tc>
                <w:tcPr>
                  <w:tcW w:w="1058" w:type="pct"/>
                  <w:tcBorders>
                    <w:tl2br w:val="nil"/>
                    <w:tr2bl w:val="nil"/>
                  </w:tcBorders>
                  <w:shd w:val="clear" w:color="auto" w:fill="FFFFFF"/>
                  <w:noWrap/>
                  <w:vAlign w:val="center"/>
                </w:tcPr>
                <w:p w14:paraId="05FE646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35543258.865</w:t>
                  </w:r>
                </w:p>
              </w:tc>
              <w:tc>
                <w:tcPr>
                  <w:tcW w:w="462" w:type="pct"/>
                  <w:tcBorders>
                    <w:tl2br w:val="nil"/>
                    <w:tr2bl w:val="nil"/>
                  </w:tcBorders>
                  <w:shd w:val="clear" w:color="auto" w:fill="FFFFFF"/>
                  <w:noWrap/>
                  <w:vAlign w:val="center"/>
                </w:tcPr>
                <w:p w14:paraId="3BD367A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J52</w:t>
                  </w:r>
                </w:p>
              </w:tc>
              <w:tc>
                <w:tcPr>
                  <w:tcW w:w="978" w:type="pct"/>
                  <w:tcBorders>
                    <w:tl2br w:val="nil"/>
                    <w:tr2bl w:val="nil"/>
                  </w:tcBorders>
                  <w:shd w:val="clear" w:color="auto" w:fill="FFFFFF"/>
                  <w:noWrap/>
                  <w:vAlign w:val="center"/>
                </w:tcPr>
                <w:p w14:paraId="2B125B5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4129598.418</w:t>
                  </w:r>
                </w:p>
              </w:tc>
              <w:tc>
                <w:tcPr>
                  <w:tcW w:w="1058" w:type="pct"/>
                  <w:tcBorders>
                    <w:tl2br w:val="nil"/>
                    <w:tr2bl w:val="nil"/>
                  </w:tcBorders>
                  <w:shd w:val="clear" w:color="auto" w:fill="FFFFFF"/>
                  <w:noWrap/>
                  <w:vAlign w:val="center"/>
                </w:tcPr>
                <w:p w14:paraId="128A989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35543153.243</w:t>
                  </w:r>
                </w:p>
              </w:tc>
            </w:tr>
            <w:tr w14:paraId="030DA2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31CCE4D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J08</w:t>
                  </w:r>
                </w:p>
              </w:tc>
              <w:tc>
                <w:tcPr>
                  <w:tcW w:w="978" w:type="pct"/>
                  <w:tcBorders>
                    <w:tl2br w:val="nil"/>
                    <w:tr2bl w:val="nil"/>
                  </w:tcBorders>
                  <w:shd w:val="clear" w:color="auto" w:fill="FFFFFF"/>
                  <w:noWrap/>
                  <w:vAlign w:val="center"/>
                </w:tcPr>
                <w:p w14:paraId="7973F98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4130136.624</w:t>
                  </w:r>
                </w:p>
              </w:tc>
              <w:tc>
                <w:tcPr>
                  <w:tcW w:w="1058" w:type="pct"/>
                  <w:tcBorders>
                    <w:tl2br w:val="nil"/>
                    <w:tr2bl w:val="nil"/>
                  </w:tcBorders>
                  <w:shd w:val="clear" w:color="auto" w:fill="FFFFFF"/>
                  <w:noWrap/>
                  <w:vAlign w:val="center"/>
                </w:tcPr>
                <w:p w14:paraId="2164A67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35543266.531</w:t>
                  </w:r>
                </w:p>
              </w:tc>
              <w:tc>
                <w:tcPr>
                  <w:tcW w:w="462" w:type="pct"/>
                  <w:tcBorders>
                    <w:tl2br w:val="nil"/>
                    <w:tr2bl w:val="nil"/>
                  </w:tcBorders>
                  <w:shd w:val="clear" w:color="auto" w:fill="FFFFFF"/>
                  <w:noWrap/>
                  <w:vAlign w:val="center"/>
                </w:tcPr>
                <w:p w14:paraId="2A6E641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J53</w:t>
                  </w:r>
                </w:p>
              </w:tc>
              <w:tc>
                <w:tcPr>
                  <w:tcW w:w="978" w:type="pct"/>
                  <w:tcBorders>
                    <w:tl2br w:val="nil"/>
                    <w:tr2bl w:val="nil"/>
                  </w:tcBorders>
                  <w:shd w:val="clear" w:color="auto" w:fill="FFFFFF"/>
                  <w:noWrap/>
                  <w:vAlign w:val="center"/>
                </w:tcPr>
                <w:p w14:paraId="5A5687C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4129611.788</w:t>
                  </w:r>
                </w:p>
              </w:tc>
              <w:tc>
                <w:tcPr>
                  <w:tcW w:w="1058" w:type="pct"/>
                  <w:tcBorders>
                    <w:tl2br w:val="nil"/>
                    <w:tr2bl w:val="nil"/>
                  </w:tcBorders>
                  <w:shd w:val="clear" w:color="auto" w:fill="FFFFFF"/>
                  <w:noWrap/>
                  <w:vAlign w:val="center"/>
                </w:tcPr>
                <w:p w14:paraId="18E125F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35543126.471</w:t>
                  </w:r>
                </w:p>
              </w:tc>
            </w:tr>
            <w:tr w14:paraId="3D82C7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4ABFC94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J09</w:t>
                  </w:r>
                </w:p>
              </w:tc>
              <w:tc>
                <w:tcPr>
                  <w:tcW w:w="978" w:type="pct"/>
                  <w:tcBorders>
                    <w:tl2br w:val="nil"/>
                    <w:tr2bl w:val="nil"/>
                  </w:tcBorders>
                  <w:shd w:val="clear" w:color="auto" w:fill="FFFFFF"/>
                  <w:noWrap/>
                  <w:vAlign w:val="center"/>
                </w:tcPr>
                <w:p w14:paraId="2C372E5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4130119.902</w:t>
                  </w:r>
                </w:p>
              </w:tc>
              <w:tc>
                <w:tcPr>
                  <w:tcW w:w="1058" w:type="pct"/>
                  <w:tcBorders>
                    <w:tl2br w:val="nil"/>
                    <w:tr2bl w:val="nil"/>
                  </w:tcBorders>
                  <w:shd w:val="clear" w:color="auto" w:fill="FFFFFF"/>
                  <w:noWrap/>
                  <w:vAlign w:val="center"/>
                </w:tcPr>
                <w:p w14:paraId="56C1110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35543259.334</w:t>
                  </w:r>
                </w:p>
              </w:tc>
              <w:tc>
                <w:tcPr>
                  <w:tcW w:w="462" w:type="pct"/>
                  <w:tcBorders>
                    <w:tl2br w:val="nil"/>
                    <w:tr2bl w:val="nil"/>
                  </w:tcBorders>
                  <w:shd w:val="clear" w:color="auto" w:fill="FFFFFF"/>
                  <w:noWrap/>
                  <w:vAlign w:val="center"/>
                </w:tcPr>
                <w:p w14:paraId="24C8F7F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J54</w:t>
                  </w:r>
                </w:p>
              </w:tc>
              <w:tc>
                <w:tcPr>
                  <w:tcW w:w="978" w:type="pct"/>
                  <w:tcBorders>
                    <w:tl2br w:val="nil"/>
                    <w:tr2bl w:val="nil"/>
                  </w:tcBorders>
                  <w:shd w:val="clear" w:color="auto" w:fill="FFFFFF"/>
                  <w:noWrap/>
                  <w:vAlign w:val="center"/>
                </w:tcPr>
                <w:p w14:paraId="2172BD8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4129620.606</w:t>
                  </w:r>
                </w:p>
              </w:tc>
              <w:tc>
                <w:tcPr>
                  <w:tcW w:w="1058" w:type="pct"/>
                  <w:tcBorders>
                    <w:tl2br w:val="nil"/>
                    <w:tr2bl w:val="nil"/>
                  </w:tcBorders>
                  <w:shd w:val="clear" w:color="auto" w:fill="FFFFFF"/>
                  <w:noWrap/>
                  <w:vAlign w:val="center"/>
                </w:tcPr>
                <w:p w14:paraId="3072A29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35543108.815</w:t>
                  </w:r>
                </w:p>
              </w:tc>
            </w:tr>
            <w:tr w14:paraId="33BBE4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5C3F904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J10</w:t>
                  </w:r>
                </w:p>
              </w:tc>
              <w:tc>
                <w:tcPr>
                  <w:tcW w:w="978" w:type="pct"/>
                  <w:tcBorders>
                    <w:tl2br w:val="nil"/>
                    <w:tr2bl w:val="nil"/>
                  </w:tcBorders>
                  <w:shd w:val="clear" w:color="auto" w:fill="FFFFFF"/>
                  <w:noWrap/>
                  <w:vAlign w:val="center"/>
                </w:tcPr>
                <w:p w14:paraId="79FB8E5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4130113.341</w:t>
                  </w:r>
                </w:p>
              </w:tc>
              <w:tc>
                <w:tcPr>
                  <w:tcW w:w="1058" w:type="pct"/>
                  <w:tcBorders>
                    <w:tl2br w:val="nil"/>
                    <w:tr2bl w:val="nil"/>
                  </w:tcBorders>
                  <w:shd w:val="clear" w:color="auto" w:fill="FFFFFF"/>
                  <w:noWrap/>
                  <w:vAlign w:val="center"/>
                </w:tcPr>
                <w:p w14:paraId="4E70829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35543255.948</w:t>
                  </w:r>
                </w:p>
              </w:tc>
              <w:tc>
                <w:tcPr>
                  <w:tcW w:w="462" w:type="pct"/>
                  <w:tcBorders>
                    <w:tl2br w:val="nil"/>
                    <w:tr2bl w:val="nil"/>
                  </w:tcBorders>
                  <w:shd w:val="clear" w:color="auto" w:fill="FFFFFF"/>
                  <w:noWrap/>
                  <w:vAlign w:val="center"/>
                </w:tcPr>
                <w:p w14:paraId="634A7F7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J55</w:t>
                  </w:r>
                </w:p>
              </w:tc>
              <w:tc>
                <w:tcPr>
                  <w:tcW w:w="978" w:type="pct"/>
                  <w:tcBorders>
                    <w:tl2br w:val="nil"/>
                    <w:tr2bl w:val="nil"/>
                  </w:tcBorders>
                  <w:shd w:val="clear" w:color="auto" w:fill="FFFFFF"/>
                  <w:noWrap/>
                  <w:vAlign w:val="center"/>
                </w:tcPr>
                <w:p w14:paraId="1BB0ED4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4129610.565</w:t>
                  </w:r>
                </w:p>
              </w:tc>
              <w:tc>
                <w:tcPr>
                  <w:tcW w:w="1058" w:type="pct"/>
                  <w:tcBorders>
                    <w:tl2br w:val="nil"/>
                    <w:tr2bl w:val="nil"/>
                  </w:tcBorders>
                  <w:shd w:val="clear" w:color="auto" w:fill="FFFFFF"/>
                  <w:noWrap/>
                  <w:vAlign w:val="center"/>
                </w:tcPr>
                <w:p w14:paraId="511EED4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35543050.222</w:t>
                  </w:r>
                </w:p>
              </w:tc>
            </w:tr>
            <w:tr w14:paraId="3BF479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E5C54B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J11</w:t>
                  </w:r>
                </w:p>
              </w:tc>
              <w:tc>
                <w:tcPr>
                  <w:tcW w:w="978" w:type="pct"/>
                  <w:tcBorders>
                    <w:tl2br w:val="nil"/>
                    <w:tr2bl w:val="nil"/>
                  </w:tcBorders>
                  <w:shd w:val="clear" w:color="auto" w:fill="FFFFFF"/>
                  <w:noWrap/>
                  <w:vAlign w:val="center"/>
                </w:tcPr>
                <w:p w14:paraId="2CE5A71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4130105.380</w:t>
                  </w:r>
                </w:p>
              </w:tc>
              <w:tc>
                <w:tcPr>
                  <w:tcW w:w="1058" w:type="pct"/>
                  <w:tcBorders>
                    <w:tl2br w:val="nil"/>
                    <w:tr2bl w:val="nil"/>
                  </w:tcBorders>
                  <w:shd w:val="clear" w:color="auto" w:fill="FFFFFF"/>
                  <w:noWrap/>
                  <w:vAlign w:val="center"/>
                </w:tcPr>
                <w:p w14:paraId="67773C0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35543242.310</w:t>
                  </w:r>
                </w:p>
              </w:tc>
              <w:tc>
                <w:tcPr>
                  <w:tcW w:w="462" w:type="pct"/>
                  <w:tcBorders>
                    <w:tl2br w:val="nil"/>
                    <w:tr2bl w:val="nil"/>
                  </w:tcBorders>
                  <w:shd w:val="clear" w:color="auto" w:fill="FFFFFF"/>
                  <w:noWrap/>
                  <w:vAlign w:val="center"/>
                </w:tcPr>
                <w:p w14:paraId="4B22B9C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J56</w:t>
                  </w:r>
                </w:p>
              </w:tc>
              <w:tc>
                <w:tcPr>
                  <w:tcW w:w="978" w:type="pct"/>
                  <w:tcBorders>
                    <w:tl2br w:val="nil"/>
                    <w:tr2bl w:val="nil"/>
                  </w:tcBorders>
                  <w:shd w:val="clear" w:color="auto" w:fill="FFFFFF"/>
                  <w:noWrap/>
                  <w:vAlign w:val="center"/>
                </w:tcPr>
                <w:p w14:paraId="31CB0D6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4129659.087</w:t>
                  </w:r>
                </w:p>
              </w:tc>
              <w:tc>
                <w:tcPr>
                  <w:tcW w:w="1058" w:type="pct"/>
                  <w:tcBorders>
                    <w:tl2br w:val="nil"/>
                    <w:tr2bl w:val="nil"/>
                  </w:tcBorders>
                  <w:shd w:val="clear" w:color="auto" w:fill="FFFFFF"/>
                  <w:noWrap/>
                  <w:vAlign w:val="center"/>
                </w:tcPr>
                <w:p w14:paraId="7B31F18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35543036.470</w:t>
                  </w:r>
                </w:p>
              </w:tc>
            </w:tr>
            <w:tr w14:paraId="3F59C7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EB24E8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J12</w:t>
                  </w:r>
                </w:p>
              </w:tc>
              <w:tc>
                <w:tcPr>
                  <w:tcW w:w="978" w:type="pct"/>
                  <w:tcBorders>
                    <w:tl2br w:val="nil"/>
                    <w:tr2bl w:val="nil"/>
                  </w:tcBorders>
                  <w:shd w:val="clear" w:color="auto" w:fill="FFFFFF"/>
                  <w:noWrap/>
                  <w:vAlign w:val="center"/>
                </w:tcPr>
                <w:p w14:paraId="6AF0655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4130103.345</w:t>
                  </w:r>
                </w:p>
              </w:tc>
              <w:tc>
                <w:tcPr>
                  <w:tcW w:w="1058" w:type="pct"/>
                  <w:tcBorders>
                    <w:tl2br w:val="nil"/>
                    <w:tr2bl w:val="nil"/>
                  </w:tcBorders>
                  <w:shd w:val="clear" w:color="auto" w:fill="FFFFFF"/>
                  <w:noWrap/>
                  <w:vAlign w:val="center"/>
                </w:tcPr>
                <w:p w14:paraId="75FB14C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35543231.878</w:t>
                  </w:r>
                </w:p>
              </w:tc>
              <w:tc>
                <w:tcPr>
                  <w:tcW w:w="462" w:type="pct"/>
                  <w:tcBorders>
                    <w:tl2br w:val="nil"/>
                    <w:tr2bl w:val="nil"/>
                  </w:tcBorders>
                  <w:shd w:val="clear" w:color="auto" w:fill="FFFFFF"/>
                  <w:noWrap/>
                  <w:vAlign w:val="center"/>
                </w:tcPr>
                <w:p w14:paraId="4FBDAE0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J57</w:t>
                  </w:r>
                </w:p>
              </w:tc>
              <w:tc>
                <w:tcPr>
                  <w:tcW w:w="978" w:type="pct"/>
                  <w:tcBorders>
                    <w:tl2br w:val="nil"/>
                    <w:tr2bl w:val="nil"/>
                  </w:tcBorders>
                  <w:shd w:val="clear" w:color="auto" w:fill="FFFFFF"/>
                  <w:noWrap/>
                  <w:vAlign w:val="center"/>
                </w:tcPr>
                <w:p w14:paraId="205556A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4129697.028</w:t>
                  </w:r>
                </w:p>
              </w:tc>
              <w:tc>
                <w:tcPr>
                  <w:tcW w:w="1058" w:type="pct"/>
                  <w:tcBorders>
                    <w:tl2br w:val="nil"/>
                    <w:tr2bl w:val="nil"/>
                  </w:tcBorders>
                  <w:shd w:val="clear" w:color="auto" w:fill="FFFFFF"/>
                  <w:noWrap/>
                  <w:vAlign w:val="center"/>
                </w:tcPr>
                <w:p w14:paraId="10B9A15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35543019.397</w:t>
                  </w:r>
                </w:p>
              </w:tc>
            </w:tr>
            <w:tr w14:paraId="5022EA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64CB350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J13</w:t>
                  </w:r>
                </w:p>
              </w:tc>
              <w:tc>
                <w:tcPr>
                  <w:tcW w:w="978" w:type="pct"/>
                  <w:tcBorders>
                    <w:tl2br w:val="nil"/>
                    <w:tr2bl w:val="nil"/>
                  </w:tcBorders>
                  <w:shd w:val="clear" w:color="auto" w:fill="FFFFFF"/>
                  <w:noWrap/>
                  <w:vAlign w:val="center"/>
                </w:tcPr>
                <w:p w14:paraId="6E5DFB1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4130098.522</w:t>
                  </w:r>
                </w:p>
              </w:tc>
              <w:tc>
                <w:tcPr>
                  <w:tcW w:w="1058" w:type="pct"/>
                  <w:tcBorders>
                    <w:tl2br w:val="nil"/>
                    <w:tr2bl w:val="nil"/>
                  </w:tcBorders>
                  <w:shd w:val="clear" w:color="auto" w:fill="FFFFFF"/>
                  <w:noWrap/>
                  <w:vAlign w:val="center"/>
                </w:tcPr>
                <w:p w14:paraId="4FCAC78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35543218.401</w:t>
                  </w:r>
                </w:p>
              </w:tc>
              <w:tc>
                <w:tcPr>
                  <w:tcW w:w="462" w:type="pct"/>
                  <w:tcBorders>
                    <w:tl2br w:val="nil"/>
                    <w:tr2bl w:val="nil"/>
                  </w:tcBorders>
                  <w:shd w:val="clear" w:color="auto" w:fill="FFFFFF"/>
                  <w:noWrap/>
                  <w:vAlign w:val="center"/>
                </w:tcPr>
                <w:p w14:paraId="7B25707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J58</w:t>
                  </w:r>
                </w:p>
              </w:tc>
              <w:tc>
                <w:tcPr>
                  <w:tcW w:w="978" w:type="pct"/>
                  <w:tcBorders>
                    <w:tl2br w:val="nil"/>
                    <w:tr2bl w:val="nil"/>
                  </w:tcBorders>
                  <w:shd w:val="clear" w:color="auto" w:fill="FFFFFF"/>
                  <w:noWrap/>
                  <w:vAlign w:val="center"/>
                </w:tcPr>
                <w:p w14:paraId="044D825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4129709.436</w:t>
                  </w:r>
                </w:p>
              </w:tc>
              <w:tc>
                <w:tcPr>
                  <w:tcW w:w="1058" w:type="pct"/>
                  <w:tcBorders>
                    <w:tl2br w:val="nil"/>
                    <w:tr2bl w:val="nil"/>
                  </w:tcBorders>
                  <w:shd w:val="clear" w:color="auto" w:fill="FFFFFF"/>
                  <w:noWrap/>
                  <w:vAlign w:val="center"/>
                </w:tcPr>
                <w:p w14:paraId="643ED88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35542967.011</w:t>
                  </w:r>
                </w:p>
              </w:tc>
            </w:tr>
            <w:tr w14:paraId="65760A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48AC308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J14</w:t>
                  </w:r>
                </w:p>
              </w:tc>
              <w:tc>
                <w:tcPr>
                  <w:tcW w:w="978" w:type="pct"/>
                  <w:tcBorders>
                    <w:tl2br w:val="nil"/>
                    <w:tr2bl w:val="nil"/>
                  </w:tcBorders>
                  <w:shd w:val="clear" w:color="auto" w:fill="FFFFFF"/>
                  <w:noWrap/>
                  <w:vAlign w:val="center"/>
                </w:tcPr>
                <w:p w14:paraId="3150996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4130087.417</w:t>
                  </w:r>
                </w:p>
              </w:tc>
              <w:tc>
                <w:tcPr>
                  <w:tcW w:w="1058" w:type="pct"/>
                  <w:tcBorders>
                    <w:tl2br w:val="nil"/>
                    <w:tr2bl w:val="nil"/>
                  </w:tcBorders>
                  <w:shd w:val="clear" w:color="auto" w:fill="FFFFFF"/>
                  <w:noWrap/>
                  <w:vAlign w:val="center"/>
                </w:tcPr>
                <w:p w14:paraId="2CE8DB2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35543215.821</w:t>
                  </w:r>
                </w:p>
              </w:tc>
              <w:tc>
                <w:tcPr>
                  <w:tcW w:w="462" w:type="pct"/>
                  <w:tcBorders>
                    <w:tl2br w:val="nil"/>
                    <w:tr2bl w:val="nil"/>
                  </w:tcBorders>
                  <w:shd w:val="clear" w:color="auto" w:fill="FFFFFF"/>
                  <w:noWrap/>
                  <w:vAlign w:val="center"/>
                </w:tcPr>
                <w:p w14:paraId="7D73CD1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J59</w:t>
                  </w:r>
                </w:p>
              </w:tc>
              <w:tc>
                <w:tcPr>
                  <w:tcW w:w="978" w:type="pct"/>
                  <w:tcBorders>
                    <w:tl2br w:val="nil"/>
                    <w:tr2bl w:val="nil"/>
                  </w:tcBorders>
                  <w:shd w:val="clear" w:color="auto" w:fill="FFFFFF"/>
                  <w:noWrap/>
                  <w:vAlign w:val="center"/>
                </w:tcPr>
                <w:p w14:paraId="74E7015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4129729.754</w:t>
                  </w:r>
                </w:p>
              </w:tc>
              <w:tc>
                <w:tcPr>
                  <w:tcW w:w="1058" w:type="pct"/>
                  <w:tcBorders>
                    <w:tl2br w:val="nil"/>
                    <w:tr2bl w:val="nil"/>
                  </w:tcBorders>
                  <w:shd w:val="clear" w:color="auto" w:fill="FFFFFF"/>
                  <w:noWrap/>
                  <w:vAlign w:val="center"/>
                </w:tcPr>
                <w:p w14:paraId="4DE53A4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35542939.667</w:t>
                  </w:r>
                </w:p>
              </w:tc>
            </w:tr>
            <w:tr w14:paraId="430D72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CE3DD2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J15</w:t>
                  </w:r>
                </w:p>
              </w:tc>
              <w:tc>
                <w:tcPr>
                  <w:tcW w:w="978" w:type="pct"/>
                  <w:tcBorders>
                    <w:tl2br w:val="nil"/>
                    <w:tr2bl w:val="nil"/>
                  </w:tcBorders>
                  <w:shd w:val="clear" w:color="auto" w:fill="FFFFFF"/>
                  <w:noWrap/>
                  <w:vAlign w:val="center"/>
                </w:tcPr>
                <w:p w14:paraId="007A33B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4130069.617</w:t>
                  </w:r>
                </w:p>
              </w:tc>
              <w:tc>
                <w:tcPr>
                  <w:tcW w:w="1058" w:type="pct"/>
                  <w:tcBorders>
                    <w:tl2br w:val="nil"/>
                    <w:tr2bl w:val="nil"/>
                  </w:tcBorders>
                  <w:shd w:val="clear" w:color="auto" w:fill="FFFFFF"/>
                  <w:noWrap/>
                  <w:vAlign w:val="center"/>
                </w:tcPr>
                <w:p w14:paraId="0793EF4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35543220.976</w:t>
                  </w:r>
                </w:p>
              </w:tc>
              <w:tc>
                <w:tcPr>
                  <w:tcW w:w="462" w:type="pct"/>
                  <w:tcBorders>
                    <w:tl2br w:val="nil"/>
                    <w:tr2bl w:val="nil"/>
                  </w:tcBorders>
                  <w:shd w:val="clear" w:color="auto" w:fill="FFFFFF"/>
                  <w:noWrap/>
                  <w:vAlign w:val="center"/>
                </w:tcPr>
                <w:p w14:paraId="274A478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J60</w:t>
                  </w:r>
                </w:p>
              </w:tc>
              <w:tc>
                <w:tcPr>
                  <w:tcW w:w="978" w:type="pct"/>
                  <w:tcBorders>
                    <w:tl2br w:val="nil"/>
                    <w:tr2bl w:val="nil"/>
                  </w:tcBorders>
                  <w:shd w:val="clear" w:color="auto" w:fill="FFFFFF"/>
                  <w:noWrap/>
                  <w:vAlign w:val="center"/>
                </w:tcPr>
                <w:p w14:paraId="13800F8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4129793.796</w:t>
                  </w:r>
                </w:p>
              </w:tc>
              <w:tc>
                <w:tcPr>
                  <w:tcW w:w="1058" w:type="pct"/>
                  <w:tcBorders>
                    <w:tl2br w:val="nil"/>
                    <w:tr2bl w:val="nil"/>
                  </w:tcBorders>
                  <w:shd w:val="clear" w:color="auto" w:fill="FFFFFF"/>
                  <w:noWrap/>
                  <w:vAlign w:val="center"/>
                </w:tcPr>
                <w:p w14:paraId="5C5F28C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35543008.864</w:t>
                  </w:r>
                </w:p>
              </w:tc>
            </w:tr>
            <w:tr w14:paraId="0BC78D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54DA563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J16</w:t>
                  </w:r>
                </w:p>
              </w:tc>
              <w:tc>
                <w:tcPr>
                  <w:tcW w:w="978" w:type="pct"/>
                  <w:tcBorders>
                    <w:tl2br w:val="nil"/>
                    <w:tr2bl w:val="nil"/>
                  </w:tcBorders>
                  <w:shd w:val="clear" w:color="auto" w:fill="FFFFFF"/>
                  <w:noWrap/>
                  <w:vAlign w:val="center"/>
                </w:tcPr>
                <w:p w14:paraId="13C12D6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4130036.379</w:t>
                  </w:r>
                </w:p>
              </w:tc>
              <w:tc>
                <w:tcPr>
                  <w:tcW w:w="1058" w:type="pct"/>
                  <w:tcBorders>
                    <w:tl2br w:val="nil"/>
                    <w:tr2bl w:val="nil"/>
                  </w:tcBorders>
                  <w:shd w:val="clear" w:color="auto" w:fill="FFFFFF"/>
                  <w:noWrap/>
                  <w:vAlign w:val="center"/>
                </w:tcPr>
                <w:p w14:paraId="46AE579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35543228.109</w:t>
                  </w:r>
                </w:p>
              </w:tc>
              <w:tc>
                <w:tcPr>
                  <w:tcW w:w="462" w:type="pct"/>
                  <w:tcBorders>
                    <w:tl2br w:val="nil"/>
                    <w:tr2bl w:val="nil"/>
                  </w:tcBorders>
                  <w:shd w:val="clear" w:color="auto" w:fill="FFFFFF"/>
                  <w:noWrap/>
                  <w:vAlign w:val="center"/>
                </w:tcPr>
                <w:p w14:paraId="3719AA5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J61</w:t>
                  </w:r>
                </w:p>
              </w:tc>
              <w:tc>
                <w:tcPr>
                  <w:tcW w:w="978" w:type="pct"/>
                  <w:tcBorders>
                    <w:tl2br w:val="nil"/>
                    <w:tr2bl w:val="nil"/>
                  </w:tcBorders>
                  <w:shd w:val="clear" w:color="auto" w:fill="FFFFFF"/>
                  <w:noWrap/>
                  <w:vAlign w:val="center"/>
                </w:tcPr>
                <w:p w14:paraId="227053B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4129804.357</w:t>
                  </w:r>
                </w:p>
              </w:tc>
              <w:tc>
                <w:tcPr>
                  <w:tcW w:w="1058" w:type="pct"/>
                  <w:tcBorders>
                    <w:tl2br w:val="nil"/>
                    <w:tr2bl w:val="nil"/>
                  </w:tcBorders>
                  <w:shd w:val="clear" w:color="auto" w:fill="FFFFFF"/>
                  <w:noWrap/>
                  <w:vAlign w:val="center"/>
                </w:tcPr>
                <w:p w14:paraId="1435198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35543096.180</w:t>
                  </w:r>
                </w:p>
              </w:tc>
            </w:tr>
            <w:tr w14:paraId="158184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12CDA2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J17</w:t>
                  </w:r>
                </w:p>
              </w:tc>
              <w:tc>
                <w:tcPr>
                  <w:tcW w:w="978" w:type="pct"/>
                  <w:tcBorders>
                    <w:tl2br w:val="nil"/>
                    <w:tr2bl w:val="nil"/>
                  </w:tcBorders>
                  <w:shd w:val="clear" w:color="auto" w:fill="FFFFFF"/>
                  <w:noWrap/>
                  <w:vAlign w:val="center"/>
                </w:tcPr>
                <w:p w14:paraId="0594EDE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4130015.617</w:t>
                  </w:r>
                </w:p>
              </w:tc>
              <w:tc>
                <w:tcPr>
                  <w:tcW w:w="1058" w:type="pct"/>
                  <w:tcBorders>
                    <w:tl2br w:val="nil"/>
                    <w:tr2bl w:val="nil"/>
                  </w:tcBorders>
                  <w:shd w:val="clear" w:color="auto" w:fill="FFFFFF"/>
                  <w:noWrap/>
                  <w:vAlign w:val="center"/>
                </w:tcPr>
                <w:p w14:paraId="38A0AD9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35543232.107</w:t>
                  </w:r>
                </w:p>
              </w:tc>
              <w:tc>
                <w:tcPr>
                  <w:tcW w:w="462" w:type="pct"/>
                  <w:tcBorders>
                    <w:tl2br w:val="nil"/>
                    <w:tr2bl w:val="nil"/>
                  </w:tcBorders>
                  <w:shd w:val="clear" w:color="auto" w:fill="FFFFFF"/>
                  <w:noWrap/>
                  <w:vAlign w:val="center"/>
                </w:tcPr>
                <w:p w14:paraId="200708F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J62</w:t>
                  </w:r>
                </w:p>
              </w:tc>
              <w:tc>
                <w:tcPr>
                  <w:tcW w:w="978" w:type="pct"/>
                  <w:tcBorders>
                    <w:tl2br w:val="nil"/>
                    <w:tr2bl w:val="nil"/>
                  </w:tcBorders>
                  <w:shd w:val="clear" w:color="auto" w:fill="FFFFFF"/>
                  <w:noWrap/>
                  <w:vAlign w:val="center"/>
                </w:tcPr>
                <w:p w14:paraId="5D0C2EC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4129861.538</w:t>
                  </w:r>
                </w:p>
              </w:tc>
              <w:tc>
                <w:tcPr>
                  <w:tcW w:w="1058" w:type="pct"/>
                  <w:tcBorders>
                    <w:tl2br w:val="nil"/>
                    <w:tr2bl w:val="nil"/>
                  </w:tcBorders>
                  <w:shd w:val="clear" w:color="auto" w:fill="FFFFFF"/>
                  <w:noWrap/>
                  <w:vAlign w:val="center"/>
                </w:tcPr>
                <w:p w14:paraId="765A3C6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35543122.891</w:t>
                  </w:r>
                </w:p>
              </w:tc>
            </w:tr>
            <w:tr w14:paraId="6576AE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6F37A2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J18</w:t>
                  </w:r>
                </w:p>
              </w:tc>
              <w:tc>
                <w:tcPr>
                  <w:tcW w:w="978" w:type="pct"/>
                  <w:tcBorders>
                    <w:tl2br w:val="nil"/>
                    <w:tr2bl w:val="nil"/>
                  </w:tcBorders>
                  <w:shd w:val="clear" w:color="auto" w:fill="FFFFFF"/>
                  <w:noWrap/>
                  <w:vAlign w:val="center"/>
                </w:tcPr>
                <w:p w14:paraId="623A1E3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4130015.058</w:t>
                  </w:r>
                </w:p>
              </w:tc>
              <w:tc>
                <w:tcPr>
                  <w:tcW w:w="1058" w:type="pct"/>
                  <w:tcBorders>
                    <w:tl2br w:val="nil"/>
                    <w:tr2bl w:val="nil"/>
                  </w:tcBorders>
                  <w:shd w:val="clear" w:color="auto" w:fill="FFFFFF"/>
                  <w:noWrap/>
                  <w:vAlign w:val="center"/>
                </w:tcPr>
                <w:p w14:paraId="0032EC3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35543241.827</w:t>
                  </w:r>
                </w:p>
              </w:tc>
              <w:tc>
                <w:tcPr>
                  <w:tcW w:w="462" w:type="pct"/>
                  <w:tcBorders>
                    <w:tl2br w:val="nil"/>
                    <w:tr2bl w:val="nil"/>
                  </w:tcBorders>
                  <w:shd w:val="clear" w:color="auto" w:fill="FFFFFF"/>
                  <w:noWrap/>
                  <w:vAlign w:val="center"/>
                </w:tcPr>
                <w:p w14:paraId="6F32326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J63</w:t>
                  </w:r>
                </w:p>
              </w:tc>
              <w:tc>
                <w:tcPr>
                  <w:tcW w:w="978" w:type="pct"/>
                  <w:tcBorders>
                    <w:tl2br w:val="nil"/>
                    <w:tr2bl w:val="nil"/>
                  </w:tcBorders>
                  <w:shd w:val="clear" w:color="auto" w:fill="FFFFFF"/>
                  <w:noWrap/>
                  <w:vAlign w:val="center"/>
                </w:tcPr>
                <w:p w14:paraId="42D794A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4129912.372</w:t>
                  </w:r>
                </w:p>
              </w:tc>
              <w:tc>
                <w:tcPr>
                  <w:tcW w:w="1058" w:type="pct"/>
                  <w:tcBorders>
                    <w:tl2br w:val="nil"/>
                    <w:tr2bl w:val="nil"/>
                  </w:tcBorders>
                  <w:shd w:val="clear" w:color="auto" w:fill="FFFFFF"/>
                  <w:noWrap/>
                  <w:vAlign w:val="center"/>
                </w:tcPr>
                <w:p w14:paraId="341B335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35543147.946</w:t>
                  </w:r>
                </w:p>
              </w:tc>
            </w:tr>
            <w:tr w14:paraId="1C9F95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077A69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J19</w:t>
                  </w:r>
                </w:p>
              </w:tc>
              <w:tc>
                <w:tcPr>
                  <w:tcW w:w="978" w:type="pct"/>
                  <w:tcBorders>
                    <w:tl2br w:val="nil"/>
                    <w:tr2bl w:val="nil"/>
                  </w:tcBorders>
                  <w:shd w:val="clear" w:color="auto" w:fill="FFFFFF"/>
                  <w:noWrap/>
                  <w:vAlign w:val="center"/>
                </w:tcPr>
                <w:p w14:paraId="143DBA7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4130012.302</w:t>
                  </w:r>
                </w:p>
              </w:tc>
              <w:tc>
                <w:tcPr>
                  <w:tcW w:w="1058" w:type="pct"/>
                  <w:tcBorders>
                    <w:tl2br w:val="nil"/>
                    <w:tr2bl w:val="nil"/>
                  </w:tcBorders>
                  <w:shd w:val="clear" w:color="auto" w:fill="FFFFFF"/>
                  <w:noWrap/>
                  <w:vAlign w:val="center"/>
                </w:tcPr>
                <w:p w14:paraId="20CB3FA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35543252.774</w:t>
                  </w:r>
                </w:p>
              </w:tc>
              <w:tc>
                <w:tcPr>
                  <w:tcW w:w="462" w:type="pct"/>
                  <w:tcBorders>
                    <w:tl2br w:val="nil"/>
                    <w:tr2bl w:val="nil"/>
                  </w:tcBorders>
                  <w:shd w:val="clear" w:color="auto" w:fill="FFFFFF"/>
                  <w:noWrap/>
                  <w:vAlign w:val="center"/>
                </w:tcPr>
                <w:p w14:paraId="1A55FCE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J64</w:t>
                  </w:r>
                </w:p>
              </w:tc>
              <w:tc>
                <w:tcPr>
                  <w:tcW w:w="978" w:type="pct"/>
                  <w:tcBorders>
                    <w:tl2br w:val="nil"/>
                    <w:tr2bl w:val="nil"/>
                  </w:tcBorders>
                  <w:shd w:val="clear" w:color="auto" w:fill="FFFFFF"/>
                  <w:noWrap/>
                  <w:vAlign w:val="center"/>
                </w:tcPr>
                <w:p w14:paraId="4DEC1B2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4129950.124</w:t>
                  </w:r>
                </w:p>
              </w:tc>
              <w:tc>
                <w:tcPr>
                  <w:tcW w:w="1058" w:type="pct"/>
                  <w:tcBorders>
                    <w:tl2br w:val="nil"/>
                    <w:tr2bl w:val="nil"/>
                  </w:tcBorders>
                  <w:shd w:val="clear" w:color="auto" w:fill="FFFFFF"/>
                  <w:noWrap/>
                  <w:vAlign w:val="center"/>
                </w:tcPr>
                <w:p w14:paraId="746B081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35543171.064</w:t>
                  </w:r>
                </w:p>
              </w:tc>
            </w:tr>
            <w:tr w14:paraId="745BFB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746024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J20</w:t>
                  </w:r>
                </w:p>
              </w:tc>
              <w:tc>
                <w:tcPr>
                  <w:tcW w:w="978" w:type="pct"/>
                  <w:tcBorders>
                    <w:tl2br w:val="nil"/>
                    <w:tr2bl w:val="nil"/>
                  </w:tcBorders>
                  <w:shd w:val="clear" w:color="auto" w:fill="FFFFFF"/>
                  <w:noWrap/>
                  <w:vAlign w:val="center"/>
                </w:tcPr>
                <w:p w14:paraId="49A3053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4130017.500</w:t>
                  </w:r>
                </w:p>
              </w:tc>
              <w:tc>
                <w:tcPr>
                  <w:tcW w:w="1058" w:type="pct"/>
                  <w:tcBorders>
                    <w:tl2br w:val="nil"/>
                    <w:tr2bl w:val="nil"/>
                  </w:tcBorders>
                  <w:shd w:val="clear" w:color="auto" w:fill="FFFFFF"/>
                  <w:noWrap/>
                  <w:vAlign w:val="center"/>
                </w:tcPr>
                <w:p w14:paraId="5276EF6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35543354.844</w:t>
                  </w:r>
                </w:p>
              </w:tc>
              <w:tc>
                <w:tcPr>
                  <w:tcW w:w="462" w:type="pct"/>
                  <w:tcBorders>
                    <w:tl2br w:val="nil"/>
                    <w:tr2bl w:val="nil"/>
                  </w:tcBorders>
                  <w:shd w:val="clear" w:color="auto" w:fill="FFFFFF"/>
                  <w:noWrap/>
                  <w:vAlign w:val="center"/>
                </w:tcPr>
                <w:p w14:paraId="482591C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J65</w:t>
                  </w:r>
                </w:p>
              </w:tc>
              <w:tc>
                <w:tcPr>
                  <w:tcW w:w="978" w:type="pct"/>
                  <w:tcBorders>
                    <w:tl2br w:val="nil"/>
                    <w:tr2bl w:val="nil"/>
                  </w:tcBorders>
                  <w:shd w:val="clear" w:color="auto" w:fill="FFFFFF"/>
                  <w:noWrap/>
                  <w:vAlign w:val="center"/>
                </w:tcPr>
                <w:p w14:paraId="5448B36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4130011.974</w:t>
                  </w:r>
                </w:p>
              </w:tc>
              <w:tc>
                <w:tcPr>
                  <w:tcW w:w="1058" w:type="pct"/>
                  <w:tcBorders>
                    <w:tl2br w:val="nil"/>
                    <w:tr2bl w:val="nil"/>
                  </w:tcBorders>
                  <w:shd w:val="clear" w:color="auto" w:fill="FFFFFF"/>
                  <w:noWrap/>
                  <w:vAlign w:val="center"/>
                </w:tcPr>
                <w:p w14:paraId="7436833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35543223.904</w:t>
                  </w:r>
                </w:p>
              </w:tc>
            </w:tr>
            <w:tr w14:paraId="373A5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F0687A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J21</w:t>
                  </w:r>
                </w:p>
              </w:tc>
              <w:tc>
                <w:tcPr>
                  <w:tcW w:w="978" w:type="pct"/>
                  <w:tcBorders>
                    <w:tl2br w:val="nil"/>
                    <w:tr2bl w:val="nil"/>
                  </w:tcBorders>
                  <w:shd w:val="clear" w:color="auto" w:fill="FFFFFF"/>
                  <w:noWrap/>
                  <w:vAlign w:val="center"/>
                </w:tcPr>
                <w:p w14:paraId="27EC92F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4130019.349</w:t>
                  </w:r>
                </w:p>
              </w:tc>
              <w:tc>
                <w:tcPr>
                  <w:tcW w:w="1058" w:type="pct"/>
                  <w:tcBorders>
                    <w:tl2br w:val="nil"/>
                    <w:tr2bl w:val="nil"/>
                  </w:tcBorders>
                  <w:shd w:val="clear" w:color="auto" w:fill="FFFFFF"/>
                  <w:noWrap/>
                  <w:vAlign w:val="center"/>
                </w:tcPr>
                <w:p w14:paraId="425F9D7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35543446.736</w:t>
                  </w:r>
                </w:p>
              </w:tc>
              <w:tc>
                <w:tcPr>
                  <w:tcW w:w="462" w:type="pct"/>
                  <w:tcBorders>
                    <w:tl2br w:val="nil"/>
                    <w:tr2bl w:val="nil"/>
                  </w:tcBorders>
                  <w:shd w:val="clear" w:color="auto" w:fill="FFFFFF"/>
                  <w:noWrap/>
                  <w:vAlign w:val="center"/>
                </w:tcPr>
                <w:p w14:paraId="4E7C60A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J66</w:t>
                  </w:r>
                </w:p>
              </w:tc>
              <w:tc>
                <w:tcPr>
                  <w:tcW w:w="978" w:type="pct"/>
                  <w:tcBorders>
                    <w:tl2br w:val="nil"/>
                    <w:tr2bl w:val="nil"/>
                  </w:tcBorders>
                  <w:shd w:val="clear" w:color="auto" w:fill="FFFFFF"/>
                  <w:noWrap/>
                  <w:vAlign w:val="center"/>
                </w:tcPr>
                <w:p w14:paraId="509CE29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4130013.500</w:t>
                  </w:r>
                </w:p>
              </w:tc>
              <w:tc>
                <w:tcPr>
                  <w:tcW w:w="1058" w:type="pct"/>
                  <w:tcBorders>
                    <w:tl2br w:val="nil"/>
                    <w:tr2bl w:val="nil"/>
                  </w:tcBorders>
                  <w:shd w:val="clear" w:color="auto" w:fill="FFFFFF"/>
                  <w:noWrap/>
                  <w:vAlign w:val="center"/>
                </w:tcPr>
                <w:p w14:paraId="7E218D1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35543223.660</w:t>
                  </w:r>
                </w:p>
              </w:tc>
            </w:tr>
            <w:tr w14:paraId="773B40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968DC5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J22</w:t>
                  </w:r>
                </w:p>
              </w:tc>
              <w:tc>
                <w:tcPr>
                  <w:tcW w:w="978" w:type="pct"/>
                  <w:tcBorders>
                    <w:tl2br w:val="nil"/>
                    <w:tr2bl w:val="nil"/>
                  </w:tcBorders>
                  <w:shd w:val="clear" w:color="auto" w:fill="FFFFFF"/>
                  <w:noWrap/>
                  <w:vAlign w:val="center"/>
                </w:tcPr>
                <w:p w14:paraId="78462F0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4130086.510</w:t>
                  </w:r>
                </w:p>
              </w:tc>
              <w:tc>
                <w:tcPr>
                  <w:tcW w:w="1058" w:type="pct"/>
                  <w:tcBorders>
                    <w:tl2br w:val="nil"/>
                    <w:tr2bl w:val="nil"/>
                  </w:tcBorders>
                  <w:shd w:val="clear" w:color="auto" w:fill="FFFFFF"/>
                  <w:noWrap/>
                  <w:vAlign w:val="center"/>
                </w:tcPr>
                <w:p w14:paraId="6EB421A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35543677.532</w:t>
                  </w:r>
                </w:p>
              </w:tc>
              <w:tc>
                <w:tcPr>
                  <w:tcW w:w="462" w:type="pct"/>
                  <w:tcBorders>
                    <w:tl2br w:val="nil"/>
                    <w:tr2bl w:val="nil"/>
                  </w:tcBorders>
                  <w:shd w:val="clear" w:color="auto" w:fill="FFFFFF"/>
                  <w:noWrap/>
                  <w:vAlign w:val="center"/>
                </w:tcPr>
                <w:p w14:paraId="762C758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J67</w:t>
                  </w:r>
                </w:p>
              </w:tc>
              <w:tc>
                <w:tcPr>
                  <w:tcW w:w="978" w:type="pct"/>
                  <w:tcBorders>
                    <w:tl2br w:val="nil"/>
                    <w:tr2bl w:val="nil"/>
                  </w:tcBorders>
                  <w:shd w:val="clear" w:color="auto" w:fill="FFFFFF"/>
                  <w:noWrap/>
                  <w:vAlign w:val="center"/>
                </w:tcPr>
                <w:p w14:paraId="1B4A2F4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4130023.295</w:t>
                  </w:r>
                </w:p>
              </w:tc>
              <w:tc>
                <w:tcPr>
                  <w:tcW w:w="1058" w:type="pct"/>
                  <w:tcBorders>
                    <w:tl2br w:val="nil"/>
                    <w:tr2bl w:val="nil"/>
                  </w:tcBorders>
                  <w:shd w:val="clear" w:color="auto" w:fill="FFFFFF"/>
                  <w:noWrap/>
                  <w:vAlign w:val="center"/>
                </w:tcPr>
                <w:p w14:paraId="38EA285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35543225.962</w:t>
                  </w:r>
                </w:p>
              </w:tc>
            </w:tr>
            <w:tr w14:paraId="633324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3F904D0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J23</w:t>
                  </w:r>
                </w:p>
              </w:tc>
              <w:tc>
                <w:tcPr>
                  <w:tcW w:w="978" w:type="pct"/>
                  <w:tcBorders>
                    <w:tl2br w:val="nil"/>
                    <w:tr2bl w:val="nil"/>
                  </w:tcBorders>
                  <w:shd w:val="clear" w:color="auto" w:fill="FFFFFF"/>
                  <w:noWrap/>
                  <w:vAlign w:val="center"/>
                </w:tcPr>
                <w:p w14:paraId="0BCC7F5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4130137.531</w:t>
                  </w:r>
                </w:p>
              </w:tc>
              <w:tc>
                <w:tcPr>
                  <w:tcW w:w="1058" w:type="pct"/>
                  <w:tcBorders>
                    <w:tl2br w:val="nil"/>
                    <w:tr2bl w:val="nil"/>
                  </w:tcBorders>
                  <w:shd w:val="clear" w:color="auto" w:fill="FFFFFF"/>
                  <w:noWrap/>
                  <w:vAlign w:val="center"/>
                </w:tcPr>
                <w:p w14:paraId="18932B2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35543757.208</w:t>
                  </w:r>
                </w:p>
              </w:tc>
              <w:tc>
                <w:tcPr>
                  <w:tcW w:w="462" w:type="pct"/>
                  <w:tcBorders>
                    <w:tl2br w:val="nil"/>
                    <w:tr2bl w:val="nil"/>
                  </w:tcBorders>
                  <w:shd w:val="clear" w:color="auto" w:fill="FFFFFF"/>
                  <w:noWrap/>
                  <w:vAlign w:val="center"/>
                </w:tcPr>
                <w:p w14:paraId="20E3B35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J68</w:t>
                  </w:r>
                </w:p>
              </w:tc>
              <w:tc>
                <w:tcPr>
                  <w:tcW w:w="978" w:type="pct"/>
                  <w:tcBorders>
                    <w:tl2br w:val="nil"/>
                    <w:tr2bl w:val="nil"/>
                  </w:tcBorders>
                  <w:shd w:val="clear" w:color="auto" w:fill="FFFFFF"/>
                  <w:noWrap/>
                  <w:vAlign w:val="center"/>
                </w:tcPr>
                <w:p w14:paraId="1A49252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4130080.269</w:t>
                  </w:r>
                </w:p>
              </w:tc>
              <w:tc>
                <w:tcPr>
                  <w:tcW w:w="1058" w:type="pct"/>
                  <w:tcBorders>
                    <w:tl2br w:val="nil"/>
                    <w:tr2bl w:val="nil"/>
                  </w:tcBorders>
                  <w:shd w:val="clear" w:color="auto" w:fill="FFFFFF"/>
                  <w:noWrap/>
                  <w:vAlign w:val="center"/>
                </w:tcPr>
                <w:p w14:paraId="0BCEFAB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35543212.377</w:t>
                  </w:r>
                </w:p>
              </w:tc>
            </w:tr>
            <w:tr w14:paraId="427FF5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0E1E0A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J24</w:t>
                  </w:r>
                </w:p>
              </w:tc>
              <w:tc>
                <w:tcPr>
                  <w:tcW w:w="978" w:type="pct"/>
                  <w:tcBorders>
                    <w:tl2br w:val="nil"/>
                    <w:tr2bl w:val="nil"/>
                  </w:tcBorders>
                  <w:shd w:val="clear" w:color="auto" w:fill="FFFFFF"/>
                  <w:noWrap/>
                  <w:vAlign w:val="center"/>
                </w:tcPr>
                <w:p w14:paraId="61F97FA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4130171.978</w:t>
                  </w:r>
                </w:p>
              </w:tc>
              <w:tc>
                <w:tcPr>
                  <w:tcW w:w="1058" w:type="pct"/>
                  <w:tcBorders>
                    <w:tl2br w:val="nil"/>
                    <w:tr2bl w:val="nil"/>
                  </w:tcBorders>
                  <w:shd w:val="clear" w:color="auto" w:fill="FFFFFF"/>
                  <w:noWrap/>
                  <w:vAlign w:val="center"/>
                </w:tcPr>
                <w:p w14:paraId="6534950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35543774.961</w:t>
                  </w:r>
                </w:p>
              </w:tc>
              <w:tc>
                <w:tcPr>
                  <w:tcW w:w="462" w:type="pct"/>
                  <w:tcBorders>
                    <w:tl2br w:val="nil"/>
                    <w:tr2bl w:val="nil"/>
                  </w:tcBorders>
                  <w:shd w:val="clear" w:color="auto" w:fill="FFFFFF"/>
                  <w:noWrap/>
                  <w:vAlign w:val="center"/>
                </w:tcPr>
                <w:p w14:paraId="4CDFF99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J69</w:t>
                  </w:r>
                </w:p>
              </w:tc>
              <w:tc>
                <w:tcPr>
                  <w:tcW w:w="978" w:type="pct"/>
                  <w:tcBorders>
                    <w:tl2br w:val="nil"/>
                    <w:tr2bl w:val="nil"/>
                  </w:tcBorders>
                  <w:shd w:val="clear" w:color="auto" w:fill="FFFFFF"/>
                  <w:noWrap/>
                  <w:vAlign w:val="center"/>
                </w:tcPr>
                <w:p w14:paraId="12E3CC1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4130057.978</w:t>
                  </w:r>
                </w:p>
              </w:tc>
              <w:tc>
                <w:tcPr>
                  <w:tcW w:w="1058" w:type="pct"/>
                  <w:tcBorders>
                    <w:tl2br w:val="nil"/>
                    <w:tr2bl w:val="nil"/>
                  </w:tcBorders>
                  <w:shd w:val="clear" w:color="auto" w:fill="FFFFFF"/>
                  <w:noWrap/>
                  <w:vAlign w:val="center"/>
                </w:tcPr>
                <w:p w14:paraId="4535079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35543191.606</w:t>
                  </w:r>
                </w:p>
              </w:tc>
            </w:tr>
            <w:tr w14:paraId="2219E2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565E746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J25</w:t>
                  </w:r>
                </w:p>
              </w:tc>
              <w:tc>
                <w:tcPr>
                  <w:tcW w:w="978" w:type="pct"/>
                  <w:tcBorders>
                    <w:tl2br w:val="nil"/>
                    <w:tr2bl w:val="nil"/>
                  </w:tcBorders>
                  <w:shd w:val="clear" w:color="auto" w:fill="FFFFFF"/>
                  <w:noWrap/>
                  <w:vAlign w:val="center"/>
                </w:tcPr>
                <w:p w14:paraId="51FC341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4130162.545</w:t>
                  </w:r>
                </w:p>
              </w:tc>
              <w:tc>
                <w:tcPr>
                  <w:tcW w:w="1058" w:type="pct"/>
                  <w:tcBorders>
                    <w:tl2br w:val="nil"/>
                    <w:tr2bl w:val="nil"/>
                  </w:tcBorders>
                  <w:shd w:val="clear" w:color="auto" w:fill="FFFFFF"/>
                  <w:noWrap/>
                  <w:vAlign w:val="center"/>
                </w:tcPr>
                <w:p w14:paraId="4D613E9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35543793.543</w:t>
                  </w:r>
                </w:p>
              </w:tc>
              <w:tc>
                <w:tcPr>
                  <w:tcW w:w="462" w:type="pct"/>
                  <w:tcBorders>
                    <w:tl2br w:val="nil"/>
                    <w:tr2bl w:val="nil"/>
                  </w:tcBorders>
                  <w:shd w:val="clear" w:color="auto" w:fill="FFFFFF"/>
                  <w:noWrap/>
                  <w:vAlign w:val="center"/>
                </w:tcPr>
                <w:p w14:paraId="7C27CEB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J70</w:t>
                  </w:r>
                </w:p>
              </w:tc>
              <w:tc>
                <w:tcPr>
                  <w:tcW w:w="978" w:type="pct"/>
                  <w:tcBorders>
                    <w:tl2br w:val="nil"/>
                    <w:tr2bl w:val="nil"/>
                  </w:tcBorders>
                  <w:shd w:val="clear" w:color="auto" w:fill="FFFFFF"/>
                  <w:noWrap/>
                  <w:vAlign w:val="center"/>
                </w:tcPr>
                <w:p w14:paraId="0863EF5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4130057.916</w:t>
                  </w:r>
                </w:p>
              </w:tc>
              <w:tc>
                <w:tcPr>
                  <w:tcW w:w="1058" w:type="pct"/>
                  <w:tcBorders>
                    <w:tl2br w:val="nil"/>
                    <w:tr2bl w:val="nil"/>
                  </w:tcBorders>
                  <w:shd w:val="clear" w:color="auto" w:fill="FFFFFF"/>
                  <w:noWrap/>
                  <w:vAlign w:val="center"/>
                </w:tcPr>
                <w:p w14:paraId="072C829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35543179.581</w:t>
                  </w:r>
                </w:p>
              </w:tc>
            </w:tr>
            <w:tr w14:paraId="419307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2940EE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J26</w:t>
                  </w:r>
                </w:p>
              </w:tc>
              <w:tc>
                <w:tcPr>
                  <w:tcW w:w="978" w:type="pct"/>
                  <w:tcBorders>
                    <w:tl2br w:val="nil"/>
                    <w:tr2bl w:val="nil"/>
                  </w:tcBorders>
                  <w:shd w:val="clear" w:color="auto" w:fill="FFFFFF"/>
                  <w:noWrap/>
                  <w:vAlign w:val="center"/>
                </w:tcPr>
                <w:p w14:paraId="78FA74D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4130118.425</w:t>
                  </w:r>
                </w:p>
              </w:tc>
              <w:tc>
                <w:tcPr>
                  <w:tcW w:w="1058" w:type="pct"/>
                  <w:tcBorders>
                    <w:tl2br w:val="nil"/>
                    <w:tr2bl w:val="nil"/>
                  </w:tcBorders>
                  <w:shd w:val="clear" w:color="auto" w:fill="FFFFFF"/>
                  <w:noWrap/>
                  <w:vAlign w:val="center"/>
                </w:tcPr>
                <w:p w14:paraId="7F161FD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35543764.963</w:t>
                  </w:r>
                </w:p>
              </w:tc>
              <w:tc>
                <w:tcPr>
                  <w:tcW w:w="462" w:type="pct"/>
                  <w:tcBorders>
                    <w:tl2br w:val="nil"/>
                    <w:tr2bl w:val="nil"/>
                  </w:tcBorders>
                  <w:shd w:val="clear" w:color="auto" w:fill="FFFFFF"/>
                  <w:noWrap/>
                  <w:vAlign w:val="center"/>
                </w:tcPr>
                <w:p w14:paraId="695BF92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J71</w:t>
                  </w:r>
                </w:p>
              </w:tc>
              <w:tc>
                <w:tcPr>
                  <w:tcW w:w="978" w:type="pct"/>
                  <w:tcBorders>
                    <w:tl2br w:val="nil"/>
                    <w:tr2bl w:val="nil"/>
                  </w:tcBorders>
                  <w:shd w:val="clear" w:color="auto" w:fill="FFFFFF"/>
                  <w:noWrap/>
                  <w:vAlign w:val="center"/>
                </w:tcPr>
                <w:p w14:paraId="0B88C9A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4130068.718</w:t>
                  </w:r>
                </w:p>
              </w:tc>
              <w:tc>
                <w:tcPr>
                  <w:tcW w:w="1058" w:type="pct"/>
                  <w:tcBorders>
                    <w:tl2br w:val="nil"/>
                    <w:tr2bl w:val="nil"/>
                  </w:tcBorders>
                  <w:shd w:val="clear" w:color="auto" w:fill="FFFFFF"/>
                  <w:noWrap/>
                  <w:vAlign w:val="center"/>
                </w:tcPr>
                <w:p w14:paraId="3FEC73C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35543126.675</w:t>
                  </w:r>
                </w:p>
              </w:tc>
            </w:tr>
            <w:tr w14:paraId="6FB40B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2D9AFEB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J27</w:t>
                  </w:r>
                </w:p>
              </w:tc>
              <w:tc>
                <w:tcPr>
                  <w:tcW w:w="978" w:type="pct"/>
                  <w:tcBorders>
                    <w:tl2br w:val="nil"/>
                    <w:tr2bl w:val="nil"/>
                  </w:tcBorders>
                  <w:shd w:val="clear" w:color="auto" w:fill="FFFFFF"/>
                  <w:noWrap/>
                  <w:vAlign w:val="center"/>
                </w:tcPr>
                <w:p w14:paraId="211F1D5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4130045.233</w:t>
                  </w:r>
                </w:p>
              </w:tc>
              <w:tc>
                <w:tcPr>
                  <w:tcW w:w="1058" w:type="pct"/>
                  <w:tcBorders>
                    <w:tl2br w:val="nil"/>
                    <w:tr2bl w:val="nil"/>
                  </w:tcBorders>
                  <w:shd w:val="clear" w:color="auto" w:fill="FFFFFF"/>
                  <w:noWrap/>
                  <w:vAlign w:val="center"/>
                </w:tcPr>
                <w:p w14:paraId="4B14279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35543733.392</w:t>
                  </w:r>
                </w:p>
              </w:tc>
              <w:tc>
                <w:tcPr>
                  <w:tcW w:w="462" w:type="pct"/>
                  <w:tcBorders>
                    <w:tl2br w:val="nil"/>
                    <w:tr2bl w:val="nil"/>
                  </w:tcBorders>
                  <w:shd w:val="clear" w:color="auto" w:fill="FFFFFF"/>
                  <w:noWrap/>
                  <w:vAlign w:val="center"/>
                </w:tcPr>
                <w:p w14:paraId="2EDEE5E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J72</w:t>
                  </w:r>
                </w:p>
              </w:tc>
              <w:tc>
                <w:tcPr>
                  <w:tcW w:w="978" w:type="pct"/>
                  <w:tcBorders>
                    <w:tl2br w:val="nil"/>
                    <w:tr2bl w:val="nil"/>
                  </w:tcBorders>
                  <w:shd w:val="clear" w:color="auto" w:fill="FFFFFF"/>
                  <w:noWrap/>
                  <w:vAlign w:val="center"/>
                </w:tcPr>
                <w:p w14:paraId="364A523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4130056.999</w:t>
                  </w:r>
                </w:p>
              </w:tc>
              <w:tc>
                <w:tcPr>
                  <w:tcW w:w="1058" w:type="pct"/>
                  <w:tcBorders>
                    <w:tl2br w:val="nil"/>
                    <w:tr2bl w:val="nil"/>
                  </w:tcBorders>
                  <w:shd w:val="clear" w:color="auto" w:fill="FFFFFF"/>
                  <w:noWrap/>
                  <w:vAlign w:val="center"/>
                </w:tcPr>
                <w:p w14:paraId="1DA85B0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35543078.321</w:t>
                  </w:r>
                </w:p>
              </w:tc>
            </w:tr>
            <w:tr w14:paraId="4E5BE0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2F250C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J28</w:t>
                  </w:r>
                </w:p>
              </w:tc>
              <w:tc>
                <w:tcPr>
                  <w:tcW w:w="978" w:type="pct"/>
                  <w:tcBorders>
                    <w:tl2br w:val="nil"/>
                    <w:tr2bl w:val="nil"/>
                  </w:tcBorders>
                  <w:shd w:val="clear" w:color="auto" w:fill="FFFFFF"/>
                  <w:noWrap/>
                  <w:vAlign w:val="center"/>
                </w:tcPr>
                <w:p w14:paraId="3B98A68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4129987.175</w:t>
                  </w:r>
                </w:p>
              </w:tc>
              <w:tc>
                <w:tcPr>
                  <w:tcW w:w="1058" w:type="pct"/>
                  <w:tcBorders>
                    <w:tl2br w:val="nil"/>
                    <w:tr2bl w:val="nil"/>
                  </w:tcBorders>
                  <w:shd w:val="clear" w:color="auto" w:fill="FFFFFF"/>
                  <w:noWrap/>
                  <w:vAlign w:val="center"/>
                </w:tcPr>
                <w:p w14:paraId="2FFBDF8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35543775.202</w:t>
                  </w:r>
                </w:p>
              </w:tc>
              <w:tc>
                <w:tcPr>
                  <w:tcW w:w="462" w:type="pct"/>
                  <w:tcBorders>
                    <w:tl2br w:val="nil"/>
                    <w:tr2bl w:val="nil"/>
                  </w:tcBorders>
                  <w:shd w:val="clear" w:color="auto" w:fill="FFFFFF"/>
                  <w:noWrap/>
                  <w:vAlign w:val="center"/>
                </w:tcPr>
                <w:p w14:paraId="7B30C06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J73</w:t>
                  </w:r>
                </w:p>
              </w:tc>
              <w:tc>
                <w:tcPr>
                  <w:tcW w:w="978" w:type="pct"/>
                  <w:tcBorders>
                    <w:tl2br w:val="nil"/>
                    <w:tr2bl w:val="nil"/>
                  </w:tcBorders>
                  <w:shd w:val="clear" w:color="auto" w:fill="FFFFFF"/>
                  <w:noWrap/>
                  <w:vAlign w:val="center"/>
                </w:tcPr>
                <w:p w14:paraId="77AF30F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4130038.513</w:t>
                  </w:r>
                </w:p>
              </w:tc>
              <w:tc>
                <w:tcPr>
                  <w:tcW w:w="1058" w:type="pct"/>
                  <w:tcBorders>
                    <w:tl2br w:val="nil"/>
                    <w:tr2bl w:val="nil"/>
                  </w:tcBorders>
                  <w:shd w:val="clear" w:color="auto" w:fill="FFFFFF"/>
                  <w:noWrap/>
                  <w:vAlign w:val="center"/>
                </w:tcPr>
                <w:p w14:paraId="47C693A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35543071.807</w:t>
                  </w:r>
                </w:p>
              </w:tc>
            </w:tr>
            <w:tr w14:paraId="5A9F0D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839AE0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J29</w:t>
                  </w:r>
                </w:p>
              </w:tc>
              <w:tc>
                <w:tcPr>
                  <w:tcW w:w="978" w:type="pct"/>
                  <w:tcBorders>
                    <w:tl2br w:val="nil"/>
                    <w:tr2bl w:val="nil"/>
                  </w:tcBorders>
                  <w:shd w:val="clear" w:color="auto" w:fill="FFFFFF"/>
                  <w:noWrap/>
                  <w:vAlign w:val="center"/>
                </w:tcPr>
                <w:p w14:paraId="5C641D3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4129962.168</w:t>
                  </w:r>
                </w:p>
              </w:tc>
              <w:tc>
                <w:tcPr>
                  <w:tcW w:w="1058" w:type="pct"/>
                  <w:tcBorders>
                    <w:tl2br w:val="nil"/>
                    <w:tr2bl w:val="nil"/>
                  </w:tcBorders>
                  <w:shd w:val="clear" w:color="auto" w:fill="FFFFFF"/>
                  <w:noWrap/>
                  <w:vAlign w:val="center"/>
                </w:tcPr>
                <w:p w14:paraId="7517B43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35543774.873</w:t>
                  </w:r>
                </w:p>
              </w:tc>
              <w:tc>
                <w:tcPr>
                  <w:tcW w:w="462" w:type="pct"/>
                  <w:tcBorders>
                    <w:tl2br w:val="nil"/>
                    <w:tr2bl w:val="nil"/>
                  </w:tcBorders>
                  <w:shd w:val="clear" w:color="auto" w:fill="FFFFFF"/>
                  <w:noWrap/>
                  <w:vAlign w:val="center"/>
                </w:tcPr>
                <w:p w14:paraId="574592F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J74</w:t>
                  </w:r>
                </w:p>
              </w:tc>
              <w:tc>
                <w:tcPr>
                  <w:tcW w:w="978" w:type="pct"/>
                  <w:tcBorders>
                    <w:tl2br w:val="nil"/>
                    <w:tr2bl w:val="nil"/>
                  </w:tcBorders>
                  <w:shd w:val="clear" w:color="auto" w:fill="FFFFFF"/>
                  <w:noWrap/>
                  <w:vAlign w:val="center"/>
                </w:tcPr>
                <w:p w14:paraId="3E89935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4130031.464</w:t>
                  </w:r>
                </w:p>
              </w:tc>
              <w:tc>
                <w:tcPr>
                  <w:tcW w:w="1058" w:type="pct"/>
                  <w:tcBorders>
                    <w:tl2br w:val="nil"/>
                    <w:tr2bl w:val="nil"/>
                  </w:tcBorders>
                  <w:shd w:val="clear" w:color="auto" w:fill="FFFFFF"/>
                  <w:noWrap/>
                  <w:vAlign w:val="center"/>
                </w:tcPr>
                <w:p w14:paraId="560FEAA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35543064.022</w:t>
                  </w:r>
                </w:p>
              </w:tc>
            </w:tr>
            <w:tr w14:paraId="4C46AE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403BBF3F">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J30</w:t>
                  </w:r>
                </w:p>
              </w:tc>
              <w:tc>
                <w:tcPr>
                  <w:tcW w:w="978" w:type="pct"/>
                  <w:tcBorders>
                    <w:tl2br w:val="nil"/>
                    <w:tr2bl w:val="nil"/>
                  </w:tcBorders>
                  <w:shd w:val="clear" w:color="auto" w:fill="FFFFFF"/>
                  <w:noWrap/>
                  <w:vAlign w:val="center"/>
                </w:tcPr>
                <w:p w14:paraId="08A5534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4129929.923</w:t>
                  </w:r>
                </w:p>
              </w:tc>
              <w:tc>
                <w:tcPr>
                  <w:tcW w:w="1058" w:type="pct"/>
                  <w:tcBorders>
                    <w:tl2br w:val="nil"/>
                    <w:tr2bl w:val="nil"/>
                  </w:tcBorders>
                  <w:shd w:val="clear" w:color="auto" w:fill="FFFFFF"/>
                  <w:noWrap/>
                  <w:vAlign w:val="center"/>
                </w:tcPr>
                <w:p w14:paraId="5276722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35543776.189</w:t>
                  </w:r>
                </w:p>
              </w:tc>
              <w:tc>
                <w:tcPr>
                  <w:tcW w:w="462" w:type="pct"/>
                  <w:tcBorders>
                    <w:tl2br w:val="nil"/>
                    <w:tr2bl w:val="nil"/>
                  </w:tcBorders>
                  <w:shd w:val="clear" w:color="auto" w:fill="FFFFFF"/>
                  <w:noWrap/>
                  <w:vAlign w:val="center"/>
                </w:tcPr>
                <w:p w14:paraId="763D5EF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J75</w:t>
                  </w:r>
                </w:p>
              </w:tc>
              <w:tc>
                <w:tcPr>
                  <w:tcW w:w="978" w:type="pct"/>
                  <w:tcBorders>
                    <w:tl2br w:val="nil"/>
                    <w:tr2bl w:val="nil"/>
                  </w:tcBorders>
                  <w:shd w:val="clear" w:color="auto" w:fill="FFFFFF"/>
                  <w:noWrap/>
                  <w:vAlign w:val="center"/>
                </w:tcPr>
                <w:p w14:paraId="0C6F7D0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4130014.124</w:t>
                  </w:r>
                </w:p>
              </w:tc>
              <w:tc>
                <w:tcPr>
                  <w:tcW w:w="1058" w:type="pct"/>
                  <w:tcBorders>
                    <w:tl2br w:val="nil"/>
                    <w:tr2bl w:val="nil"/>
                  </w:tcBorders>
                  <w:shd w:val="clear" w:color="auto" w:fill="FFFFFF"/>
                  <w:noWrap/>
                  <w:vAlign w:val="center"/>
                </w:tcPr>
                <w:p w14:paraId="48CD5E9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35543044.870</w:t>
                  </w:r>
                </w:p>
              </w:tc>
            </w:tr>
            <w:tr w14:paraId="171888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2A7FF46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J31</w:t>
                  </w:r>
                </w:p>
              </w:tc>
              <w:tc>
                <w:tcPr>
                  <w:tcW w:w="978" w:type="pct"/>
                  <w:tcBorders>
                    <w:tl2br w:val="nil"/>
                    <w:tr2bl w:val="nil"/>
                  </w:tcBorders>
                  <w:shd w:val="clear" w:color="auto" w:fill="FFFFFF"/>
                  <w:noWrap/>
                  <w:vAlign w:val="center"/>
                </w:tcPr>
                <w:p w14:paraId="326FC85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4129897.455</w:t>
                  </w:r>
                </w:p>
              </w:tc>
              <w:tc>
                <w:tcPr>
                  <w:tcW w:w="1058" w:type="pct"/>
                  <w:tcBorders>
                    <w:tl2br w:val="nil"/>
                    <w:tr2bl w:val="nil"/>
                  </w:tcBorders>
                  <w:shd w:val="clear" w:color="auto" w:fill="FFFFFF"/>
                  <w:noWrap/>
                  <w:vAlign w:val="center"/>
                </w:tcPr>
                <w:p w14:paraId="4707F15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35543781.247</w:t>
                  </w:r>
                </w:p>
              </w:tc>
              <w:tc>
                <w:tcPr>
                  <w:tcW w:w="462" w:type="pct"/>
                  <w:tcBorders>
                    <w:tl2br w:val="nil"/>
                    <w:tr2bl w:val="nil"/>
                  </w:tcBorders>
                  <w:shd w:val="clear" w:color="auto" w:fill="FFFFFF"/>
                  <w:noWrap/>
                  <w:vAlign w:val="center"/>
                </w:tcPr>
                <w:p w14:paraId="75754C2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J76</w:t>
                  </w:r>
                </w:p>
              </w:tc>
              <w:tc>
                <w:tcPr>
                  <w:tcW w:w="978" w:type="pct"/>
                  <w:tcBorders>
                    <w:tl2br w:val="nil"/>
                    <w:tr2bl w:val="nil"/>
                  </w:tcBorders>
                  <w:shd w:val="clear" w:color="auto" w:fill="FFFFFF"/>
                  <w:noWrap/>
                  <w:vAlign w:val="center"/>
                </w:tcPr>
                <w:p w14:paraId="65A4742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4130014.066</w:t>
                  </w:r>
                </w:p>
              </w:tc>
              <w:tc>
                <w:tcPr>
                  <w:tcW w:w="1058" w:type="pct"/>
                  <w:tcBorders>
                    <w:tl2br w:val="nil"/>
                    <w:tr2bl w:val="nil"/>
                  </w:tcBorders>
                  <w:shd w:val="clear" w:color="auto" w:fill="FFFFFF"/>
                  <w:noWrap/>
                  <w:vAlign w:val="center"/>
                </w:tcPr>
                <w:p w14:paraId="0B75A0C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35543023.621</w:t>
                  </w:r>
                </w:p>
              </w:tc>
            </w:tr>
            <w:tr w14:paraId="0879B9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25F0FDB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J32</w:t>
                  </w:r>
                </w:p>
              </w:tc>
              <w:tc>
                <w:tcPr>
                  <w:tcW w:w="978" w:type="pct"/>
                  <w:tcBorders>
                    <w:tl2br w:val="nil"/>
                    <w:tr2bl w:val="nil"/>
                  </w:tcBorders>
                  <w:shd w:val="clear" w:color="auto" w:fill="FFFFFF"/>
                  <w:noWrap/>
                  <w:vAlign w:val="center"/>
                </w:tcPr>
                <w:p w14:paraId="18E78F7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4129857.235</w:t>
                  </w:r>
                </w:p>
              </w:tc>
              <w:tc>
                <w:tcPr>
                  <w:tcW w:w="1058" w:type="pct"/>
                  <w:tcBorders>
                    <w:tl2br w:val="nil"/>
                    <w:tr2bl w:val="nil"/>
                  </w:tcBorders>
                  <w:shd w:val="clear" w:color="auto" w:fill="FFFFFF"/>
                  <w:noWrap/>
                  <w:vAlign w:val="center"/>
                </w:tcPr>
                <w:p w14:paraId="780B5AD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35543766.267</w:t>
                  </w:r>
                </w:p>
              </w:tc>
              <w:tc>
                <w:tcPr>
                  <w:tcW w:w="462" w:type="pct"/>
                  <w:tcBorders>
                    <w:tl2br w:val="nil"/>
                    <w:tr2bl w:val="nil"/>
                  </w:tcBorders>
                  <w:shd w:val="clear" w:color="auto" w:fill="FFFFFF"/>
                  <w:noWrap/>
                  <w:vAlign w:val="center"/>
                </w:tcPr>
                <w:p w14:paraId="48A2EB6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J77</w:t>
                  </w:r>
                </w:p>
              </w:tc>
              <w:tc>
                <w:tcPr>
                  <w:tcW w:w="978" w:type="pct"/>
                  <w:tcBorders>
                    <w:tl2br w:val="nil"/>
                    <w:tr2bl w:val="nil"/>
                  </w:tcBorders>
                  <w:shd w:val="clear" w:color="auto" w:fill="FFFFFF"/>
                  <w:noWrap/>
                  <w:vAlign w:val="center"/>
                </w:tcPr>
                <w:p w14:paraId="32B5308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4130026.680</w:t>
                  </w:r>
                </w:p>
              </w:tc>
              <w:tc>
                <w:tcPr>
                  <w:tcW w:w="1058" w:type="pct"/>
                  <w:tcBorders>
                    <w:tl2br w:val="nil"/>
                    <w:tr2bl w:val="nil"/>
                  </w:tcBorders>
                  <w:shd w:val="clear" w:color="auto" w:fill="FFFFFF"/>
                  <w:noWrap/>
                  <w:vAlign w:val="center"/>
                </w:tcPr>
                <w:p w14:paraId="073612F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35543011.177</w:t>
                  </w:r>
                </w:p>
              </w:tc>
            </w:tr>
            <w:tr w14:paraId="1B6E47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E48B96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J33</w:t>
                  </w:r>
                </w:p>
              </w:tc>
              <w:tc>
                <w:tcPr>
                  <w:tcW w:w="978" w:type="pct"/>
                  <w:tcBorders>
                    <w:tl2br w:val="nil"/>
                    <w:tr2bl w:val="nil"/>
                  </w:tcBorders>
                  <w:shd w:val="clear" w:color="auto" w:fill="FFFFFF"/>
                  <w:noWrap/>
                  <w:vAlign w:val="center"/>
                </w:tcPr>
                <w:p w14:paraId="5816FF2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4129772.937</w:t>
                  </w:r>
                </w:p>
              </w:tc>
              <w:tc>
                <w:tcPr>
                  <w:tcW w:w="1058" w:type="pct"/>
                  <w:tcBorders>
                    <w:tl2br w:val="nil"/>
                    <w:tr2bl w:val="nil"/>
                  </w:tcBorders>
                  <w:shd w:val="clear" w:color="auto" w:fill="FFFFFF"/>
                  <w:noWrap/>
                  <w:vAlign w:val="center"/>
                </w:tcPr>
                <w:p w14:paraId="0FB8215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35543724.613</w:t>
                  </w:r>
                </w:p>
              </w:tc>
              <w:tc>
                <w:tcPr>
                  <w:tcW w:w="462" w:type="pct"/>
                  <w:tcBorders>
                    <w:tl2br w:val="nil"/>
                    <w:tr2bl w:val="nil"/>
                  </w:tcBorders>
                  <w:shd w:val="clear" w:color="auto" w:fill="FFFFFF"/>
                  <w:noWrap/>
                  <w:vAlign w:val="center"/>
                </w:tcPr>
                <w:p w14:paraId="779FD84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J78</w:t>
                  </w:r>
                </w:p>
              </w:tc>
              <w:tc>
                <w:tcPr>
                  <w:tcW w:w="978" w:type="pct"/>
                  <w:tcBorders>
                    <w:tl2br w:val="nil"/>
                    <w:tr2bl w:val="nil"/>
                  </w:tcBorders>
                  <w:shd w:val="clear" w:color="auto" w:fill="FFFFFF"/>
                  <w:noWrap/>
                  <w:vAlign w:val="center"/>
                </w:tcPr>
                <w:p w14:paraId="7507775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4130040.386</w:t>
                  </w:r>
                </w:p>
              </w:tc>
              <w:tc>
                <w:tcPr>
                  <w:tcW w:w="1058" w:type="pct"/>
                  <w:tcBorders>
                    <w:tl2br w:val="nil"/>
                    <w:tr2bl w:val="nil"/>
                  </w:tcBorders>
                  <w:shd w:val="clear" w:color="auto" w:fill="FFFFFF"/>
                  <w:noWrap/>
                  <w:vAlign w:val="center"/>
                </w:tcPr>
                <w:p w14:paraId="2C2E086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35543006.043</w:t>
                  </w:r>
                </w:p>
              </w:tc>
            </w:tr>
            <w:tr w14:paraId="48DA52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6114FDA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J34</w:t>
                  </w:r>
                </w:p>
              </w:tc>
              <w:tc>
                <w:tcPr>
                  <w:tcW w:w="978" w:type="pct"/>
                  <w:tcBorders>
                    <w:tl2br w:val="nil"/>
                    <w:tr2bl w:val="nil"/>
                  </w:tcBorders>
                  <w:shd w:val="clear" w:color="auto" w:fill="FFFFFF"/>
                  <w:noWrap/>
                  <w:vAlign w:val="center"/>
                </w:tcPr>
                <w:p w14:paraId="561F491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4129707.849</w:t>
                  </w:r>
                </w:p>
              </w:tc>
              <w:tc>
                <w:tcPr>
                  <w:tcW w:w="1058" w:type="pct"/>
                  <w:tcBorders>
                    <w:tl2br w:val="nil"/>
                    <w:tr2bl w:val="nil"/>
                  </w:tcBorders>
                  <w:shd w:val="clear" w:color="auto" w:fill="FFFFFF"/>
                  <w:noWrap/>
                  <w:vAlign w:val="center"/>
                </w:tcPr>
                <w:p w14:paraId="2A58ECF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35543690.217</w:t>
                  </w:r>
                </w:p>
              </w:tc>
              <w:tc>
                <w:tcPr>
                  <w:tcW w:w="462" w:type="pct"/>
                  <w:tcBorders>
                    <w:tl2br w:val="nil"/>
                    <w:tr2bl w:val="nil"/>
                  </w:tcBorders>
                  <w:shd w:val="clear" w:color="auto" w:fill="FFFFFF"/>
                  <w:noWrap/>
                  <w:vAlign w:val="center"/>
                </w:tcPr>
                <w:p w14:paraId="5B78287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J79</w:t>
                  </w:r>
                </w:p>
              </w:tc>
              <w:tc>
                <w:tcPr>
                  <w:tcW w:w="978" w:type="pct"/>
                  <w:tcBorders>
                    <w:tl2br w:val="nil"/>
                    <w:tr2bl w:val="nil"/>
                  </w:tcBorders>
                  <w:shd w:val="clear" w:color="auto" w:fill="FFFFFF"/>
                  <w:noWrap/>
                  <w:vAlign w:val="center"/>
                </w:tcPr>
                <w:p w14:paraId="7E262CF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4130079.688</w:t>
                  </w:r>
                </w:p>
              </w:tc>
              <w:tc>
                <w:tcPr>
                  <w:tcW w:w="1058" w:type="pct"/>
                  <w:tcBorders>
                    <w:tl2br w:val="nil"/>
                    <w:tr2bl w:val="nil"/>
                  </w:tcBorders>
                  <w:shd w:val="clear" w:color="auto" w:fill="FFFFFF"/>
                  <w:noWrap/>
                  <w:vAlign w:val="center"/>
                </w:tcPr>
                <w:p w14:paraId="11C6DC4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35543039.345</w:t>
                  </w:r>
                </w:p>
              </w:tc>
            </w:tr>
            <w:tr w14:paraId="2BA4B2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664B11F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J35</w:t>
                  </w:r>
                </w:p>
              </w:tc>
              <w:tc>
                <w:tcPr>
                  <w:tcW w:w="978" w:type="pct"/>
                  <w:tcBorders>
                    <w:tl2br w:val="nil"/>
                    <w:tr2bl w:val="nil"/>
                  </w:tcBorders>
                  <w:shd w:val="clear" w:color="auto" w:fill="FFFFFF"/>
                  <w:noWrap/>
                  <w:vAlign w:val="center"/>
                </w:tcPr>
                <w:p w14:paraId="6137379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4129631.649</w:t>
                  </w:r>
                </w:p>
              </w:tc>
              <w:tc>
                <w:tcPr>
                  <w:tcW w:w="1058" w:type="pct"/>
                  <w:tcBorders>
                    <w:tl2br w:val="nil"/>
                    <w:tr2bl w:val="nil"/>
                  </w:tcBorders>
                  <w:shd w:val="clear" w:color="auto" w:fill="FFFFFF"/>
                  <w:noWrap/>
                  <w:vAlign w:val="center"/>
                </w:tcPr>
                <w:p w14:paraId="0F679CB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35543654.234</w:t>
                  </w:r>
                </w:p>
              </w:tc>
              <w:tc>
                <w:tcPr>
                  <w:tcW w:w="462" w:type="pct"/>
                  <w:tcBorders>
                    <w:tl2br w:val="nil"/>
                    <w:tr2bl w:val="nil"/>
                  </w:tcBorders>
                  <w:shd w:val="clear" w:color="auto" w:fill="FFFFFF"/>
                  <w:noWrap/>
                  <w:vAlign w:val="center"/>
                </w:tcPr>
                <w:p w14:paraId="542C1C5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J80</w:t>
                  </w:r>
                </w:p>
              </w:tc>
              <w:tc>
                <w:tcPr>
                  <w:tcW w:w="978" w:type="pct"/>
                  <w:tcBorders>
                    <w:tl2br w:val="nil"/>
                    <w:tr2bl w:val="nil"/>
                  </w:tcBorders>
                  <w:shd w:val="clear" w:color="auto" w:fill="FFFFFF"/>
                  <w:noWrap/>
                  <w:vAlign w:val="center"/>
                </w:tcPr>
                <w:p w14:paraId="010BC5A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4130095.633</w:t>
                  </w:r>
                </w:p>
              </w:tc>
              <w:tc>
                <w:tcPr>
                  <w:tcW w:w="1058" w:type="pct"/>
                  <w:tcBorders>
                    <w:tl2br w:val="nil"/>
                    <w:tr2bl w:val="nil"/>
                  </w:tcBorders>
                  <w:shd w:val="clear" w:color="auto" w:fill="FFFFFF"/>
                  <w:noWrap/>
                  <w:vAlign w:val="center"/>
                </w:tcPr>
                <w:p w14:paraId="5D03B37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35543047.096</w:t>
                  </w:r>
                </w:p>
              </w:tc>
            </w:tr>
            <w:tr w14:paraId="636EC9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4921B4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J36</w:t>
                  </w:r>
                </w:p>
              </w:tc>
              <w:tc>
                <w:tcPr>
                  <w:tcW w:w="978" w:type="pct"/>
                  <w:tcBorders>
                    <w:tl2br w:val="nil"/>
                    <w:tr2bl w:val="nil"/>
                  </w:tcBorders>
                  <w:shd w:val="clear" w:color="auto" w:fill="FFFFFF"/>
                  <w:noWrap/>
                  <w:vAlign w:val="center"/>
                </w:tcPr>
                <w:p w14:paraId="5C2D28B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4129604.661</w:t>
                  </w:r>
                </w:p>
              </w:tc>
              <w:tc>
                <w:tcPr>
                  <w:tcW w:w="1058" w:type="pct"/>
                  <w:tcBorders>
                    <w:tl2br w:val="nil"/>
                    <w:tr2bl w:val="nil"/>
                  </w:tcBorders>
                  <w:shd w:val="clear" w:color="auto" w:fill="FFFFFF"/>
                  <w:noWrap/>
                  <w:vAlign w:val="center"/>
                </w:tcPr>
                <w:p w14:paraId="0A05267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35543639.417</w:t>
                  </w:r>
                </w:p>
              </w:tc>
              <w:tc>
                <w:tcPr>
                  <w:tcW w:w="462" w:type="pct"/>
                  <w:tcBorders>
                    <w:tl2br w:val="nil"/>
                    <w:tr2bl w:val="nil"/>
                  </w:tcBorders>
                  <w:shd w:val="clear" w:color="auto" w:fill="FFFFFF"/>
                  <w:noWrap/>
                  <w:vAlign w:val="center"/>
                </w:tcPr>
                <w:p w14:paraId="0294BEA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J81</w:t>
                  </w:r>
                </w:p>
              </w:tc>
              <w:tc>
                <w:tcPr>
                  <w:tcW w:w="978" w:type="pct"/>
                  <w:tcBorders>
                    <w:tl2br w:val="nil"/>
                    <w:tr2bl w:val="nil"/>
                  </w:tcBorders>
                  <w:shd w:val="clear" w:color="auto" w:fill="FFFFFF"/>
                  <w:noWrap/>
                  <w:vAlign w:val="center"/>
                </w:tcPr>
                <w:p w14:paraId="08210F2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4130113.493</w:t>
                  </w:r>
                </w:p>
              </w:tc>
              <w:tc>
                <w:tcPr>
                  <w:tcW w:w="1058" w:type="pct"/>
                  <w:tcBorders>
                    <w:tl2br w:val="nil"/>
                    <w:tr2bl w:val="nil"/>
                  </w:tcBorders>
                  <w:shd w:val="clear" w:color="auto" w:fill="FFFFFF"/>
                  <w:noWrap/>
                  <w:vAlign w:val="center"/>
                </w:tcPr>
                <w:p w14:paraId="355FCDB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35543054.240</w:t>
                  </w:r>
                </w:p>
              </w:tc>
            </w:tr>
            <w:tr w14:paraId="33A297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4AB579C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J37</w:t>
                  </w:r>
                </w:p>
              </w:tc>
              <w:tc>
                <w:tcPr>
                  <w:tcW w:w="978" w:type="pct"/>
                  <w:tcBorders>
                    <w:tl2br w:val="nil"/>
                    <w:tr2bl w:val="nil"/>
                  </w:tcBorders>
                  <w:shd w:val="clear" w:color="auto" w:fill="FFFFFF"/>
                  <w:noWrap/>
                  <w:vAlign w:val="center"/>
                </w:tcPr>
                <w:p w14:paraId="482DF6F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4129548.461</w:t>
                  </w:r>
                </w:p>
              </w:tc>
              <w:tc>
                <w:tcPr>
                  <w:tcW w:w="1058" w:type="pct"/>
                  <w:tcBorders>
                    <w:tl2br w:val="nil"/>
                    <w:tr2bl w:val="nil"/>
                  </w:tcBorders>
                  <w:shd w:val="clear" w:color="auto" w:fill="FFFFFF"/>
                  <w:noWrap/>
                  <w:vAlign w:val="center"/>
                </w:tcPr>
                <w:p w14:paraId="478978B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35543593.598</w:t>
                  </w:r>
                </w:p>
              </w:tc>
              <w:tc>
                <w:tcPr>
                  <w:tcW w:w="462" w:type="pct"/>
                  <w:tcBorders>
                    <w:tl2br w:val="nil"/>
                    <w:tr2bl w:val="nil"/>
                  </w:tcBorders>
                  <w:shd w:val="clear" w:color="auto" w:fill="FFFFFF"/>
                  <w:noWrap/>
                  <w:vAlign w:val="center"/>
                </w:tcPr>
                <w:p w14:paraId="1F6CF60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J82</w:t>
                  </w:r>
                </w:p>
              </w:tc>
              <w:tc>
                <w:tcPr>
                  <w:tcW w:w="978" w:type="pct"/>
                  <w:tcBorders>
                    <w:tl2br w:val="nil"/>
                    <w:tr2bl w:val="nil"/>
                  </w:tcBorders>
                  <w:shd w:val="clear" w:color="auto" w:fill="FFFFFF"/>
                  <w:noWrap/>
                  <w:vAlign w:val="center"/>
                </w:tcPr>
                <w:p w14:paraId="599AD68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4130128.177</w:t>
                  </w:r>
                </w:p>
              </w:tc>
              <w:tc>
                <w:tcPr>
                  <w:tcW w:w="1058" w:type="pct"/>
                  <w:tcBorders>
                    <w:tl2br w:val="nil"/>
                    <w:tr2bl w:val="nil"/>
                  </w:tcBorders>
                  <w:shd w:val="clear" w:color="auto" w:fill="FFFFFF"/>
                  <w:noWrap/>
                  <w:vAlign w:val="center"/>
                </w:tcPr>
                <w:p w14:paraId="7ED16C7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35543061.781</w:t>
                  </w:r>
                </w:p>
              </w:tc>
            </w:tr>
            <w:tr w14:paraId="734250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0C9AAE8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J38</w:t>
                  </w:r>
                </w:p>
              </w:tc>
              <w:tc>
                <w:tcPr>
                  <w:tcW w:w="978" w:type="pct"/>
                  <w:tcBorders>
                    <w:tl2br w:val="nil"/>
                    <w:tr2bl w:val="nil"/>
                  </w:tcBorders>
                  <w:shd w:val="clear" w:color="auto" w:fill="FFFFFF"/>
                  <w:noWrap/>
                  <w:vAlign w:val="center"/>
                </w:tcPr>
                <w:p w14:paraId="52DCE10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4129507.979</w:t>
                  </w:r>
                </w:p>
              </w:tc>
              <w:tc>
                <w:tcPr>
                  <w:tcW w:w="1058" w:type="pct"/>
                  <w:tcBorders>
                    <w:tl2br w:val="nil"/>
                    <w:tr2bl w:val="nil"/>
                  </w:tcBorders>
                  <w:shd w:val="clear" w:color="auto" w:fill="FFFFFF"/>
                  <w:noWrap/>
                  <w:vAlign w:val="center"/>
                </w:tcPr>
                <w:p w14:paraId="10855CB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35543576.135</w:t>
                  </w:r>
                </w:p>
              </w:tc>
              <w:tc>
                <w:tcPr>
                  <w:tcW w:w="462" w:type="pct"/>
                  <w:tcBorders>
                    <w:tl2br w:val="nil"/>
                    <w:tr2bl w:val="nil"/>
                  </w:tcBorders>
                  <w:shd w:val="clear" w:color="auto" w:fill="FFFFFF"/>
                  <w:noWrap/>
                  <w:vAlign w:val="center"/>
                </w:tcPr>
                <w:p w14:paraId="30E92F2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J83</w:t>
                  </w:r>
                </w:p>
              </w:tc>
              <w:tc>
                <w:tcPr>
                  <w:tcW w:w="978" w:type="pct"/>
                  <w:tcBorders>
                    <w:tl2br w:val="nil"/>
                    <w:tr2bl w:val="nil"/>
                  </w:tcBorders>
                  <w:shd w:val="clear" w:color="auto" w:fill="FFFFFF"/>
                  <w:noWrap/>
                  <w:vAlign w:val="center"/>
                </w:tcPr>
                <w:p w14:paraId="599EACD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4130137.305</w:t>
                  </w:r>
                </w:p>
              </w:tc>
              <w:tc>
                <w:tcPr>
                  <w:tcW w:w="1058" w:type="pct"/>
                  <w:tcBorders>
                    <w:tl2br w:val="nil"/>
                    <w:tr2bl w:val="nil"/>
                  </w:tcBorders>
                  <w:shd w:val="clear" w:color="auto" w:fill="FFFFFF"/>
                  <w:noWrap/>
                  <w:vAlign w:val="center"/>
                </w:tcPr>
                <w:p w14:paraId="53868D8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35543076.465</w:t>
                  </w:r>
                </w:p>
              </w:tc>
            </w:tr>
            <w:tr w14:paraId="4CB51E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1B93223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J39</w:t>
                  </w:r>
                </w:p>
              </w:tc>
              <w:tc>
                <w:tcPr>
                  <w:tcW w:w="978" w:type="pct"/>
                  <w:tcBorders>
                    <w:tl2br w:val="nil"/>
                    <w:tr2bl w:val="nil"/>
                  </w:tcBorders>
                  <w:shd w:val="clear" w:color="auto" w:fill="FFFFFF"/>
                  <w:noWrap/>
                  <w:vAlign w:val="center"/>
                </w:tcPr>
                <w:p w14:paraId="31A340D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4129502.423</w:t>
                  </w:r>
                </w:p>
              </w:tc>
              <w:tc>
                <w:tcPr>
                  <w:tcW w:w="1058" w:type="pct"/>
                  <w:tcBorders>
                    <w:tl2br w:val="nil"/>
                    <w:tr2bl w:val="nil"/>
                  </w:tcBorders>
                  <w:shd w:val="clear" w:color="auto" w:fill="FFFFFF"/>
                  <w:noWrap/>
                  <w:vAlign w:val="center"/>
                </w:tcPr>
                <w:p w14:paraId="1F4B0AA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35543531.685</w:t>
                  </w:r>
                </w:p>
              </w:tc>
              <w:tc>
                <w:tcPr>
                  <w:tcW w:w="462" w:type="pct"/>
                  <w:tcBorders>
                    <w:tl2br w:val="nil"/>
                    <w:tr2bl w:val="nil"/>
                  </w:tcBorders>
                  <w:shd w:val="clear" w:color="auto" w:fill="FFFFFF"/>
                  <w:noWrap/>
                  <w:vAlign w:val="center"/>
                </w:tcPr>
                <w:p w14:paraId="0AA4249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J84</w:t>
                  </w:r>
                </w:p>
              </w:tc>
              <w:tc>
                <w:tcPr>
                  <w:tcW w:w="978" w:type="pct"/>
                  <w:tcBorders>
                    <w:tl2br w:val="nil"/>
                    <w:tr2bl w:val="nil"/>
                  </w:tcBorders>
                  <w:shd w:val="clear" w:color="auto" w:fill="FFFFFF"/>
                  <w:noWrap/>
                  <w:vAlign w:val="center"/>
                </w:tcPr>
                <w:p w14:paraId="7E637A6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4130137.305</w:t>
                  </w:r>
                </w:p>
              </w:tc>
              <w:tc>
                <w:tcPr>
                  <w:tcW w:w="1058" w:type="pct"/>
                  <w:tcBorders>
                    <w:tl2br w:val="nil"/>
                    <w:tr2bl w:val="nil"/>
                  </w:tcBorders>
                  <w:shd w:val="clear" w:color="auto" w:fill="FFFFFF"/>
                  <w:noWrap/>
                  <w:vAlign w:val="center"/>
                </w:tcPr>
                <w:p w14:paraId="5B997C8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35543096.706</w:t>
                  </w:r>
                </w:p>
              </w:tc>
            </w:tr>
            <w:tr w14:paraId="0478D9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5AAD072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J40</w:t>
                  </w:r>
                </w:p>
              </w:tc>
              <w:tc>
                <w:tcPr>
                  <w:tcW w:w="978" w:type="pct"/>
                  <w:tcBorders>
                    <w:tl2br w:val="nil"/>
                    <w:tr2bl w:val="nil"/>
                  </w:tcBorders>
                  <w:shd w:val="clear" w:color="auto" w:fill="FFFFFF"/>
                  <w:noWrap/>
                  <w:vAlign w:val="center"/>
                </w:tcPr>
                <w:p w14:paraId="28A505C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4129496.073</w:t>
                  </w:r>
                </w:p>
              </w:tc>
              <w:tc>
                <w:tcPr>
                  <w:tcW w:w="1058" w:type="pct"/>
                  <w:tcBorders>
                    <w:tl2br w:val="nil"/>
                    <w:tr2bl w:val="nil"/>
                  </w:tcBorders>
                  <w:shd w:val="clear" w:color="auto" w:fill="FFFFFF"/>
                  <w:noWrap/>
                  <w:vAlign w:val="center"/>
                </w:tcPr>
                <w:p w14:paraId="1E92D67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35543491.997</w:t>
                  </w:r>
                </w:p>
              </w:tc>
              <w:tc>
                <w:tcPr>
                  <w:tcW w:w="462" w:type="pct"/>
                  <w:tcBorders>
                    <w:tl2br w:val="nil"/>
                    <w:tr2bl w:val="nil"/>
                  </w:tcBorders>
                  <w:shd w:val="clear" w:color="auto" w:fill="FFFFFF"/>
                  <w:noWrap/>
                  <w:vAlign w:val="center"/>
                </w:tcPr>
                <w:p w14:paraId="2D40356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J85</w:t>
                  </w:r>
                </w:p>
              </w:tc>
              <w:tc>
                <w:tcPr>
                  <w:tcW w:w="978" w:type="pct"/>
                  <w:tcBorders>
                    <w:tl2br w:val="nil"/>
                    <w:tr2bl w:val="nil"/>
                  </w:tcBorders>
                  <w:shd w:val="clear" w:color="auto" w:fill="FFFFFF"/>
                  <w:noWrap/>
                  <w:vAlign w:val="center"/>
                </w:tcPr>
                <w:p w14:paraId="72AC360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4130133.337</w:t>
                  </w:r>
                </w:p>
              </w:tc>
              <w:tc>
                <w:tcPr>
                  <w:tcW w:w="1058" w:type="pct"/>
                  <w:tcBorders>
                    <w:tl2br w:val="nil"/>
                    <w:tr2bl w:val="nil"/>
                  </w:tcBorders>
                  <w:shd w:val="clear" w:color="auto" w:fill="FFFFFF"/>
                  <w:noWrap/>
                  <w:vAlign w:val="center"/>
                </w:tcPr>
                <w:p w14:paraId="41FE889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35543122.503</w:t>
                  </w:r>
                </w:p>
              </w:tc>
            </w:tr>
            <w:tr w14:paraId="2709DB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0BD34F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J41</w:t>
                  </w:r>
                </w:p>
              </w:tc>
              <w:tc>
                <w:tcPr>
                  <w:tcW w:w="978" w:type="pct"/>
                  <w:tcBorders>
                    <w:tl2br w:val="nil"/>
                    <w:tr2bl w:val="nil"/>
                  </w:tcBorders>
                  <w:shd w:val="clear" w:color="auto" w:fill="FFFFFF"/>
                  <w:noWrap/>
                  <w:vAlign w:val="center"/>
                </w:tcPr>
                <w:p w14:paraId="0E39322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4129480.992</w:t>
                  </w:r>
                </w:p>
              </w:tc>
              <w:tc>
                <w:tcPr>
                  <w:tcW w:w="1058" w:type="pct"/>
                  <w:tcBorders>
                    <w:tl2br w:val="nil"/>
                    <w:tr2bl w:val="nil"/>
                  </w:tcBorders>
                  <w:shd w:val="clear" w:color="auto" w:fill="FFFFFF"/>
                  <w:noWrap/>
                  <w:vAlign w:val="center"/>
                </w:tcPr>
                <w:p w14:paraId="47173CD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35543458.660</w:t>
                  </w:r>
                </w:p>
              </w:tc>
              <w:tc>
                <w:tcPr>
                  <w:tcW w:w="462" w:type="pct"/>
                  <w:tcBorders>
                    <w:tl2br w:val="nil"/>
                    <w:tr2bl w:val="nil"/>
                  </w:tcBorders>
                  <w:shd w:val="clear" w:color="auto" w:fill="FFFFFF"/>
                  <w:noWrap/>
                  <w:vAlign w:val="center"/>
                </w:tcPr>
                <w:p w14:paraId="1E4C7E88">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J86</w:t>
                  </w:r>
                </w:p>
              </w:tc>
              <w:tc>
                <w:tcPr>
                  <w:tcW w:w="978" w:type="pct"/>
                  <w:tcBorders>
                    <w:tl2br w:val="nil"/>
                    <w:tr2bl w:val="nil"/>
                  </w:tcBorders>
                  <w:shd w:val="clear" w:color="auto" w:fill="FFFFFF"/>
                  <w:noWrap/>
                  <w:vAlign w:val="center"/>
                </w:tcPr>
                <w:p w14:paraId="15096754">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4130144.052</w:t>
                  </w:r>
                </w:p>
              </w:tc>
              <w:tc>
                <w:tcPr>
                  <w:tcW w:w="1058" w:type="pct"/>
                  <w:tcBorders>
                    <w:tl2br w:val="nil"/>
                    <w:tr2bl w:val="nil"/>
                  </w:tcBorders>
                  <w:shd w:val="clear" w:color="auto" w:fill="FFFFFF"/>
                  <w:noWrap/>
                  <w:vAlign w:val="center"/>
                </w:tcPr>
                <w:p w14:paraId="154A967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35543143.537</w:t>
                  </w:r>
                </w:p>
              </w:tc>
            </w:tr>
            <w:tr w14:paraId="5BFA25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78BD7FF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J42</w:t>
                  </w:r>
                </w:p>
              </w:tc>
              <w:tc>
                <w:tcPr>
                  <w:tcW w:w="978" w:type="pct"/>
                  <w:tcBorders>
                    <w:tl2br w:val="nil"/>
                    <w:tr2bl w:val="nil"/>
                  </w:tcBorders>
                  <w:shd w:val="clear" w:color="auto" w:fill="FFFFFF"/>
                  <w:noWrap/>
                  <w:vAlign w:val="center"/>
                </w:tcPr>
                <w:p w14:paraId="6D0280D6">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4129477.023</w:t>
                  </w:r>
                </w:p>
              </w:tc>
              <w:tc>
                <w:tcPr>
                  <w:tcW w:w="1058" w:type="pct"/>
                  <w:tcBorders>
                    <w:tl2br w:val="nil"/>
                    <w:tr2bl w:val="nil"/>
                  </w:tcBorders>
                  <w:shd w:val="clear" w:color="auto" w:fill="FFFFFF"/>
                  <w:noWrap/>
                  <w:vAlign w:val="center"/>
                </w:tcPr>
                <w:p w14:paraId="660777F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35543423.735</w:t>
                  </w:r>
                </w:p>
              </w:tc>
              <w:tc>
                <w:tcPr>
                  <w:tcW w:w="462" w:type="pct"/>
                  <w:tcBorders>
                    <w:tl2br w:val="nil"/>
                    <w:tr2bl w:val="nil"/>
                  </w:tcBorders>
                  <w:shd w:val="clear" w:color="auto" w:fill="FFFFFF"/>
                  <w:noWrap/>
                  <w:vAlign w:val="center"/>
                </w:tcPr>
                <w:p w14:paraId="3702070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J87</w:t>
                  </w:r>
                </w:p>
              </w:tc>
              <w:tc>
                <w:tcPr>
                  <w:tcW w:w="978" w:type="pct"/>
                  <w:tcBorders>
                    <w:tl2br w:val="nil"/>
                    <w:tr2bl w:val="nil"/>
                  </w:tcBorders>
                  <w:shd w:val="clear" w:color="auto" w:fill="FFFFFF"/>
                  <w:noWrap/>
                  <w:vAlign w:val="center"/>
                </w:tcPr>
                <w:p w14:paraId="429D02A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4130158.737</w:t>
                  </w:r>
                </w:p>
              </w:tc>
              <w:tc>
                <w:tcPr>
                  <w:tcW w:w="1058" w:type="pct"/>
                  <w:tcBorders>
                    <w:tl2br w:val="nil"/>
                    <w:tr2bl w:val="nil"/>
                  </w:tcBorders>
                  <w:shd w:val="clear" w:color="auto" w:fill="FFFFFF"/>
                  <w:noWrap/>
                  <w:vAlign w:val="center"/>
                </w:tcPr>
                <w:p w14:paraId="21CBF83E">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35543167.747</w:t>
                  </w:r>
                </w:p>
              </w:tc>
            </w:tr>
            <w:tr w14:paraId="107004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6B668143">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J43</w:t>
                  </w:r>
                </w:p>
              </w:tc>
              <w:tc>
                <w:tcPr>
                  <w:tcW w:w="978" w:type="pct"/>
                  <w:tcBorders>
                    <w:tl2br w:val="nil"/>
                    <w:tr2bl w:val="nil"/>
                  </w:tcBorders>
                  <w:shd w:val="clear" w:color="auto" w:fill="FFFFFF"/>
                  <w:noWrap/>
                  <w:vAlign w:val="center"/>
                </w:tcPr>
                <w:p w14:paraId="2CE5AAB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4129470.883</w:t>
                  </w:r>
                </w:p>
              </w:tc>
              <w:tc>
                <w:tcPr>
                  <w:tcW w:w="1058" w:type="pct"/>
                  <w:tcBorders>
                    <w:tl2br w:val="nil"/>
                    <w:tr2bl w:val="nil"/>
                  </w:tcBorders>
                  <w:shd w:val="clear" w:color="auto" w:fill="FFFFFF"/>
                  <w:noWrap/>
                  <w:vAlign w:val="center"/>
                </w:tcPr>
                <w:p w14:paraId="4BA5537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35543403.677</w:t>
                  </w:r>
                </w:p>
              </w:tc>
              <w:tc>
                <w:tcPr>
                  <w:tcW w:w="462" w:type="pct"/>
                  <w:tcBorders>
                    <w:tl2br w:val="nil"/>
                    <w:tr2bl w:val="nil"/>
                  </w:tcBorders>
                  <w:shd w:val="clear" w:color="auto" w:fill="FFFFFF"/>
                  <w:noWrap/>
                  <w:vAlign w:val="center"/>
                </w:tcPr>
                <w:p w14:paraId="0FBB94B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J88</w:t>
                  </w:r>
                </w:p>
              </w:tc>
              <w:tc>
                <w:tcPr>
                  <w:tcW w:w="978" w:type="pct"/>
                  <w:tcBorders>
                    <w:tl2br w:val="nil"/>
                    <w:tr2bl w:val="nil"/>
                  </w:tcBorders>
                  <w:shd w:val="clear" w:color="auto" w:fill="FFFFFF"/>
                  <w:noWrap/>
                  <w:vAlign w:val="center"/>
                </w:tcPr>
                <w:p w14:paraId="324865B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4130172.230</w:t>
                  </w:r>
                </w:p>
              </w:tc>
              <w:tc>
                <w:tcPr>
                  <w:tcW w:w="1058" w:type="pct"/>
                  <w:tcBorders>
                    <w:tl2br w:val="nil"/>
                    <w:tr2bl w:val="nil"/>
                  </w:tcBorders>
                  <w:shd w:val="clear" w:color="auto" w:fill="FFFFFF"/>
                  <w:noWrap/>
                  <w:vAlign w:val="center"/>
                </w:tcPr>
                <w:p w14:paraId="63A8267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35543191.956</w:t>
                  </w:r>
                </w:p>
              </w:tc>
            </w:tr>
            <w:tr w14:paraId="259AED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44A2F20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J44</w:t>
                  </w:r>
                </w:p>
              </w:tc>
              <w:tc>
                <w:tcPr>
                  <w:tcW w:w="978" w:type="pct"/>
                  <w:tcBorders>
                    <w:tl2br w:val="nil"/>
                    <w:tr2bl w:val="nil"/>
                  </w:tcBorders>
                  <w:shd w:val="clear" w:color="auto" w:fill="FFFFFF"/>
                  <w:noWrap/>
                  <w:vAlign w:val="center"/>
                </w:tcPr>
                <w:p w14:paraId="24EC5E25">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4129470.085</w:t>
                  </w:r>
                </w:p>
              </w:tc>
              <w:tc>
                <w:tcPr>
                  <w:tcW w:w="1058" w:type="pct"/>
                  <w:tcBorders>
                    <w:tl2br w:val="nil"/>
                    <w:tr2bl w:val="nil"/>
                  </w:tcBorders>
                  <w:shd w:val="clear" w:color="auto" w:fill="FFFFFF"/>
                  <w:noWrap/>
                  <w:vAlign w:val="center"/>
                </w:tcPr>
                <w:p w14:paraId="2F1BAF0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35543394.011</w:t>
                  </w:r>
                </w:p>
              </w:tc>
              <w:tc>
                <w:tcPr>
                  <w:tcW w:w="462" w:type="pct"/>
                  <w:tcBorders>
                    <w:tl2br w:val="nil"/>
                    <w:tr2bl w:val="nil"/>
                  </w:tcBorders>
                  <w:shd w:val="clear" w:color="auto" w:fill="FFFFFF"/>
                  <w:noWrap/>
                  <w:vAlign w:val="center"/>
                </w:tcPr>
                <w:p w14:paraId="6DDEA099">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J89</w:t>
                  </w:r>
                </w:p>
              </w:tc>
              <w:tc>
                <w:tcPr>
                  <w:tcW w:w="978" w:type="pct"/>
                  <w:tcBorders>
                    <w:tl2br w:val="nil"/>
                    <w:tr2bl w:val="nil"/>
                  </w:tcBorders>
                  <w:shd w:val="clear" w:color="auto" w:fill="FFFFFF"/>
                  <w:noWrap/>
                  <w:vAlign w:val="center"/>
                </w:tcPr>
                <w:p w14:paraId="326CBFDD">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4130169.055</w:t>
                  </w:r>
                </w:p>
              </w:tc>
              <w:tc>
                <w:tcPr>
                  <w:tcW w:w="1058" w:type="pct"/>
                  <w:tcBorders>
                    <w:tl2br w:val="nil"/>
                    <w:tr2bl w:val="nil"/>
                  </w:tcBorders>
                  <w:shd w:val="clear" w:color="auto" w:fill="FFFFFF"/>
                  <w:noWrap/>
                  <w:vAlign w:val="center"/>
                </w:tcPr>
                <w:p w14:paraId="4EC8F891">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35543210.609</w:t>
                  </w:r>
                </w:p>
              </w:tc>
            </w:tr>
            <w:tr w14:paraId="5999DB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FFFFFF"/>
                  <w:noWrap/>
                  <w:vAlign w:val="center"/>
                </w:tcPr>
                <w:p w14:paraId="396E7AE0">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J45</w:t>
                  </w:r>
                </w:p>
              </w:tc>
              <w:tc>
                <w:tcPr>
                  <w:tcW w:w="978" w:type="pct"/>
                  <w:tcBorders>
                    <w:tl2br w:val="nil"/>
                    <w:tr2bl w:val="nil"/>
                  </w:tcBorders>
                  <w:shd w:val="clear" w:color="auto" w:fill="FFFFFF"/>
                  <w:noWrap/>
                  <w:vAlign w:val="center"/>
                </w:tcPr>
                <w:p w14:paraId="0E566DBB">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4129477.103</w:t>
                  </w:r>
                </w:p>
              </w:tc>
              <w:tc>
                <w:tcPr>
                  <w:tcW w:w="1058" w:type="pct"/>
                  <w:tcBorders>
                    <w:tl2br w:val="nil"/>
                    <w:tr2bl w:val="nil"/>
                  </w:tcBorders>
                  <w:shd w:val="clear" w:color="auto" w:fill="FFFFFF"/>
                  <w:noWrap/>
                  <w:vAlign w:val="center"/>
                </w:tcPr>
                <w:p w14:paraId="064D5392">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35543390.169</w:t>
                  </w:r>
                </w:p>
              </w:tc>
              <w:tc>
                <w:tcPr>
                  <w:tcW w:w="462" w:type="pct"/>
                  <w:tcBorders>
                    <w:tl2br w:val="nil"/>
                    <w:tr2bl w:val="nil"/>
                  </w:tcBorders>
                  <w:shd w:val="clear" w:color="auto" w:fill="FFFFFF"/>
                  <w:noWrap/>
                  <w:vAlign w:val="center"/>
                </w:tcPr>
                <w:p w14:paraId="65E2582C">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978" w:type="pct"/>
                  <w:tcBorders>
                    <w:tl2br w:val="nil"/>
                    <w:tr2bl w:val="nil"/>
                  </w:tcBorders>
                  <w:shd w:val="clear" w:color="auto" w:fill="FFFFFF"/>
                  <w:noWrap/>
                  <w:vAlign w:val="center"/>
                </w:tcPr>
                <w:p w14:paraId="6009DE67">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058" w:type="pct"/>
                  <w:tcBorders>
                    <w:tl2br w:val="nil"/>
                    <w:tr2bl w:val="nil"/>
                  </w:tcBorders>
                  <w:shd w:val="clear" w:color="auto" w:fill="FFFFFF"/>
                  <w:noWrap/>
                  <w:vAlign w:val="center"/>
                </w:tcPr>
                <w:p w14:paraId="6EA9DE9A">
                  <w:pPr>
                    <w:pStyle w:val="38"/>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bl>
          <w:p w14:paraId="0E768786">
            <w:pPr>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14:paraId="0ED45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646" w:type="dxa"/>
            <w:noWrap w:val="0"/>
            <w:vAlign w:val="center"/>
          </w:tcPr>
          <w:p w14:paraId="2C5804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Cs w:val="21"/>
                <w:highlight w:val="none"/>
                <w14:textFill>
                  <w14:solidFill>
                    <w14:schemeClr w14:val="tx1"/>
                  </w14:solidFill>
                </w14:textFill>
              </w:rPr>
            </w:pPr>
            <w:r>
              <w:rPr>
                <w:b/>
                <w:bCs/>
                <w:color w:val="000000" w:themeColor="text1"/>
                <w:kern w:val="0"/>
                <w:sz w:val="24"/>
                <w:highlight w:val="none"/>
                <w14:textFill>
                  <w14:solidFill>
                    <w14:schemeClr w14:val="tx1"/>
                  </w14:solidFill>
                </w14:textFill>
              </w:rPr>
              <w:t>项目组成及规模</w:t>
            </w:r>
          </w:p>
        </w:tc>
        <w:tc>
          <w:tcPr>
            <w:tcW w:w="8444" w:type="dxa"/>
            <w:noWrap w:val="0"/>
            <w:vAlign w:val="center"/>
          </w:tcPr>
          <w:p w14:paraId="553CD253">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1、项目建设背景</w:t>
            </w:r>
          </w:p>
          <w:p w14:paraId="04F1F4DB">
            <w:pPr>
              <w:pStyle w:val="38"/>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中卫市宣和镇天景山天主峰灰石矿位于中卫市宣和镇天景山</w:t>
            </w:r>
            <w:r>
              <w:rPr>
                <w:rFonts w:hint="eastAsia" w:cs="Times New Roman"/>
                <w:color w:val="000000" w:themeColor="text1"/>
                <w:sz w:val="24"/>
                <w:szCs w:val="24"/>
                <w:highlight w:val="none"/>
                <w:lang w:eastAsia="zh-CN"/>
                <w14:textFill>
                  <w14:solidFill>
                    <w14:schemeClr w14:val="tx1"/>
                  </w14:solidFill>
                </w14:textFill>
              </w:rPr>
              <w:t>北麓</w:t>
            </w:r>
            <w:r>
              <w:rPr>
                <w:rFonts w:hint="eastAsia" w:ascii="Times New Roman" w:hAnsi="Times New Roman" w:eastAsia="宋体" w:cs="Times New Roman"/>
                <w:color w:val="000000" w:themeColor="text1"/>
                <w:sz w:val="24"/>
                <w:szCs w:val="24"/>
                <w:highlight w:val="none"/>
                <w14:textFill>
                  <w14:solidFill>
                    <w14:schemeClr w14:val="tx1"/>
                  </w14:solidFill>
                </w14:textFill>
              </w:rPr>
              <w:t>，寺口子沟南约4km处。该采矿权确立于2006年9月，开采矿种为电石灰岩。矿权建立以来，断续开采达十余年，年开采矿石5万</w:t>
            </w:r>
            <w:r>
              <w:rPr>
                <w:rFonts w:hint="eastAsia"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24DC5C48">
            <w:pPr>
              <w:pStyle w:val="38"/>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随着工业化、城镇化快速推进，天景山矿区开采、开发速度加快，矿山开采中，“重用轻管”使得矿产开采企业履行矿山开采土地复垦义务不到位，导致采矿区内地质环境条件恶化。2022年8月，政府启动矿山生态修复工作，编制了《宁夏沙坡头区天景山矿区修复治理项目—中卫市宣和镇天景山天主峰灰石矿矿山生态修复治理方案》，由采矿企业自筹资金对项目区矿山地质环境进行治理，治理面积为55.22h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主要工程有构筑物清理、危岩体清理、渣堆清理及坡脚培土、场地整平、生态环境修复，项目实施后生态环境得到了一定的改善。但个别区域矿产资源开采生态保护不到位，生态修复效果较差。企业在执行生态修复任务时，未全面履行治理责任。</w:t>
            </w:r>
          </w:p>
          <w:p w14:paraId="37A647D3">
            <w:pPr>
              <w:pStyle w:val="38"/>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2025年6月，第三轮中央环保督察组通报天景山矿山修复不严不实问题，经现场勘查，中卫市宣和镇天景山天主峰灰石矿涉及占地堆放废渣土，对天然植被造成破坏，边坡坡底仍堆积大量碎石，渣石、废土依山体堆放，未采取有效的水土保持措施，边坡、渣堆上可见雨水冲沟4处，造成的生态破坏一直未修复到位。</w:t>
            </w:r>
          </w:p>
          <w:p w14:paraId="34081E5C">
            <w:pP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中卫市沙坡头区自然资源局</w:t>
            </w:r>
            <w:r>
              <w:rPr>
                <w:rFonts w:hint="default" w:ascii="Times New Roman" w:hAnsi="Times New Roman" w:eastAsia="宋体" w:cs="Times New Roman"/>
                <w:color w:val="000000" w:themeColor="text1"/>
                <w:sz w:val="24"/>
                <w:szCs w:val="24"/>
                <w:highlight w:val="none"/>
                <w14:textFill>
                  <w14:solidFill>
                    <w14:schemeClr w14:val="tx1"/>
                  </w14:solidFill>
                </w14:textFill>
              </w:rPr>
              <w:t>根据中央环保督察组提出的问题，积极部署，认真谋划，积极响应整改，充分发挥重点生态修复治理资金职能作用，提高生态修复治理资金预算安排的科学性和精准性，提出该项目</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彻底整改中央环保督察组提出的问题。</w:t>
            </w:r>
            <w:r>
              <w:rPr>
                <w:rFonts w:hint="eastAsia"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项目的实施，</w:t>
            </w:r>
            <w:r>
              <w:rPr>
                <w:color w:val="000000" w:themeColor="text1"/>
                <w:highlight w:val="none"/>
                <w:lang w:eastAsia="zh-CN"/>
                <w14:textFill>
                  <w14:solidFill>
                    <w14:schemeClr w14:val="tx1"/>
                  </w14:solidFill>
                </w14:textFill>
              </w:rPr>
              <w:t>是加强沙坡头区</w:t>
            </w:r>
            <w:r>
              <w:rPr>
                <w:rFonts w:hint="eastAsia"/>
                <w:color w:val="000000" w:themeColor="text1"/>
                <w:highlight w:val="none"/>
                <w:lang w:eastAsia="zh-CN"/>
                <w14:textFill>
                  <w14:solidFill>
                    <w14:schemeClr w14:val="tx1"/>
                  </w14:solidFill>
                </w14:textFill>
              </w:rPr>
              <w:t>天景山矿区</w:t>
            </w:r>
            <w:r>
              <w:rPr>
                <w:color w:val="000000" w:themeColor="text1"/>
                <w:highlight w:val="none"/>
                <w:lang w:eastAsia="zh-CN"/>
                <w14:textFill>
                  <w14:solidFill>
                    <w14:schemeClr w14:val="tx1"/>
                  </w14:solidFill>
                </w14:textFill>
              </w:rPr>
              <w:t>深度治理，有效改善区域生态环境、提高生态修复能力，推进山水林田湖草沙综合治理，构建绿色生态屏障的重要手段</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对推进中卫市生态环境保护具有重要意义。</w:t>
            </w:r>
          </w:p>
          <w:p w14:paraId="21A8627B">
            <w:pPr>
              <w:pStyle w:val="2"/>
              <w:numPr>
                <w:ilvl w:val="0"/>
                <w:numId w:val="1"/>
              </w:num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项目</w:t>
            </w:r>
            <w:r>
              <w:rPr>
                <w:rFonts w:hint="default"/>
                <w:color w:val="000000" w:themeColor="text1"/>
                <w:highlight w:val="none"/>
                <w:lang w:val="en-US" w:eastAsia="zh-CN"/>
                <w14:textFill>
                  <w14:solidFill>
                    <w14:schemeClr w14:val="tx1"/>
                  </w14:solidFill>
                </w14:textFill>
              </w:rPr>
              <w:t>建设必要性</w:t>
            </w:r>
          </w:p>
          <w:p w14:paraId="7AB1482A">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中卫市沙坡头区宣和镇寺口子天景山矿区矿产资源开发利用以</w:t>
            </w:r>
            <w:r>
              <w:rPr>
                <w:rFonts w:hint="eastAsia"/>
                <w:color w:val="000000" w:themeColor="text1"/>
                <w:highlight w:val="none"/>
                <w:lang w:val="en-US" w:eastAsia="zh-CN"/>
                <w14:textFill>
                  <w14:solidFill>
                    <w14:schemeClr w14:val="tx1"/>
                  </w14:solidFill>
                </w14:textFill>
              </w:rPr>
              <w:t>灰石</w:t>
            </w:r>
            <w:r>
              <w:rPr>
                <w:rFonts w:hint="default"/>
                <w:color w:val="000000" w:themeColor="text1"/>
                <w:highlight w:val="none"/>
                <w:lang w:val="en-US" w:eastAsia="zh-CN"/>
                <w14:textFill>
                  <w14:solidFill>
                    <w14:schemeClr w14:val="tx1"/>
                  </w14:solidFill>
                </w14:textFill>
              </w:rPr>
              <w:t>等非金属矿藏为主。矿业采掘活动历史悠久，为</w:t>
            </w:r>
            <w:r>
              <w:rPr>
                <w:rFonts w:hint="eastAsia"/>
                <w:color w:val="000000" w:themeColor="text1"/>
                <w:highlight w:val="none"/>
                <w:lang w:val="en-US" w:eastAsia="zh-CN"/>
                <w14:textFill>
                  <w14:solidFill>
                    <w14:schemeClr w14:val="tx1"/>
                  </w14:solidFill>
                </w14:textFill>
              </w:rPr>
              <w:t>当地</w:t>
            </w:r>
            <w:r>
              <w:rPr>
                <w:rFonts w:hint="default"/>
                <w:color w:val="000000" w:themeColor="text1"/>
                <w:highlight w:val="none"/>
                <w:lang w:val="en-US" w:eastAsia="zh-CN"/>
                <w14:textFill>
                  <w14:solidFill>
                    <w14:schemeClr w14:val="tx1"/>
                  </w14:solidFill>
                </w14:textFill>
              </w:rPr>
              <w:t>经济社会发展做出巨大贡献</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但长时间的采矿活动对矿山生态环境造成的负面效应也逐渐显现。采矿活动不仅引发、加剧地质灾害，也对地形地貌景观、土地资源和地下含水层造成了严重影响和破坏。天景山</w:t>
            </w:r>
            <w:r>
              <w:rPr>
                <w:rFonts w:hint="eastAsia"/>
                <w:color w:val="000000" w:themeColor="text1"/>
                <w:highlight w:val="none"/>
                <w:lang w:val="en-US" w:eastAsia="zh-CN"/>
                <w14:textFill>
                  <w14:solidFill>
                    <w14:schemeClr w14:val="tx1"/>
                  </w14:solidFill>
                </w14:textFill>
              </w:rPr>
              <w:t>天主峰</w:t>
            </w:r>
            <w:r>
              <w:rPr>
                <w:rFonts w:hint="default"/>
                <w:color w:val="000000" w:themeColor="text1"/>
                <w:highlight w:val="none"/>
                <w:lang w:val="en-US" w:eastAsia="zh-CN"/>
                <w14:textFill>
                  <w14:solidFill>
                    <w14:schemeClr w14:val="tx1"/>
                  </w14:solidFill>
                </w14:textFill>
              </w:rPr>
              <w:t>地区灰石矿开采区采矿活动排放的大量的废渣、土料随意堆放，存在泥石流地质灾害隐患。露天开采灰石矿产生的矿山废水和废渣，造成了水土污染和大气污染，并进一步引起粉尘污染。矿山企业履行土地复垦、生态修复职责不到位，导致治理区本就脆弱的生态环境雪上加霜。</w:t>
            </w:r>
          </w:p>
          <w:p w14:paraId="631A453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w:t>
            </w:r>
            <w:r>
              <w:rPr>
                <w:rFonts w:hint="default"/>
                <w:color w:val="000000" w:themeColor="text1"/>
                <w:highlight w:val="none"/>
                <w:lang w:val="en-US" w:eastAsia="zh-CN"/>
                <w14:textFill>
                  <w14:solidFill>
                    <w14:schemeClr w14:val="tx1"/>
                  </w14:solidFill>
                </w14:textFill>
              </w:rPr>
              <w:t>项目的实施，能够有效解决</w:t>
            </w:r>
            <w:r>
              <w:rPr>
                <w:rFonts w:hint="eastAsia"/>
                <w:color w:val="000000" w:themeColor="text1"/>
                <w:highlight w:val="none"/>
                <w:lang w:val="en-US" w:eastAsia="zh-CN"/>
                <w14:textFill>
                  <w14:solidFill>
                    <w14:schemeClr w14:val="tx1"/>
                  </w14:solidFill>
                </w14:textFill>
              </w:rPr>
              <w:t>天景山天主峰</w:t>
            </w:r>
            <w:r>
              <w:rPr>
                <w:rFonts w:hint="default"/>
                <w:color w:val="000000" w:themeColor="text1"/>
                <w:highlight w:val="none"/>
                <w:lang w:val="en-US" w:eastAsia="zh-CN"/>
                <w14:textFill>
                  <w14:solidFill>
                    <w14:schemeClr w14:val="tx1"/>
                  </w14:solidFill>
                </w14:textFill>
              </w:rPr>
              <w:t>矿山地质生态环境问题，减少矿山开采对区域生态环境的破坏。通过地形地貌恢复工程、截排水工程、生态恢复工程等对项目区灰石矿山进行生态恢复治理，解决本项目矿山占地堆放废渣土，对天然植被造成破坏等问题</w:t>
            </w:r>
            <w:r>
              <w:rPr>
                <w:rFonts w:hint="eastAsia"/>
                <w:color w:val="000000" w:themeColor="text1"/>
                <w:highlight w:val="none"/>
                <w:lang w:val="en-US" w:eastAsia="zh-CN"/>
                <w14:textFill>
                  <w14:solidFill>
                    <w14:schemeClr w14:val="tx1"/>
                  </w14:solidFill>
                </w14:textFill>
              </w:rPr>
              <w:t>。</w:t>
            </w:r>
          </w:p>
          <w:p w14:paraId="7FAD83A9">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3、建设内容与规模</w:t>
            </w:r>
          </w:p>
          <w:p w14:paraId="7444ABAA">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本项目工程措施包括地形地貌恢复工程、截排水工程和生态植被恢复工程。</w:t>
            </w:r>
          </w:p>
          <w:p w14:paraId="2EB63790">
            <w:pPr>
              <w:bidi w:val="0"/>
              <w:rPr>
                <w:rFonts w:hint="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⑴</w:t>
            </w:r>
            <w:r>
              <w:rPr>
                <w:rFonts w:hint="eastAsia"/>
                <w:color w:val="000000" w:themeColor="text1"/>
                <w:sz w:val="24"/>
                <w:szCs w:val="24"/>
                <w:highlight w:val="none"/>
                <w:lang w:val="en-US" w:eastAsia="zh-CN"/>
                <w14:textFill>
                  <w14:solidFill>
                    <w14:schemeClr w14:val="tx1"/>
                  </w14:solidFill>
                </w14:textFill>
              </w:rPr>
              <w:t>地形地貌恢复工程</w:t>
            </w:r>
          </w:p>
          <w:p w14:paraId="349982A9">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渣石清理：对矿区内的渣石进行清理，工程量为9200.46m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p>
          <w:p w14:paraId="022EBD98">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坡面修整：坡面修整面积为8333.53m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，土方量为2500.06m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p>
          <w:p w14:paraId="4C9A29FF">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场区平整：采用推土机平整土地面积12172.29m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，平整土方量5203.65m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，推土距离30m以内。</w:t>
            </w:r>
          </w:p>
          <w:p w14:paraId="67DDF530">
            <w:pPr>
              <w:bidi w:val="0"/>
              <w:rPr>
                <w:rFonts w:hint="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⑵</w:t>
            </w:r>
            <w:r>
              <w:rPr>
                <w:rFonts w:hint="eastAsia"/>
                <w:color w:val="000000" w:themeColor="text1"/>
                <w:sz w:val="24"/>
                <w:szCs w:val="24"/>
                <w:highlight w:val="none"/>
                <w:lang w:val="en-US" w:eastAsia="zh-CN"/>
                <w14:textFill>
                  <w14:solidFill>
                    <w14:schemeClr w14:val="tx1"/>
                  </w14:solidFill>
                </w14:textFill>
              </w:rPr>
              <w:t>截排水工程</w:t>
            </w:r>
          </w:p>
          <w:p w14:paraId="01235BE1">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根据马道布置，设置截水埂（高度0.4m，顶宽0.4m，坡比1：0.75）2086m，雨水汇集处设置导流槽738m，采用回填夯实土修筑。</w:t>
            </w:r>
          </w:p>
          <w:p w14:paraId="23395FA3">
            <w:pPr>
              <w:bidi w:val="0"/>
              <w:rPr>
                <w:rFonts w:hint="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⑶</w:t>
            </w:r>
            <w:r>
              <w:rPr>
                <w:rFonts w:hint="eastAsia"/>
                <w:color w:val="000000" w:themeColor="text1"/>
                <w:sz w:val="24"/>
                <w:szCs w:val="24"/>
                <w:highlight w:val="none"/>
                <w:lang w:val="en-US" w:eastAsia="zh-CN"/>
                <w14:textFill>
                  <w14:solidFill>
                    <w14:schemeClr w14:val="tx1"/>
                  </w14:solidFill>
                </w14:textFill>
              </w:rPr>
              <w:t>生态恢复工程</w:t>
            </w:r>
          </w:p>
          <w:p w14:paraId="74C56B4D">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对治理区满足植被生长条件区域进行植被恢复，面积20.79hm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w:t>
            </w:r>
          </w:p>
          <w:p w14:paraId="08C5508B">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土地深松：对植草区域内8.03hm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土地进行翻松，翻松平均深度10cm。</w:t>
            </w:r>
          </w:p>
          <w:p w14:paraId="26BAA07D">
            <w:pPr>
              <w:bidi w:val="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穴播种草：穴播种草面积为20.79hm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，草籽量15kg/hm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，草种采用周边乡土草种，草籽采用人工采集或者市场购买。</w:t>
            </w:r>
          </w:p>
          <w:p w14:paraId="4992202A">
            <w:pPr>
              <w:bidi w:val="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草地养护：养护期为3年（2026年—2028年），每年灌水量1850m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w:t>
            </w:r>
          </w:p>
          <w:p w14:paraId="12A89B8B">
            <w:pPr>
              <w:pStyle w:val="2"/>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项目主要工程内容</w:t>
            </w:r>
          </w:p>
          <w:p w14:paraId="69B88493">
            <w:pPr>
              <w:rPr>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本项目主要工程内容见表2-2</w:t>
            </w:r>
            <w:r>
              <w:rPr>
                <w:rFonts w:ascii="宋体" w:hAnsi="宋体" w:eastAsia="宋体" w:cs="宋体"/>
                <w:b w:val="0"/>
                <w:bCs w:val="0"/>
                <w:color w:val="000000" w:themeColor="text1"/>
                <w:sz w:val="24"/>
                <w:szCs w:val="24"/>
                <w:highlight w:val="none"/>
                <w14:textFill>
                  <w14:solidFill>
                    <w14:schemeClr w14:val="tx1"/>
                  </w14:solidFill>
                </w14:textFill>
              </w:rPr>
              <w:t>。</w:t>
            </w:r>
          </w:p>
          <w:p w14:paraId="5F9A7DEE">
            <w:pPr>
              <w:pStyle w:val="3"/>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本项目主要工程内容一览表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40"/>
              <w:gridCol w:w="6238"/>
            </w:tblGrid>
            <w:tr w14:paraId="3B003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748725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工程类别</w:t>
                  </w:r>
                </w:p>
              </w:tc>
              <w:tc>
                <w:tcPr>
                  <w:tcW w:w="756" w:type="pct"/>
                  <w:noWrap w:val="0"/>
                  <w:vAlign w:val="center"/>
                </w:tcPr>
                <w:p w14:paraId="132A317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工程名称</w:t>
                  </w:r>
                </w:p>
              </w:tc>
              <w:tc>
                <w:tcPr>
                  <w:tcW w:w="3804" w:type="pct"/>
                  <w:noWrap w:val="0"/>
                  <w:vAlign w:val="center"/>
                </w:tcPr>
                <w:p w14:paraId="1A8A654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主要内容</w:t>
                  </w:r>
                </w:p>
              </w:tc>
            </w:tr>
            <w:tr w14:paraId="10D64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05B30C8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主体工程</w:t>
                  </w:r>
                </w:p>
              </w:tc>
              <w:tc>
                <w:tcPr>
                  <w:tcW w:w="756" w:type="pct"/>
                  <w:noWrap w:val="0"/>
                  <w:vAlign w:val="center"/>
                </w:tcPr>
                <w:p w14:paraId="07BB34E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地形地貌恢复工程</w:t>
                  </w:r>
                </w:p>
              </w:tc>
              <w:tc>
                <w:tcPr>
                  <w:tcW w:w="3804" w:type="pct"/>
                  <w:noWrap w:val="0"/>
                  <w:vAlign w:val="center"/>
                </w:tcPr>
                <w:p w14:paraId="24841B8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进行渣石清理，清理渣石量9200.46m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，清理面积23001.15m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；修整3处坡面，修正厚度0.3m，工程量2500.06m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，面积共8333.53m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；进行场区平整，平整土方量5203.65m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，面积12172.29m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tc>
            </w:tr>
            <w:tr w14:paraId="3A152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B0AE70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noWrap w:val="0"/>
                  <w:vAlign w:val="center"/>
                </w:tcPr>
                <w:p w14:paraId="1AD330C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截排水工程</w:t>
                  </w:r>
                </w:p>
              </w:tc>
              <w:tc>
                <w:tcPr>
                  <w:tcW w:w="3804" w:type="pct"/>
                  <w:noWrap w:val="0"/>
                  <w:vAlign w:val="center"/>
                </w:tcPr>
                <w:p w14:paraId="0083041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布置</w:t>
                  </w:r>
                  <w:r>
                    <w:rPr>
                      <w:rFonts w:hint="eastAsia"/>
                      <w:color w:val="000000" w:themeColor="text1"/>
                      <w:highlight w:val="none"/>
                      <w14:textFill>
                        <w14:solidFill>
                          <w14:schemeClr w14:val="tx1"/>
                        </w14:solidFill>
                      </w14:textFill>
                    </w:rPr>
                    <w:t>截水埂2086m</w:t>
                  </w:r>
                  <w:r>
                    <w:rPr>
                      <w:rFonts w:hint="eastAsia"/>
                      <w:color w:val="000000" w:themeColor="text1"/>
                      <w:highlight w:val="none"/>
                      <w:lang w:eastAsia="zh-CN"/>
                      <w14:textFill>
                        <w14:solidFill>
                          <w14:schemeClr w14:val="tx1"/>
                        </w14:solidFill>
                      </w14:textFill>
                    </w:rPr>
                    <w:t>；设置导流槽738m。</w:t>
                  </w:r>
                </w:p>
              </w:tc>
            </w:tr>
            <w:tr w14:paraId="66089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131DE74">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noWrap w:val="0"/>
                  <w:vAlign w:val="center"/>
                </w:tcPr>
                <w:p w14:paraId="3CBDABD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生态植被恢复工程</w:t>
                  </w:r>
                </w:p>
              </w:tc>
              <w:tc>
                <w:tcPr>
                  <w:tcW w:w="3804" w:type="pct"/>
                  <w:noWrap w:val="0"/>
                  <w:vAlign w:val="center"/>
                </w:tcPr>
                <w:p w14:paraId="76C38F2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进行覆土工程，平均厚度0.15m，覆土面积为50984.53m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，覆土量为7647.68m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；土地翻松，</w:t>
                  </w:r>
                  <w:r>
                    <w:rPr>
                      <w:rFonts w:hint="eastAsia"/>
                      <w:color w:val="000000" w:themeColor="text1"/>
                      <w:highlight w:val="none"/>
                      <w:lang w:val="en-US" w:eastAsia="zh-CN"/>
                      <w14:textFill>
                        <w14:solidFill>
                          <w14:schemeClr w14:val="tx1"/>
                        </w14:solidFill>
                      </w14:textFill>
                    </w:rPr>
                    <w:t>翻松深度0.1m，翻松</w:t>
                  </w:r>
                  <w:r>
                    <w:rPr>
                      <w:rFonts w:hint="eastAsia"/>
                      <w:color w:val="000000" w:themeColor="text1"/>
                      <w:highlight w:val="none"/>
                      <w:lang w:eastAsia="zh-CN"/>
                      <w14:textFill>
                        <w14:solidFill>
                          <w14:schemeClr w14:val="tx1"/>
                        </w14:solidFill>
                      </w14:textFill>
                    </w:rPr>
                    <w:t>面积为8.03hm</w:t>
                  </w:r>
                  <w:r>
                    <w:rPr>
                      <w:rFonts w:hint="eastAsia"/>
                      <w:color w:val="000000" w:themeColor="text1"/>
                      <w:highlight w:val="none"/>
                      <w:vertAlign w:val="superscript"/>
                      <w:lang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；穴播草籽面积</w:t>
                  </w:r>
                  <w:r>
                    <w:rPr>
                      <w:rFonts w:hint="eastAsia"/>
                      <w:color w:val="000000" w:themeColor="text1"/>
                      <w:highlight w:val="none"/>
                      <w:lang w:val="en-US" w:eastAsia="zh-CN"/>
                      <w14:textFill>
                        <w14:solidFill>
                          <w14:schemeClr w14:val="tx1"/>
                        </w14:solidFill>
                      </w14:textFill>
                    </w:rPr>
                    <w:t>20.79</w:t>
                  </w:r>
                  <w:r>
                    <w:rPr>
                      <w:rFonts w:hint="eastAsia"/>
                      <w:color w:val="000000" w:themeColor="text1"/>
                      <w:highlight w:val="none"/>
                      <w:lang w:eastAsia="zh-CN"/>
                      <w14:textFill>
                        <w14:solidFill>
                          <w14:schemeClr w14:val="tx1"/>
                        </w14:solidFill>
                      </w14:textFill>
                    </w:rPr>
                    <w:t>hm</w:t>
                  </w:r>
                  <w:r>
                    <w:rPr>
                      <w:rFonts w:hint="eastAsia"/>
                      <w:color w:val="000000" w:themeColor="text1"/>
                      <w:highlight w:val="none"/>
                      <w:vertAlign w:val="superscript"/>
                      <w:lang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，草籽量15kg/hm</w:t>
                  </w:r>
                  <w:r>
                    <w:rPr>
                      <w:rFonts w:hint="eastAsia"/>
                      <w:color w:val="000000" w:themeColor="text1"/>
                      <w:highlight w:val="none"/>
                      <w:vertAlign w:val="superscript"/>
                      <w:lang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对草地进行</w:t>
                  </w:r>
                  <w:r>
                    <w:rPr>
                      <w:rFonts w:hint="eastAsia"/>
                      <w:color w:val="000000" w:themeColor="text1"/>
                      <w:highlight w:val="none"/>
                      <w:lang w:eastAsia="zh-CN"/>
                      <w14:textFill>
                        <w14:solidFill>
                          <w14:schemeClr w14:val="tx1"/>
                        </w14:solidFill>
                      </w14:textFill>
                    </w:rPr>
                    <w:t>3年</w:t>
                  </w:r>
                  <w:r>
                    <w:rPr>
                      <w:rFonts w:hint="eastAsia"/>
                      <w:color w:val="000000" w:themeColor="text1"/>
                      <w:highlight w:val="none"/>
                      <w:lang w:val="en-US" w:eastAsia="zh-CN"/>
                      <w14:textFill>
                        <w14:solidFill>
                          <w14:schemeClr w14:val="tx1"/>
                        </w14:solidFill>
                      </w14:textFill>
                    </w:rPr>
                    <w:t>养护，每年灌水量1850m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养护期总需水量为115384.50m</w:t>
                  </w:r>
                  <w:r>
                    <w:rPr>
                      <w:rFonts w:hint="eastAsia"/>
                      <w:color w:val="000000" w:themeColor="text1"/>
                      <w:highlight w:val="none"/>
                      <w:vertAlign w:val="superscript"/>
                      <w:lang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p>
              </w:tc>
            </w:tr>
            <w:tr w14:paraId="1BD9A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7272D26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临时工程</w:t>
                  </w:r>
                </w:p>
              </w:tc>
              <w:tc>
                <w:tcPr>
                  <w:tcW w:w="756" w:type="pct"/>
                  <w:noWrap w:val="0"/>
                  <w:vAlign w:val="center"/>
                </w:tcPr>
                <w:p w14:paraId="7C1469B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w:t>
                  </w:r>
                </w:p>
              </w:tc>
              <w:tc>
                <w:tcPr>
                  <w:tcW w:w="3804" w:type="pct"/>
                  <w:noWrap w:val="0"/>
                  <w:vAlign w:val="center"/>
                </w:tcPr>
                <w:p w14:paraId="5625DCA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w:t>
                  </w:r>
                  <w:r>
                    <w:rPr>
                      <w:rFonts w:hint="eastAsia" w:cs="Times New Roman"/>
                      <w:color w:val="000000" w:themeColor="text1"/>
                      <w:highlight w:val="none"/>
                      <w14:textFill>
                        <w14:solidFill>
                          <w14:schemeClr w14:val="tx1"/>
                        </w14:solidFill>
                      </w14:textFill>
                    </w:rPr>
                    <w:t>依托项目区</w:t>
                  </w:r>
                  <w:r>
                    <w:rPr>
                      <w:rFonts w:hint="eastAsia" w:cs="Times New Roman"/>
                      <w:color w:val="000000" w:themeColor="text1"/>
                      <w:highlight w:val="none"/>
                      <w:lang w:val="en-US" w:eastAsia="zh-CN"/>
                      <w14:textFill>
                        <w14:solidFill>
                          <w14:schemeClr w14:val="tx1"/>
                        </w14:solidFill>
                      </w14:textFill>
                    </w:rPr>
                    <w:t>周边</w:t>
                  </w:r>
                  <w:r>
                    <w:rPr>
                      <w:rFonts w:hint="eastAsia" w:cs="Times New Roman"/>
                      <w:color w:val="000000" w:themeColor="text1"/>
                      <w:highlight w:val="none"/>
                      <w14:textFill>
                        <w14:solidFill>
                          <w14:schemeClr w14:val="tx1"/>
                        </w14:solidFill>
                      </w14:textFill>
                    </w:rPr>
                    <w:t>村庄</w:t>
                  </w:r>
                  <w:r>
                    <w:rPr>
                      <w:rFonts w:hint="eastAsia" w:cs="Times New Roman"/>
                      <w:color w:val="000000" w:themeColor="text1"/>
                      <w:highlight w:val="none"/>
                      <w:lang w:eastAsia="zh-CN"/>
                      <w14:textFill>
                        <w14:solidFill>
                          <w14:schemeClr w14:val="tx1"/>
                        </w14:solidFill>
                      </w14:textFill>
                    </w:rPr>
                    <w:t>。</w:t>
                  </w:r>
                </w:p>
              </w:tc>
            </w:tr>
            <w:tr w14:paraId="32263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5BE846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p>
              </w:tc>
              <w:tc>
                <w:tcPr>
                  <w:tcW w:w="756" w:type="pct"/>
                  <w:noWrap w:val="0"/>
                  <w:vAlign w:val="center"/>
                </w:tcPr>
                <w:p w14:paraId="19E2343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取弃土场</w:t>
                  </w:r>
                </w:p>
              </w:tc>
              <w:tc>
                <w:tcPr>
                  <w:tcW w:w="3804" w:type="pct"/>
                  <w:noWrap w:val="0"/>
                  <w:vAlign w:val="center"/>
                </w:tcPr>
                <w:p w14:paraId="2B6132C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项目土方挖填平衡，因此不设置取弃土场。</w:t>
                  </w:r>
                </w:p>
              </w:tc>
            </w:tr>
            <w:tr w14:paraId="5B0C7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0B4EEE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11A5FAB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施工便道</w:t>
                  </w:r>
                </w:p>
              </w:tc>
              <w:tc>
                <w:tcPr>
                  <w:tcW w:w="3804" w:type="pct"/>
                  <w:noWrap w:val="0"/>
                  <w:vAlign w:val="center"/>
                </w:tcPr>
                <w:p w14:paraId="5AF4AAA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治理区周边分布有高速公路、县道、乡道等交通运输道路，交通便利。场内道路利用已有石料运输道路</w:t>
                  </w:r>
                  <w:r>
                    <w:rPr>
                      <w:rFonts w:hint="eastAsia"/>
                      <w:color w:val="000000" w:themeColor="text1"/>
                      <w:highlight w:val="none"/>
                      <w:lang w:val="en-US" w:eastAsia="zh-CN"/>
                      <w14:textFill>
                        <w14:solidFill>
                          <w14:schemeClr w14:val="tx1"/>
                        </w14:solidFill>
                      </w14:textFill>
                    </w:rPr>
                    <w:t>。</w:t>
                  </w:r>
                </w:p>
              </w:tc>
            </w:tr>
            <w:tr w14:paraId="4BA90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19740A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4442761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施工车辆</w:t>
                  </w:r>
                </w:p>
              </w:tc>
              <w:tc>
                <w:tcPr>
                  <w:tcW w:w="3804" w:type="pct"/>
                  <w:noWrap w:val="0"/>
                  <w:vAlign w:val="center"/>
                </w:tcPr>
                <w:p w14:paraId="6375FF5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施工车辆</w:t>
                  </w:r>
                  <w:r>
                    <w:rPr>
                      <w:rFonts w:hint="eastAsia"/>
                      <w:color w:val="000000" w:themeColor="text1"/>
                      <w:highlight w:val="none"/>
                      <w:lang w:val="en-US" w:eastAsia="zh-CN"/>
                      <w14:textFill>
                        <w14:solidFill>
                          <w14:schemeClr w14:val="tx1"/>
                        </w14:solidFill>
                      </w14:textFill>
                    </w:rPr>
                    <w:t>均停放在占地范围内，严禁占用占地范围以外的区域</w:t>
                  </w:r>
                </w:p>
              </w:tc>
            </w:tr>
            <w:tr w14:paraId="66927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2CC983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13646B1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施工材料</w:t>
                  </w:r>
                </w:p>
              </w:tc>
              <w:tc>
                <w:tcPr>
                  <w:tcW w:w="3804" w:type="pct"/>
                  <w:noWrap w:val="0"/>
                  <w:vAlign w:val="center"/>
                </w:tcPr>
                <w:p w14:paraId="45C796C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施工材料均堆放在占地范围内，严禁占用占地范围以外的区域</w:t>
                  </w:r>
                </w:p>
              </w:tc>
            </w:tr>
            <w:tr w14:paraId="40AA8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2CAC7C1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公辅</w:t>
                  </w:r>
                  <w:r>
                    <w:rPr>
                      <w:color w:val="000000" w:themeColor="text1"/>
                      <w:highlight w:val="none"/>
                      <w14:textFill>
                        <w14:solidFill>
                          <w14:schemeClr w14:val="tx1"/>
                        </w14:solidFill>
                      </w14:textFill>
                    </w:rPr>
                    <w:t>工程</w:t>
                  </w:r>
                </w:p>
              </w:tc>
              <w:tc>
                <w:tcPr>
                  <w:tcW w:w="756" w:type="pct"/>
                  <w:noWrap w:val="0"/>
                  <w:vAlign w:val="center"/>
                </w:tcPr>
                <w:p w14:paraId="462DD90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供水</w:t>
                  </w:r>
                </w:p>
              </w:tc>
              <w:tc>
                <w:tcPr>
                  <w:tcW w:w="3804" w:type="pct"/>
                  <w:noWrap w:val="0"/>
                  <w:vAlign w:val="center"/>
                </w:tcPr>
                <w:p w14:paraId="690A15D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施工用水、施工人员生活用水购自周边村镇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由水罐车拉运。</w:t>
                  </w:r>
                </w:p>
                <w:p w14:paraId="3877AF4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运营期草地养护用水自周边取水点，</w:t>
                  </w:r>
                  <w:r>
                    <w:rPr>
                      <w:rFonts w:hint="eastAsia"/>
                      <w:color w:val="000000" w:themeColor="text1"/>
                      <w:highlight w:val="none"/>
                      <w14:textFill>
                        <w14:solidFill>
                          <w14:schemeClr w14:val="tx1"/>
                        </w14:solidFill>
                      </w14:textFill>
                    </w:rPr>
                    <w:t>补水方式采用水罐车拉水，利用软管进行人工浇水。</w:t>
                  </w:r>
                </w:p>
              </w:tc>
            </w:tr>
            <w:tr w14:paraId="61BAA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92B620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1533697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排水</w:t>
                  </w:r>
                </w:p>
              </w:tc>
              <w:tc>
                <w:tcPr>
                  <w:tcW w:w="3804" w:type="pct"/>
                  <w:noWrap w:val="0"/>
                  <w:vAlign w:val="center"/>
                </w:tcPr>
                <w:p w14:paraId="66C1905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项目区不设置施工营地，施工生活营地依托周边村庄，项目施工区无生活污水产生。</w:t>
                  </w:r>
                </w:p>
              </w:tc>
            </w:tr>
            <w:tr w14:paraId="6BFD3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A86A2A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038E7C5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供电</w:t>
                  </w:r>
                </w:p>
              </w:tc>
              <w:tc>
                <w:tcPr>
                  <w:tcW w:w="3804" w:type="pct"/>
                  <w:noWrap w:val="0"/>
                  <w:vAlign w:val="center"/>
                </w:tcPr>
                <w:p w14:paraId="539F86E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施工期、运营期用电由附近供电电网接入</w:t>
                  </w:r>
                  <w:r>
                    <w:rPr>
                      <w:rFonts w:hint="eastAsia"/>
                      <w:color w:val="000000" w:themeColor="text1"/>
                      <w:highlight w:val="none"/>
                      <w:lang w:eastAsia="zh-CN"/>
                      <w14:textFill>
                        <w14:solidFill>
                          <w14:schemeClr w14:val="tx1"/>
                        </w14:solidFill>
                      </w14:textFill>
                    </w:rPr>
                    <w:t>。</w:t>
                  </w:r>
                </w:p>
              </w:tc>
            </w:tr>
            <w:tr w14:paraId="2BCF5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40EE46C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环保工程</w:t>
                  </w:r>
                </w:p>
              </w:tc>
              <w:tc>
                <w:tcPr>
                  <w:tcW w:w="756" w:type="pct"/>
                  <w:noWrap w:val="0"/>
                  <w:vAlign w:val="center"/>
                </w:tcPr>
                <w:p w14:paraId="6870C28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废气治理</w:t>
                  </w:r>
                </w:p>
              </w:tc>
              <w:tc>
                <w:tcPr>
                  <w:tcW w:w="3804" w:type="pct"/>
                  <w:noWrap w:val="0"/>
                  <w:vAlign w:val="center"/>
                </w:tcPr>
                <w:p w14:paraId="466D4F4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避免在大风日时施工，尽可能缩短施工时间；汽车运输加盖篷布、控制车速；运输车辆进出的主干道应定期洒水清扫；加强对施工机械、车辆的维修保养；对施工场区定期洒水降尘。</w:t>
                  </w:r>
                </w:p>
              </w:tc>
            </w:tr>
            <w:tr w14:paraId="69EA1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6EEE3C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5D4ABE0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废水治理</w:t>
                  </w:r>
                </w:p>
              </w:tc>
              <w:tc>
                <w:tcPr>
                  <w:tcW w:w="3804" w:type="pct"/>
                  <w:noWrap w:val="0"/>
                  <w:vAlign w:val="center"/>
                </w:tcPr>
                <w:p w14:paraId="0593432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施工生活营地依托周边村庄，项目施工区无生活污水产生。</w:t>
                  </w:r>
                </w:p>
              </w:tc>
            </w:tr>
            <w:tr w14:paraId="67BEE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6D9DD83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00D6FA55">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噪声治理</w:t>
                  </w:r>
                </w:p>
              </w:tc>
              <w:tc>
                <w:tcPr>
                  <w:tcW w:w="3804" w:type="pct"/>
                  <w:noWrap w:val="0"/>
                  <w:vAlign w:val="center"/>
                </w:tcPr>
                <w:p w14:paraId="59C747A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合理安排施工时间，优化运输路线，车辆减速慢行、禁止鸣笛</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选用低噪声设备</w:t>
                  </w:r>
                  <w:r>
                    <w:rPr>
                      <w:rFonts w:hint="eastAsia" w:cs="Times New Roman"/>
                      <w:color w:val="000000" w:themeColor="text1"/>
                      <w:highlight w:val="none"/>
                      <w:lang w:eastAsia="zh-CN"/>
                      <w14:textFill>
                        <w14:solidFill>
                          <w14:schemeClr w14:val="tx1"/>
                        </w14:solidFill>
                      </w14:textFill>
                    </w:rPr>
                    <w:t>。</w:t>
                  </w:r>
                </w:p>
              </w:tc>
            </w:tr>
            <w:tr w14:paraId="334DB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B412AA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0BBBAD3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固废治理</w:t>
                  </w:r>
                </w:p>
              </w:tc>
              <w:tc>
                <w:tcPr>
                  <w:tcW w:w="3804" w:type="pct"/>
                  <w:noWrap w:val="0"/>
                  <w:vAlign w:val="center"/>
                </w:tcPr>
                <w:p w14:paraId="33FC49C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本项目不在厂区内对机械设备维修，不产生危废，项目土方挖填平衡，全部利用无弃土方产生。</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施工期的固体废弃物</w:t>
                  </w:r>
                  <w:r>
                    <w:rPr>
                      <w:rFonts w:hint="eastAsia" w:cs="Times New Roman"/>
                      <w:color w:val="000000" w:themeColor="text1"/>
                      <w:kern w:val="0"/>
                      <w:sz w:val="21"/>
                      <w:szCs w:val="21"/>
                      <w:highlight w:val="none"/>
                      <w:lang w:val="en-US" w:eastAsia="zh-CN" w:bidi="ar-SA"/>
                      <w14:textFill>
                        <w14:solidFill>
                          <w14:schemeClr w14:val="tx1"/>
                        </w14:solidFill>
                      </w14:textFill>
                    </w:rPr>
                    <w:t>主要为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生活垃圾。生活垃圾集中分类收集后送至邻近村庄生活垃圾收集点，由当地环卫部门统一清运处置</w:t>
                  </w:r>
                  <w:r>
                    <w:rPr>
                      <w:rFonts w:hint="eastAsia" w:cs="Times New Roman"/>
                      <w:color w:val="000000" w:themeColor="text1"/>
                      <w:kern w:val="0"/>
                      <w:sz w:val="21"/>
                      <w:szCs w:val="21"/>
                      <w:highlight w:val="none"/>
                      <w:lang w:val="en-US" w:eastAsia="zh-CN" w:bidi="ar-SA"/>
                      <w14:textFill>
                        <w14:solidFill>
                          <w14:schemeClr w14:val="tx1"/>
                        </w14:solidFill>
                      </w14:textFill>
                    </w:rPr>
                    <w:t>。</w:t>
                  </w:r>
                </w:p>
              </w:tc>
            </w:tr>
            <w:tr w14:paraId="5259C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6C910A1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vMerge w:val="restart"/>
                  <w:noWrap w:val="0"/>
                  <w:vAlign w:val="center"/>
                </w:tcPr>
                <w:p w14:paraId="56B1EA8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w:t>
                  </w:r>
                </w:p>
              </w:tc>
              <w:tc>
                <w:tcPr>
                  <w:tcW w:w="3804" w:type="pct"/>
                  <w:noWrap w:val="0"/>
                  <w:vAlign w:val="center"/>
                </w:tcPr>
                <w:p w14:paraId="52C2E7D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w:t>
                  </w:r>
                  <w:r>
                    <w:rPr>
                      <w:rFonts w:hint="eastAsia"/>
                      <w:color w:val="000000" w:themeColor="text1"/>
                      <w:highlight w:val="none"/>
                      <w14:textFill>
                        <w14:solidFill>
                          <w14:schemeClr w14:val="tx1"/>
                        </w14:solidFill>
                      </w14:textFill>
                    </w:rPr>
                    <w:t>严格控制施工区域占地及周边动植物保护，合理规划修复治理顺序；项目区不设置施工生活营地；施工场地定期洒水降尘、运输车辆加盖篷布；边坡治理、地形地貌恢复等工程对工程区进行生态修复；对于泄洪沟道的取土场，削坡处理并进行土地平整，并对坡面撒播草籽。</w:t>
                  </w:r>
                </w:p>
              </w:tc>
            </w:tr>
            <w:tr w14:paraId="35EDC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0AFA41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vMerge w:val="continue"/>
                  <w:noWrap w:val="0"/>
                  <w:vAlign w:val="center"/>
                </w:tcPr>
                <w:p w14:paraId="1F66F23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3804" w:type="pct"/>
                  <w:noWrap w:val="0"/>
                  <w:vAlign w:val="center"/>
                </w:tcPr>
                <w:p w14:paraId="640380F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草地养护期为3年，在6-8月份进行人工补水。平缓区域（坡度＜15°）草地覆盖率第二年达到10%，第三年达到20%；缓坡面区域（25°＞坡度＞15°）植被覆盖率第二年达到7%，第三年达到10%；陡坡区（坡度＞25°）的边坡植被覆盖率第二年达到3%，第三年达到5%。</w:t>
                  </w:r>
                </w:p>
              </w:tc>
            </w:tr>
          </w:tbl>
          <w:p w14:paraId="6D3797E7">
            <w:pPr>
              <w:pStyle w:val="2"/>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项目工程量汇总</w:t>
            </w:r>
          </w:p>
          <w:p w14:paraId="4879525C">
            <w:pPr>
              <w:tabs>
                <w:tab w:val="left" w:pos="861"/>
              </w:tabs>
              <w:ind w:firstLine="454" w:firstLineChars="200"/>
              <w:jc w:val="left"/>
              <w:rPr>
                <w:b/>
                <w:color w:val="000000" w:themeColor="text1"/>
                <w:sz w:val="24"/>
                <w:highlight w:val="none"/>
                <w14:textFill>
                  <w14:solidFill>
                    <w14:schemeClr w14:val="tx1"/>
                  </w14:solidFill>
                </w14:textFill>
              </w:rPr>
            </w:pPr>
            <w:r>
              <w:rPr>
                <w:color w:val="000000" w:themeColor="text1"/>
                <w:kern w:val="0"/>
                <w:sz w:val="24"/>
                <w:highlight w:val="none"/>
                <w:lang w:bidi="ar"/>
                <w14:textFill>
                  <w14:solidFill>
                    <w14:schemeClr w14:val="tx1"/>
                  </w14:solidFill>
                </w14:textFill>
              </w:rPr>
              <w:t>本项目生态修复工程量汇总见表2-</w:t>
            </w:r>
            <w:r>
              <w:rPr>
                <w:rFonts w:hint="eastAsia"/>
                <w:color w:val="000000" w:themeColor="text1"/>
                <w:kern w:val="0"/>
                <w:sz w:val="24"/>
                <w:highlight w:val="none"/>
                <w:lang w:val="en-US" w:eastAsia="zh-CN" w:bidi="ar"/>
                <w14:textFill>
                  <w14:solidFill>
                    <w14:schemeClr w14:val="tx1"/>
                  </w14:solidFill>
                </w14:textFill>
              </w:rPr>
              <w:t>3</w:t>
            </w:r>
            <w:r>
              <w:rPr>
                <w:color w:val="000000" w:themeColor="text1"/>
                <w:kern w:val="0"/>
                <w:sz w:val="24"/>
                <w:highlight w:val="none"/>
                <w:lang w:bidi="ar"/>
                <w14:textFill>
                  <w14:solidFill>
                    <w14:schemeClr w14:val="tx1"/>
                  </w14:solidFill>
                </w14:textFill>
              </w:rPr>
              <w:t>。</w:t>
            </w:r>
          </w:p>
          <w:p w14:paraId="6CEF700F">
            <w:pPr>
              <w:pStyle w:val="3"/>
              <w:bidi w:val="0"/>
              <w:rPr>
                <w:rFonts w:hint="eastAsia" w:ascii="Times New Roman" w:hAnsi="Times New Roman" w:cs="宋体"/>
                <w:color w:val="000000" w:themeColor="text1"/>
                <w:highlight w:val="none"/>
                <w14:textFill>
                  <w14:solidFill>
                    <w14:schemeClr w14:val="tx1"/>
                  </w14:solidFill>
                </w14:textFill>
              </w:rPr>
            </w:pPr>
            <w:r>
              <w:rPr>
                <w:rFonts w:hint="eastAsia" w:ascii="Times New Roman" w:hAnsi="Times New Roman" w:cs="宋体"/>
                <w:color w:val="000000" w:themeColor="text1"/>
                <w:highlight w:val="none"/>
                <w14:textFill>
                  <w14:solidFill>
                    <w14:schemeClr w14:val="tx1"/>
                  </w14:solidFill>
                </w14:textFill>
              </w:rPr>
              <w:t>表</w:t>
            </w:r>
            <w:r>
              <w:rPr>
                <w:rFonts w:hint="eastAsia" w:ascii="Times New Roman" w:hAnsi="Times New Roman" w:cs="宋体"/>
                <w:color w:val="000000" w:themeColor="text1"/>
                <w:highlight w:val="none"/>
                <w:lang w:val="en-US" w:eastAsia="zh-CN"/>
                <w14:textFill>
                  <w14:solidFill>
                    <w14:schemeClr w14:val="tx1"/>
                  </w14:solidFill>
                </w14:textFill>
              </w:rPr>
              <w:t>2-3</w:t>
            </w:r>
            <w:r>
              <w:rPr>
                <w:rFonts w:ascii="Times New Roman" w:hAnsi="Times New Roman" w:cs="宋体"/>
                <w:color w:val="000000" w:themeColor="text1"/>
                <w:highlight w:val="none"/>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 xml:space="preserve"> </w:t>
            </w:r>
            <w:r>
              <w:rPr>
                <w:rFonts w:hint="eastAsia" w:ascii="Times New Roman" w:hAnsi="Times New Roman" w:cs="宋体"/>
                <w:color w:val="000000" w:themeColor="text1"/>
                <w:highlight w:val="none"/>
                <w14:textFill>
                  <w14:solidFill>
                    <w14:schemeClr w14:val="tx1"/>
                  </w14:solidFill>
                </w14:textFill>
              </w:rPr>
              <w:t>工程量</w:t>
            </w:r>
            <w:r>
              <w:rPr>
                <w:rFonts w:hint="eastAsia" w:ascii="Times New Roman" w:hAnsi="Times New Roman" w:cs="宋体"/>
                <w:color w:val="000000" w:themeColor="text1"/>
                <w:highlight w:val="none"/>
                <w:lang w:val="en-US" w:eastAsia="zh-CN"/>
                <w14:textFill>
                  <w14:solidFill>
                    <w14:schemeClr w14:val="tx1"/>
                  </w14:solidFill>
                </w14:textFill>
              </w:rPr>
              <w:t>汇总</w:t>
            </w:r>
            <w:r>
              <w:rPr>
                <w:rFonts w:hint="eastAsia" w:ascii="Times New Roman" w:hAnsi="Times New Roman" w:cs="宋体"/>
                <w:color w:val="000000" w:themeColor="text1"/>
                <w:highlight w:val="none"/>
                <w14:textFill>
                  <w14:solidFill>
                    <w14:schemeClr w14:val="tx1"/>
                  </w14:solidFill>
                </w14:textFill>
              </w:rPr>
              <w:t>表</w:t>
            </w:r>
          </w:p>
          <w:tbl>
            <w:tblPr>
              <w:tblStyle w:val="27"/>
              <w:tblW w:w="4998"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77"/>
              <w:gridCol w:w="3329"/>
              <w:gridCol w:w="1481"/>
              <w:gridCol w:w="1908"/>
            </w:tblGrid>
            <w:tr w14:paraId="466D1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030758C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序号</w:t>
                  </w:r>
                </w:p>
              </w:tc>
              <w:tc>
                <w:tcPr>
                  <w:tcW w:w="2031" w:type="pct"/>
                  <w:tcBorders>
                    <w:tl2br w:val="nil"/>
                    <w:tr2bl w:val="nil"/>
                  </w:tcBorders>
                  <w:shd w:val="clear" w:color="auto" w:fill="auto"/>
                  <w:vAlign w:val="center"/>
                </w:tcPr>
                <w:p w14:paraId="2F40561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名称及规格</w:t>
                  </w:r>
                </w:p>
              </w:tc>
              <w:tc>
                <w:tcPr>
                  <w:tcW w:w="903" w:type="pct"/>
                  <w:tcBorders>
                    <w:tl2br w:val="nil"/>
                    <w:tr2bl w:val="nil"/>
                  </w:tcBorders>
                  <w:shd w:val="clear" w:color="auto" w:fill="auto"/>
                  <w:noWrap/>
                  <w:vAlign w:val="center"/>
                </w:tcPr>
                <w:p w14:paraId="389A2B8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单位</w:t>
                  </w:r>
                </w:p>
              </w:tc>
              <w:tc>
                <w:tcPr>
                  <w:tcW w:w="1164" w:type="pct"/>
                  <w:tcBorders>
                    <w:tl2br w:val="nil"/>
                    <w:tr2bl w:val="nil"/>
                  </w:tcBorders>
                  <w:shd w:val="clear" w:color="auto" w:fill="auto"/>
                  <w:noWrap/>
                  <w:vAlign w:val="center"/>
                </w:tcPr>
                <w:p w14:paraId="0AE8B0F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工程量</w:t>
                  </w:r>
                </w:p>
              </w:tc>
            </w:tr>
            <w:tr w14:paraId="02A24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4343056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一</w:t>
                  </w:r>
                </w:p>
              </w:tc>
              <w:tc>
                <w:tcPr>
                  <w:tcW w:w="2031" w:type="pct"/>
                  <w:tcBorders>
                    <w:tl2br w:val="nil"/>
                    <w:tr2bl w:val="nil"/>
                  </w:tcBorders>
                  <w:shd w:val="clear" w:color="auto" w:fill="auto"/>
                  <w:vAlign w:val="center"/>
                </w:tcPr>
                <w:p w14:paraId="54E049E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地形地貌恢复工程</w:t>
                  </w:r>
                </w:p>
              </w:tc>
              <w:tc>
                <w:tcPr>
                  <w:tcW w:w="903" w:type="pct"/>
                  <w:tcBorders>
                    <w:tl2br w:val="nil"/>
                    <w:tr2bl w:val="nil"/>
                  </w:tcBorders>
                  <w:shd w:val="clear" w:color="auto" w:fill="auto"/>
                  <w:noWrap/>
                  <w:vAlign w:val="center"/>
                </w:tcPr>
                <w:p w14:paraId="16CEC90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p>
              </w:tc>
              <w:tc>
                <w:tcPr>
                  <w:tcW w:w="1164" w:type="pct"/>
                  <w:tcBorders>
                    <w:tl2br w:val="nil"/>
                    <w:tr2bl w:val="nil"/>
                  </w:tcBorders>
                  <w:shd w:val="clear" w:color="auto" w:fill="auto"/>
                  <w:noWrap/>
                  <w:vAlign w:val="center"/>
                </w:tcPr>
                <w:p w14:paraId="098CA8F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p>
              </w:tc>
            </w:tr>
            <w:tr w14:paraId="1558F0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FFFFFF"/>
                  <w:noWrap/>
                  <w:vAlign w:val="center"/>
                </w:tcPr>
                <w:p w14:paraId="1249B78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p>
              </w:tc>
              <w:tc>
                <w:tcPr>
                  <w:tcW w:w="2031" w:type="pct"/>
                  <w:tcBorders>
                    <w:tl2br w:val="nil"/>
                    <w:tr2bl w:val="nil"/>
                  </w:tcBorders>
                  <w:shd w:val="clear" w:color="auto" w:fill="FFFFFF"/>
                  <w:noWrap/>
                  <w:vAlign w:val="center"/>
                </w:tcPr>
                <w:p w14:paraId="482B153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渣石清理</w:t>
                  </w:r>
                </w:p>
              </w:tc>
              <w:tc>
                <w:tcPr>
                  <w:tcW w:w="903" w:type="pct"/>
                  <w:tcBorders>
                    <w:tl2br w:val="nil"/>
                    <w:tr2bl w:val="nil"/>
                  </w:tcBorders>
                  <w:shd w:val="clear" w:color="auto" w:fill="FFFFFF"/>
                  <w:noWrap/>
                  <w:vAlign w:val="center"/>
                </w:tcPr>
                <w:p w14:paraId="3F8122B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c>
                <w:tcPr>
                  <w:tcW w:w="1164" w:type="pct"/>
                  <w:tcBorders>
                    <w:tl2br w:val="nil"/>
                    <w:tr2bl w:val="nil"/>
                  </w:tcBorders>
                  <w:shd w:val="clear" w:color="auto" w:fill="FFFFFF"/>
                  <w:noWrap/>
                  <w:vAlign w:val="center"/>
                </w:tcPr>
                <w:p w14:paraId="0B7A124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r>
            <w:tr w14:paraId="63813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46FFD6A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4773248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渣石清理</w:t>
                  </w:r>
                </w:p>
              </w:tc>
              <w:tc>
                <w:tcPr>
                  <w:tcW w:w="903" w:type="pct"/>
                  <w:tcBorders>
                    <w:tl2br w:val="nil"/>
                    <w:tr2bl w:val="nil"/>
                  </w:tcBorders>
                  <w:shd w:val="clear" w:color="auto" w:fill="auto"/>
                  <w:noWrap/>
                  <w:vAlign w:val="center"/>
                </w:tcPr>
                <w:p w14:paraId="3DB5248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51C86A2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9200.46</w:t>
                  </w:r>
                </w:p>
              </w:tc>
            </w:tr>
            <w:tr w14:paraId="4A4688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13D291B5">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p>
              </w:tc>
              <w:tc>
                <w:tcPr>
                  <w:tcW w:w="2031" w:type="pct"/>
                  <w:tcBorders>
                    <w:tl2br w:val="nil"/>
                    <w:tr2bl w:val="nil"/>
                  </w:tcBorders>
                  <w:shd w:val="clear" w:color="auto" w:fill="auto"/>
                  <w:vAlign w:val="center"/>
                </w:tcPr>
                <w:p w14:paraId="38EF3C2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坡面修整</w:t>
                  </w:r>
                </w:p>
              </w:tc>
              <w:tc>
                <w:tcPr>
                  <w:tcW w:w="903" w:type="pct"/>
                  <w:tcBorders>
                    <w:tl2br w:val="nil"/>
                    <w:tr2bl w:val="nil"/>
                  </w:tcBorders>
                  <w:shd w:val="clear" w:color="auto" w:fill="auto"/>
                  <w:vAlign w:val="center"/>
                </w:tcPr>
                <w:p w14:paraId="01C65B7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c>
                <w:tcPr>
                  <w:tcW w:w="1164" w:type="pct"/>
                  <w:tcBorders>
                    <w:tl2br w:val="nil"/>
                    <w:tr2bl w:val="nil"/>
                  </w:tcBorders>
                  <w:shd w:val="clear" w:color="auto" w:fill="auto"/>
                  <w:noWrap/>
                  <w:vAlign w:val="center"/>
                </w:tcPr>
                <w:p w14:paraId="5B5A6BE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r>
            <w:tr w14:paraId="1FBE73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7887024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60BD4DD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坡面修整</w:t>
                  </w:r>
                </w:p>
              </w:tc>
              <w:tc>
                <w:tcPr>
                  <w:tcW w:w="903" w:type="pct"/>
                  <w:tcBorders>
                    <w:tl2br w:val="nil"/>
                    <w:tr2bl w:val="nil"/>
                  </w:tcBorders>
                  <w:shd w:val="clear" w:color="auto" w:fill="auto"/>
                  <w:noWrap/>
                  <w:vAlign w:val="center"/>
                </w:tcPr>
                <w:p w14:paraId="36D954F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062F3DB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2500.06</w:t>
                  </w:r>
                </w:p>
              </w:tc>
            </w:tr>
            <w:tr w14:paraId="16F262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0553663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w:t>
                  </w:r>
                </w:p>
              </w:tc>
              <w:tc>
                <w:tcPr>
                  <w:tcW w:w="2031" w:type="pct"/>
                  <w:tcBorders>
                    <w:tl2br w:val="nil"/>
                    <w:tr2bl w:val="nil"/>
                  </w:tcBorders>
                  <w:shd w:val="clear" w:color="auto" w:fill="auto"/>
                  <w:noWrap/>
                  <w:vAlign w:val="center"/>
                </w:tcPr>
                <w:p w14:paraId="2FAB6B8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场区平整</w:t>
                  </w:r>
                </w:p>
              </w:tc>
              <w:tc>
                <w:tcPr>
                  <w:tcW w:w="903" w:type="pct"/>
                  <w:tcBorders>
                    <w:tl2br w:val="nil"/>
                    <w:tr2bl w:val="nil"/>
                  </w:tcBorders>
                  <w:shd w:val="clear" w:color="auto" w:fill="auto"/>
                  <w:noWrap/>
                  <w:vAlign w:val="center"/>
                </w:tcPr>
                <w:p w14:paraId="2BB4967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auto"/>
                  <w:noWrap/>
                  <w:vAlign w:val="center"/>
                </w:tcPr>
                <w:p w14:paraId="0D83388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1.22</w:t>
                  </w:r>
                </w:p>
              </w:tc>
            </w:tr>
            <w:tr w14:paraId="250C1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52785E0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11BF345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74</w:t>
                  </w:r>
                  <w:r>
                    <w:rPr>
                      <w:rFonts w:hint="eastAsia" w:cs="Times New Roman"/>
                      <w:color w:val="000000" w:themeColor="text1"/>
                      <w:highlight w:val="none"/>
                      <w:shd w:val="clear" w:color="auto" w:fill="auto"/>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推土机（IV类土，0-10m）</w:t>
                  </w:r>
                </w:p>
              </w:tc>
              <w:tc>
                <w:tcPr>
                  <w:tcW w:w="903" w:type="pct"/>
                  <w:tcBorders>
                    <w:tl2br w:val="nil"/>
                    <w:tr2bl w:val="nil"/>
                  </w:tcBorders>
                  <w:shd w:val="clear" w:color="auto" w:fill="auto"/>
                  <w:noWrap/>
                  <w:vAlign w:val="center"/>
                </w:tcPr>
                <w:p w14:paraId="78C84C4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5622230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1040.73</w:t>
                  </w:r>
                </w:p>
              </w:tc>
            </w:tr>
            <w:tr w14:paraId="16955D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7D416C0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p>
              </w:tc>
              <w:tc>
                <w:tcPr>
                  <w:tcW w:w="2031" w:type="pct"/>
                  <w:tcBorders>
                    <w:tl2br w:val="nil"/>
                    <w:tr2bl w:val="nil"/>
                  </w:tcBorders>
                  <w:shd w:val="clear" w:color="auto" w:fill="auto"/>
                  <w:vAlign w:val="center"/>
                </w:tcPr>
                <w:p w14:paraId="24E668C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74</w:t>
                  </w:r>
                  <w:r>
                    <w:rPr>
                      <w:rFonts w:hint="eastAsia" w:cs="Times New Roman"/>
                      <w:color w:val="000000" w:themeColor="text1"/>
                      <w:highlight w:val="none"/>
                      <w:shd w:val="clear" w:color="auto" w:fill="auto"/>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推土机（IV类土，10-20m）</w:t>
                  </w:r>
                </w:p>
              </w:tc>
              <w:tc>
                <w:tcPr>
                  <w:tcW w:w="903" w:type="pct"/>
                  <w:tcBorders>
                    <w:tl2br w:val="nil"/>
                    <w:tr2bl w:val="nil"/>
                  </w:tcBorders>
                  <w:shd w:val="clear" w:color="auto" w:fill="auto"/>
                  <w:noWrap/>
                  <w:vAlign w:val="center"/>
                </w:tcPr>
                <w:p w14:paraId="333C1375">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7EA870F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1561.10</w:t>
                  </w:r>
                </w:p>
              </w:tc>
            </w:tr>
            <w:tr w14:paraId="15766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6115DFB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w:t>
                  </w:r>
                </w:p>
              </w:tc>
              <w:tc>
                <w:tcPr>
                  <w:tcW w:w="2031" w:type="pct"/>
                  <w:tcBorders>
                    <w:tl2br w:val="nil"/>
                    <w:tr2bl w:val="nil"/>
                  </w:tcBorders>
                  <w:shd w:val="clear" w:color="auto" w:fill="auto"/>
                  <w:vAlign w:val="center"/>
                </w:tcPr>
                <w:p w14:paraId="1BBA5BA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74</w:t>
                  </w:r>
                  <w:r>
                    <w:rPr>
                      <w:rFonts w:hint="eastAsia" w:cs="Times New Roman"/>
                      <w:color w:val="000000" w:themeColor="text1"/>
                      <w:highlight w:val="none"/>
                      <w:shd w:val="clear" w:color="auto" w:fill="auto"/>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推土机（IV类土，20-30m）</w:t>
                  </w:r>
                </w:p>
              </w:tc>
              <w:tc>
                <w:tcPr>
                  <w:tcW w:w="903" w:type="pct"/>
                  <w:tcBorders>
                    <w:tl2br w:val="nil"/>
                    <w:tr2bl w:val="nil"/>
                  </w:tcBorders>
                  <w:shd w:val="clear" w:color="auto" w:fill="auto"/>
                  <w:noWrap/>
                  <w:vAlign w:val="center"/>
                </w:tcPr>
                <w:p w14:paraId="0532FEF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003672C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2601.83</w:t>
                  </w:r>
                </w:p>
              </w:tc>
            </w:tr>
            <w:tr w14:paraId="1B0DB0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1665776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二</w:t>
                  </w:r>
                </w:p>
              </w:tc>
              <w:tc>
                <w:tcPr>
                  <w:tcW w:w="2031" w:type="pct"/>
                  <w:tcBorders>
                    <w:tl2br w:val="nil"/>
                    <w:tr2bl w:val="nil"/>
                  </w:tcBorders>
                  <w:shd w:val="clear" w:color="auto" w:fill="auto"/>
                  <w:noWrap/>
                  <w:vAlign w:val="center"/>
                </w:tcPr>
                <w:p w14:paraId="658A365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截排水工程</w:t>
                  </w:r>
                </w:p>
              </w:tc>
              <w:tc>
                <w:tcPr>
                  <w:tcW w:w="903" w:type="pct"/>
                  <w:tcBorders>
                    <w:tl2br w:val="nil"/>
                    <w:tr2bl w:val="nil"/>
                  </w:tcBorders>
                  <w:shd w:val="clear" w:color="auto" w:fill="auto"/>
                  <w:vAlign w:val="center"/>
                </w:tcPr>
                <w:p w14:paraId="1691108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c>
                <w:tcPr>
                  <w:tcW w:w="1164" w:type="pct"/>
                  <w:tcBorders>
                    <w:tl2br w:val="nil"/>
                    <w:tr2bl w:val="nil"/>
                  </w:tcBorders>
                  <w:shd w:val="clear" w:color="auto" w:fill="auto"/>
                  <w:noWrap/>
                  <w:vAlign w:val="center"/>
                </w:tcPr>
                <w:p w14:paraId="3BEE5CC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r>
            <w:tr w14:paraId="133FA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4A709D9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6C77201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截水埂（</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h=40cm</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d=40cm</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903" w:type="pct"/>
                  <w:tcBorders>
                    <w:tl2br w:val="nil"/>
                    <w:tr2bl w:val="nil"/>
                  </w:tcBorders>
                  <w:shd w:val="clear" w:color="auto" w:fill="auto"/>
                  <w:vAlign w:val="center"/>
                </w:tcPr>
                <w:p w14:paraId="2ADA7F9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p>
              </w:tc>
              <w:tc>
                <w:tcPr>
                  <w:tcW w:w="1164" w:type="pct"/>
                  <w:tcBorders>
                    <w:tl2br w:val="nil"/>
                    <w:tr2bl w:val="nil"/>
                  </w:tcBorders>
                  <w:shd w:val="clear" w:color="auto" w:fill="auto"/>
                  <w:noWrap/>
                  <w:vAlign w:val="center"/>
                </w:tcPr>
                <w:p w14:paraId="1289736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2086.00</w:t>
                  </w:r>
                </w:p>
              </w:tc>
            </w:tr>
            <w:tr w14:paraId="157BFC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FFFFFF"/>
                  <w:noWrap/>
                  <w:vAlign w:val="center"/>
                </w:tcPr>
                <w:p w14:paraId="732754C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p>
              </w:tc>
              <w:tc>
                <w:tcPr>
                  <w:tcW w:w="2031" w:type="pct"/>
                  <w:tcBorders>
                    <w:tl2br w:val="nil"/>
                    <w:tr2bl w:val="nil"/>
                  </w:tcBorders>
                  <w:shd w:val="clear" w:color="auto" w:fill="auto"/>
                  <w:vAlign w:val="center"/>
                </w:tcPr>
                <w:p w14:paraId="0A39EAE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导流槽</w:t>
                  </w:r>
                </w:p>
              </w:tc>
              <w:tc>
                <w:tcPr>
                  <w:tcW w:w="903" w:type="pct"/>
                  <w:tcBorders>
                    <w:tl2br w:val="nil"/>
                    <w:tr2bl w:val="nil"/>
                  </w:tcBorders>
                  <w:shd w:val="clear" w:color="auto" w:fill="auto"/>
                  <w:vAlign w:val="center"/>
                </w:tcPr>
                <w:p w14:paraId="5F3FB76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p>
              </w:tc>
              <w:tc>
                <w:tcPr>
                  <w:tcW w:w="1164" w:type="pct"/>
                  <w:tcBorders>
                    <w:tl2br w:val="nil"/>
                    <w:tr2bl w:val="nil"/>
                  </w:tcBorders>
                  <w:shd w:val="clear" w:color="auto" w:fill="auto"/>
                  <w:noWrap/>
                  <w:vAlign w:val="center"/>
                </w:tcPr>
                <w:p w14:paraId="66184F6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738.00</w:t>
                  </w:r>
                </w:p>
              </w:tc>
            </w:tr>
            <w:tr w14:paraId="52128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FFFFFF"/>
                  <w:noWrap/>
                  <w:vAlign w:val="center"/>
                </w:tcPr>
                <w:p w14:paraId="2330167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三</w:t>
                  </w:r>
                </w:p>
              </w:tc>
              <w:tc>
                <w:tcPr>
                  <w:tcW w:w="2031" w:type="pct"/>
                  <w:tcBorders>
                    <w:tl2br w:val="nil"/>
                    <w:tr2bl w:val="nil"/>
                  </w:tcBorders>
                  <w:shd w:val="clear" w:color="auto" w:fill="FFFFFF"/>
                  <w:noWrap/>
                  <w:vAlign w:val="center"/>
                </w:tcPr>
                <w:p w14:paraId="31C0540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生态恢复工程</w:t>
                  </w:r>
                </w:p>
              </w:tc>
              <w:tc>
                <w:tcPr>
                  <w:tcW w:w="903" w:type="pct"/>
                  <w:tcBorders>
                    <w:tl2br w:val="nil"/>
                    <w:tr2bl w:val="nil"/>
                  </w:tcBorders>
                  <w:shd w:val="clear" w:color="auto" w:fill="FFFFFF"/>
                  <w:vAlign w:val="center"/>
                </w:tcPr>
                <w:p w14:paraId="33BDF654">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c>
                <w:tcPr>
                  <w:tcW w:w="1164" w:type="pct"/>
                  <w:tcBorders>
                    <w:tl2br w:val="nil"/>
                    <w:tr2bl w:val="nil"/>
                  </w:tcBorders>
                  <w:shd w:val="clear" w:color="auto" w:fill="FFFFFF"/>
                  <w:noWrap/>
                  <w:vAlign w:val="center"/>
                </w:tcPr>
                <w:p w14:paraId="4B5A4B2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tc>
            </w:tr>
            <w:tr w14:paraId="38D835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1D10D87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p>
              </w:tc>
              <w:tc>
                <w:tcPr>
                  <w:tcW w:w="2031" w:type="pct"/>
                  <w:tcBorders>
                    <w:tl2br w:val="nil"/>
                    <w:tr2bl w:val="nil"/>
                  </w:tcBorders>
                  <w:shd w:val="clear" w:color="auto" w:fill="auto"/>
                  <w:noWrap/>
                  <w:vAlign w:val="center"/>
                </w:tcPr>
                <w:p w14:paraId="727440C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覆土工程</w:t>
                  </w:r>
                </w:p>
              </w:tc>
              <w:tc>
                <w:tcPr>
                  <w:tcW w:w="903" w:type="pct"/>
                  <w:tcBorders>
                    <w:tl2br w:val="nil"/>
                    <w:tr2bl w:val="nil"/>
                  </w:tcBorders>
                  <w:shd w:val="clear" w:color="auto" w:fill="FFFFFF"/>
                  <w:noWrap/>
                  <w:vAlign w:val="center"/>
                </w:tcPr>
                <w:p w14:paraId="2782CC75">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FFFFFF"/>
                  <w:noWrap/>
                  <w:vAlign w:val="center"/>
                </w:tcPr>
                <w:p w14:paraId="753A937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5.10</w:t>
                  </w:r>
                </w:p>
              </w:tc>
            </w:tr>
            <w:tr w14:paraId="268FC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2230CDEA">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4BF6B68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覆土（自卸汽车</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5t</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903" w:type="pct"/>
                  <w:tcBorders>
                    <w:tl2br w:val="nil"/>
                    <w:tr2bl w:val="nil"/>
                  </w:tcBorders>
                  <w:shd w:val="clear" w:color="auto" w:fill="auto"/>
                  <w:noWrap/>
                  <w:vAlign w:val="center"/>
                </w:tcPr>
                <w:p w14:paraId="176FF22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auto"/>
                  <w:noWrap/>
                  <w:vAlign w:val="center"/>
                </w:tcPr>
                <w:p w14:paraId="3DA8AFD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7647.68</w:t>
                  </w:r>
                </w:p>
              </w:tc>
            </w:tr>
            <w:tr w14:paraId="61C4E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vAlign w:val="center"/>
                </w:tcPr>
                <w:p w14:paraId="125E8B6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p>
              </w:tc>
              <w:tc>
                <w:tcPr>
                  <w:tcW w:w="2031" w:type="pct"/>
                  <w:tcBorders>
                    <w:tl2br w:val="nil"/>
                    <w:tr2bl w:val="nil"/>
                  </w:tcBorders>
                  <w:shd w:val="clear" w:color="auto" w:fill="auto"/>
                  <w:vAlign w:val="center"/>
                </w:tcPr>
                <w:p w14:paraId="42E4E85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穴播种草</w:t>
                  </w:r>
                </w:p>
              </w:tc>
              <w:tc>
                <w:tcPr>
                  <w:tcW w:w="903" w:type="pct"/>
                  <w:tcBorders>
                    <w:tl2br w:val="nil"/>
                    <w:tr2bl w:val="nil"/>
                  </w:tcBorders>
                  <w:shd w:val="clear" w:color="auto" w:fill="FFFFFF"/>
                  <w:noWrap/>
                  <w:vAlign w:val="center"/>
                </w:tcPr>
                <w:p w14:paraId="17BC201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FFFFFF"/>
                  <w:noWrap/>
                  <w:vAlign w:val="center"/>
                </w:tcPr>
                <w:p w14:paraId="05CB48B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20.79</w:t>
                  </w:r>
                </w:p>
              </w:tc>
            </w:tr>
            <w:tr w14:paraId="7BE875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vAlign w:val="center"/>
                </w:tcPr>
                <w:p w14:paraId="372F5E8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59F7FDE7">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土地翻松（翻松</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10cm</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903" w:type="pct"/>
                  <w:tcBorders>
                    <w:tl2br w:val="nil"/>
                    <w:tr2bl w:val="nil"/>
                  </w:tcBorders>
                  <w:shd w:val="clear" w:color="auto" w:fill="FFFFFF"/>
                  <w:noWrap/>
                  <w:vAlign w:val="center"/>
                </w:tcPr>
                <w:p w14:paraId="24190E7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FFFFFF"/>
                  <w:noWrap/>
                  <w:vAlign w:val="center"/>
                </w:tcPr>
                <w:p w14:paraId="4A31E31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8.03</w:t>
                  </w:r>
                </w:p>
              </w:tc>
            </w:tr>
            <w:tr w14:paraId="2AF275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0C226E7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5CAD8445">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穴播种草（</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15kg/hm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903" w:type="pct"/>
                  <w:tcBorders>
                    <w:tl2br w:val="nil"/>
                    <w:tr2bl w:val="nil"/>
                  </w:tcBorders>
                  <w:shd w:val="clear" w:color="auto" w:fill="FFFFFF"/>
                  <w:noWrap/>
                  <w:vAlign w:val="center"/>
                </w:tcPr>
                <w:p w14:paraId="1B97480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FFFFFF"/>
                  <w:noWrap/>
                  <w:vAlign w:val="center"/>
                </w:tcPr>
                <w:p w14:paraId="0A36A4D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20.79</w:t>
                  </w:r>
                </w:p>
              </w:tc>
            </w:tr>
            <w:tr w14:paraId="720DD6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4566CCE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w:t>
                  </w:r>
                </w:p>
              </w:tc>
              <w:tc>
                <w:tcPr>
                  <w:tcW w:w="2031" w:type="pct"/>
                  <w:tcBorders>
                    <w:tl2br w:val="nil"/>
                    <w:tr2bl w:val="nil"/>
                  </w:tcBorders>
                  <w:shd w:val="clear" w:color="auto" w:fill="auto"/>
                  <w:vAlign w:val="center"/>
                </w:tcPr>
                <w:p w14:paraId="28F0F15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草地养护</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3a）</w:t>
                  </w:r>
                </w:p>
              </w:tc>
              <w:tc>
                <w:tcPr>
                  <w:tcW w:w="903" w:type="pct"/>
                  <w:tcBorders>
                    <w:tl2br w:val="nil"/>
                    <w:tr2bl w:val="nil"/>
                  </w:tcBorders>
                  <w:shd w:val="clear" w:color="auto" w:fill="auto"/>
                  <w:noWrap/>
                  <w:vAlign w:val="center"/>
                </w:tcPr>
                <w:p w14:paraId="0E5838D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p>
              </w:tc>
              <w:tc>
                <w:tcPr>
                  <w:tcW w:w="1164" w:type="pct"/>
                  <w:tcBorders>
                    <w:tl2br w:val="nil"/>
                    <w:tr2bl w:val="nil"/>
                  </w:tcBorders>
                  <w:shd w:val="clear" w:color="auto" w:fill="FFFFFF"/>
                  <w:noWrap/>
                  <w:vAlign w:val="center"/>
                </w:tcPr>
                <w:p w14:paraId="1C43D98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20.79</w:t>
                  </w:r>
                </w:p>
              </w:tc>
            </w:tr>
            <w:tr w14:paraId="38058A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vAlign w:val="center"/>
                </w:tcPr>
                <w:p w14:paraId="12C5CE6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787CD38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水（每公顷年用水</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量185</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0</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903" w:type="pct"/>
                  <w:tcBorders>
                    <w:tl2br w:val="nil"/>
                    <w:tr2bl w:val="nil"/>
                  </w:tcBorders>
                  <w:shd w:val="clear" w:color="auto" w:fill="auto"/>
                  <w:noWrap/>
                  <w:vAlign w:val="center"/>
                </w:tcPr>
                <w:p w14:paraId="3F8FABE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FFFFFF"/>
                  <w:noWrap/>
                  <w:vAlign w:val="center"/>
                </w:tcPr>
                <w:p w14:paraId="6B401DF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115384.50</w:t>
                  </w:r>
                </w:p>
              </w:tc>
            </w:tr>
            <w:tr w14:paraId="62073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0A67FBD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3B6718D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水运输</w:t>
                  </w:r>
                </w:p>
              </w:tc>
              <w:tc>
                <w:tcPr>
                  <w:tcW w:w="903" w:type="pct"/>
                  <w:tcBorders>
                    <w:tl2br w:val="nil"/>
                    <w:tr2bl w:val="nil"/>
                  </w:tcBorders>
                  <w:shd w:val="clear" w:color="auto" w:fill="auto"/>
                  <w:noWrap/>
                  <w:vAlign w:val="center"/>
                </w:tcPr>
                <w:p w14:paraId="56AE70F4">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FFFFFF"/>
                  <w:noWrap/>
                  <w:vAlign w:val="center"/>
                </w:tcPr>
                <w:p w14:paraId="3CB31063">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115384.50</w:t>
                  </w:r>
                </w:p>
              </w:tc>
            </w:tr>
            <w:tr w14:paraId="7A4282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1" w:type="pct"/>
                  <w:tcBorders>
                    <w:tl2br w:val="nil"/>
                    <w:tr2bl w:val="nil"/>
                  </w:tcBorders>
                  <w:shd w:val="clear" w:color="auto" w:fill="auto"/>
                  <w:noWrap/>
                  <w:vAlign w:val="center"/>
                </w:tcPr>
                <w:p w14:paraId="510AE9DB">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tc>
              <w:tc>
                <w:tcPr>
                  <w:tcW w:w="2031" w:type="pct"/>
                  <w:tcBorders>
                    <w:tl2br w:val="nil"/>
                    <w:tr2bl w:val="nil"/>
                  </w:tcBorders>
                  <w:shd w:val="clear" w:color="auto" w:fill="auto"/>
                  <w:vAlign w:val="center"/>
                </w:tcPr>
                <w:p w14:paraId="64C42F4C">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洒水费</w:t>
                  </w:r>
                </w:p>
              </w:tc>
              <w:tc>
                <w:tcPr>
                  <w:tcW w:w="903" w:type="pct"/>
                  <w:tcBorders>
                    <w:tl2br w:val="nil"/>
                    <w:tr2bl w:val="nil"/>
                  </w:tcBorders>
                  <w:shd w:val="clear" w:color="auto" w:fill="auto"/>
                  <w:noWrap/>
                  <w:vAlign w:val="center"/>
                </w:tcPr>
                <w:p w14:paraId="61B9D25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3</w:t>
                  </w:r>
                </w:p>
              </w:tc>
              <w:tc>
                <w:tcPr>
                  <w:tcW w:w="1164" w:type="pct"/>
                  <w:tcBorders>
                    <w:tl2br w:val="nil"/>
                    <w:tr2bl w:val="nil"/>
                  </w:tcBorders>
                  <w:shd w:val="clear" w:color="auto" w:fill="FFFFFF"/>
                  <w:noWrap/>
                  <w:vAlign w:val="center"/>
                </w:tcPr>
                <w:p w14:paraId="1981732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115384.50</w:t>
                  </w:r>
                </w:p>
              </w:tc>
            </w:tr>
          </w:tbl>
          <w:p w14:paraId="3BA87B76">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6、土石方平衡</w:t>
            </w:r>
            <w:bookmarkStart w:id="4" w:name="_GoBack"/>
            <w:bookmarkEnd w:id="4"/>
          </w:p>
          <w:p w14:paraId="3D83A02D">
            <w:pPr>
              <w:adjustRightInd w:val="0"/>
              <w:snapToGrid w:val="0"/>
              <w:spacing w:line="360" w:lineRule="auto"/>
              <w:ind w:firstLine="454"/>
              <w:rPr>
                <w:color w:val="000000" w:themeColor="text1"/>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本项目土方主要来自</w:t>
            </w:r>
            <w:r>
              <w:rPr>
                <w:rFonts w:hint="eastAsia"/>
                <w:snapToGrid w:val="0"/>
                <w:color w:val="000000" w:themeColor="text1"/>
                <w:kern w:val="0"/>
                <w:highlight w:val="none"/>
                <w:lang w:val="en-US" w:eastAsia="zh-CN"/>
                <w14:textFill>
                  <w14:solidFill>
                    <w14:schemeClr w14:val="tx1"/>
                  </w14:solidFill>
                </w14:textFill>
              </w:rPr>
              <w:t>项目</w:t>
            </w:r>
            <w:r>
              <w:rPr>
                <w:rFonts w:hint="eastAsia"/>
                <w:snapToGrid w:val="0"/>
                <w:color w:val="000000" w:themeColor="text1"/>
                <w:kern w:val="0"/>
                <w:highlight w:val="none"/>
                <w14:textFill>
                  <w14:solidFill>
                    <w14:schemeClr w14:val="tx1"/>
                  </w14:solidFill>
                </w14:textFill>
              </w:rPr>
              <w:t>区渣石清理</w:t>
            </w:r>
            <w:r>
              <w:rPr>
                <w:rFonts w:hint="eastAsia"/>
                <w:snapToGrid w:val="0"/>
                <w:color w:val="000000" w:themeColor="text1"/>
                <w:kern w:val="0"/>
                <w:highlight w:val="none"/>
                <w:lang w:eastAsia="zh-CN"/>
                <w14:textFill>
                  <w14:solidFill>
                    <w14:schemeClr w14:val="tx1"/>
                  </w14:solidFill>
                </w14:textFill>
              </w:rPr>
              <w:t>、</w:t>
            </w:r>
            <w:r>
              <w:rPr>
                <w:rFonts w:hint="eastAsia"/>
                <w:snapToGrid w:val="0"/>
                <w:color w:val="000000" w:themeColor="text1"/>
                <w:kern w:val="0"/>
                <w:highlight w:val="none"/>
                <w14:textFill>
                  <w14:solidFill>
                    <w14:schemeClr w14:val="tx1"/>
                  </w14:solidFill>
                </w14:textFill>
              </w:rPr>
              <w:t>坡面修整</w:t>
            </w:r>
            <w:r>
              <w:rPr>
                <w:rFonts w:hint="eastAsia"/>
                <w:snapToGrid w:val="0"/>
                <w:color w:val="000000" w:themeColor="text1"/>
                <w:kern w:val="0"/>
                <w:highlight w:val="none"/>
                <w:lang w:eastAsia="zh-CN"/>
                <w14:textFill>
                  <w14:solidFill>
                    <w14:schemeClr w14:val="tx1"/>
                  </w14:solidFill>
                </w14:textFill>
              </w:rPr>
              <w:t>、</w:t>
            </w:r>
            <w:r>
              <w:rPr>
                <w:rFonts w:hint="eastAsia"/>
                <w:snapToGrid w:val="0"/>
                <w:color w:val="000000" w:themeColor="text1"/>
                <w:kern w:val="0"/>
                <w:highlight w:val="none"/>
                <w14:textFill>
                  <w14:solidFill>
                    <w14:schemeClr w14:val="tx1"/>
                  </w14:solidFill>
                </w14:textFill>
              </w:rPr>
              <w:t>场区平整</w:t>
            </w:r>
            <w:r>
              <w:rPr>
                <w:rFonts w:hint="eastAsia"/>
                <w:snapToGrid w:val="0"/>
                <w:color w:val="000000" w:themeColor="text1"/>
                <w:kern w:val="0"/>
                <w:highlight w:val="none"/>
                <w:lang w:eastAsia="zh-CN"/>
                <w14:textFill>
                  <w14:solidFill>
                    <w14:schemeClr w14:val="tx1"/>
                  </w14:solidFill>
                </w14:textFill>
              </w:rPr>
              <w:t>、</w:t>
            </w:r>
            <w:r>
              <w:rPr>
                <w:rFonts w:hint="eastAsia"/>
                <w:snapToGrid w:val="0"/>
                <w:color w:val="000000" w:themeColor="text1"/>
                <w:kern w:val="0"/>
                <w:highlight w:val="none"/>
                <w14:textFill>
                  <w14:solidFill>
                    <w14:schemeClr w14:val="tx1"/>
                  </w14:solidFill>
                </w14:textFill>
              </w:rPr>
              <w:t>导流槽</w:t>
            </w:r>
            <w:r>
              <w:rPr>
                <w:rFonts w:hint="eastAsia"/>
                <w:snapToGrid w:val="0"/>
                <w:color w:val="000000" w:themeColor="text1"/>
                <w:kern w:val="0"/>
                <w:highlight w:val="none"/>
                <w:lang w:val="en-US" w:eastAsia="zh-CN"/>
                <w14:textFill>
                  <w14:solidFill>
                    <w14:schemeClr w14:val="tx1"/>
                  </w14:solidFill>
                </w14:textFill>
              </w:rPr>
              <w:t>开挖</w:t>
            </w:r>
            <w:r>
              <w:rPr>
                <w:rFonts w:hint="eastAsia"/>
                <w:snapToGrid w:val="0"/>
                <w:color w:val="000000" w:themeColor="text1"/>
                <w:kern w:val="0"/>
                <w:highlight w:val="none"/>
                <w14:textFill>
                  <w14:solidFill>
                    <w14:schemeClr w14:val="tx1"/>
                  </w14:solidFill>
                </w14:textFill>
              </w:rPr>
              <w:t>等施工过程，本项目总挖方量为</w:t>
            </w:r>
            <w:r>
              <w:rPr>
                <w:rFonts w:hint="eastAsia"/>
                <w:snapToGrid w:val="0"/>
                <w:color w:val="000000" w:themeColor="text1"/>
                <w:kern w:val="0"/>
                <w:highlight w:val="none"/>
                <w:lang w:val="en-US" w:eastAsia="zh-CN"/>
                <w14:textFill>
                  <w14:solidFill>
                    <w14:schemeClr w14:val="tx1"/>
                  </w14:solidFill>
                </w14:textFill>
              </w:rPr>
              <w:t>14167.96</w:t>
            </w:r>
            <w:r>
              <w:rPr>
                <w:rFonts w:hint="eastAsia"/>
                <w:snapToGrid w:val="0"/>
                <w:color w:val="000000" w:themeColor="text1"/>
                <w:kern w:val="0"/>
                <w:highlight w:val="none"/>
                <w14:textFill>
                  <w14:solidFill>
                    <w14:schemeClr w14:val="tx1"/>
                  </w14:solidFill>
                </w14:textFill>
              </w:rPr>
              <w:t>m</w:t>
            </w:r>
            <w:r>
              <w:rPr>
                <w:rFonts w:hint="eastAsia"/>
                <w:snapToGrid w:val="0"/>
                <w:color w:val="000000" w:themeColor="text1"/>
                <w:kern w:val="0"/>
                <w:highlight w:val="none"/>
                <w:vertAlign w:val="superscript"/>
                <w14:textFill>
                  <w14:solidFill>
                    <w14:schemeClr w14:val="tx1"/>
                  </w14:solidFill>
                </w14:textFill>
              </w:rPr>
              <w:t>3</w:t>
            </w:r>
            <w:r>
              <w:rPr>
                <w:rFonts w:hint="eastAsia"/>
                <w:snapToGrid w:val="0"/>
                <w:color w:val="000000" w:themeColor="text1"/>
                <w:kern w:val="0"/>
                <w:highlight w:val="none"/>
                <w14:textFill>
                  <w14:solidFill>
                    <w14:schemeClr w14:val="tx1"/>
                  </w14:solidFill>
                </w14:textFill>
              </w:rPr>
              <w:t>，回填方量为</w:t>
            </w:r>
            <w:r>
              <w:rPr>
                <w:rFonts w:hint="eastAsia"/>
                <w:snapToGrid w:val="0"/>
                <w:color w:val="000000" w:themeColor="text1"/>
                <w:kern w:val="0"/>
                <w:highlight w:val="none"/>
                <w:lang w:val="en-US" w:eastAsia="zh-CN"/>
                <w14:textFill>
                  <w14:solidFill>
                    <w14:schemeClr w14:val="tx1"/>
                  </w14:solidFill>
                </w14:textFill>
              </w:rPr>
              <w:t>14167.96</w:t>
            </w:r>
            <w:r>
              <w:rPr>
                <w:rFonts w:hint="eastAsia"/>
                <w:snapToGrid w:val="0"/>
                <w:color w:val="000000" w:themeColor="text1"/>
                <w:kern w:val="0"/>
                <w:highlight w:val="none"/>
                <w14:textFill>
                  <w14:solidFill>
                    <w14:schemeClr w14:val="tx1"/>
                  </w14:solidFill>
                </w14:textFill>
              </w:rPr>
              <w:t>m</w:t>
            </w:r>
            <w:r>
              <w:rPr>
                <w:rFonts w:hint="eastAsia"/>
                <w:snapToGrid w:val="0"/>
                <w:color w:val="000000" w:themeColor="text1"/>
                <w:kern w:val="0"/>
                <w:highlight w:val="none"/>
                <w:vertAlign w:val="superscript"/>
                <w14:textFill>
                  <w14:solidFill>
                    <w14:schemeClr w14:val="tx1"/>
                  </w14:solidFill>
                </w14:textFill>
              </w:rPr>
              <w:t>3</w:t>
            </w:r>
            <w:r>
              <w:rPr>
                <w:rFonts w:hint="eastAsia"/>
                <w:snapToGrid w:val="0"/>
                <w:color w:val="000000" w:themeColor="text1"/>
                <w:kern w:val="0"/>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本项目挖填平衡，土石方平衡见表</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p>
          <w:p w14:paraId="4EE16368">
            <w:pPr>
              <w:pStyle w:val="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本项目</w:t>
            </w:r>
            <w:r>
              <w:rPr>
                <w:color w:val="000000" w:themeColor="text1"/>
                <w:highlight w:val="none"/>
                <w14:textFill>
                  <w14:solidFill>
                    <w14:schemeClr w14:val="tx1"/>
                  </w14:solidFill>
                </w14:textFill>
              </w:rPr>
              <w:t>土石方平衡表</w:t>
            </w:r>
            <w:r>
              <w:rPr>
                <w:rFonts w:hint="eastAsia"/>
                <w:color w:val="000000" w:themeColor="text1"/>
                <w:highlight w:val="none"/>
                <w14:textFill>
                  <w14:solidFill>
                    <w14:schemeClr w14:val="tx1"/>
                  </w14:solidFill>
                </w14:textFill>
              </w:rPr>
              <w:t xml:space="preserve">  单位：m</w:t>
            </w:r>
            <w:r>
              <w:rPr>
                <w:rFonts w:hint="eastAsia"/>
                <w:color w:val="000000" w:themeColor="text1"/>
                <w:highlight w:val="none"/>
                <w:vertAlign w:val="superscript"/>
                <w14:textFill>
                  <w14:solidFill>
                    <w14:schemeClr w14:val="tx1"/>
                  </w14:solidFill>
                </w14:textFill>
              </w:rPr>
              <w:t>3</w:t>
            </w:r>
          </w:p>
          <w:tbl>
            <w:tblPr>
              <w:tblStyle w:val="2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859"/>
              <w:gridCol w:w="785"/>
              <w:gridCol w:w="1006"/>
              <w:gridCol w:w="1100"/>
              <w:gridCol w:w="825"/>
              <w:gridCol w:w="1320"/>
              <w:gridCol w:w="345"/>
              <w:gridCol w:w="322"/>
            </w:tblGrid>
            <w:tr w14:paraId="23576E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vMerge w:val="restart"/>
                  <w:tcBorders>
                    <w:tl2br w:val="nil"/>
                    <w:tr2bl w:val="nil"/>
                  </w:tcBorders>
                  <w:vAlign w:val="center"/>
                </w:tcPr>
                <w:p w14:paraId="73CD4270">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tc>
              <w:tc>
                <w:tcPr>
                  <w:tcW w:w="859" w:type="dxa"/>
                  <w:vMerge w:val="restart"/>
                  <w:tcBorders>
                    <w:tl2br w:val="nil"/>
                    <w:tr2bl w:val="nil"/>
                  </w:tcBorders>
                  <w:vAlign w:val="center"/>
                </w:tcPr>
                <w:p w14:paraId="596EC427">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挖方</w:t>
                  </w:r>
                </w:p>
              </w:tc>
              <w:tc>
                <w:tcPr>
                  <w:tcW w:w="785" w:type="dxa"/>
                  <w:vMerge w:val="restart"/>
                  <w:tcBorders>
                    <w:tl2br w:val="nil"/>
                    <w:tr2bl w:val="nil"/>
                  </w:tcBorders>
                  <w:vAlign w:val="center"/>
                </w:tcPr>
                <w:p w14:paraId="003D187D">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填方</w:t>
                  </w:r>
                </w:p>
              </w:tc>
              <w:tc>
                <w:tcPr>
                  <w:tcW w:w="4251" w:type="dxa"/>
                  <w:gridSpan w:val="4"/>
                  <w:tcBorders>
                    <w:tl2br w:val="nil"/>
                    <w:tr2bl w:val="nil"/>
                  </w:tcBorders>
                  <w:vAlign w:val="center"/>
                </w:tcPr>
                <w:p w14:paraId="56810806">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区内调配</w:t>
                  </w:r>
                </w:p>
              </w:tc>
              <w:tc>
                <w:tcPr>
                  <w:tcW w:w="345" w:type="dxa"/>
                  <w:vMerge w:val="restart"/>
                  <w:tcBorders>
                    <w:tl2br w:val="nil"/>
                    <w:tr2bl w:val="nil"/>
                  </w:tcBorders>
                  <w:vAlign w:val="center"/>
                </w:tcPr>
                <w:p w14:paraId="4CFC5A6B">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借方</w:t>
                  </w:r>
                </w:p>
              </w:tc>
              <w:tc>
                <w:tcPr>
                  <w:tcW w:w="322" w:type="dxa"/>
                  <w:vMerge w:val="restart"/>
                  <w:tcBorders>
                    <w:tl2br w:val="nil"/>
                    <w:tr2bl w:val="nil"/>
                  </w:tcBorders>
                  <w:vAlign w:val="center"/>
                </w:tcPr>
                <w:p w14:paraId="08719A59">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弃</w:t>
                  </w:r>
                  <w:r>
                    <w:rPr>
                      <w:color w:val="000000" w:themeColor="text1"/>
                      <w:highlight w:val="none"/>
                      <w14:textFill>
                        <w14:solidFill>
                          <w14:schemeClr w14:val="tx1"/>
                        </w14:solidFill>
                      </w14:textFill>
                    </w:rPr>
                    <w:t>方</w:t>
                  </w:r>
                </w:p>
              </w:tc>
            </w:tr>
            <w:tr w14:paraId="373CD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vMerge w:val="continue"/>
                  <w:tcBorders>
                    <w:tl2br w:val="nil"/>
                    <w:tr2bl w:val="nil"/>
                  </w:tcBorders>
                  <w:vAlign w:val="center"/>
                </w:tcPr>
                <w:p w14:paraId="0339A177">
                  <w:pPr>
                    <w:pStyle w:val="38"/>
                    <w:wordWrap/>
                    <w:rPr>
                      <w:color w:val="000000" w:themeColor="text1"/>
                      <w:highlight w:val="none"/>
                      <w14:textFill>
                        <w14:solidFill>
                          <w14:schemeClr w14:val="tx1"/>
                        </w14:solidFill>
                      </w14:textFill>
                    </w:rPr>
                  </w:pPr>
                </w:p>
              </w:tc>
              <w:tc>
                <w:tcPr>
                  <w:tcW w:w="859" w:type="dxa"/>
                  <w:vMerge w:val="continue"/>
                  <w:tcBorders>
                    <w:tl2br w:val="nil"/>
                    <w:tr2bl w:val="nil"/>
                  </w:tcBorders>
                  <w:vAlign w:val="center"/>
                </w:tcPr>
                <w:p w14:paraId="01587C9E">
                  <w:pPr>
                    <w:pStyle w:val="38"/>
                    <w:wordWrap/>
                    <w:rPr>
                      <w:color w:val="000000" w:themeColor="text1"/>
                      <w:highlight w:val="none"/>
                      <w14:textFill>
                        <w14:solidFill>
                          <w14:schemeClr w14:val="tx1"/>
                        </w14:solidFill>
                      </w14:textFill>
                    </w:rPr>
                  </w:pPr>
                </w:p>
              </w:tc>
              <w:tc>
                <w:tcPr>
                  <w:tcW w:w="785" w:type="dxa"/>
                  <w:vMerge w:val="continue"/>
                  <w:tcBorders>
                    <w:tl2br w:val="nil"/>
                    <w:tr2bl w:val="nil"/>
                  </w:tcBorders>
                  <w:vAlign w:val="center"/>
                </w:tcPr>
                <w:p w14:paraId="3EA7A0FF">
                  <w:pPr>
                    <w:pStyle w:val="38"/>
                    <w:wordWrap/>
                    <w:rPr>
                      <w:color w:val="000000" w:themeColor="text1"/>
                      <w:highlight w:val="none"/>
                      <w14:textFill>
                        <w14:solidFill>
                          <w14:schemeClr w14:val="tx1"/>
                        </w14:solidFill>
                      </w14:textFill>
                    </w:rPr>
                  </w:pPr>
                </w:p>
              </w:tc>
              <w:tc>
                <w:tcPr>
                  <w:tcW w:w="2106" w:type="dxa"/>
                  <w:gridSpan w:val="2"/>
                  <w:tcBorders>
                    <w:tl2br w:val="nil"/>
                    <w:tr2bl w:val="nil"/>
                  </w:tcBorders>
                  <w:vAlign w:val="center"/>
                </w:tcPr>
                <w:p w14:paraId="0BE6CF92">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调入</w:t>
                  </w:r>
                </w:p>
              </w:tc>
              <w:tc>
                <w:tcPr>
                  <w:tcW w:w="2145" w:type="dxa"/>
                  <w:gridSpan w:val="2"/>
                  <w:tcBorders>
                    <w:tl2br w:val="nil"/>
                    <w:tr2bl w:val="nil"/>
                  </w:tcBorders>
                  <w:vAlign w:val="center"/>
                </w:tcPr>
                <w:p w14:paraId="0DD2C4EE">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调出</w:t>
                  </w:r>
                </w:p>
              </w:tc>
              <w:tc>
                <w:tcPr>
                  <w:tcW w:w="345" w:type="dxa"/>
                  <w:vMerge w:val="continue"/>
                  <w:tcBorders>
                    <w:tl2br w:val="nil"/>
                    <w:tr2bl w:val="nil"/>
                  </w:tcBorders>
                  <w:vAlign w:val="center"/>
                </w:tcPr>
                <w:p w14:paraId="62A1DE18">
                  <w:pPr>
                    <w:pStyle w:val="38"/>
                    <w:wordWrap/>
                    <w:rPr>
                      <w:color w:val="000000" w:themeColor="text1"/>
                      <w:highlight w:val="none"/>
                      <w14:textFill>
                        <w14:solidFill>
                          <w14:schemeClr w14:val="tx1"/>
                        </w14:solidFill>
                      </w14:textFill>
                    </w:rPr>
                  </w:pPr>
                </w:p>
              </w:tc>
              <w:tc>
                <w:tcPr>
                  <w:tcW w:w="322" w:type="dxa"/>
                  <w:vMerge w:val="continue"/>
                  <w:tcBorders>
                    <w:tl2br w:val="nil"/>
                    <w:tr2bl w:val="nil"/>
                  </w:tcBorders>
                  <w:vAlign w:val="center"/>
                </w:tcPr>
                <w:p w14:paraId="3E8718F5">
                  <w:pPr>
                    <w:pStyle w:val="38"/>
                    <w:wordWrap/>
                    <w:rPr>
                      <w:color w:val="000000" w:themeColor="text1"/>
                      <w:highlight w:val="none"/>
                      <w14:textFill>
                        <w14:solidFill>
                          <w14:schemeClr w14:val="tx1"/>
                        </w14:solidFill>
                      </w14:textFill>
                    </w:rPr>
                  </w:pPr>
                </w:p>
              </w:tc>
            </w:tr>
            <w:tr w14:paraId="28EC2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vMerge w:val="continue"/>
                  <w:tcBorders>
                    <w:tl2br w:val="nil"/>
                    <w:tr2bl w:val="nil"/>
                  </w:tcBorders>
                  <w:vAlign w:val="center"/>
                </w:tcPr>
                <w:p w14:paraId="3C8180DD">
                  <w:pPr>
                    <w:pStyle w:val="38"/>
                    <w:wordWrap/>
                    <w:rPr>
                      <w:color w:val="000000" w:themeColor="text1"/>
                      <w:highlight w:val="none"/>
                      <w14:textFill>
                        <w14:solidFill>
                          <w14:schemeClr w14:val="tx1"/>
                        </w14:solidFill>
                      </w14:textFill>
                    </w:rPr>
                  </w:pPr>
                </w:p>
              </w:tc>
              <w:tc>
                <w:tcPr>
                  <w:tcW w:w="859" w:type="dxa"/>
                  <w:vMerge w:val="continue"/>
                  <w:tcBorders>
                    <w:tl2br w:val="nil"/>
                    <w:tr2bl w:val="nil"/>
                  </w:tcBorders>
                  <w:vAlign w:val="center"/>
                </w:tcPr>
                <w:p w14:paraId="63C02423">
                  <w:pPr>
                    <w:pStyle w:val="38"/>
                    <w:wordWrap/>
                    <w:rPr>
                      <w:color w:val="000000" w:themeColor="text1"/>
                      <w:highlight w:val="none"/>
                      <w14:textFill>
                        <w14:solidFill>
                          <w14:schemeClr w14:val="tx1"/>
                        </w14:solidFill>
                      </w14:textFill>
                    </w:rPr>
                  </w:pPr>
                </w:p>
              </w:tc>
              <w:tc>
                <w:tcPr>
                  <w:tcW w:w="785" w:type="dxa"/>
                  <w:vMerge w:val="continue"/>
                  <w:tcBorders>
                    <w:tl2br w:val="nil"/>
                    <w:tr2bl w:val="nil"/>
                  </w:tcBorders>
                  <w:vAlign w:val="center"/>
                </w:tcPr>
                <w:p w14:paraId="11CDCAF5">
                  <w:pPr>
                    <w:pStyle w:val="38"/>
                    <w:wordWrap/>
                    <w:rPr>
                      <w:color w:val="000000" w:themeColor="text1"/>
                      <w:highlight w:val="none"/>
                      <w14:textFill>
                        <w14:solidFill>
                          <w14:schemeClr w14:val="tx1"/>
                        </w14:solidFill>
                      </w14:textFill>
                    </w:rPr>
                  </w:pPr>
                </w:p>
              </w:tc>
              <w:tc>
                <w:tcPr>
                  <w:tcW w:w="1006" w:type="dxa"/>
                  <w:tcBorders>
                    <w:tl2br w:val="nil"/>
                    <w:tr2bl w:val="nil"/>
                  </w:tcBorders>
                  <w:vAlign w:val="center"/>
                </w:tcPr>
                <w:p w14:paraId="37D6BB60">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c>
                <w:tcPr>
                  <w:tcW w:w="1100" w:type="dxa"/>
                  <w:tcBorders>
                    <w:tl2br w:val="nil"/>
                    <w:tr2bl w:val="nil"/>
                  </w:tcBorders>
                  <w:vAlign w:val="center"/>
                </w:tcPr>
                <w:p w14:paraId="009599CB">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来源</w:t>
                  </w:r>
                </w:p>
              </w:tc>
              <w:tc>
                <w:tcPr>
                  <w:tcW w:w="825" w:type="dxa"/>
                  <w:tcBorders>
                    <w:tl2br w:val="nil"/>
                    <w:tr2bl w:val="nil"/>
                  </w:tcBorders>
                  <w:vAlign w:val="center"/>
                </w:tcPr>
                <w:p w14:paraId="7E037759">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c>
                <w:tcPr>
                  <w:tcW w:w="1320" w:type="dxa"/>
                  <w:tcBorders>
                    <w:tl2br w:val="nil"/>
                    <w:tr2bl w:val="nil"/>
                  </w:tcBorders>
                  <w:vAlign w:val="center"/>
                </w:tcPr>
                <w:p w14:paraId="14E5D40A">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去向</w:t>
                  </w:r>
                </w:p>
              </w:tc>
              <w:tc>
                <w:tcPr>
                  <w:tcW w:w="345" w:type="dxa"/>
                  <w:vMerge w:val="continue"/>
                  <w:tcBorders>
                    <w:tl2br w:val="nil"/>
                    <w:tr2bl w:val="nil"/>
                  </w:tcBorders>
                  <w:vAlign w:val="center"/>
                </w:tcPr>
                <w:p w14:paraId="4D057BBF">
                  <w:pPr>
                    <w:pStyle w:val="38"/>
                    <w:wordWrap/>
                    <w:rPr>
                      <w:color w:val="000000" w:themeColor="text1"/>
                      <w:highlight w:val="none"/>
                      <w14:textFill>
                        <w14:solidFill>
                          <w14:schemeClr w14:val="tx1"/>
                        </w14:solidFill>
                      </w14:textFill>
                    </w:rPr>
                  </w:pPr>
                </w:p>
              </w:tc>
              <w:tc>
                <w:tcPr>
                  <w:tcW w:w="322" w:type="dxa"/>
                  <w:vMerge w:val="continue"/>
                  <w:tcBorders>
                    <w:tl2br w:val="nil"/>
                    <w:tr2bl w:val="nil"/>
                  </w:tcBorders>
                  <w:vAlign w:val="center"/>
                </w:tcPr>
                <w:p w14:paraId="267C3E02">
                  <w:pPr>
                    <w:pStyle w:val="38"/>
                    <w:wordWrap/>
                    <w:rPr>
                      <w:color w:val="000000" w:themeColor="text1"/>
                      <w:highlight w:val="none"/>
                      <w14:textFill>
                        <w14:solidFill>
                          <w14:schemeClr w14:val="tx1"/>
                        </w14:solidFill>
                      </w14:textFill>
                    </w:rPr>
                  </w:pPr>
                </w:p>
              </w:tc>
            </w:tr>
            <w:tr w14:paraId="7C5BC2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5A4D57DC">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渣石清理</w:t>
                  </w:r>
                </w:p>
              </w:tc>
              <w:tc>
                <w:tcPr>
                  <w:tcW w:w="859" w:type="dxa"/>
                  <w:tcBorders>
                    <w:tl2br w:val="nil"/>
                    <w:tr2bl w:val="nil"/>
                  </w:tcBorders>
                  <w:vAlign w:val="center"/>
                </w:tcPr>
                <w:p w14:paraId="0C420138">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9200.46</w:t>
                  </w:r>
                </w:p>
              </w:tc>
              <w:tc>
                <w:tcPr>
                  <w:tcW w:w="785" w:type="dxa"/>
                  <w:tcBorders>
                    <w:tl2br w:val="nil"/>
                    <w:tr2bl w:val="nil"/>
                  </w:tcBorders>
                  <w:vAlign w:val="center"/>
                </w:tcPr>
                <w:p w14:paraId="0B43C51A">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006" w:type="dxa"/>
                  <w:tcBorders>
                    <w:tl2br w:val="nil"/>
                    <w:tr2bl w:val="nil"/>
                  </w:tcBorders>
                  <w:vAlign w:val="center"/>
                </w:tcPr>
                <w:p w14:paraId="4969F33B">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100" w:type="dxa"/>
                  <w:tcBorders>
                    <w:tl2br w:val="nil"/>
                    <w:tr2bl w:val="nil"/>
                  </w:tcBorders>
                  <w:vAlign w:val="center"/>
                </w:tcPr>
                <w:p w14:paraId="1E270DAF">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25" w:type="dxa"/>
                  <w:tcBorders>
                    <w:tl2br w:val="nil"/>
                    <w:tr2bl w:val="nil"/>
                  </w:tcBorders>
                  <w:vAlign w:val="center"/>
                </w:tcPr>
                <w:p w14:paraId="34D1BB46">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9200.46</w:t>
                  </w:r>
                </w:p>
              </w:tc>
              <w:tc>
                <w:tcPr>
                  <w:tcW w:w="1320" w:type="dxa"/>
                  <w:tcBorders>
                    <w:tl2br w:val="nil"/>
                    <w:tr2bl w:val="nil"/>
                  </w:tcBorders>
                  <w:vAlign w:val="center"/>
                </w:tcPr>
                <w:p w14:paraId="619E771F">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坡面修整、场区平整、覆土工程</w:t>
                  </w:r>
                </w:p>
              </w:tc>
              <w:tc>
                <w:tcPr>
                  <w:tcW w:w="345" w:type="dxa"/>
                  <w:tcBorders>
                    <w:tl2br w:val="nil"/>
                    <w:tr2bl w:val="nil"/>
                  </w:tcBorders>
                  <w:vAlign w:val="center"/>
                </w:tcPr>
                <w:p w14:paraId="48723733">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345D22AB">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5EE3F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71C0D94A">
                  <w:pPr>
                    <w:pStyle w:val="38"/>
                    <w:wordWrap/>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坡面修整</w:t>
                  </w:r>
                </w:p>
              </w:tc>
              <w:tc>
                <w:tcPr>
                  <w:tcW w:w="859" w:type="dxa"/>
                  <w:tcBorders>
                    <w:tl2br w:val="nil"/>
                    <w:tr2bl w:val="nil"/>
                  </w:tcBorders>
                  <w:vAlign w:val="center"/>
                </w:tcPr>
                <w:p w14:paraId="1B3CF569">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1000.02</w:t>
                  </w:r>
                </w:p>
              </w:tc>
              <w:tc>
                <w:tcPr>
                  <w:tcW w:w="785" w:type="dxa"/>
                  <w:tcBorders>
                    <w:tl2br w:val="nil"/>
                    <w:tr2bl w:val="nil"/>
                  </w:tcBorders>
                  <w:vAlign w:val="center"/>
                </w:tcPr>
                <w:p w14:paraId="72F40D4A">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1500.04</w:t>
                  </w:r>
                </w:p>
              </w:tc>
              <w:tc>
                <w:tcPr>
                  <w:tcW w:w="1006" w:type="dxa"/>
                  <w:tcBorders>
                    <w:tl2br w:val="nil"/>
                    <w:tr2bl w:val="nil"/>
                  </w:tcBorders>
                  <w:vAlign w:val="center"/>
                </w:tcPr>
                <w:p w14:paraId="4B3E4A36">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500.02</w:t>
                  </w:r>
                </w:p>
              </w:tc>
              <w:tc>
                <w:tcPr>
                  <w:tcW w:w="1100" w:type="dxa"/>
                  <w:tcBorders>
                    <w:tl2br w:val="nil"/>
                    <w:tr2bl w:val="nil"/>
                  </w:tcBorders>
                  <w:vAlign w:val="center"/>
                </w:tcPr>
                <w:p w14:paraId="2692D6D0">
                  <w:pPr>
                    <w:pStyle w:val="38"/>
                    <w:wordWrap/>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渣石清理</w:t>
                  </w:r>
                </w:p>
              </w:tc>
              <w:tc>
                <w:tcPr>
                  <w:tcW w:w="825" w:type="dxa"/>
                  <w:tcBorders>
                    <w:tl2br w:val="nil"/>
                    <w:tr2bl w:val="nil"/>
                  </w:tcBorders>
                  <w:vAlign w:val="center"/>
                </w:tcPr>
                <w:p w14:paraId="6286657C">
                  <w:pPr>
                    <w:pStyle w:val="38"/>
                    <w:wordWrap/>
                    <w:ind w:firstLine="0" w:firstLineChars="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320" w:type="dxa"/>
                  <w:tcBorders>
                    <w:tl2br w:val="nil"/>
                    <w:tr2bl w:val="nil"/>
                  </w:tcBorders>
                  <w:vAlign w:val="center"/>
                </w:tcPr>
                <w:p w14:paraId="4995C7AD">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45" w:type="dxa"/>
                  <w:tcBorders>
                    <w:tl2br w:val="nil"/>
                    <w:tr2bl w:val="nil"/>
                  </w:tcBorders>
                  <w:vAlign w:val="center"/>
                </w:tcPr>
                <w:p w14:paraId="6DC19BA4">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7F833BB8">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30943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5589F40E">
                  <w:pPr>
                    <w:pStyle w:val="38"/>
                    <w:wordWrap/>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场区平整</w:t>
                  </w:r>
                </w:p>
              </w:tc>
              <w:tc>
                <w:tcPr>
                  <w:tcW w:w="859" w:type="dxa"/>
                  <w:tcBorders>
                    <w:tl2br w:val="nil"/>
                    <w:tr2bl w:val="nil"/>
                  </w:tcBorders>
                  <w:vAlign w:val="center"/>
                </w:tcPr>
                <w:p w14:paraId="2FB025D8">
                  <w:pPr>
                    <w:pStyle w:val="38"/>
                    <w:wordWrap/>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767.48</w:t>
                  </w:r>
                </w:p>
              </w:tc>
              <w:tc>
                <w:tcPr>
                  <w:tcW w:w="785" w:type="dxa"/>
                  <w:tcBorders>
                    <w:tl2br w:val="nil"/>
                    <w:tr2bl w:val="nil"/>
                  </w:tcBorders>
                  <w:vAlign w:val="center"/>
                </w:tcPr>
                <w:p w14:paraId="1B0A9A14">
                  <w:pPr>
                    <w:pStyle w:val="38"/>
                    <w:wordWrap/>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4436.17</w:t>
                  </w:r>
                </w:p>
              </w:tc>
              <w:tc>
                <w:tcPr>
                  <w:tcW w:w="1006" w:type="dxa"/>
                  <w:tcBorders>
                    <w:tl2br w:val="nil"/>
                    <w:tr2bl w:val="nil"/>
                  </w:tcBorders>
                  <w:vAlign w:val="center"/>
                </w:tcPr>
                <w:p w14:paraId="23C7A188">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3668.69</w:t>
                  </w:r>
                </w:p>
              </w:tc>
              <w:tc>
                <w:tcPr>
                  <w:tcW w:w="1100" w:type="dxa"/>
                  <w:tcBorders>
                    <w:tl2br w:val="nil"/>
                    <w:tr2bl w:val="nil"/>
                  </w:tcBorders>
                  <w:vAlign w:val="center"/>
                </w:tcPr>
                <w:p w14:paraId="10CEF60D">
                  <w:pPr>
                    <w:pStyle w:val="38"/>
                    <w:wordWrap/>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渣石清理</w:t>
                  </w:r>
                </w:p>
              </w:tc>
              <w:tc>
                <w:tcPr>
                  <w:tcW w:w="825" w:type="dxa"/>
                  <w:tcBorders>
                    <w:tl2br w:val="nil"/>
                    <w:tr2bl w:val="nil"/>
                  </w:tcBorders>
                  <w:vAlign w:val="center"/>
                </w:tcPr>
                <w:p w14:paraId="2BE07D90">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320" w:type="dxa"/>
                  <w:tcBorders>
                    <w:tl2br w:val="nil"/>
                    <w:tr2bl w:val="nil"/>
                  </w:tcBorders>
                  <w:vAlign w:val="center"/>
                </w:tcPr>
                <w:p w14:paraId="0E4D05BC">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45" w:type="dxa"/>
                  <w:tcBorders>
                    <w:tl2br w:val="nil"/>
                    <w:tr2bl w:val="nil"/>
                  </w:tcBorders>
                  <w:vAlign w:val="center"/>
                </w:tcPr>
                <w:p w14:paraId="17143B1C">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670E4554">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7F864D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6111FD99">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截水埂工程</w:t>
                  </w:r>
                </w:p>
              </w:tc>
              <w:tc>
                <w:tcPr>
                  <w:tcW w:w="859" w:type="dxa"/>
                  <w:tcBorders>
                    <w:tl2br w:val="nil"/>
                    <w:tr2bl w:val="nil"/>
                  </w:tcBorders>
                  <w:vAlign w:val="center"/>
                </w:tcPr>
                <w:p w14:paraId="0933233A">
                  <w:pPr>
                    <w:pStyle w:val="38"/>
                    <w:wordWrap/>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85" w:type="dxa"/>
                  <w:tcBorders>
                    <w:tl2br w:val="nil"/>
                    <w:tr2bl w:val="nil"/>
                  </w:tcBorders>
                  <w:vAlign w:val="center"/>
                </w:tcPr>
                <w:p w14:paraId="67DFD456">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584.07</w:t>
                  </w:r>
                </w:p>
              </w:tc>
              <w:tc>
                <w:tcPr>
                  <w:tcW w:w="1006" w:type="dxa"/>
                  <w:tcBorders>
                    <w:tl2br w:val="nil"/>
                    <w:tr2bl w:val="nil"/>
                  </w:tcBorders>
                  <w:vAlign w:val="center"/>
                </w:tcPr>
                <w:p w14:paraId="33CC253E">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584.07</w:t>
                  </w:r>
                </w:p>
              </w:tc>
              <w:tc>
                <w:tcPr>
                  <w:tcW w:w="1100" w:type="dxa"/>
                  <w:tcBorders>
                    <w:tl2br w:val="nil"/>
                    <w:tr2bl w:val="nil"/>
                  </w:tcBorders>
                  <w:vAlign w:val="center"/>
                </w:tcPr>
                <w:p w14:paraId="24DEB8BB">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导流槽工程</w:t>
                  </w:r>
                </w:p>
              </w:tc>
              <w:tc>
                <w:tcPr>
                  <w:tcW w:w="825" w:type="dxa"/>
                  <w:tcBorders>
                    <w:tl2br w:val="nil"/>
                    <w:tr2bl w:val="nil"/>
                  </w:tcBorders>
                  <w:vAlign w:val="center"/>
                </w:tcPr>
                <w:p w14:paraId="7E93AA60">
                  <w:pPr>
                    <w:pStyle w:val="38"/>
                    <w:wordWrap/>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1320" w:type="dxa"/>
                  <w:tcBorders>
                    <w:tl2br w:val="nil"/>
                    <w:tr2bl w:val="nil"/>
                  </w:tcBorders>
                  <w:vAlign w:val="center"/>
                </w:tcPr>
                <w:p w14:paraId="2E216F67">
                  <w:pPr>
                    <w:pStyle w:val="38"/>
                    <w:wordWrap/>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45" w:type="dxa"/>
                  <w:tcBorders>
                    <w:tl2br w:val="nil"/>
                    <w:tr2bl w:val="nil"/>
                  </w:tcBorders>
                  <w:vAlign w:val="center"/>
                </w:tcPr>
                <w:p w14:paraId="7481EE1E">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1487C679">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562748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34204C06">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导流槽工程</w:t>
                  </w:r>
                </w:p>
              </w:tc>
              <w:tc>
                <w:tcPr>
                  <w:tcW w:w="859" w:type="dxa"/>
                  <w:tcBorders>
                    <w:tl2br w:val="nil"/>
                    <w:tr2bl w:val="nil"/>
                  </w:tcBorders>
                  <w:vAlign w:val="center"/>
                </w:tcPr>
                <w:p w14:paraId="53C8676D">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3200</w:t>
                  </w:r>
                </w:p>
              </w:tc>
              <w:tc>
                <w:tcPr>
                  <w:tcW w:w="785" w:type="dxa"/>
                  <w:tcBorders>
                    <w:tl2br w:val="nil"/>
                    <w:tr2bl w:val="nil"/>
                  </w:tcBorders>
                  <w:vAlign w:val="center"/>
                </w:tcPr>
                <w:p w14:paraId="7E9C1B10">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006" w:type="dxa"/>
                  <w:tcBorders>
                    <w:tl2br w:val="nil"/>
                    <w:tr2bl w:val="nil"/>
                  </w:tcBorders>
                  <w:vAlign w:val="center"/>
                </w:tcPr>
                <w:p w14:paraId="27EC4652">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00" w:type="dxa"/>
                  <w:tcBorders>
                    <w:tl2br w:val="nil"/>
                    <w:tr2bl w:val="nil"/>
                  </w:tcBorders>
                  <w:vAlign w:val="center"/>
                </w:tcPr>
                <w:p w14:paraId="08EA02BC">
                  <w:pPr>
                    <w:pStyle w:val="38"/>
                    <w:wordWrap/>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825" w:type="dxa"/>
                  <w:tcBorders>
                    <w:tl2br w:val="nil"/>
                    <w:tr2bl w:val="nil"/>
                  </w:tcBorders>
                  <w:vAlign w:val="center"/>
                </w:tcPr>
                <w:p w14:paraId="7F5380D6">
                  <w:pPr>
                    <w:pStyle w:val="38"/>
                    <w:wordWrap/>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3200</w:t>
                  </w:r>
                </w:p>
              </w:tc>
              <w:tc>
                <w:tcPr>
                  <w:tcW w:w="1320" w:type="dxa"/>
                  <w:tcBorders>
                    <w:tl2br w:val="nil"/>
                    <w:tr2bl w:val="nil"/>
                  </w:tcBorders>
                  <w:vAlign w:val="center"/>
                </w:tcPr>
                <w:p w14:paraId="627245F7">
                  <w:pPr>
                    <w:pStyle w:val="38"/>
                    <w:wordWrap/>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截水埂工程、覆土工程</w:t>
                  </w:r>
                </w:p>
              </w:tc>
              <w:tc>
                <w:tcPr>
                  <w:tcW w:w="345" w:type="dxa"/>
                  <w:tcBorders>
                    <w:tl2br w:val="nil"/>
                    <w:tr2bl w:val="nil"/>
                  </w:tcBorders>
                  <w:vAlign w:val="center"/>
                </w:tcPr>
                <w:p w14:paraId="05A5D833">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3EA87EB2">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722726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3EDA589B">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覆土工程</w:t>
                  </w:r>
                </w:p>
              </w:tc>
              <w:tc>
                <w:tcPr>
                  <w:tcW w:w="859" w:type="dxa"/>
                  <w:tcBorders>
                    <w:tl2br w:val="nil"/>
                    <w:tr2bl w:val="nil"/>
                  </w:tcBorders>
                  <w:vAlign w:val="center"/>
                </w:tcPr>
                <w:p w14:paraId="7E98105F">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85" w:type="dxa"/>
                  <w:tcBorders>
                    <w:tl2br w:val="nil"/>
                    <w:tr2bl w:val="nil"/>
                  </w:tcBorders>
                  <w:vAlign w:val="center"/>
                </w:tcPr>
                <w:p w14:paraId="315A75DA">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7647.68</w:t>
                  </w:r>
                </w:p>
              </w:tc>
              <w:tc>
                <w:tcPr>
                  <w:tcW w:w="1006" w:type="dxa"/>
                  <w:tcBorders>
                    <w:tl2br w:val="nil"/>
                    <w:tr2bl w:val="nil"/>
                  </w:tcBorders>
                  <w:vAlign w:val="center"/>
                </w:tcPr>
                <w:p w14:paraId="43EE1F0A">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7647.68</w:t>
                  </w:r>
                </w:p>
              </w:tc>
              <w:tc>
                <w:tcPr>
                  <w:tcW w:w="1100" w:type="dxa"/>
                  <w:tcBorders>
                    <w:tl2br w:val="nil"/>
                    <w:tr2bl w:val="nil"/>
                  </w:tcBorders>
                  <w:vAlign w:val="center"/>
                </w:tcPr>
                <w:p w14:paraId="0331E110">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导流槽工程、渣石清理</w:t>
                  </w:r>
                </w:p>
              </w:tc>
              <w:tc>
                <w:tcPr>
                  <w:tcW w:w="825" w:type="dxa"/>
                  <w:tcBorders>
                    <w:tl2br w:val="nil"/>
                    <w:tr2bl w:val="nil"/>
                  </w:tcBorders>
                  <w:vAlign w:val="center"/>
                </w:tcPr>
                <w:p w14:paraId="0A930631">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320" w:type="dxa"/>
                  <w:tcBorders>
                    <w:tl2br w:val="nil"/>
                    <w:tr2bl w:val="nil"/>
                  </w:tcBorders>
                  <w:vAlign w:val="center"/>
                </w:tcPr>
                <w:p w14:paraId="0855E281">
                  <w:pPr>
                    <w:pStyle w:val="38"/>
                    <w:wordWrap/>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345" w:type="dxa"/>
                  <w:tcBorders>
                    <w:tl2br w:val="nil"/>
                    <w:tr2bl w:val="nil"/>
                  </w:tcBorders>
                  <w:vAlign w:val="center"/>
                </w:tcPr>
                <w:p w14:paraId="5608B102">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28050C55">
                  <w:pPr>
                    <w:pStyle w:val="38"/>
                    <w:wordWrap/>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r w14:paraId="54B5C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36" w:type="dxa"/>
                  <w:tcBorders>
                    <w:tl2br w:val="nil"/>
                    <w:tr2bl w:val="nil"/>
                  </w:tcBorders>
                  <w:vAlign w:val="center"/>
                </w:tcPr>
                <w:p w14:paraId="23CDD3DD">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859" w:type="dxa"/>
                  <w:tcBorders>
                    <w:tl2br w:val="nil"/>
                    <w:tr2bl w:val="nil"/>
                  </w:tcBorders>
                  <w:vAlign w:val="center"/>
                </w:tcPr>
                <w:p w14:paraId="52F33E22">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14167.96</w:t>
                  </w:r>
                </w:p>
              </w:tc>
              <w:tc>
                <w:tcPr>
                  <w:tcW w:w="785" w:type="dxa"/>
                  <w:tcBorders>
                    <w:tl2br w:val="nil"/>
                    <w:tr2bl w:val="nil"/>
                  </w:tcBorders>
                  <w:vAlign w:val="center"/>
                </w:tcPr>
                <w:p w14:paraId="709384D1">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14167.96</w:t>
                  </w:r>
                </w:p>
              </w:tc>
              <w:tc>
                <w:tcPr>
                  <w:tcW w:w="1006" w:type="dxa"/>
                  <w:tcBorders>
                    <w:tl2br w:val="nil"/>
                    <w:tr2bl w:val="nil"/>
                  </w:tcBorders>
                  <w:vAlign w:val="center"/>
                </w:tcPr>
                <w:p w14:paraId="6C600A53">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12400.46</w:t>
                  </w:r>
                </w:p>
              </w:tc>
              <w:tc>
                <w:tcPr>
                  <w:tcW w:w="1100" w:type="dxa"/>
                  <w:tcBorders>
                    <w:tl2br w:val="nil"/>
                    <w:tr2bl w:val="nil"/>
                  </w:tcBorders>
                  <w:vAlign w:val="center"/>
                </w:tcPr>
                <w:p w14:paraId="2659DE84">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825" w:type="dxa"/>
                  <w:tcBorders>
                    <w:tl2br w:val="nil"/>
                    <w:tr2bl w:val="nil"/>
                  </w:tcBorders>
                  <w:vAlign w:val="center"/>
                </w:tcPr>
                <w:p w14:paraId="57FD6190">
                  <w:pPr>
                    <w:pStyle w:val="38"/>
                    <w:wordWrap/>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12400.46</w:t>
                  </w:r>
                </w:p>
              </w:tc>
              <w:tc>
                <w:tcPr>
                  <w:tcW w:w="1320" w:type="dxa"/>
                  <w:tcBorders>
                    <w:tl2br w:val="nil"/>
                    <w:tr2bl w:val="nil"/>
                  </w:tcBorders>
                  <w:vAlign w:val="center"/>
                </w:tcPr>
                <w:p w14:paraId="2882991D">
                  <w:pPr>
                    <w:pStyle w:val="38"/>
                    <w:wordWra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45" w:type="dxa"/>
                  <w:tcBorders>
                    <w:tl2br w:val="nil"/>
                    <w:tr2bl w:val="nil"/>
                  </w:tcBorders>
                  <w:vAlign w:val="center"/>
                </w:tcPr>
                <w:p w14:paraId="7603FE3D">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22" w:type="dxa"/>
                  <w:tcBorders>
                    <w:tl2br w:val="nil"/>
                    <w:tr2bl w:val="nil"/>
                  </w:tcBorders>
                  <w:vAlign w:val="center"/>
                </w:tcPr>
                <w:p w14:paraId="4A33676A">
                  <w:pPr>
                    <w:pStyle w:val="38"/>
                    <w:wordWrap/>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r>
          </w:tbl>
          <w:p w14:paraId="29DDF2C2">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4"/>
                <w:highlight w:val="none"/>
                <w:lang w:val="en-US" w:eastAsia="zh-CN"/>
                <w14:textFill>
                  <w14:solidFill>
                    <w14:schemeClr w14:val="tx1"/>
                  </w14:solidFill>
                </w14:textFill>
              </w:rPr>
              <w:object>
                <v:shape id="_x0000_i1025" o:spt="75" type="#_x0000_t75" style="height:320pt;width:396.1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3E7E3F5A">
            <w:pPr>
              <w:ind w:left="0" w:leftChars="0" w:firstLine="0" w:firstLineChars="0"/>
              <w:jc w:val="center"/>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pPr>
            <w:r>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t>图2-</w:t>
            </w:r>
            <w:r>
              <w:rPr>
                <w:rFonts w:hint="eastAsia" w:eastAsia="黑体" w:cs="Times New Roman"/>
                <w:color w:val="000000" w:themeColor="text1"/>
                <w:kern w:val="0"/>
                <w:sz w:val="24"/>
                <w:szCs w:val="20"/>
                <w:highlight w:val="none"/>
                <w:lang w:val="en-US" w:eastAsia="zh-CN"/>
                <w14:textFill>
                  <w14:solidFill>
                    <w14:schemeClr w14:val="tx1"/>
                  </w14:solidFill>
                </w14:textFill>
              </w:rPr>
              <w:t>1</w:t>
            </w:r>
            <w:r>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t xml:space="preserve">  土石方平衡及流向框图   单位：m</w:t>
            </w:r>
            <w:r>
              <w:rPr>
                <w:rFonts w:hint="eastAsia" w:ascii="Times New Roman" w:hAnsi="Times New Roman" w:eastAsia="黑体" w:cs="Times New Roman"/>
                <w:color w:val="000000" w:themeColor="text1"/>
                <w:kern w:val="0"/>
                <w:sz w:val="24"/>
                <w:szCs w:val="20"/>
                <w:highlight w:val="none"/>
                <w:vertAlign w:val="superscript"/>
                <w:lang w:val="en-US" w:eastAsia="zh-CN"/>
                <w14:textFill>
                  <w14:solidFill>
                    <w14:schemeClr w14:val="tx1"/>
                  </w14:solidFill>
                </w14:textFill>
              </w:rPr>
              <w:t>3</w:t>
            </w:r>
          </w:p>
          <w:p w14:paraId="60462C93">
            <w:pPr>
              <w:keepNext/>
              <w:keepLines w:val="0"/>
              <w:widowControl w:val="0"/>
              <w:suppressLineNumbers w:val="0"/>
              <w:overflowPunct w:val="0"/>
              <w:bidi w:val="0"/>
              <w:spacing w:before="240" w:beforeAutospacing="0" w:after="60" w:afterAutospacing="0"/>
              <w:ind w:left="0" w:right="0" w:firstLine="0" w:firstLineChars="0"/>
              <w:jc w:val="left"/>
              <w:outlineLvl w:val="0"/>
              <w:rPr>
                <w:rFonts w:hint="default" w:ascii="Times New Roman" w:hAnsi="Times New Roman" w:eastAsia="黑体" w:cs="Times New Roman"/>
                <w:bCs/>
                <w:color w:val="000000" w:themeColor="text1"/>
                <w:kern w:val="44"/>
                <w:sz w:val="24"/>
                <w:szCs w:val="30"/>
                <w:highlight w:val="none"/>
                <w:lang w:val="en-US" w:eastAsia="zh-CN" w:bidi="ar-SA"/>
                <w14:textFill>
                  <w14:solidFill>
                    <w14:schemeClr w14:val="tx1"/>
                  </w14:solidFill>
                </w14:textFill>
              </w:rPr>
            </w:pPr>
            <w:r>
              <w:rPr>
                <w:rFonts w:hint="eastAsia" w:eastAsia="黑体" w:cs="Times New Roman"/>
                <w:bCs/>
                <w:color w:val="000000" w:themeColor="text1"/>
                <w:kern w:val="44"/>
                <w:sz w:val="24"/>
                <w:szCs w:val="30"/>
                <w:highlight w:val="none"/>
                <w:lang w:val="en-US" w:eastAsia="zh-CN" w:bidi="ar-SA"/>
                <w14:textFill>
                  <w14:solidFill>
                    <w14:schemeClr w14:val="tx1"/>
                  </w14:solidFill>
                </w14:textFill>
              </w:rPr>
              <w:t>7、公用工程</w:t>
            </w:r>
          </w:p>
          <w:p w14:paraId="50A75929">
            <w:pPr>
              <w:wordWrap w:val="0"/>
              <w:ind w:firstLine="454" w:firstLineChars="200"/>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⑴</w:t>
            </w:r>
            <w:r>
              <w:rPr>
                <w:rFonts w:hint="default" w:ascii="Times New Roman" w:hAnsi="Times New Roman" w:cs="Times New Roman"/>
                <w:color w:val="000000" w:themeColor="text1"/>
                <w:sz w:val="24"/>
                <w:highlight w:val="none"/>
                <w14:textFill>
                  <w14:solidFill>
                    <w14:schemeClr w14:val="tx1"/>
                  </w14:solidFill>
                </w14:textFill>
              </w:rPr>
              <w:t>供水</w:t>
            </w:r>
          </w:p>
          <w:p w14:paraId="25FE4871">
            <w:pPr>
              <w:widowControl/>
              <w:wordWrap w:val="0"/>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①施工期</w:t>
            </w:r>
          </w:p>
          <w:p w14:paraId="39DF5358">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施工用水、施工人员生活用水购自周边村镇，由水罐车拉运</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现场设置1个12m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不锈钢水箱，用水能够满足项目用水需求。</w:t>
            </w:r>
          </w:p>
          <w:p w14:paraId="39B174CB">
            <w:pPr>
              <w:widowControl/>
              <w:wordWrap w:val="0"/>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②运营期</w:t>
            </w:r>
          </w:p>
          <w:p w14:paraId="582A0108">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运营期草地养护用水自周边取水点，补水方式采用水罐车拉水，利用软管进行人工浇水。本项目设计草地养护期为3年，穴播草籽面积20.49hm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，每年灌水量1850m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/hm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，养护期总需水量为115384.50m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p>
          <w:p w14:paraId="38713055">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⑵</w:t>
            </w:r>
            <w:r>
              <w:rPr>
                <w:rFonts w:hint="default" w:ascii="Times New Roman" w:hAnsi="Times New Roman" w:cs="Times New Roman"/>
                <w:color w:val="000000" w:themeColor="text1"/>
                <w:sz w:val="24"/>
                <w:highlight w:val="none"/>
                <w14:textFill>
                  <w14:solidFill>
                    <w14:schemeClr w14:val="tx1"/>
                  </w14:solidFill>
                </w14:textFill>
              </w:rPr>
              <w:t>排水</w:t>
            </w:r>
          </w:p>
          <w:p w14:paraId="57260BCB">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施工期生活污水依托周边村庄现有旱厕处理，无废水排放。运营期无废水排放。</w:t>
            </w:r>
          </w:p>
          <w:p w14:paraId="009A0749">
            <w:pPr>
              <w:wordWrap w:val="0"/>
              <w:ind w:firstLine="454" w:firstLineChars="200"/>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⑶</w:t>
            </w:r>
            <w:r>
              <w:rPr>
                <w:rFonts w:hint="default" w:ascii="Times New Roman" w:hAnsi="Times New Roman" w:cs="Times New Roman"/>
                <w:color w:val="000000" w:themeColor="text1"/>
                <w:sz w:val="24"/>
                <w:highlight w:val="none"/>
                <w14:textFill>
                  <w14:solidFill>
                    <w14:schemeClr w14:val="tx1"/>
                  </w14:solidFill>
                </w14:textFill>
              </w:rPr>
              <w:t>供电</w:t>
            </w:r>
          </w:p>
          <w:p w14:paraId="47655604">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施工期、运营期用电由附近供电电网接入。</w:t>
            </w:r>
          </w:p>
          <w:p w14:paraId="4CEF2AE9">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燃料供应</w:t>
            </w:r>
          </w:p>
          <w:p w14:paraId="3CD7DDF1">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本项目施工期在公共加油站进行燃料补给，不贮存柴油。</w:t>
            </w:r>
          </w:p>
          <w:p w14:paraId="0CBC7B71">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8、工程占地</w:t>
            </w:r>
          </w:p>
          <w:p w14:paraId="3471CADB">
            <w:pPr>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根据中卫市沙坡头区自然资源局提供的2022年国土变更调查成果数据，项目区总治理面积为34.44hm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。其中，草地面积为8.15hm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，占总面积的23.66%；工矿用地面积为26.08hm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，占总面积的75.73%；交通运输用地面积为0.21hm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，占总面积的0.61%。</w:t>
            </w:r>
          </w:p>
          <w:p w14:paraId="71E5D218">
            <w:pPr>
              <w:pStyle w:val="3"/>
              <w:bidi w:val="0"/>
              <w:rPr>
                <w:rFonts w:hint="eastAsia" w:ascii="Times New Roman" w:hAnsi="Times New Roman" w:cs="宋体"/>
                <w:color w:val="000000" w:themeColor="text1"/>
                <w:highlight w:val="none"/>
                <w:lang w:val="en-US" w:eastAsia="zh-CN"/>
                <w14:textFill>
                  <w14:solidFill>
                    <w14:schemeClr w14:val="tx1"/>
                  </w14:solidFill>
                </w14:textFill>
              </w:rPr>
            </w:pPr>
            <w:r>
              <w:rPr>
                <w:rFonts w:hint="default" w:ascii="Times New Roman" w:hAnsi="Times New Roman" w:cs="宋体"/>
                <w:color w:val="000000" w:themeColor="text1"/>
                <w:highlight w:val="none"/>
                <w:lang w:val="en-US" w:eastAsia="zh-CN"/>
                <w14:textFill>
                  <w14:solidFill>
                    <w14:schemeClr w14:val="tx1"/>
                  </w14:solidFill>
                </w14:textFill>
              </w:rPr>
              <w:t>表2-</w:t>
            </w:r>
            <w:r>
              <w:rPr>
                <w:rFonts w:hint="eastAsia" w:ascii="Times New Roman" w:hAnsi="Times New Roman" w:cs="宋体"/>
                <w:color w:val="000000" w:themeColor="text1"/>
                <w:highlight w:val="none"/>
                <w:lang w:val="en-US" w:eastAsia="zh-CN"/>
                <w14:textFill>
                  <w14:solidFill>
                    <w14:schemeClr w14:val="tx1"/>
                  </w14:solidFill>
                </w14:textFill>
              </w:rPr>
              <w:t>5</w:t>
            </w:r>
            <w:r>
              <w:rPr>
                <w:rFonts w:hint="default" w:ascii="Times New Roman" w:hAnsi="Times New Roman" w:cs="宋体"/>
                <w:color w:val="000000" w:themeColor="text1"/>
                <w:highlight w:val="none"/>
                <w:lang w:val="en-US" w:eastAsia="zh-CN"/>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项目</w:t>
            </w:r>
            <w:r>
              <w:rPr>
                <w:rFonts w:hint="default" w:ascii="Times New Roman" w:hAnsi="Times New Roman" w:cs="宋体"/>
                <w:color w:val="000000" w:themeColor="text1"/>
                <w:highlight w:val="none"/>
                <w:lang w:val="en-US" w:eastAsia="zh-CN"/>
                <w14:textFill>
                  <w14:solidFill>
                    <w14:schemeClr w14:val="tx1"/>
                  </w14:solidFill>
                </w14:textFill>
              </w:rPr>
              <w:t>土地利用现状表</w:t>
            </w:r>
          </w:p>
          <w:tbl>
            <w:tblPr>
              <w:tblStyle w:val="27"/>
              <w:tblW w:w="4998"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481"/>
              <w:gridCol w:w="2484"/>
              <w:gridCol w:w="1755"/>
              <w:gridCol w:w="1475"/>
            </w:tblGrid>
            <w:tr w14:paraId="4EFA93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028" w:type="pct"/>
                  <w:gridSpan w:val="2"/>
                  <w:tcBorders>
                    <w:tl2br w:val="nil"/>
                    <w:tr2bl w:val="nil"/>
                  </w:tcBorders>
                  <w:shd w:val="clear" w:color="auto" w:fill="auto"/>
                  <w:vAlign w:val="center"/>
                </w:tcPr>
                <w:p w14:paraId="7E1464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地类名称</w:t>
                  </w:r>
                </w:p>
              </w:tc>
              <w:tc>
                <w:tcPr>
                  <w:tcW w:w="1070" w:type="pct"/>
                  <w:vMerge w:val="restart"/>
                  <w:tcBorders>
                    <w:tl2br w:val="nil"/>
                    <w:tr2bl w:val="nil"/>
                  </w:tcBorders>
                  <w:shd w:val="clear" w:color="auto" w:fill="auto"/>
                  <w:vAlign w:val="center"/>
                </w:tcPr>
                <w:p w14:paraId="674D7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面积（hm</w:t>
                  </w:r>
                  <w:r>
                    <w:rPr>
                      <w:rFonts w:hint="eastAsia" w:ascii="Times New Roman" w:hAnsi="Times New Roman" w:eastAsia="宋体" w:cs="Times New Roman"/>
                      <w:b/>
                      <w:bCs/>
                      <w:color w:val="000000" w:themeColor="text1"/>
                      <w:kern w:val="0"/>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p>
              </w:tc>
              <w:tc>
                <w:tcPr>
                  <w:tcW w:w="900" w:type="pct"/>
                  <w:vMerge w:val="restart"/>
                  <w:tcBorders>
                    <w:tl2br w:val="nil"/>
                    <w:tr2bl w:val="nil"/>
                  </w:tcBorders>
                  <w:shd w:val="clear" w:color="auto" w:fill="auto"/>
                  <w:vAlign w:val="center"/>
                </w:tcPr>
                <w:p w14:paraId="1A9B1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比例（</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p>
              </w:tc>
            </w:tr>
            <w:tr w14:paraId="02B98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tcBorders>
                    <w:tl2br w:val="nil"/>
                    <w:tr2bl w:val="nil"/>
                  </w:tcBorders>
                  <w:shd w:val="clear" w:color="auto" w:fill="auto"/>
                  <w:vAlign w:val="center"/>
                </w:tcPr>
                <w:p w14:paraId="13FF1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一级地类</w:t>
                  </w:r>
                </w:p>
              </w:tc>
              <w:tc>
                <w:tcPr>
                  <w:tcW w:w="1514" w:type="pct"/>
                  <w:tcBorders>
                    <w:tl2br w:val="nil"/>
                    <w:tr2bl w:val="nil"/>
                  </w:tcBorders>
                  <w:shd w:val="clear" w:color="auto" w:fill="auto"/>
                  <w:vAlign w:val="center"/>
                </w:tcPr>
                <w:p w14:paraId="20443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二级地类</w:t>
                  </w:r>
                </w:p>
              </w:tc>
              <w:tc>
                <w:tcPr>
                  <w:tcW w:w="1070" w:type="pct"/>
                  <w:vMerge w:val="continue"/>
                  <w:tcBorders>
                    <w:tl2br w:val="nil"/>
                    <w:tr2bl w:val="nil"/>
                  </w:tcBorders>
                  <w:shd w:val="clear" w:color="auto" w:fill="auto"/>
                  <w:vAlign w:val="center"/>
                </w:tcPr>
                <w:p w14:paraId="68EA0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p>
              </w:tc>
              <w:tc>
                <w:tcPr>
                  <w:tcW w:w="900" w:type="pct"/>
                  <w:vMerge w:val="continue"/>
                  <w:tcBorders>
                    <w:tl2br w:val="nil"/>
                    <w:tr2bl w:val="nil"/>
                  </w:tcBorders>
                  <w:shd w:val="clear" w:color="auto" w:fill="auto"/>
                  <w:vAlign w:val="center"/>
                </w:tcPr>
                <w:p w14:paraId="4EA369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p>
              </w:tc>
            </w:tr>
            <w:tr w14:paraId="097C99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6C428C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草地（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4" w:type="pct"/>
                  <w:tcBorders>
                    <w:tl2br w:val="nil"/>
                    <w:tr2bl w:val="nil"/>
                  </w:tcBorders>
                  <w:shd w:val="clear" w:color="auto" w:fill="auto"/>
                  <w:vAlign w:val="center"/>
                </w:tcPr>
                <w:p w14:paraId="76CF8B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天然牧草地（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0401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05DB2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8.15</w:t>
                  </w:r>
                </w:p>
              </w:tc>
              <w:tc>
                <w:tcPr>
                  <w:tcW w:w="900" w:type="pct"/>
                  <w:tcBorders>
                    <w:tl2br w:val="nil"/>
                    <w:tr2bl w:val="nil"/>
                  </w:tcBorders>
                  <w:shd w:val="clear" w:color="auto" w:fill="auto"/>
                  <w:noWrap/>
                  <w:vAlign w:val="center"/>
                </w:tcPr>
                <w:p w14:paraId="3BEA3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23.66</w:t>
                  </w:r>
                </w:p>
              </w:tc>
            </w:tr>
            <w:tr w14:paraId="2BA7F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2331E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4" w:type="pct"/>
                  <w:tcBorders>
                    <w:tl2br w:val="nil"/>
                    <w:tr2bl w:val="nil"/>
                  </w:tcBorders>
                  <w:shd w:val="clear" w:color="auto" w:fill="auto"/>
                  <w:vAlign w:val="center"/>
                </w:tcPr>
                <w:p w14:paraId="1544B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38DF5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8.15</w:t>
                  </w:r>
                </w:p>
              </w:tc>
              <w:tc>
                <w:tcPr>
                  <w:tcW w:w="900" w:type="pct"/>
                  <w:tcBorders>
                    <w:tl2br w:val="nil"/>
                    <w:tr2bl w:val="nil"/>
                  </w:tcBorders>
                  <w:shd w:val="clear" w:color="auto" w:fill="auto"/>
                  <w:noWrap/>
                  <w:vAlign w:val="center"/>
                </w:tcPr>
                <w:p w14:paraId="2601D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23.66</w:t>
                  </w:r>
                </w:p>
              </w:tc>
            </w:tr>
            <w:tr w14:paraId="6B809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1C9D2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工矿用地（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4" w:type="pct"/>
                  <w:tcBorders>
                    <w:tl2br w:val="nil"/>
                    <w:tr2bl w:val="nil"/>
                  </w:tcBorders>
                  <w:shd w:val="clear" w:color="auto" w:fill="auto"/>
                  <w:vAlign w:val="center"/>
                </w:tcPr>
                <w:p w14:paraId="2F9E26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采矿用地（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0602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382DE1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26.08</w:t>
                  </w:r>
                </w:p>
              </w:tc>
              <w:tc>
                <w:tcPr>
                  <w:tcW w:w="900" w:type="pct"/>
                  <w:tcBorders>
                    <w:tl2br w:val="nil"/>
                    <w:tr2bl w:val="nil"/>
                  </w:tcBorders>
                  <w:shd w:val="clear" w:color="auto" w:fill="auto"/>
                  <w:noWrap/>
                  <w:vAlign w:val="center"/>
                </w:tcPr>
                <w:p w14:paraId="399FF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75.73</w:t>
                  </w:r>
                </w:p>
              </w:tc>
            </w:tr>
            <w:tr w14:paraId="635AC4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0087D2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4" w:type="pct"/>
                  <w:tcBorders>
                    <w:tl2br w:val="nil"/>
                    <w:tr2bl w:val="nil"/>
                  </w:tcBorders>
                  <w:shd w:val="clear" w:color="auto" w:fill="auto"/>
                  <w:vAlign w:val="center"/>
                </w:tcPr>
                <w:p w14:paraId="54906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145CD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26.08</w:t>
                  </w:r>
                </w:p>
              </w:tc>
              <w:tc>
                <w:tcPr>
                  <w:tcW w:w="900" w:type="pct"/>
                  <w:tcBorders>
                    <w:tl2br w:val="nil"/>
                    <w:tr2bl w:val="nil"/>
                  </w:tcBorders>
                  <w:shd w:val="clear" w:color="auto" w:fill="auto"/>
                  <w:noWrap/>
                  <w:vAlign w:val="center"/>
                </w:tcPr>
                <w:p w14:paraId="7EB82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75.73</w:t>
                  </w:r>
                </w:p>
              </w:tc>
            </w:tr>
            <w:tr w14:paraId="249B6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62F2A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交通运输用地（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4" w:type="pct"/>
                  <w:tcBorders>
                    <w:tl2br w:val="nil"/>
                    <w:tr2bl w:val="nil"/>
                  </w:tcBorders>
                  <w:shd w:val="clear" w:color="auto" w:fill="auto"/>
                  <w:vAlign w:val="center"/>
                </w:tcPr>
                <w:p w14:paraId="4E316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农村道路（</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1006</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24FD97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0.21</w:t>
                  </w:r>
                </w:p>
              </w:tc>
              <w:tc>
                <w:tcPr>
                  <w:tcW w:w="900" w:type="pct"/>
                  <w:tcBorders>
                    <w:tl2br w:val="nil"/>
                    <w:tr2bl w:val="nil"/>
                  </w:tcBorders>
                  <w:shd w:val="clear" w:color="auto" w:fill="auto"/>
                  <w:noWrap/>
                  <w:vAlign w:val="center"/>
                </w:tcPr>
                <w:p w14:paraId="4E7CB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0.61</w:t>
                  </w:r>
                </w:p>
              </w:tc>
            </w:tr>
            <w:tr w14:paraId="689FE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2378E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4" w:type="pct"/>
                  <w:tcBorders>
                    <w:tl2br w:val="nil"/>
                    <w:tr2bl w:val="nil"/>
                  </w:tcBorders>
                  <w:shd w:val="clear" w:color="auto" w:fill="auto"/>
                  <w:vAlign w:val="center"/>
                </w:tcPr>
                <w:p w14:paraId="156CA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2910BB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0.21</w:t>
                  </w:r>
                </w:p>
              </w:tc>
              <w:tc>
                <w:tcPr>
                  <w:tcW w:w="900" w:type="pct"/>
                  <w:tcBorders>
                    <w:tl2br w:val="nil"/>
                    <w:tr2bl w:val="nil"/>
                  </w:tcBorders>
                  <w:shd w:val="clear" w:color="auto" w:fill="auto"/>
                  <w:noWrap/>
                  <w:vAlign w:val="center"/>
                </w:tcPr>
                <w:p w14:paraId="0AE639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0.61</w:t>
                  </w:r>
                </w:p>
              </w:tc>
            </w:tr>
            <w:tr w14:paraId="734AD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28" w:type="pct"/>
                  <w:gridSpan w:val="2"/>
                  <w:tcBorders>
                    <w:tl2br w:val="nil"/>
                    <w:tr2bl w:val="nil"/>
                  </w:tcBorders>
                  <w:shd w:val="clear" w:color="auto" w:fill="auto"/>
                  <w:noWrap/>
                  <w:vAlign w:val="center"/>
                </w:tcPr>
                <w:p w14:paraId="0D11E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合计</w:t>
                  </w:r>
                </w:p>
              </w:tc>
              <w:tc>
                <w:tcPr>
                  <w:tcW w:w="1070" w:type="pct"/>
                  <w:tcBorders>
                    <w:tl2br w:val="nil"/>
                    <w:tr2bl w:val="nil"/>
                  </w:tcBorders>
                  <w:shd w:val="clear" w:color="auto" w:fill="auto"/>
                  <w:noWrap/>
                  <w:vAlign w:val="center"/>
                </w:tcPr>
                <w:p w14:paraId="7A5C1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34.44</w:t>
                  </w:r>
                </w:p>
              </w:tc>
              <w:tc>
                <w:tcPr>
                  <w:tcW w:w="900" w:type="pct"/>
                  <w:tcBorders>
                    <w:tl2br w:val="nil"/>
                    <w:tr2bl w:val="nil"/>
                  </w:tcBorders>
                  <w:shd w:val="clear" w:color="auto" w:fill="auto"/>
                  <w:noWrap/>
                  <w:vAlign w:val="center"/>
                </w:tcPr>
                <w:p w14:paraId="4BF09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100.00</w:t>
                  </w:r>
                </w:p>
              </w:tc>
            </w:tr>
          </w:tbl>
          <w:p w14:paraId="43B54C34">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9、主要施工机械设备</w:t>
            </w:r>
          </w:p>
          <w:p w14:paraId="5B14F06B">
            <w:pPr>
              <w:pStyle w:val="2"/>
              <w:bidi w:val="0"/>
              <w:ind w:firstLine="454"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本项目通过地形地貌恢复工程、截排水工程、生态恢复工程等对项目区灰石矿山进行生态恢复治理。本项目主要施工机械设备见表2-6。</w:t>
            </w:r>
          </w:p>
          <w:p w14:paraId="77EDA530">
            <w:pPr>
              <w:pStyle w:val="9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主要</w:t>
            </w:r>
            <w:r>
              <w:rPr>
                <w:rFonts w:hint="eastAsia"/>
                <w:color w:val="000000" w:themeColor="text1"/>
                <w:highlight w:val="none"/>
                <w:lang w:val="en-US" w:eastAsia="zh-CN"/>
                <w14:textFill>
                  <w14:solidFill>
                    <w14:schemeClr w14:val="tx1"/>
                  </w14:solidFill>
                </w14:textFill>
              </w:rPr>
              <w:t>施工机械设备</w:t>
            </w:r>
            <w:r>
              <w:rPr>
                <w:color w:val="000000" w:themeColor="text1"/>
                <w:highlight w:val="none"/>
                <w14:textFill>
                  <w14:solidFill>
                    <w14:schemeClr w14:val="tx1"/>
                  </w14:solidFill>
                </w14:textFill>
              </w:rPr>
              <w:t>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0"/>
              <w:gridCol w:w="984"/>
              <w:gridCol w:w="2185"/>
              <w:gridCol w:w="1746"/>
              <w:gridCol w:w="1393"/>
            </w:tblGrid>
            <w:tr w14:paraId="79E34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38D74B36">
                  <w:pPr>
                    <w:pStyle w:val="9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设施名称</w:t>
                  </w:r>
                </w:p>
              </w:tc>
              <w:tc>
                <w:tcPr>
                  <w:tcW w:w="600" w:type="pct"/>
                  <w:noWrap w:val="0"/>
                  <w:vAlign w:val="center"/>
                </w:tcPr>
                <w:p w14:paraId="49D14F3F">
                  <w:pPr>
                    <w:pStyle w:val="9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数量</w:t>
                  </w:r>
                </w:p>
              </w:tc>
              <w:tc>
                <w:tcPr>
                  <w:tcW w:w="1332" w:type="pct"/>
                  <w:noWrap w:val="0"/>
                  <w:vAlign w:val="center"/>
                </w:tcPr>
                <w:p w14:paraId="11C7346E">
                  <w:pPr>
                    <w:pStyle w:val="9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参数名称</w:t>
                  </w:r>
                </w:p>
              </w:tc>
              <w:tc>
                <w:tcPr>
                  <w:tcW w:w="1064" w:type="pct"/>
                  <w:noWrap w:val="0"/>
                  <w:vAlign w:val="center"/>
                </w:tcPr>
                <w:p w14:paraId="629A4137">
                  <w:pPr>
                    <w:pStyle w:val="9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计量单位</w:t>
                  </w:r>
                </w:p>
              </w:tc>
              <w:tc>
                <w:tcPr>
                  <w:tcW w:w="849" w:type="pct"/>
                  <w:noWrap w:val="0"/>
                  <w:vAlign w:val="center"/>
                </w:tcPr>
                <w:p w14:paraId="505C68AE">
                  <w:pPr>
                    <w:pStyle w:val="9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设计值</w:t>
                  </w:r>
                </w:p>
              </w:tc>
            </w:tr>
            <w:tr w14:paraId="79067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371D3629">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挖掘机</w:t>
                  </w:r>
                </w:p>
              </w:tc>
              <w:tc>
                <w:tcPr>
                  <w:tcW w:w="600" w:type="pct"/>
                  <w:noWrap w:val="0"/>
                  <w:vAlign w:val="center"/>
                </w:tcPr>
                <w:p w14:paraId="05A7E244">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332" w:type="pct"/>
                  <w:noWrap w:val="0"/>
                  <w:vAlign w:val="center"/>
                </w:tcPr>
                <w:p w14:paraId="1399ECC5">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吨位</w:t>
                  </w:r>
                </w:p>
              </w:tc>
              <w:tc>
                <w:tcPr>
                  <w:tcW w:w="1064" w:type="pct"/>
                  <w:noWrap w:val="0"/>
                  <w:vAlign w:val="center"/>
                </w:tcPr>
                <w:p w14:paraId="45BE2D98">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w:t>
                  </w:r>
                </w:p>
              </w:tc>
              <w:tc>
                <w:tcPr>
                  <w:tcW w:w="849" w:type="pct"/>
                  <w:noWrap w:val="0"/>
                  <w:vAlign w:val="center"/>
                </w:tcPr>
                <w:p w14:paraId="094A9A7B">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14:paraId="0BCBC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07D535CB">
                  <w:pPr>
                    <w:pStyle w:val="92"/>
                    <w:jc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推土机</w:t>
                  </w:r>
                </w:p>
              </w:tc>
              <w:tc>
                <w:tcPr>
                  <w:tcW w:w="600" w:type="pct"/>
                  <w:noWrap w:val="0"/>
                  <w:vAlign w:val="center"/>
                </w:tcPr>
                <w:p w14:paraId="1D32377C">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332" w:type="pct"/>
                  <w:noWrap w:val="0"/>
                  <w:vAlign w:val="center"/>
                </w:tcPr>
                <w:p w14:paraId="3D9DA7FA">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额定功率</w:t>
                  </w:r>
                </w:p>
              </w:tc>
              <w:tc>
                <w:tcPr>
                  <w:tcW w:w="1064" w:type="pct"/>
                  <w:noWrap w:val="0"/>
                  <w:vAlign w:val="center"/>
                </w:tcPr>
                <w:p w14:paraId="1537E1B8">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kW</w:t>
                  </w:r>
                </w:p>
              </w:tc>
              <w:tc>
                <w:tcPr>
                  <w:tcW w:w="849" w:type="pct"/>
                  <w:noWrap w:val="0"/>
                  <w:vAlign w:val="center"/>
                </w:tcPr>
                <w:p w14:paraId="07C1F7D9">
                  <w:pPr>
                    <w:pStyle w:val="92"/>
                    <w:jc w:val="cente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74</w:t>
                  </w:r>
                </w:p>
              </w:tc>
            </w:tr>
            <w:tr w14:paraId="643906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3A661239">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运输车辆</w:t>
                  </w:r>
                </w:p>
              </w:tc>
              <w:tc>
                <w:tcPr>
                  <w:tcW w:w="600" w:type="pct"/>
                  <w:noWrap w:val="0"/>
                  <w:vAlign w:val="center"/>
                </w:tcPr>
                <w:p w14:paraId="60CB6094">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332" w:type="pct"/>
                  <w:noWrap w:val="0"/>
                  <w:vAlign w:val="center"/>
                </w:tcPr>
                <w:p w14:paraId="427A1483">
                  <w:pPr>
                    <w:pStyle w:val="92"/>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容积</w:t>
                  </w:r>
                </w:p>
              </w:tc>
              <w:tc>
                <w:tcPr>
                  <w:tcW w:w="1064" w:type="pct"/>
                  <w:noWrap w:val="0"/>
                  <w:vAlign w:val="center"/>
                </w:tcPr>
                <w:p w14:paraId="362D0BE7">
                  <w:pPr>
                    <w:pStyle w:val="92"/>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t</w:t>
                  </w:r>
                </w:p>
              </w:tc>
              <w:tc>
                <w:tcPr>
                  <w:tcW w:w="849" w:type="pct"/>
                  <w:noWrap w:val="0"/>
                  <w:vAlign w:val="center"/>
                </w:tcPr>
                <w:p w14:paraId="542DFDAA">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r>
            <w:tr w14:paraId="6D897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3AB6FB68">
                  <w:pPr>
                    <w:pStyle w:val="92"/>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洒水车</w:t>
                  </w:r>
                </w:p>
              </w:tc>
              <w:tc>
                <w:tcPr>
                  <w:tcW w:w="600" w:type="pct"/>
                  <w:noWrap w:val="0"/>
                  <w:vAlign w:val="center"/>
                </w:tcPr>
                <w:p w14:paraId="1EACC00D">
                  <w:pPr>
                    <w:pStyle w:val="92"/>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332" w:type="pct"/>
                  <w:noWrap w:val="0"/>
                  <w:vAlign w:val="center"/>
                </w:tcPr>
                <w:p w14:paraId="008D6A65">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64" w:type="pct"/>
                  <w:noWrap w:val="0"/>
                  <w:vAlign w:val="center"/>
                </w:tcPr>
                <w:p w14:paraId="2AA98408">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849" w:type="pct"/>
                  <w:noWrap w:val="0"/>
                  <w:vAlign w:val="center"/>
                </w:tcPr>
                <w:p w14:paraId="0806C840">
                  <w:pPr>
                    <w:pStyle w:val="92"/>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bl>
          <w:p w14:paraId="16D41DB0">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10、渣堆回填的可行性分析</w:t>
            </w:r>
          </w:p>
          <w:p w14:paraId="7550D8C4">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color w:val="000000" w:themeColor="text1"/>
                <w:highlight w:val="none"/>
                <w14:textFill>
                  <w14:solidFill>
                    <w14:schemeClr w14:val="tx1"/>
                  </w14:solidFill>
                </w14:textFill>
              </w:rPr>
              <w:t>固体废物鉴别标准通则</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GB34330-2017</w:t>
            </w:r>
            <w:r>
              <w:rPr>
                <w:rFonts w:hint="eastAsia"/>
                <w:color w:val="000000" w:themeColor="text1"/>
                <w:highlight w:val="none"/>
                <w:lang w:val="en-US" w:eastAsia="zh-CN"/>
                <w14:textFill>
                  <w14:solidFill>
                    <w14:schemeClr w14:val="tx1"/>
                  </w14:solidFill>
                </w14:textFill>
              </w:rPr>
              <w:t>）6.2按照以下方式进行处置后的物质，不作为固体废物管理：</w:t>
            </w:r>
          </w:p>
          <w:p w14:paraId="2D1952E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a)金属矿、非金属矿和煤炭采选过程中直接留在或返回到采空区的符合GB18599中第I类一般工业固体废物要求的采矿废石、尾矿和煤矸石。但是带入除采矿废石、尾矿和煤矸石以外的其他污染物质的除外。</w:t>
            </w:r>
          </w:p>
          <w:p w14:paraId="524C93A4">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根据《一般工业固体废物贮存和填埋污染控制标准》（GB 18599-2020）充填及回填利用污染控制要求8.1第1类一般工业固体废物可按下列途径进行充填或回填作业：c)尾矿、矿山废石等可在原矿开采区的矿井、矿坑等采空区中充填或回填。</w:t>
            </w:r>
            <w:r>
              <w:rPr>
                <w:rFonts w:hint="eastAsia" w:cs="Times New Roman"/>
                <w:color w:val="000000" w:themeColor="text1"/>
                <w:highlight w:val="none"/>
                <w:lang w:val="en-US" w:eastAsia="zh-CN"/>
                <w14:textFill>
                  <w14:solidFill>
                    <w14:schemeClr w14:val="tx1"/>
                  </w14:solidFill>
                </w14:textFill>
              </w:rPr>
              <w:t>本项目回填渣堆均</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为原矿开采区</w:t>
            </w:r>
            <w:r>
              <w:rPr>
                <w:rFonts w:hint="default" w:ascii="宋体" w:hAnsi="宋体" w:eastAsia="宋体" w:cs="宋体"/>
                <w:b w:val="0"/>
                <w:bCs w:val="0"/>
                <w:color w:val="000000" w:themeColor="text1"/>
                <w:sz w:val="24"/>
                <w:szCs w:val="24"/>
                <w:highlight w:val="none"/>
                <w14:textFill>
                  <w14:solidFill>
                    <w14:schemeClr w14:val="tx1"/>
                  </w14:solidFill>
                </w14:textFill>
              </w:rPr>
              <w:t>剥离的</w:t>
            </w:r>
            <w:r>
              <w:rPr>
                <w:rFonts w:hint="eastAsia"/>
                <w:color w:val="000000" w:themeColor="text1"/>
                <w:highlight w:val="none"/>
                <w:lang w:val="en-US" w:eastAsia="zh-CN"/>
                <w14:textFill>
                  <w14:solidFill>
                    <w14:schemeClr w14:val="tx1"/>
                  </w14:solidFill>
                </w14:textFill>
              </w:rPr>
              <w:t>采矿</w:t>
            </w:r>
            <w:r>
              <w:rPr>
                <w:rFonts w:hint="default" w:ascii="宋体" w:hAnsi="宋体" w:eastAsia="宋体" w:cs="宋体"/>
                <w:b w:val="0"/>
                <w:bCs w:val="0"/>
                <w:color w:val="000000" w:themeColor="text1"/>
                <w:sz w:val="24"/>
                <w:szCs w:val="24"/>
                <w:highlight w:val="none"/>
                <w14:textFill>
                  <w14:solidFill>
                    <w14:schemeClr w14:val="tx1"/>
                  </w14:solidFill>
                </w14:textFill>
              </w:rPr>
              <w:t>废石</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因此</w:t>
            </w:r>
            <w:r>
              <w:rPr>
                <w:rFonts w:hint="eastAsia"/>
                <w:color w:val="000000" w:themeColor="text1"/>
                <w:highlight w:val="none"/>
                <w:lang w:val="en-US" w:eastAsia="zh-CN"/>
                <w14:textFill>
                  <w14:solidFill>
                    <w14:schemeClr w14:val="tx1"/>
                  </w14:solidFill>
                </w14:textFill>
              </w:rPr>
              <w:t>不作为固体废物管理，可以回填。</w:t>
            </w:r>
          </w:p>
        </w:tc>
      </w:tr>
      <w:tr w14:paraId="32CB7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46" w:type="dxa"/>
            <w:noWrap w:val="0"/>
            <w:vAlign w:val="center"/>
          </w:tcPr>
          <w:p w14:paraId="3CEA80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 w:val="24"/>
                <w:szCs w:val="21"/>
                <w:highlight w:val="none"/>
                <w14:textFill>
                  <w14:solidFill>
                    <w14:schemeClr w14:val="tx1"/>
                  </w14:solidFill>
                </w14:textFill>
              </w:rPr>
            </w:pPr>
            <w:r>
              <w:rPr>
                <w:b/>
                <w:bCs/>
                <w:color w:val="000000" w:themeColor="text1"/>
                <w:kern w:val="0"/>
                <w:sz w:val="24"/>
                <w:szCs w:val="21"/>
                <w:highlight w:val="none"/>
                <w14:textFill>
                  <w14:solidFill>
                    <w14:schemeClr w14:val="tx1"/>
                  </w14:solidFill>
                </w14:textFill>
              </w:rPr>
              <w:t>总平面及现场布置</w:t>
            </w:r>
          </w:p>
        </w:tc>
        <w:tc>
          <w:tcPr>
            <w:tcW w:w="8444" w:type="dxa"/>
            <w:noWrap w:val="0"/>
            <w:vAlign w:val="center"/>
          </w:tcPr>
          <w:p w14:paraId="2845930B">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1、总平面布置</w:t>
            </w:r>
          </w:p>
          <w:p w14:paraId="34C7434C">
            <w:pPr>
              <w:widowControl/>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中卫市宣和镇天景山天主峰灰石矿矿山生态修复治理项目位于宁夏回族自治区中卫市沙坡头区宣和镇天景山北麓，周边已形成以公路运输为主的交通运输网络。项目区内有砂石路与项目区外的三党公路、</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团钵朗路</w:t>
            </w:r>
            <w:r>
              <w:rPr>
                <w:rFonts w:hint="default" w:ascii="Times New Roman" w:hAnsi="Times New Roman" w:cs="Times New Roman"/>
                <w:color w:val="000000" w:themeColor="text1"/>
                <w:kern w:val="0"/>
                <w:sz w:val="24"/>
                <w:highlight w:val="none"/>
                <w14:textFill>
                  <w14:solidFill>
                    <w14:schemeClr w14:val="tx1"/>
                  </w14:solidFill>
                </w14:textFill>
              </w:rPr>
              <w:t>相通，对外交通便利。</w:t>
            </w:r>
          </w:p>
          <w:p w14:paraId="22ACC201">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运营期不存在工程措施，只针对草地进行养护。设计草地养护期为3年。养护的主要内容是浇水，针对项目治理区内</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处种草区域。</w:t>
            </w:r>
          </w:p>
          <w:p w14:paraId="25636D21">
            <w:pPr>
              <w:widowControl/>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根据治理区周边多年植草经验，结合区域内降水量小，蒸发量大的特点，在6-8月份需进行人工补水。养护期结束后，逐步引导自然恢复。补水方式采用水罐车拉水，利用软管进行人工浇水。</w:t>
            </w:r>
          </w:p>
          <w:p w14:paraId="7FF9F215">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1、工程布局情况</w:t>
            </w:r>
          </w:p>
          <w:p w14:paraId="21D91BD4">
            <w:pPr>
              <w:bidi w:val="0"/>
              <w:rPr>
                <w:rFonts w:hint="eastAsia"/>
                <w:color w:val="000000" w:themeColor="text1"/>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w:t>
            </w:r>
            <w:r>
              <w:rPr>
                <w:color w:val="000000" w:themeColor="text1"/>
                <w:kern w:val="0"/>
                <w:sz w:val="24"/>
                <w:highlight w:val="none"/>
                <w14:textFill>
                  <w14:solidFill>
                    <w14:schemeClr w14:val="tx1"/>
                  </w14:solidFill>
                </w14:textFill>
              </w:rPr>
              <w:t>项目位于</w:t>
            </w:r>
            <w:r>
              <w:rPr>
                <w:rFonts w:hint="eastAsia"/>
                <w:color w:val="000000" w:themeColor="text1"/>
                <w:sz w:val="24"/>
                <w:highlight w:val="none"/>
                <w:lang w:eastAsia="zh-CN"/>
                <w14:textFill>
                  <w14:solidFill>
                    <w14:schemeClr w14:val="tx1"/>
                  </w14:solidFill>
                </w14:textFill>
              </w:rPr>
              <w:t>中</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卫</w:t>
            </w:r>
            <w:r>
              <w:rPr>
                <w:rFonts w:hint="default" w:ascii="Times New Roman" w:hAnsi="Times New Roman" w:cs="Times New Roman"/>
                <w:color w:val="000000" w:themeColor="text1"/>
                <w:sz w:val="24"/>
                <w:szCs w:val="24"/>
                <w:highlight w:val="none"/>
                <w:u w:val="none"/>
                <w14:textFill>
                  <w14:solidFill>
                    <w14:schemeClr w14:val="tx1"/>
                  </w14:solidFill>
                </w14:textFill>
              </w:rPr>
              <w:t>市沙坡头区</w:t>
            </w:r>
            <w:r>
              <w:rPr>
                <w:rFonts w:hint="eastAsia" w:cs="Times New Roman"/>
                <w:color w:val="000000" w:themeColor="text1"/>
                <w:sz w:val="24"/>
                <w:szCs w:val="24"/>
                <w:highlight w:val="none"/>
                <w:u w:val="none"/>
                <w:lang w:val="en-US" w:eastAsia="zh-CN"/>
                <w14:textFill>
                  <w14:solidFill>
                    <w14:schemeClr w14:val="tx1"/>
                  </w14:solidFill>
                </w14:textFill>
              </w:rPr>
              <w:t>宣和镇</w:t>
            </w:r>
            <w:r>
              <w:rPr>
                <w:rFonts w:hint="eastAsia"/>
                <w:color w:val="000000" w:themeColor="text1"/>
                <w:kern w:val="0"/>
                <w:sz w:val="24"/>
                <w:highlight w:val="none"/>
                <w:lang w:val="en-US" w:eastAsia="zh-CN"/>
                <w14:textFill>
                  <w14:solidFill>
                    <w14:schemeClr w14:val="tx1"/>
                  </w14:solidFill>
                </w14:textFill>
              </w:rPr>
              <w:t>，总治理面积34.44hm</w:t>
            </w:r>
            <w:r>
              <w:rPr>
                <w:rFonts w:hint="eastAsia"/>
                <w:color w:val="000000" w:themeColor="text1"/>
                <w:kern w:val="0"/>
                <w:sz w:val="24"/>
                <w:highlight w:val="none"/>
                <w:vertAlign w:val="superscript"/>
                <w:lang w:val="en-US" w:eastAsia="zh-CN"/>
                <w14:textFill>
                  <w14:solidFill>
                    <w14:schemeClr w14:val="tx1"/>
                  </w14:solidFill>
                </w14:textFill>
              </w:rPr>
              <w:t>2</w:t>
            </w:r>
            <w:r>
              <w:rPr>
                <w:rFonts w:hint="eastAsia"/>
                <w:color w:val="000000" w:themeColor="text1"/>
                <w:kern w:val="0"/>
                <w:sz w:val="24"/>
                <w:highlight w:val="none"/>
                <w:lang w:val="en-US" w:eastAsia="zh-CN"/>
                <w14:textFill>
                  <w14:solidFill>
                    <w14:schemeClr w14:val="tx1"/>
                  </w14:solidFill>
                </w14:textFill>
              </w:rPr>
              <w:t>，均为临时占地。</w:t>
            </w:r>
            <w:r>
              <w:rPr>
                <w:rFonts w:hint="eastAsia"/>
                <w:color w:val="000000" w:themeColor="text1"/>
                <w:highlight w:val="none"/>
                <w:lang w:val="en-US" w:eastAsia="zh-CN"/>
                <w14:textFill>
                  <w14:solidFill>
                    <w14:schemeClr w14:val="tx1"/>
                  </w14:solidFill>
                </w14:textFill>
              </w:rPr>
              <w:t>主要进行地貌恢复工程及边坡治理、截水埂修建及导流槽开挖、生态植被恢复等。</w:t>
            </w:r>
          </w:p>
          <w:p w14:paraId="276E2431">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地形</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地貌</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恢复工程</w:t>
            </w:r>
          </w:p>
          <w:p w14:paraId="68E5D881">
            <w:pPr>
              <w:widowControl/>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渣石</w:t>
            </w:r>
            <w:r>
              <w:rPr>
                <w:rFonts w:hint="default" w:ascii="Times New Roman" w:hAnsi="Times New Roman" w:cs="Times New Roman"/>
                <w:color w:val="000000" w:themeColor="text1"/>
                <w:kern w:val="0"/>
                <w:sz w:val="24"/>
                <w:highlight w:val="none"/>
                <w14:textFill>
                  <w14:solidFill>
                    <w14:schemeClr w14:val="tx1"/>
                  </w14:solidFill>
                </w14:textFill>
              </w:rPr>
              <w:t>清理</w:t>
            </w:r>
            <w:r>
              <w:rPr>
                <w:rFonts w:hint="default" w:ascii="Times New Roman" w:hAnsi="Times New Roman" w:cs="Times New Roman"/>
                <w:color w:val="000000" w:themeColor="text1"/>
                <w:kern w:val="0"/>
                <w:sz w:val="24"/>
                <w:highlight w:val="none"/>
                <w:lang w:eastAsia="zh-CN"/>
                <w14:textFill>
                  <w14:solidFill>
                    <w14:schemeClr w14:val="tx1"/>
                  </w14:solidFill>
                </w14:textFill>
              </w:rPr>
              <w:t>：项目区内有1处</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渣石清理区，</w:t>
            </w:r>
            <w:r>
              <w:rPr>
                <w:rFonts w:hint="default" w:ascii="Times New Roman" w:hAnsi="Times New Roman" w:cs="Times New Roman"/>
                <w:color w:val="000000" w:themeColor="text1"/>
                <w:kern w:val="0"/>
                <w:sz w:val="24"/>
                <w:highlight w:val="none"/>
                <w:lang w:eastAsia="zh-CN"/>
                <w14:textFill>
                  <w14:solidFill>
                    <w14:schemeClr w14:val="tx1"/>
                  </w14:solidFill>
                </w14:textFill>
              </w:rPr>
              <w:t>由于水保措施不完善、管护不到位等因素，雨水冲刷导致土层流失，废渣裸露，渣石滚落至边坡底部</w:t>
            </w:r>
            <w:r>
              <w:rPr>
                <w:rFonts w:hint="eastAsia" w:ascii="Times New Roman" w:hAnsi="Times New Roman" w:cs="Times New Roman"/>
                <w:color w:val="000000" w:themeColor="text1"/>
                <w:kern w:val="0"/>
                <w:sz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位于治理区南侧。</w:t>
            </w:r>
            <w:r>
              <w:rPr>
                <w:rFonts w:hint="default" w:ascii="Times New Roman" w:hAnsi="Times New Roman" w:cs="Times New Roman"/>
                <w:color w:val="000000" w:themeColor="text1"/>
                <w:kern w:val="0"/>
                <w:sz w:val="24"/>
                <w:highlight w:val="none"/>
                <w14:textFill>
                  <w14:solidFill>
                    <w14:schemeClr w14:val="tx1"/>
                  </w14:solidFill>
                </w14:textFill>
              </w:rPr>
              <w:t>清理作业完成后，确保与周边地形地貌相协调。</w:t>
            </w:r>
          </w:p>
          <w:p w14:paraId="4B2EE06F">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坡面修整：项目治理区共有</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处边坡需要修整，1处位于治理区北侧，1处位于治理区</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东侧，1处位于治理区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中部位置。</w:t>
            </w:r>
          </w:p>
          <w:p w14:paraId="42AF6888">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场区平整：</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对</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项目治理区覆土区域进行平整。</w:t>
            </w:r>
          </w:p>
          <w:p w14:paraId="07846D23">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⑵</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截水导流工程</w:t>
            </w:r>
          </w:p>
          <w:p w14:paraId="482F0D9B">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截水埂：马道外侧设置截水埂，并且采用反坡设计，防止坡面集水形成的地面径流造成下级坡面的破坏</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w:t>
            </w:r>
          </w:p>
          <w:p w14:paraId="34325AFF">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导流槽：根据项目区地形，在雨水汇集处设置导流槽，防止坡面被冲刷导致水土流失，形成冲沟，坡面受到水流侵蚀，导致整体失稳。</w:t>
            </w:r>
          </w:p>
          <w:p w14:paraId="55AAD2E2">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⑶</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生态植被恢复工程</w:t>
            </w:r>
          </w:p>
          <w:p w14:paraId="2FD4A27A">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覆土工程、土地翻松：项目治理区内部分区域</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因</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渣石料</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长时间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堆积，</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已</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不具备植被生长条件，共</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处，故本项目对</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6处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区域进行平整后覆土翻松。</w:t>
            </w:r>
          </w:p>
          <w:p w14:paraId="313E8B29">
            <w:pPr>
              <w:widowControl/>
              <w:ind w:firstLine="454" w:firstLineChars="20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穴播种草：治理区经过多年的自然恢复和人工干预，部分区域自然恢复情况较好，该区域不进行工程措施，只针对恢复效果较差区域进行生态植被恢复工程。项目治</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理区内共</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处需要种草，基本覆盖项目区域全部。</w:t>
            </w:r>
          </w:p>
          <w:p w14:paraId="7679BD75">
            <w:pPr>
              <w:widowControl/>
              <w:ind w:firstLine="454" w:firstLineChars="200"/>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项目工程布置图详见附图</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p>
          <w:p w14:paraId="51C00393">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2、施工布置情况</w:t>
            </w:r>
          </w:p>
          <w:p w14:paraId="2474C15A">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了便于管理，根据项目的分项工程合理安排施工顺序，依据工程特点和施工条件，研究和解决主要工程施工期间所需要的各种施工设施在平面和立面上的问题，建立健全施工组织，以便在施工总进度规定的期限内，完成整个工程的建设任务。</w:t>
            </w:r>
          </w:p>
          <w:p w14:paraId="589B9D55">
            <w:pPr>
              <w:keepNext w:val="0"/>
              <w:keepLines w:val="0"/>
              <w:suppressLineNumbers w:val="0"/>
              <w:bidi w:val="0"/>
              <w:spacing w:before="0" w:beforeAutospacing="0" w:after="0" w:afterAutospacing="0"/>
              <w:ind w:left="0" w:right="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总的布置原则应遵循因地制宜、利于施工、易于管理、方便生活、安全经济的原则。</w:t>
            </w:r>
          </w:p>
          <w:p w14:paraId="75D9CF6E">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1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⑴</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施工区、生活区划分</w:t>
            </w:r>
          </w:p>
          <w:p w14:paraId="78755F7F">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营地依托项目区周边村庄</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p w14:paraId="63F97590">
            <w:pPr>
              <w:keepNext w:val="0"/>
              <w:keepLines w:val="0"/>
              <w:suppressLineNumbers w:val="0"/>
              <w:bidi w:val="0"/>
              <w:spacing w:before="0" w:beforeAutospacing="0" w:after="0" w:afterAutospacing="0"/>
              <w:ind w:left="0" w:right="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2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⑵</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施工道路</w:t>
            </w:r>
          </w:p>
          <w:p w14:paraId="797F78AB">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治理区周边分布有县道、乡道等交通运输道路，交通便利。同时治理区范围内设有</w:t>
            </w:r>
            <w:r>
              <w:rPr>
                <w:rFonts w:hint="eastAsia"/>
                <w:color w:val="000000" w:themeColor="text1"/>
                <w:highlight w:val="none"/>
                <w:lang w:val="en-US" w:eastAsia="zh-CN"/>
                <w14:textFill>
                  <w14:solidFill>
                    <w14:schemeClr w14:val="tx1"/>
                  </w14:solidFill>
                </w14:textFill>
              </w:rPr>
              <w:t>原矿区运输道路</w:t>
            </w:r>
            <w:r>
              <w:rPr>
                <w:rFonts w:hint="default"/>
                <w:color w:val="000000" w:themeColor="text1"/>
                <w:highlight w:val="none"/>
                <w:lang w:val="en-US" w:eastAsia="zh-CN"/>
                <w14:textFill>
                  <w14:solidFill>
                    <w14:schemeClr w14:val="tx1"/>
                  </w14:solidFill>
                </w14:textFill>
              </w:rPr>
              <w:t>。</w:t>
            </w:r>
          </w:p>
          <w:p w14:paraId="544EBC8F">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3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⑶</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供水</w:t>
            </w:r>
          </w:p>
          <w:p w14:paraId="33F63FE1">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施工用水、施工人员生活用水购自周边村镇，由水罐车拉运</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现场设置1个12m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不锈钢水箱，用水能够满足项目用水需求。</w:t>
            </w:r>
          </w:p>
          <w:p w14:paraId="55FE8D64">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4 \* GB2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⑷</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供电</w:t>
            </w:r>
          </w:p>
          <w:p w14:paraId="00EE4F9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施工期用电由附近供电电网接入。</w:t>
            </w:r>
          </w:p>
          <w:p w14:paraId="1066877D">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default" w:ascii="宋体" w:hAnsi="宋体" w:eastAsia="宋体" w:cs="宋体"/>
                <w:b w:val="0"/>
                <w:bCs w:val="0"/>
                <w:color w:val="000000" w:themeColor="text1"/>
                <w:sz w:val="24"/>
                <w:szCs w:val="24"/>
                <w:highlight w:val="none"/>
                <w14:textFill>
                  <w14:solidFill>
                    <w14:schemeClr w14:val="tx1"/>
                  </w14:solidFill>
                </w14:textFill>
              </w:rPr>
              <w:instrText xml:space="preserve"> = 5 \* GB2 \* MERGEFORMAT </w:instrText>
            </w: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⑸</w:t>
            </w: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end"/>
            </w:r>
            <w:r>
              <w:rPr>
                <w:rFonts w:hint="default" w:ascii="宋体" w:hAnsi="宋体" w:eastAsia="宋体" w:cs="宋体"/>
                <w:b w:val="0"/>
                <w:bCs w:val="0"/>
                <w:color w:val="000000" w:themeColor="text1"/>
                <w:sz w:val="24"/>
                <w:szCs w:val="24"/>
                <w:highlight w:val="none"/>
                <w14:textFill>
                  <w14:solidFill>
                    <w14:schemeClr w14:val="tx1"/>
                  </w14:solidFill>
                </w14:textFill>
              </w:rPr>
              <w:t>施工技术、设备供应</w:t>
            </w:r>
          </w:p>
          <w:p w14:paraId="0AAB1A5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施工技术供应是保证施工顺利进展的关键。施工机械的先进程度和完好率，是保证整个工程能否按计划进度要求完成的基础。因此，必须根据技术要求和施工进度计划，及时</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做好</w:t>
            </w:r>
            <w:r>
              <w:rPr>
                <w:rFonts w:hint="default" w:ascii="宋体" w:hAnsi="宋体" w:eastAsia="宋体" w:cs="宋体"/>
                <w:b w:val="0"/>
                <w:bCs w:val="0"/>
                <w:color w:val="000000" w:themeColor="text1"/>
                <w:sz w:val="24"/>
                <w:szCs w:val="24"/>
                <w:highlight w:val="none"/>
                <w14:textFill>
                  <w14:solidFill>
                    <w14:schemeClr w14:val="tx1"/>
                  </w14:solidFill>
                </w14:textFill>
              </w:rPr>
              <w:t>技术供应和机械保养等工作。</w:t>
            </w:r>
          </w:p>
          <w:p w14:paraId="6335B98C">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6 \* GB2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⑹</w:t>
            </w:r>
            <w:r>
              <w:rPr>
                <w:rFonts w:hint="default"/>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临时工程</w:t>
            </w:r>
          </w:p>
          <w:p w14:paraId="2E704B6B">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营地依托项目区周边村庄</w:t>
            </w:r>
            <w:r>
              <w:rPr>
                <w:rFonts w:hint="eastAsia"/>
                <w:color w:val="000000" w:themeColor="text1"/>
                <w:highlight w:val="none"/>
                <w:lang w:val="en-US" w:eastAsia="zh-CN"/>
                <w14:textFill>
                  <w14:solidFill>
                    <w14:schemeClr w14:val="tx1"/>
                  </w14:solidFill>
                </w14:textFill>
              </w:rPr>
              <w:t>。</w:t>
            </w:r>
          </w:p>
          <w:p w14:paraId="2DF386DC">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施工便道</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治理区周边分布有道、乡道等交通运输道路，交通便利。同时治理区范围内设有</w:t>
            </w:r>
            <w:r>
              <w:rPr>
                <w:rFonts w:hint="eastAsia"/>
                <w:color w:val="000000" w:themeColor="text1"/>
                <w:highlight w:val="none"/>
                <w:lang w:val="en-US" w:eastAsia="zh-CN"/>
                <w14:textFill>
                  <w14:solidFill>
                    <w14:schemeClr w14:val="tx1"/>
                  </w14:solidFill>
                </w14:textFill>
              </w:rPr>
              <w:t>原矿区运输道路。</w:t>
            </w:r>
          </w:p>
        </w:tc>
      </w:tr>
      <w:tr w14:paraId="14113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646" w:type="dxa"/>
            <w:noWrap w:val="0"/>
            <w:vAlign w:val="center"/>
          </w:tcPr>
          <w:p w14:paraId="7F02280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Cs w:val="21"/>
                <w:highlight w:val="none"/>
                <w14:textFill>
                  <w14:solidFill>
                    <w14:schemeClr w14:val="tx1"/>
                  </w14:solidFill>
                </w14:textFill>
              </w:rPr>
            </w:pPr>
            <w:r>
              <w:rPr>
                <w:b/>
                <w:bCs/>
                <w:color w:val="000000" w:themeColor="text1"/>
                <w:kern w:val="0"/>
                <w:sz w:val="24"/>
                <w:szCs w:val="21"/>
                <w:highlight w:val="none"/>
                <w14:textFill>
                  <w14:solidFill>
                    <w14:schemeClr w14:val="tx1"/>
                  </w14:solidFill>
                </w14:textFill>
              </w:rPr>
              <w:t>施工方案</w:t>
            </w:r>
          </w:p>
        </w:tc>
        <w:tc>
          <w:tcPr>
            <w:tcW w:w="8444" w:type="dxa"/>
            <w:noWrap w:val="0"/>
            <w:vAlign w:val="center"/>
          </w:tcPr>
          <w:p w14:paraId="4A1CC21C">
            <w:pPr>
              <w:pStyle w:val="2"/>
              <w:numPr>
                <w:ilvl w:val="0"/>
                <w:numId w:val="2"/>
              </w:num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施工工艺</w:t>
            </w:r>
          </w:p>
          <w:p w14:paraId="26EEE8BA">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根据治理区生态环境问题特点，本次治理包括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地形地貌恢复工程、截排水工程、生态恢复工程</w:t>
            </w:r>
            <w:r>
              <w:rPr>
                <w:rFonts w:hint="eastAsia"/>
                <w:color w:val="000000" w:themeColor="text1"/>
                <w:highlight w:val="none"/>
                <w:lang w:val="en-US" w:eastAsia="zh-CN"/>
                <w14:textFill>
                  <w14:solidFill>
                    <w14:schemeClr w14:val="tx1"/>
                  </w14:solidFill>
                </w14:textFill>
              </w:rPr>
              <w:t>等工程措施。结合治理区现状问题因施工方案因地制宜的选取不同的工程治理措施。施工期工艺流程及产污环节见图2-3</w:t>
            </w:r>
          </w:p>
          <w:p w14:paraId="21A29601">
            <w:pPr>
              <w:ind w:left="0" w:leftChars="0"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196.55pt;width:388.2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57E79328">
            <w:pPr>
              <w:ind w:left="0" w:leftChars="0" w:firstLine="0" w:firstLineChars="0"/>
              <w:jc w:val="center"/>
              <w:rPr>
                <w:b/>
                <w:bCs/>
                <w:color w:val="000000" w:themeColor="text1"/>
                <w:sz w:val="24"/>
                <w:highlight w:val="none"/>
                <w14:textFill>
                  <w14:solidFill>
                    <w14:schemeClr w14:val="tx1"/>
                  </w14:solidFill>
                </w14:textFill>
              </w:rPr>
            </w:pPr>
            <w:r>
              <w:rPr>
                <w:rFonts w:hint="eastAsia" w:eastAsia="黑体"/>
                <w:color w:val="000000" w:themeColor="text1"/>
                <w:kern w:val="0"/>
                <w:sz w:val="24"/>
                <w:szCs w:val="20"/>
                <w:highlight w:val="none"/>
                <w14:textFill>
                  <w14:solidFill>
                    <w14:schemeClr w14:val="tx1"/>
                  </w14:solidFill>
                </w14:textFill>
              </w:rPr>
              <w:t>图2-</w:t>
            </w:r>
            <w:r>
              <w:rPr>
                <w:rFonts w:hint="eastAsia" w:eastAsia="黑体"/>
                <w:color w:val="000000" w:themeColor="text1"/>
                <w:kern w:val="0"/>
                <w:sz w:val="24"/>
                <w:szCs w:val="20"/>
                <w:highlight w:val="none"/>
                <w:lang w:val="en-US" w:eastAsia="zh-CN"/>
                <w14:textFill>
                  <w14:solidFill>
                    <w14:schemeClr w14:val="tx1"/>
                  </w14:solidFill>
                </w14:textFill>
              </w:rPr>
              <w:t>2</w:t>
            </w:r>
            <w:r>
              <w:rPr>
                <w:rFonts w:eastAsia="黑体"/>
                <w:color w:val="000000" w:themeColor="text1"/>
                <w:kern w:val="0"/>
                <w:sz w:val="24"/>
                <w:szCs w:val="20"/>
                <w:highlight w:val="none"/>
                <w14:textFill>
                  <w14:solidFill>
                    <w14:schemeClr w14:val="tx1"/>
                  </w14:solidFill>
                </w14:textFill>
              </w:rPr>
              <w:t xml:space="preserve"> </w:t>
            </w:r>
            <w:r>
              <w:rPr>
                <w:rFonts w:hint="eastAsia" w:eastAsia="黑体"/>
                <w:color w:val="000000" w:themeColor="text1"/>
                <w:kern w:val="0"/>
                <w:sz w:val="24"/>
                <w:szCs w:val="20"/>
                <w:highlight w:val="none"/>
                <w14:textFill>
                  <w14:solidFill>
                    <w14:schemeClr w14:val="tx1"/>
                  </w14:solidFill>
                </w14:textFill>
              </w:rPr>
              <w:t xml:space="preserve"> 施工工艺流程图</w:t>
            </w:r>
          </w:p>
          <w:p w14:paraId="41232140">
            <w:pPr>
              <w:bidi w:val="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eastAsia" w:eastAsia="宋体"/>
                <w:color w:val="000000" w:themeColor="text1"/>
                <w:highlight w:val="none"/>
                <w:lang w:val="en-US" w:eastAsia="zh-CN"/>
                <w14:textFill>
                  <w14:solidFill>
                    <w14:schemeClr w14:val="tx1"/>
                  </w14:solidFill>
                </w14:textFill>
              </w:rPr>
              <w:t>地形地貌恢复</w:t>
            </w:r>
            <w:r>
              <w:rPr>
                <w:rFonts w:hint="default"/>
                <w:color w:val="000000" w:themeColor="text1"/>
                <w:highlight w:val="none"/>
                <w14:textFill>
                  <w14:solidFill>
                    <w14:schemeClr w14:val="tx1"/>
                  </w14:solidFill>
                </w14:textFill>
              </w:rPr>
              <w:t>工程</w:t>
            </w:r>
          </w:p>
          <w:p w14:paraId="2D1574C1">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①渣石清理</w:t>
            </w:r>
          </w:p>
          <w:p w14:paraId="5CED0D1F">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项目区内有1处边坡由于水保措施不完善、管护不到位等因素，雨水冲刷导致土层流失，废渣裸露，渣石滚落至边坡底部。现将坡面上和坡底的渣石进行清理，用于边坡培坡。渣石清理面积为23001.15m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，工程量为9200.46m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641B12B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②坡面修整</w:t>
            </w:r>
          </w:p>
          <w:p w14:paraId="3F031156">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存在一些坡度稳定但坡面不平整的区域，渣堆堆放形成的不规则边坡，以及雨水冲毁的边坡，针对该部分区域，采取机械修整坡面、坡面转角处及坡顶棱角，使坡面稳定平直，无较大的凸起和凹陷，使坡面与周围坡面连接平滑、协调。</w:t>
            </w:r>
          </w:p>
          <w:p w14:paraId="3EEABD0C">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修整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后，坡脚需进行场地平整，使场地整齐美观，最后采用机械和人工相结合的方式统一压实。</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项目区内有3处坡面需要修整，面积共8333.53m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，修整厚度0.3m，工程量为2500.06m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70080DF8">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③场区平整</w:t>
            </w:r>
          </w:p>
          <w:p w14:paraId="19EA967A">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取土后对</w:t>
            </w:r>
            <w:r>
              <w:rPr>
                <w:rFonts w:hint="eastAsia"/>
                <w:color w:val="000000" w:themeColor="text1"/>
                <w:highlight w:val="none"/>
                <w:lang w:val="en-US" w:eastAsia="zh-CN"/>
                <w14:textFill>
                  <w14:solidFill>
                    <w14:schemeClr w14:val="tx1"/>
                  </w14:solidFill>
                </w14:textFill>
              </w:rPr>
              <w:t>该</w:t>
            </w:r>
            <w:r>
              <w:rPr>
                <w:rFonts w:hint="default"/>
                <w:color w:val="000000" w:themeColor="text1"/>
                <w:highlight w:val="none"/>
                <w:lang w:val="en-US" w:eastAsia="zh-CN"/>
                <w14:textFill>
                  <w14:solidFill>
                    <w14:schemeClr w14:val="tx1"/>
                  </w14:solidFill>
                </w14:textFill>
              </w:rPr>
              <w:t>区域进行平整，平整原则为“大坡就势，小坡整平，各平整场区内土方平衡”，采用推土机进行推平，推土距离控制在30m以内。取土沟道区域平整面积为12172.29m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，平整土方量为5203.65m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57451020">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截排水工程</w:t>
            </w:r>
          </w:p>
          <w:p w14:paraId="36E3617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截水埂</w:t>
            </w:r>
            <w:r>
              <w:rPr>
                <w:rFonts w:hint="eastAsia"/>
                <w:color w:val="000000" w:themeColor="text1"/>
                <w:highlight w:val="none"/>
                <w:lang w:val="en-US" w:eastAsia="zh-CN"/>
                <w14:textFill>
                  <w14:solidFill>
                    <w14:schemeClr w14:val="tx1"/>
                  </w14:solidFill>
                </w14:textFill>
              </w:rPr>
              <w:t>参数</w:t>
            </w:r>
          </w:p>
          <w:p w14:paraId="39A9F850">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截短坡长，将长坡分割为若干短坡，有效降低地表径流的流速；分段截流，拦截上方坡面汇集的径流，防止其集中下泄冲刷坡脚；就地入渗，为雨水创造短暂的停留时间，促进水分下渗，滋养坡面植被；稳定坡面，减少水土流失，为植物生长创造稳定的土壤环境。</w:t>
            </w:r>
          </w:p>
          <w:p w14:paraId="2403C01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具体参数为</w:t>
            </w:r>
            <w:r>
              <w:rPr>
                <w:rFonts w:hint="default"/>
                <w:color w:val="000000" w:themeColor="text1"/>
                <w:highlight w:val="none"/>
                <w:lang w:val="en-US" w:eastAsia="zh-CN"/>
                <w14:textFill>
                  <w14:solidFill>
                    <w14:schemeClr w14:val="tx1"/>
                  </w14:solidFill>
                </w14:textFill>
              </w:rPr>
              <w:t>埂高：0.4m；顶宽：0.4m；内外侧坡度：1:0.75</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埝坑：在截水埂内侧（迎水侧）形成一个因挖方填方造成的自然洼地，可增强蓄水能力。项目区内增加截水埂2086m。</w:t>
            </w:r>
          </w:p>
          <w:p w14:paraId="3C0F8B9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导流槽布置</w:t>
            </w:r>
          </w:p>
          <w:p w14:paraId="6530D9B6">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导流槽的作用将高处汇集的地面径流安全、高效、平稳、无冲刷地引导至坡脚或稳定区域，防止坡面被冲刷导致水土流失，形成冲沟，坡面受到水流侵蚀，导致整体失稳。</w:t>
            </w:r>
          </w:p>
          <w:p w14:paraId="0F85782B">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在土石方培坡的坡脚与原山体交界处设置导流槽，防止上游来水冲刷培坡区造成下切，使边坡失稳而塌方。坡面护脚采用夯实土进行填筑，坡面设计坡度为1:1.5。治理区设置导流槽738m。</w:t>
            </w:r>
          </w:p>
          <w:p w14:paraId="056ED1BB">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生态植被恢复工程</w:t>
            </w:r>
          </w:p>
          <w:p w14:paraId="0B83F859">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覆土工程</w:t>
            </w:r>
          </w:p>
          <w:p w14:paraId="259584EF">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治理区内部分区域为渣石料堆积，不具备植被生长条件，故对该区域进行平整后覆土。按照相关规范，</w:t>
            </w:r>
            <w:r>
              <w:rPr>
                <w:rFonts w:hint="eastAsia"/>
                <w:color w:val="000000" w:themeColor="text1"/>
                <w:highlight w:val="none"/>
                <w:lang w:val="en-US" w:eastAsia="zh-CN"/>
                <w14:textFill>
                  <w14:solidFill>
                    <w14:schemeClr w14:val="tx1"/>
                  </w14:solidFill>
                </w14:textFill>
              </w:rPr>
              <w:t>平均</w:t>
            </w:r>
            <w:r>
              <w:rPr>
                <w:rFonts w:hint="default"/>
                <w:color w:val="000000" w:themeColor="text1"/>
                <w:highlight w:val="none"/>
                <w:lang w:val="en-US" w:eastAsia="zh-CN"/>
                <w14:textFill>
                  <w14:solidFill>
                    <w14:schemeClr w14:val="tx1"/>
                  </w14:solidFill>
                </w14:textFill>
              </w:rPr>
              <w:t>覆土厚度为</w:t>
            </w:r>
            <w:r>
              <w:rPr>
                <w:rFonts w:hint="eastAsia"/>
                <w:color w:val="000000" w:themeColor="text1"/>
                <w:highlight w:val="none"/>
                <w:lang w:val="en-US" w:eastAsia="zh-CN"/>
                <w14:textFill>
                  <w14:solidFill>
                    <w14:schemeClr w14:val="tx1"/>
                  </w14:solidFill>
                </w14:textFill>
              </w:rPr>
              <w:t>15</w:t>
            </w:r>
            <w:r>
              <w:rPr>
                <w:rFonts w:hint="default"/>
                <w:color w:val="000000" w:themeColor="text1"/>
                <w:highlight w:val="none"/>
                <w:lang w:val="en-US" w:eastAsia="zh-CN"/>
                <w14:textFill>
                  <w14:solidFill>
                    <w14:schemeClr w14:val="tx1"/>
                  </w14:solidFill>
                </w14:textFill>
              </w:rPr>
              <w:t>cm，土源为治理区</w:t>
            </w:r>
            <w:r>
              <w:rPr>
                <w:rFonts w:hint="eastAsia"/>
                <w:color w:val="000000" w:themeColor="text1"/>
                <w:highlight w:val="none"/>
                <w:lang w:val="en-US" w:eastAsia="zh-CN"/>
                <w14:textFill>
                  <w14:solidFill>
                    <w14:schemeClr w14:val="tx1"/>
                  </w14:solidFill>
                </w14:textFill>
              </w:rPr>
              <w:t>导流槽开挖土方及部分渣石料清理土方</w:t>
            </w:r>
            <w:r>
              <w:rPr>
                <w:rFonts w:hint="default"/>
                <w:color w:val="000000" w:themeColor="text1"/>
                <w:highlight w:val="none"/>
                <w:lang w:val="en-US" w:eastAsia="zh-CN"/>
                <w14:textFill>
                  <w14:solidFill>
                    <w14:schemeClr w14:val="tx1"/>
                  </w14:solidFill>
                </w14:textFill>
              </w:rPr>
              <w:t>。覆土选用砂砾土，确保表层土壤能够满足植被生长需求最小土层厚度。</w:t>
            </w:r>
          </w:p>
          <w:p w14:paraId="49CAD4D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根据现场条件，覆土厚度最大不超过20cm，平均厚度按15cm计，覆土面积为50984.53m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，覆土量为7647.68m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7B220D91">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②土地翻松</w:t>
            </w:r>
          </w:p>
          <w:p w14:paraId="5008F358">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土地翻松是确保穴播植草成功建植的关键基础步骤，它直接影响草种的发芽率、根系发育以及未来草地的整体健康和美观。人工清除场地内的石块等大型杂物，必要时用铁锹或镐头挖除。翻松。打破原有的板结层，改善土壤的通气性和透水性，为草根向下生长创造空间。翻松深度根据种草条件，为10cm。治理区内土地翻松面积为8.03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w:t>
            </w:r>
          </w:p>
          <w:p w14:paraId="490C91F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穴播种草</w:t>
            </w:r>
          </w:p>
          <w:p w14:paraId="4081818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在播种前1-2天，对整理好的土地进行一次彻底的低水量灌溉。为降低植草成本，可在下雨后1-2天抢墒种草。</w:t>
            </w:r>
          </w:p>
          <w:p w14:paraId="3923B0C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经过多年的自然恢复和人工干预，部分区域自然恢复情况较好，该区域不进行工程措施，只针对恢复效果较差区域进行生态植被恢复工程。草籽选择狗尾草、短花针茅、蒙古冰草，比例为4:3:3，穴播种量为15kg/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草籽必须是优质种子。为确保植草的出苗率，可在项目区周边人工采集适宜当地生产的植物种子，作为先锋物种。穴播时，采用草籽与细质砂壤土按照1：5的比例混合，然后用于种植，同时需满足林草其他相关种植技术要求。</w:t>
            </w:r>
          </w:p>
          <w:p w14:paraId="347E44F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针对斑秃或稀疏区域进行补播，补植依然采用穴播方式，草籽应在雨季抢墒播种。</w:t>
            </w:r>
          </w:p>
          <w:p w14:paraId="12D6C38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播种后及时浇水，保持土壤湿润（含水量约60%），可覆盖秸秆或无纺布保湿、防冲刷，待幼苗出土后移除覆盖物。</w:t>
            </w:r>
            <w:r>
              <w:rPr>
                <w:rFonts w:hint="eastAsia"/>
                <w:color w:val="000000" w:themeColor="text1"/>
                <w:highlight w:val="none"/>
                <w:lang w:val="en-US" w:eastAsia="zh-CN"/>
                <w14:textFill>
                  <w14:solidFill>
                    <w14:schemeClr w14:val="tx1"/>
                  </w14:solidFill>
                </w14:textFill>
              </w:rPr>
              <w:t>年灌水量</w:t>
            </w:r>
            <w:r>
              <w:rPr>
                <w:rFonts w:hint="default"/>
                <w:color w:val="000000" w:themeColor="text1"/>
                <w:highlight w:val="none"/>
                <w:lang w:val="en-US" w:eastAsia="zh-CN"/>
                <w14:textFill>
                  <w14:solidFill>
                    <w14:schemeClr w14:val="tx1"/>
                  </w14:solidFill>
                </w14:textFill>
              </w:rPr>
              <w:t>185</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lang w:val="en-US" w:eastAsia="zh-CN"/>
                <w14:textFill>
                  <w14:solidFill>
                    <w14:schemeClr w14:val="tx1"/>
                  </w14:solidFill>
                </w14:textFill>
              </w:rPr>
              <w:t>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，可根据草地生长情况和天气情况调整浇水次数。</w:t>
            </w:r>
          </w:p>
          <w:p w14:paraId="7564ABD0">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施工时序</w:t>
            </w:r>
          </w:p>
          <w:p w14:paraId="34AA6EAD">
            <w:pPr>
              <w:keepNext w:val="0"/>
              <w:keepLines w:val="0"/>
              <w:suppressLineNumbers w:val="0"/>
              <w:bidi w:val="0"/>
              <w:spacing w:before="0" w:beforeAutospacing="0" w:after="0" w:afterAutospacing="0"/>
              <w:ind w:left="0" w:right="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本项目预计2026年9月完成。</w:t>
            </w:r>
          </w:p>
          <w:p w14:paraId="723109E2">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矿山生态修复责任主体企业组织施工单位进场，完成“三通一平”，搭建临时设施等，施工期3天；</w:t>
            </w:r>
          </w:p>
          <w:p w14:paraId="60F25CE1">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完成地形地貌恢复工程、截水导流工程，施工期8个月；</w:t>
            </w:r>
          </w:p>
          <w:p w14:paraId="6BF1E86F">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完成覆土、播种草籽工作，播种草籽可选择适宜播种的季节进行播种，施工期1个月</w:t>
            </w:r>
          </w:p>
          <w:p w14:paraId="08D58EC5">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2026年10月初完成初步验收工作；</w:t>
            </w:r>
          </w:p>
          <w:p w14:paraId="6D1070EF">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植被恢复区工程管护期为3年，2026年~2028年；</w:t>
            </w:r>
          </w:p>
          <w:p w14:paraId="2585ECC8">
            <w:pPr>
              <w:keepNext w:val="0"/>
              <w:keepLines w:val="0"/>
              <w:suppressLineNumbers w:val="0"/>
              <w:bidi w:val="0"/>
              <w:spacing w:before="0" w:beforeAutospacing="0" w:after="0" w:afterAutospacing="0"/>
              <w:ind w:left="0" w:right="0"/>
              <w:rPr>
                <w:rFonts w:hint="default"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项目终验时间根据沙坡头区自然资源局统筹安排确定。</w:t>
            </w:r>
          </w:p>
          <w:p w14:paraId="2D7F288C">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3、建设周期</w:t>
            </w:r>
          </w:p>
          <w:p w14:paraId="1C6DC00B">
            <w:pPr>
              <w:bidi w:val="0"/>
              <w:rPr>
                <w:color w:val="000000" w:themeColor="text1"/>
                <w:szCs w:val="22"/>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本项目施工期9个月，预计2026年9月完成。</w:t>
            </w:r>
          </w:p>
        </w:tc>
      </w:tr>
      <w:tr w14:paraId="2DB72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2" w:hRule="atLeast"/>
          <w:jc w:val="center"/>
        </w:trPr>
        <w:tc>
          <w:tcPr>
            <w:tcW w:w="646" w:type="dxa"/>
            <w:noWrap w:val="0"/>
            <w:vAlign w:val="center"/>
          </w:tcPr>
          <w:p w14:paraId="6498823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其他</w:t>
            </w:r>
          </w:p>
        </w:tc>
        <w:tc>
          <w:tcPr>
            <w:tcW w:w="8444" w:type="dxa"/>
            <w:noWrap w:val="0"/>
            <w:vAlign w:val="center"/>
          </w:tcPr>
          <w:p w14:paraId="2F8CB32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无</w:t>
            </w:r>
          </w:p>
        </w:tc>
      </w:tr>
    </w:tbl>
    <w:p w14:paraId="009E2D54">
      <w:pPr>
        <w:pStyle w:val="4"/>
        <w:bidi w:val="0"/>
        <w:jc w:val="left"/>
        <w:rPr>
          <w:rStyle w:val="41"/>
          <w:bCs/>
          <w:color w:val="000000" w:themeColor="text1"/>
          <w:highlight w:val="none"/>
          <w14:textFill>
            <w14:solidFill>
              <w14:schemeClr w14:val="tx1"/>
            </w14:solidFill>
          </w14:textFill>
        </w:rPr>
      </w:pPr>
      <w:r>
        <w:rPr>
          <w:rFonts w:ascii="Times New Roman" w:hAnsi="Times New Roman" w:eastAsia="仿宋_GB2312"/>
          <w:b/>
          <w:bCs w:val="0"/>
          <w:color w:val="000000" w:themeColor="text1"/>
          <w:highlight w:val="none"/>
          <w14:textFill>
            <w14:solidFill>
              <w14:schemeClr w14:val="tx1"/>
            </w14:solidFill>
          </w14:textFill>
        </w:rPr>
        <w:br w:type="page"/>
      </w:r>
      <w:r>
        <w:rPr>
          <w:color w:val="000000" w:themeColor="text1"/>
          <w:highlight w:val="none"/>
          <w14:textFill>
            <w14:solidFill>
              <w14:schemeClr w14:val="tx1"/>
            </w14:solidFill>
          </w14:textFill>
        </w:rPr>
        <w:t>三、</w:t>
      </w:r>
      <w:r>
        <w:rPr>
          <w:rFonts w:hint="eastAsia"/>
          <w:color w:val="000000" w:themeColor="text1"/>
          <w:highlight w:val="none"/>
          <w14:textFill>
            <w14:solidFill>
              <w14:schemeClr w14:val="tx1"/>
            </w14:solidFill>
          </w14:textFill>
        </w:rPr>
        <w:t>生态环境现状、保护目标及评价标准</w:t>
      </w:r>
    </w:p>
    <w:tbl>
      <w:tblPr>
        <w:tblStyle w:val="27"/>
        <w:tblW w:w="91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3"/>
        <w:gridCol w:w="8504"/>
      </w:tblGrid>
      <w:tr w14:paraId="3FA43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5" w:hRule="atLeast"/>
        </w:trPr>
        <w:tc>
          <w:tcPr>
            <w:tcW w:w="653" w:type="dxa"/>
            <w:noWrap w:val="0"/>
            <w:vAlign w:val="center"/>
          </w:tcPr>
          <w:p w14:paraId="15CF76E4">
            <w:pPr>
              <w:keepNext w:val="0"/>
              <w:keepLines w:val="0"/>
              <w:suppressLineNumbers w:val="0"/>
              <w:adjustRightInd w:val="0"/>
              <w:snapToGrid w:val="0"/>
              <w:spacing w:before="0" w:beforeAutospacing="0" w:after="0" w:afterAutospacing="0"/>
              <w:ind w:left="0" w:leftChars="0" w:right="0" w:firstLine="0" w:firstLineChars="0"/>
              <w:jc w:val="center"/>
              <w:rPr>
                <w:rFonts w:hint="default" w:cs="Times New Roman"/>
                <w:color w:val="000000" w:themeColor="text1"/>
                <w:kern w:val="0"/>
                <w:szCs w:val="21"/>
                <w:highlight w:val="none"/>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生</w:t>
            </w:r>
            <w:r>
              <w:rPr>
                <w:rFonts w:hint="default" w:eastAsia="宋体"/>
                <w:b/>
                <w:bCs/>
                <w:color w:val="000000" w:themeColor="text1"/>
                <w:highlight w:val="none"/>
                <w14:textFill>
                  <w14:solidFill>
                    <w14:schemeClr w14:val="tx1"/>
                  </w14:solidFill>
                </w14:textFill>
              </w:rPr>
              <w:t>态环境现状</w:t>
            </w:r>
          </w:p>
        </w:tc>
        <w:tc>
          <w:tcPr>
            <w:tcW w:w="8504" w:type="dxa"/>
            <w:noWrap w:val="0"/>
            <w:vAlign w:val="center"/>
          </w:tcPr>
          <w:p w14:paraId="42A65F87">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生态环境现状</w:t>
            </w:r>
          </w:p>
          <w:p w14:paraId="2489750B">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1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主体功能区规划</w:t>
            </w:r>
          </w:p>
          <w:p w14:paraId="1A31BE13">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本项目位于中卫市</w:t>
            </w:r>
            <w:r>
              <w:rPr>
                <w:rFonts w:hint="eastAsia" w:cs="Times New Roman"/>
                <w:color w:val="000000" w:themeColor="text1"/>
                <w:highlight w:val="none"/>
                <w14:textFill>
                  <w14:solidFill>
                    <w14:schemeClr w14:val="tx1"/>
                  </w14:solidFill>
                </w14:textFill>
              </w:rPr>
              <w:t>沙坡头区</w:t>
            </w:r>
            <w:r>
              <w:rPr>
                <w:rFonts w:hint="default"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根据宁夏回族自治区主体功能区规划图，本项目位于</w:t>
            </w: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w:t>
            </w:r>
          </w:p>
          <w:p w14:paraId="010E9138">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要求为：农产品主产区应着力保护耕地，稳定粮食生产，增强农业综合生产能力，发展现代农业，增加农民收入，加快社会主义新农村建设，保障农产品供给，确保地区粮食安全和食物安全。本项目的建设不占用耕地，且对项目区域进行</w:t>
            </w:r>
            <w:r>
              <w:rPr>
                <w:rFonts w:hint="eastAsia"/>
                <w:color w:val="000000" w:themeColor="text1"/>
                <w:highlight w:val="none"/>
                <w:lang w:val="en-US" w:eastAsia="zh-CN"/>
                <w14:textFill>
                  <w14:solidFill>
                    <w14:schemeClr w14:val="tx1"/>
                  </w14:solidFill>
                </w14:textFill>
              </w:rPr>
              <w:t>土地平整、地形地貌恢复</w:t>
            </w:r>
            <w:r>
              <w:rPr>
                <w:rFonts w:hint="eastAsia" w:cs="Times New Roman"/>
                <w:color w:val="000000" w:themeColor="text1"/>
                <w:highlight w:val="none"/>
                <w:lang w:val="en-US" w:eastAsia="zh-CN"/>
                <w14:textFill>
                  <w14:solidFill>
                    <w14:schemeClr w14:val="tx1"/>
                  </w14:solidFill>
                </w14:textFill>
              </w:rPr>
              <w:t>。因此</w:t>
            </w:r>
            <w:r>
              <w:rPr>
                <w:rFonts w:hint="eastAsia" w:cs="Times New Roman"/>
                <w:b w:val="0"/>
                <w:bCs w:val="0"/>
                <w:snapToGrid w:val="0"/>
                <w:color w:val="000000" w:themeColor="text1"/>
                <w:kern w:val="0"/>
                <w:sz w:val="24"/>
                <w:szCs w:val="22"/>
                <w:highlight w:val="none"/>
                <w14:textFill>
                  <w14:solidFill>
                    <w14:schemeClr w14:val="tx1"/>
                  </w14:solidFill>
                </w14:textFill>
              </w:rPr>
              <w:t>项目的功能定位符合</w:t>
            </w: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要求。</w:t>
            </w:r>
          </w:p>
          <w:p w14:paraId="5EEF3E51">
            <w:pPr>
              <w:keepNext w:val="0"/>
              <w:keepLines w:val="0"/>
              <w:suppressLineNumbers w:val="0"/>
              <w:spacing w:before="0" w:beforeAutospacing="0" w:after="0" w:afterAutospacing="0"/>
              <w:ind w:left="0" w:right="0" w:firstLine="454" w:firstLineChars="200"/>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w:t>
            </w:r>
            <w:r>
              <w:rPr>
                <w:rFonts w:hint="eastAsia" w:cs="Times New Roman"/>
                <w:color w:val="000000" w:themeColor="text1"/>
                <w:sz w:val="24"/>
                <w:highlight w:val="none"/>
                <w:lang w:val="en-US" w:eastAsia="zh-CN"/>
                <w14:textFill>
                  <w14:solidFill>
                    <w14:schemeClr w14:val="tx1"/>
                  </w14:solidFill>
                </w14:textFill>
              </w:rPr>
              <w:t>通过地形地貌恢复工程、截排水工程、生态恢复工程等工程措施</w:t>
            </w:r>
            <w:r>
              <w:rPr>
                <w:rFonts w:hint="eastAsia" w:cs="Times New Roman"/>
                <w:color w:val="000000" w:themeColor="text1"/>
                <w:sz w:val="24"/>
                <w:highlight w:val="none"/>
                <w14:textFill>
                  <w14:solidFill>
                    <w14:schemeClr w14:val="tx1"/>
                  </w14:solidFill>
                </w14:textFill>
              </w:rPr>
              <w:t>对</w:t>
            </w:r>
            <w:r>
              <w:rPr>
                <w:rFonts w:hint="eastAsia" w:cs="Times New Roman"/>
                <w:color w:val="000000" w:themeColor="text1"/>
                <w:sz w:val="24"/>
                <w:highlight w:val="none"/>
                <w:lang w:val="en-US" w:eastAsia="zh-CN"/>
                <w14:textFill>
                  <w14:solidFill>
                    <w14:schemeClr w14:val="tx1"/>
                  </w14:solidFill>
                </w14:textFill>
              </w:rPr>
              <w:t>天景山天主峰灰石</w:t>
            </w:r>
            <w:r>
              <w:rPr>
                <w:rFonts w:hint="eastAsia" w:cs="Times New Roman"/>
                <w:color w:val="000000" w:themeColor="text1"/>
                <w:sz w:val="24"/>
                <w:highlight w:val="none"/>
                <w14:textFill>
                  <w14:solidFill>
                    <w14:schemeClr w14:val="tx1"/>
                  </w14:solidFill>
                </w14:textFill>
              </w:rPr>
              <w:t>矿山进行生态修复治理</w:t>
            </w:r>
            <w:r>
              <w:rPr>
                <w:rFonts w:hint="default" w:cs="Times New Roman"/>
                <w:color w:val="000000" w:themeColor="text1"/>
                <w:sz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符合《宁夏回族自治区主体功能区规划》要求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本项目与宁夏主体功能区规划图位置关系图见附图3-1。</w:t>
            </w:r>
          </w:p>
          <w:p w14:paraId="1B8051F0">
            <w:pPr>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2 \* GB2 \* MERGEFORMAT </w:instrText>
            </w:r>
            <w:r>
              <w:rPr>
                <w:rFonts w:hint="default"/>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生态功能区划</w:t>
            </w:r>
          </w:p>
          <w:p w14:paraId="50C12AD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根据《宁夏生态功能区划》（</w:t>
            </w:r>
            <w:r>
              <w:rPr>
                <w:rFonts w:hint="default"/>
                <w:color w:val="000000" w:themeColor="text1"/>
                <w:highlight w:val="none"/>
                <w:lang w:val="en-US" w:eastAsia="zh-CN"/>
                <w14:textFill>
                  <w14:solidFill>
                    <w14:schemeClr w14:val="tx1"/>
                  </w14:solidFill>
                </w14:textFill>
              </w:rPr>
              <w:t>2003.12</w:t>
            </w:r>
            <w:r>
              <w:rPr>
                <w:rFonts w:hint="eastAsia"/>
                <w:color w:val="000000" w:themeColor="text1"/>
                <w:highlight w:val="none"/>
                <w:lang w:val="en-US" w:eastAsia="zh-CN"/>
                <w14:textFill>
                  <w14:solidFill>
                    <w14:schemeClr w14:val="tx1"/>
                  </w14:solidFill>
                </w14:textFill>
              </w:rPr>
              <w:t>），宁夏生态功能区划共划分</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个一级区，</w:t>
            </w:r>
            <w:r>
              <w:rPr>
                <w:rFonts w:hint="default"/>
                <w:color w:val="000000" w:themeColor="text1"/>
                <w:highlight w:val="none"/>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个二级区，</w:t>
            </w:r>
            <w:r>
              <w:rPr>
                <w:rFonts w:hint="default"/>
                <w:color w:val="000000" w:themeColor="text1"/>
                <w:highlight w:val="none"/>
                <w:lang w:val="en-US" w:eastAsia="zh-CN"/>
                <w14:textFill>
                  <w14:solidFill>
                    <w14:schemeClr w14:val="tx1"/>
                  </w14:solidFill>
                </w14:textFill>
              </w:rPr>
              <w:t>37</w:t>
            </w:r>
            <w:r>
              <w:rPr>
                <w:rFonts w:hint="eastAsia"/>
                <w:color w:val="000000" w:themeColor="text1"/>
                <w:highlight w:val="none"/>
                <w:lang w:val="en-US" w:eastAsia="zh-CN"/>
                <w14:textFill>
                  <w14:solidFill>
                    <w14:schemeClr w14:val="tx1"/>
                  </w14:solidFill>
                </w14:textFill>
              </w:rPr>
              <w:t>个三级区。本项目位于</w:t>
            </w:r>
            <w:r>
              <w:rPr>
                <w:rFonts w:hint="default"/>
                <w:color w:val="000000" w:themeColor="text1"/>
                <w:highlight w:val="none"/>
                <w:lang w:val="en-US" w:eastAsia="zh-CN"/>
                <w14:textFill>
                  <w14:solidFill>
                    <w14:schemeClr w14:val="tx1"/>
                  </w14:solidFill>
                </w14:textFill>
              </w:rPr>
              <w:t>II</w:t>
            </w:r>
            <w:r>
              <w:rPr>
                <w:rFonts w:hint="eastAsia"/>
                <w:color w:val="000000" w:themeColor="text1"/>
                <w:highlight w:val="none"/>
                <w:lang w:val="en-US" w:eastAsia="zh-CN"/>
                <w14:textFill>
                  <w14:solidFill>
                    <w14:schemeClr w14:val="tx1"/>
                  </w14:solidFill>
                </w14:textFill>
              </w:rPr>
              <w:t>2-5香山低山丘陵荒漠草原保护、中卫山羊保种生态功能区。功能区特性见表3-1。本项目与宁夏生态功能区划位置关系图见附图3-2。</w:t>
            </w:r>
          </w:p>
          <w:p w14:paraId="50CB4FFF">
            <w:pPr>
              <w:pStyle w:val="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表3-1  生态功能分区特征表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6660"/>
            </w:tblGrid>
            <w:tr w14:paraId="2613F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2D44E61E">
                  <w:pPr>
                    <w:pStyle w:val="3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功能区代号</w:t>
                  </w:r>
                </w:p>
                <w:p w14:paraId="6CCFE1E1">
                  <w:pPr>
                    <w:pStyle w:val="3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及名称</w:t>
                  </w:r>
                </w:p>
              </w:tc>
              <w:tc>
                <w:tcPr>
                  <w:tcW w:w="6660" w:type="dxa"/>
                  <w:tcBorders>
                    <w:tl2br w:val="nil"/>
                    <w:tr2bl w:val="nil"/>
                  </w:tcBorders>
                  <w:vAlign w:val="center"/>
                </w:tcPr>
                <w:p w14:paraId="1F9D9C0A">
                  <w:pPr>
                    <w:pStyle w:val="3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主要生态特点、问题及措施</w:t>
                  </w:r>
                </w:p>
              </w:tc>
            </w:tr>
            <w:tr w14:paraId="5AE30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5C32B10B">
                  <w:pPr>
                    <w:pStyle w:val="3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II</w:t>
                  </w:r>
                  <w:r>
                    <w:rPr>
                      <w:rFonts w:hint="eastAsia"/>
                      <w:color w:val="000000" w:themeColor="text1"/>
                      <w:highlight w:val="none"/>
                      <w:lang w:val="en-US" w:eastAsia="zh-CN"/>
                      <w14:textFill>
                        <w14:solidFill>
                          <w14:schemeClr w14:val="tx1"/>
                        </w14:solidFill>
                      </w14:textFill>
                    </w:rPr>
                    <w:t>2-5香山低山丘陵荒漠草原保护、中卫山羊保种生态功能区</w:t>
                  </w:r>
                </w:p>
              </w:tc>
              <w:tc>
                <w:tcPr>
                  <w:tcW w:w="6660" w:type="dxa"/>
                  <w:tcBorders>
                    <w:tl2br w:val="nil"/>
                    <w:tr2bl w:val="nil"/>
                  </w:tcBorders>
                  <w:vAlign w:val="center"/>
                </w:tcPr>
                <w:p w14:paraId="48F3C148">
                  <w:pPr>
                    <w:pStyle w:val="38"/>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香山属中低山地貌，植被为荒漠草原类型，以猫头刺、短花针茅等旱生植物为主，覆盖度只有</w:t>
                  </w:r>
                  <w:r>
                    <w:rPr>
                      <w:color w:val="000000" w:themeColor="text1"/>
                      <w:highlight w:val="none"/>
                      <w14:textFill>
                        <w14:solidFill>
                          <w14:schemeClr w14:val="tx1"/>
                        </w14:solidFill>
                      </w14:textFill>
                    </w:rPr>
                    <w:t>10~30%</w:t>
                  </w:r>
                  <w:r>
                    <w:rPr>
                      <w:rFonts w:hint="eastAsia"/>
                      <w:color w:val="000000" w:themeColor="text1"/>
                      <w:highlight w:val="none"/>
                      <w14:textFill>
                        <w14:solidFill>
                          <w14:schemeClr w14:val="tx1"/>
                        </w14:solidFill>
                      </w14:textFill>
                    </w:rPr>
                    <w:t>，香山地区有大面积干旱草场，是中卫山羊的放牧基地，保护好荒漠草原和保护中卫山羊物种资源十分重要。本区的生态敏感问题是草场退化，其治理措施是先禁牧，雨季补种优质牧草，提高草场质量。香山地区三乡的坡耕地应全部退耕种草，建立人工草场，保护和发展中卫山羊的传统优势</w:t>
                  </w:r>
                </w:p>
              </w:tc>
            </w:tr>
          </w:tbl>
          <w:p w14:paraId="2EFD006C">
            <w:pPr>
              <w:bidi w:val="0"/>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w:t>
            </w:r>
            <w:r>
              <w:rPr>
                <w:rFonts w:hint="eastAsia" w:cs="Times New Roman"/>
                <w:color w:val="000000" w:themeColor="text1"/>
                <w:sz w:val="24"/>
                <w:highlight w:val="none"/>
                <w:lang w:val="en-US" w:eastAsia="zh-CN"/>
                <w14:textFill>
                  <w14:solidFill>
                    <w14:schemeClr w14:val="tx1"/>
                  </w14:solidFill>
                </w14:textFill>
              </w:rPr>
              <w:t>通过地形地貌恢复工程、截排水工程、生态恢复工程等工程措施</w:t>
            </w:r>
            <w:r>
              <w:rPr>
                <w:rFonts w:hint="eastAsia" w:cs="Times New Roman"/>
                <w:color w:val="000000" w:themeColor="text1"/>
                <w:sz w:val="24"/>
                <w:highlight w:val="none"/>
                <w14:textFill>
                  <w14:solidFill>
                    <w14:schemeClr w14:val="tx1"/>
                  </w14:solidFill>
                </w14:textFill>
              </w:rPr>
              <w:t>对</w:t>
            </w:r>
            <w:r>
              <w:rPr>
                <w:rFonts w:hint="eastAsia" w:cs="Times New Roman"/>
                <w:color w:val="000000" w:themeColor="text1"/>
                <w:sz w:val="24"/>
                <w:highlight w:val="none"/>
                <w:lang w:val="en-US" w:eastAsia="zh-CN"/>
                <w14:textFill>
                  <w14:solidFill>
                    <w14:schemeClr w14:val="tx1"/>
                  </w14:solidFill>
                </w14:textFill>
              </w:rPr>
              <w:t>天景山天主峰灰石</w:t>
            </w:r>
            <w:r>
              <w:rPr>
                <w:rFonts w:hint="eastAsia" w:cs="Times New Roman"/>
                <w:color w:val="000000" w:themeColor="text1"/>
                <w:sz w:val="24"/>
                <w:highlight w:val="none"/>
                <w14:textFill>
                  <w14:solidFill>
                    <w14:schemeClr w14:val="tx1"/>
                  </w14:solidFill>
                </w14:textFill>
              </w:rPr>
              <w:t>矿山进行生态修复治理</w:t>
            </w:r>
            <w:r>
              <w:rPr>
                <w:rFonts w:ascii="宋体" w:hAnsi="宋体" w:eastAsia="宋体" w:cs="宋体"/>
                <w:color w:val="000000" w:themeColor="text1"/>
                <w:sz w:val="24"/>
                <w:szCs w:val="24"/>
                <w:highlight w:val="none"/>
                <w14:textFill>
                  <w14:solidFill>
                    <w14:schemeClr w14:val="tx1"/>
                  </w14:solidFill>
                </w14:textFill>
              </w:rPr>
              <w:t>。项目建成后将促进生态环境提升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符合《宁夏生态功能区规划》功能区生态保护措施要求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7463F4D">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default"/>
                <w:color w:val="000000" w:themeColor="text1"/>
                <w:highlight w:val="none"/>
                <w14:textFill>
                  <w14:solidFill>
                    <w14:schemeClr w14:val="tx1"/>
                  </w14:solidFill>
                </w14:textFill>
              </w:rPr>
              <w:t>生态环境</w:t>
            </w:r>
          </w:p>
          <w:p w14:paraId="5599427A">
            <w:pPr>
              <w:keepNext w:val="0"/>
              <w:keepLines w:val="0"/>
              <w:suppressLineNumbers w:val="0"/>
              <w:spacing w:before="0" w:beforeAutospacing="0" w:after="0" w:afterAutospacing="0"/>
              <w:ind w:left="0" w:right="0" w:firstLine="454" w:firstLineChars="200"/>
              <w:rPr>
                <w:rFonts w:hint="default"/>
                <w:color w:val="000000" w:themeColor="text1"/>
                <w:sz w:val="24"/>
                <w:highlight w:val="none"/>
                <w:lang w:bidi="ar"/>
                <w14:textFill>
                  <w14:solidFill>
                    <w14:schemeClr w14:val="tx1"/>
                  </w14:solidFill>
                </w14:textFill>
              </w:rPr>
            </w:pPr>
            <w:r>
              <w:rPr>
                <w:rFonts w:hint="eastAsia" w:ascii="宋体" w:hAnsi="宋体" w:eastAsia="宋体" w:cs="宋体"/>
                <w:color w:val="000000" w:themeColor="text1"/>
                <w:sz w:val="24"/>
                <w:highlight w:val="none"/>
                <w:lang w:eastAsia="zh-CN" w:bidi="ar"/>
                <w14:textFill>
                  <w14:solidFill>
                    <w14:schemeClr w14:val="tx1"/>
                  </w14:solidFill>
                </w14:textFill>
              </w:rPr>
              <w:t>①</w:t>
            </w:r>
            <w:r>
              <w:rPr>
                <w:rFonts w:hint="default"/>
                <w:color w:val="000000" w:themeColor="text1"/>
                <w:sz w:val="24"/>
                <w:highlight w:val="none"/>
                <w:lang w:bidi="ar"/>
                <w14:textFill>
                  <w14:solidFill>
                    <w14:schemeClr w14:val="tx1"/>
                  </w14:solidFill>
                </w14:textFill>
              </w:rPr>
              <w:t>地形地貌</w:t>
            </w:r>
          </w:p>
          <w:p w14:paraId="32C5E01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项目区属中低山区，总体地势南高北低，西高东低，最高海拔高程1760m，最低海拔高程1560m，相对高差约200m。山坡坡度一般为10°～40°，最陡处可达70°。</w:t>
            </w:r>
          </w:p>
          <w:p w14:paraId="63C88696">
            <w:pPr>
              <w:keepNext w:val="0"/>
              <w:keepLines w:val="0"/>
              <w:suppressLineNumbers w:val="0"/>
              <w:bidi w:val="0"/>
              <w:spacing w:before="0" w:beforeAutospacing="0" w:after="0" w:afterAutospacing="0"/>
              <w:ind w:left="0" w:right="0"/>
              <w:rPr>
                <w:rFonts w:hint="eastAsia"/>
                <w:color w:val="000000" w:themeColor="text1"/>
                <w:sz w:val="24"/>
                <w:highlight w:val="none"/>
                <w:lang w:bidi="ar"/>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color w:val="000000" w:themeColor="text1"/>
                <w:sz w:val="24"/>
                <w:highlight w:val="none"/>
                <w:lang w:bidi="ar"/>
                <w14:textFill>
                  <w14:solidFill>
                    <w14:schemeClr w14:val="tx1"/>
                  </w14:solidFill>
                </w14:textFill>
              </w:rPr>
              <w:t>气象条件</w:t>
            </w:r>
          </w:p>
          <w:p w14:paraId="27C7855C">
            <w:pPr>
              <w:keepNext w:val="0"/>
              <w:keepLines w:val="0"/>
              <w:suppressLineNumbers w:val="0"/>
              <w:spacing w:before="0" w:beforeAutospacing="0" w:after="0" w:afterAutospacing="0"/>
              <w:ind w:left="0" w:right="0" w:firstLine="454" w:firstLineChars="200"/>
              <w:rPr>
                <w:rFonts w:hint="default"/>
                <w:color w:val="000000" w:themeColor="text1"/>
                <w:sz w:val="24"/>
                <w:highlight w:val="none"/>
                <w:lang w:bidi="ar"/>
                <w14:textFill>
                  <w14:solidFill>
                    <w14:schemeClr w14:val="tx1"/>
                  </w14:solidFill>
                </w14:textFill>
              </w:rPr>
            </w:pPr>
            <w:r>
              <w:rPr>
                <w:rFonts w:hint="default"/>
                <w:color w:val="000000" w:themeColor="text1"/>
                <w:sz w:val="24"/>
                <w:highlight w:val="none"/>
                <w:lang w:bidi="ar"/>
                <w14:textFill>
                  <w14:solidFill>
                    <w14:schemeClr w14:val="tx1"/>
                  </w14:solidFill>
                </w14:textFill>
              </w:rPr>
              <w:t>项目区属中温带大陆性干旱气候，具有典型的大陆性季风气候和沙漠气候的特点，春暖迟、秋凉早、夏热短、冬寒长，风大沙多，干旱少雨，年平均气温在8.2-10℃之间。根据沙坡头区气象局提供的天景山光伏发电气象站近三年降水量2022年92.8mm，2023年112.6mm</w:t>
            </w:r>
            <w:r>
              <w:rPr>
                <w:rFonts w:hint="eastAsia"/>
                <w:color w:val="000000" w:themeColor="text1"/>
                <w:sz w:val="24"/>
                <w:highlight w:val="none"/>
                <w:lang w:eastAsia="zh-CN" w:bidi="ar"/>
                <w14:textFill>
                  <w14:solidFill>
                    <w14:schemeClr w14:val="tx1"/>
                  </w14:solidFill>
                </w14:textFill>
              </w:rPr>
              <w:t>，</w:t>
            </w:r>
            <w:r>
              <w:rPr>
                <w:rFonts w:hint="default"/>
                <w:color w:val="000000" w:themeColor="text1"/>
                <w:sz w:val="24"/>
                <w:highlight w:val="none"/>
                <w:lang w:bidi="ar"/>
                <w14:textFill>
                  <w14:solidFill>
                    <w14:schemeClr w14:val="tx1"/>
                  </w14:solidFill>
                </w14:textFill>
              </w:rPr>
              <w:t>2024年198.4mm。区域多年平均蒸发量1729.6-1852.2mm。</w:t>
            </w:r>
          </w:p>
          <w:p w14:paraId="4E9AE92A">
            <w:pPr>
              <w:keepNext w:val="0"/>
              <w:keepLines w:val="0"/>
              <w:suppressLineNumbers w:val="0"/>
              <w:bidi w:val="0"/>
              <w:spacing w:before="0" w:beforeAutospacing="0" w:after="0" w:afterAutospacing="0"/>
              <w:ind w:left="0" w:right="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③水文情况</w:t>
            </w:r>
          </w:p>
          <w:p w14:paraId="606B4A25">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项目区内地表无常年径流，区内大气降水较少，蒸发量远大于降雨量。区内地形切割不大，沟谷不发育，排水畅通。只有在7～9月份雨季，在矿山开采的矿坑有时可形成短暂的积水，应采取适当措施及时将采区内的积水排出。离项目区最近的为沙沟和寺口子沟，沙沟起源于天景山北麓，全长22km，流经沙坡头区和中宁县，于中宁县大战场镇石喇叭村汇入清水河，汇流面积为84.5km</w:t>
            </w:r>
            <w:r>
              <w:rPr>
                <w:rFonts w:hint="eastAsia" w:ascii="Times New Roman" w:hAnsi="Times New Roman" w:eastAsia="宋体" w:cs="Times New Roman"/>
                <w:color w:val="000000" w:themeColor="text1"/>
                <w:sz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，为季节性沟道，无长流水。寺口子沟起源于沙坡头区香山地区，全长43km，流经沙坡头区、中宁县，于中宁县大战场镇清河村汇入清水河，汇流面积181km</w:t>
            </w:r>
            <w:r>
              <w:rPr>
                <w:rFonts w:hint="eastAsia" w:ascii="Times New Roman" w:hAnsi="Times New Roman" w:eastAsia="宋体" w:cs="Times New Roman"/>
                <w:color w:val="000000" w:themeColor="text1"/>
                <w:sz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w:t>
            </w:r>
          </w:p>
          <w:p w14:paraId="4AFFA3A8">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④地质情况</w:t>
            </w:r>
          </w:p>
          <w:p w14:paraId="2D3B4238">
            <w:pPr>
              <w:keepNext w:val="0"/>
              <w:keepLines w:val="0"/>
              <w:suppressLineNumbers w:val="0"/>
              <w:spacing w:before="0" w:beforeAutospacing="0" w:after="0" w:afterAutospacing="0"/>
              <w:ind w:left="0" w:right="0" w:firstLine="454" w:firstLineChars="200"/>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天景山石灰岩矿区为一孤立的断块山体，北西向长约4400m，东西宽约3600m。采矿区及其周围出露地层主要有奥陶系中下统天景山组、泥盆系上统中宁组及第四系全新统，其中天景山组为含矿层位。本次治理区地层主要为奥陶系、泥盆系与第四系地层。</w:t>
            </w:r>
          </w:p>
          <w:p w14:paraId="4222BD31">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⑤</w:t>
            </w:r>
            <w:r>
              <w:rPr>
                <w:rFonts w:hint="eastAsia" w:ascii="Times New Roman" w:hAnsi="Times New Roman" w:eastAsia="宋体" w:cs="Times New Roman"/>
                <w:color w:val="000000" w:themeColor="text1"/>
                <w:sz w:val="24"/>
                <w:highlight w:val="none"/>
                <w:lang w:bidi="ar"/>
                <w14:textFill>
                  <w14:solidFill>
                    <w14:schemeClr w14:val="tx1"/>
                  </w14:solidFill>
                </w14:textFill>
              </w:rPr>
              <w:t>植被类型</w:t>
            </w:r>
          </w:p>
          <w:p w14:paraId="4C6084AB">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本项目位于宁夏回族自治区中卫市沙坡头区宣和镇，根据宁夏植被分布图，本项目所在区域位于“宁南黄土高原北部干草原区—ⅠAL3宁中、宁北荒漠草原小区中37.短花针茅、旱生小灌木、小半灌木草原”。</w:t>
            </w:r>
          </w:p>
          <w:p w14:paraId="42920986">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治理区位于黄河南岸天景山地区，矿区以荒漠和草原为主，原生植被主要为耐寒、耐旱的草本植物，树木及灌木不发育。植被类型主要包括</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沙蒿、毛头硬刺、毛头软刺、柠条等。植被覆盖率较低，平均覆盖率5%左右，部分地区可达15%。治理区内未见珍稀动物物种。</w:t>
            </w:r>
          </w:p>
          <w:p w14:paraId="7EECE6BE">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项目与宁夏植被分布位置关系见附图3-</w:t>
            </w:r>
            <w:r>
              <w:rPr>
                <w:rFonts w:hint="eastAsia" w:cs="Times New Roman"/>
                <w:color w:val="000000" w:themeColor="text1"/>
                <w:sz w:val="24"/>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，现场植被现状见图3-1。</w:t>
            </w:r>
          </w:p>
          <w:tbl>
            <w:tblPr>
              <w:tblStyle w:val="28"/>
              <w:tblW w:w="84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33"/>
            </w:tblGrid>
            <w:tr w14:paraId="1FA21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33" w:type="dxa"/>
                  <w:noWrap w:val="0"/>
                  <w:vAlign w:val="top"/>
                </w:tcPr>
                <w:p w14:paraId="0EFA7B99">
                  <w:pPr>
                    <w:keepNext w:val="0"/>
                    <w:keepLines w:val="0"/>
                    <w:widowControl/>
                    <w:suppressLineNumbers w:val="0"/>
                    <w:spacing w:before="0" w:beforeAutospacing="0" w:after="0" w:afterAutospacing="0"/>
                    <w:ind w:left="0" w:leftChars="0" w:right="0" w:firstLine="0" w:firstLineChars="0"/>
                    <w:jc w:val="both"/>
                    <w:rPr>
                      <w:rFonts w:hint="default" w:eastAsia="黑体"/>
                      <w:color w:val="000000" w:themeColor="text1"/>
                      <w:kern w:val="0"/>
                      <w:sz w:val="24"/>
                      <w:szCs w:val="20"/>
                      <w:highlight w:val="none"/>
                      <w:vertAlign w:val="baseline"/>
                      <w14:textFill>
                        <w14:solidFill>
                          <w14:schemeClr w14:val="tx1"/>
                        </w14:solidFill>
                      </w14:textFill>
                    </w:rPr>
                  </w:pPr>
                </w:p>
              </w:tc>
            </w:tr>
          </w:tbl>
          <w:tbl>
            <w:tblPr>
              <w:tblStyle w:val="2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4"/>
              <w:gridCol w:w="4144"/>
            </w:tblGrid>
            <w:tr w14:paraId="6D66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29" w:type="dxa"/>
                  <w:tcBorders>
                    <w:tl2br w:val="nil"/>
                    <w:tr2bl w:val="nil"/>
                  </w:tcBorders>
                  <w:vAlign w:val="center"/>
                </w:tcPr>
                <w:p w14:paraId="0DF34763">
                  <w:pPr>
                    <w:pStyle w:val="38"/>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黑体" w:cs="Times New Roman"/>
                      <w:color w:val="000000" w:themeColor="text1"/>
                      <w:kern w:val="0"/>
                      <w:sz w:val="24"/>
                      <w:szCs w:val="20"/>
                      <w:highlight w:val="none"/>
                      <w:vertAlign w:val="baseline"/>
                      <w:lang w:val="en-US" w:eastAsia="zh-CN"/>
                      <w14:textFill>
                        <w14:solidFill>
                          <w14:schemeClr w14:val="tx1"/>
                        </w14:solidFill>
                      </w14:textFill>
                    </w:rPr>
                    <w:drawing>
                      <wp:inline distT="0" distB="0" distL="114300" distR="114300">
                        <wp:extent cx="3383915" cy="2396490"/>
                        <wp:effectExtent l="0" t="0" r="6985" b="3810"/>
                        <wp:docPr id="8" name="图片 8" descr="90261b95c20f83fff904700c3ffb674f"/>
                        <wp:cNvGraphicFramePr/>
                        <a:graphic xmlns:a="http://schemas.openxmlformats.org/drawingml/2006/main">
                          <a:graphicData uri="http://schemas.openxmlformats.org/drawingml/2006/picture">
                            <pic:pic xmlns:pic="http://schemas.openxmlformats.org/drawingml/2006/picture">
                              <pic:nvPicPr>
                                <pic:cNvPr id="8" name="图片 8" descr="90261b95c20f83fff904700c3ffb674f"/>
                                <pic:cNvPicPr/>
                              </pic:nvPicPr>
                              <pic:blipFill>
                                <a:blip r:embed="rId12"/>
                                <a:stretch>
                                  <a:fillRect/>
                                </a:stretch>
                              </pic:blipFill>
                              <pic:spPr>
                                <a:xfrm>
                                  <a:off x="0" y="0"/>
                                  <a:ext cx="3383915" cy="2396490"/>
                                </a:xfrm>
                                <a:prstGeom prst="rect">
                                  <a:avLst/>
                                </a:prstGeom>
                              </pic:spPr>
                            </pic:pic>
                          </a:graphicData>
                        </a:graphic>
                      </wp:inline>
                    </w:drawing>
                  </w:r>
                </w:p>
              </w:tc>
              <w:tc>
                <w:tcPr>
                  <w:tcW w:w="4129" w:type="dxa"/>
                  <w:tcBorders>
                    <w:tl2br w:val="nil"/>
                    <w:tr2bl w:val="nil"/>
                  </w:tcBorders>
                  <w:vAlign w:val="center"/>
                </w:tcPr>
                <w:p w14:paraId="7D921884">
                  <w:pPr>
                    <w:pStyle w:val="38"/>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eastAsia="黑体" w:cs="Times New Roman"/>
                      <w:color w:val="000000" w:themeColor="text1"/>
                      <w:kern w:val="0"/>
                      <w:sz w:val="24"/>
                      <w:szCs w:val="20"/>
                      <w:highlight w:val="none"/>
                      <w:vertAlign w:val="baseline"/>
                      <w14:textFill>
                        <w14:solidFill>
                          <w14:schemeClr w14:val="tx1"/>
                        </w14:solidFill>
                      </w14:textFill>
                    </w:rPr>
                    <w:drawing>
                      <wp:inline distT="0" distB="0" distL="114300" distR="114300">
                        <wp:extent cx="3594100" cy="2348230"/>
                        <wp:effectExtent l="0" t="0" r="6350" b="13970"/>
                        <wp:docPr id="9" name="图片 9" descr="5a0c175c6b6eaa2e5f85b7391b814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0c175c6b6eaa2e5f85b7391b81462f"/>
                                <pic:cNvPicPr>
                                  <a:picLocks noChangeAspect="1"/>
                                </pic:cNvPicPr>
                              </pic:nvPicPr>
                              <pic:blipFill>
                                <a:blip r:embed="rId13"/>
                                <a:srcRect l="24081" t="14144" r="7012" b="25804"/>
                                <a:stretch>
                                  <a:fillRect/>
                                </a:stretch>
                              </pic:blipFill>
                              <pic:spPr>
                                <a:xfrm>
                                  <a:off x="0" y="0"/>
                                  <a:ext cx="3594100" cy="2348230"/>
                                </a:xfrm>
                                <a:prstGeom prst="rect">
                                  <a:avLst/>
                                </a:prstGeom>
                              </pic:spPr>
                            </pic:pic>
                          </a:graphicData>
                        </a:graphic>
                      </wp:inline>
                    </w:drawing>
                  </w:r>
                </w:p>
              </w:tc>
            </w:tr>
          </w:tbl>
          <w:p w14:paraId="13101FFA">
            <w:pPr>
              <w:pStyle w:val="3"/>
              <w:bidi w:val="0"/>
              <w:rPr>
                <w:rFonts w:hint="default"/>
                <w:color w:val="000000" w:themeColor="text1"/>
                <w:highlight w:val="none"/>
                <w14:textFill>
                  <w14:solidFill>
                    <w14:schemeClr w14:val="tx1"/>
                  </w14:solidFill>
                </w14:textFill>
              </w:rPr>
            </w:pPr>
          </w:p>
          <w:p w14:paraId="4D3135DA">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图3-</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现场</w:t>
            </w:r>
            <w:r>
              <w:rPr>
                <w:rFonts w:hint="default"/>
                <w:color w:val="000000" w:themeColor="text1"/>
                <w:highlight w:val="none"/>
                <w14:textFill>
                  <w14:solidFill>
                    <w14:schemeClr w14:val="tx1"/>
                  </w14:solidFill>
                </w14:textFill>
              </w:rPr>
              <w:t>植被</w:t>
            </w:r>
            <w:r>
              <w:rPr>
                <w:rFonts w:hint="eastAsia"/>
                <w:color w:val="000000" w:themeColor="text1"/>
                <w:highlight w:val="none"/>
                <w:lang w:val="en-US" w:eastAsia="zh-CN"/>
                <w14:textFill>
                  <w14:solidFill>
                    <w14:schemeClr w14:val="tx1"/>
                  </w14:solidFill>
                </w14:textFill>
              </w:rPr>
              <w:t>图</w:t>
            </w:r>
          </w:p>
          <w:p w14:paraId="47C19C7E">
            <w:pPr>
              <w:keepNext w:val="0"/>
              <w:keepLines w:val="0"/>
              <w:suppressLineNumbers w:val="0"/>
              <w:bidi w:val="0"/>
              <w:spacing w:before="0" w:beforeAutospacing="0" w:after="0" w:afterAutospacing="0"/>
              <w:ind w:left="0" w:right="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⑥土壤现状</w:t>
            </w:r>
          </w:p>
          <w:p w14:paraId="359BB7A7">
            <w:pPr>
              <w:bidi w:val="0"/>
              <w:ind w:firstLine="147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治理区土地类型主要为天然牧草地和采矿用地，在基岩表面零星覆盖薄层壤土，土壤类型为山地灰钙土，环境干旱，土体干燥，土层瘠薄，含有较多的碎石，一般厚约20－40cm，无可耕可种连片土壤区。矿区总体土壤质地较粗，砂砾含量较高，松散，固结能力差，抗侵蚀能力弱，易受水流冲刷流失。</w:t>
            </w:r>
          </w:p>
          <w:p w14:paraId="390B197C">
            <w:pPr>
              <w:keepNext w:val="0"/>
              <w:keepLines w:val="0"/>
              <w:suppressLineNumbers w:val="0"/>
              <w:bidi w:val="0"/>
              <w:spacing w:before="0" w:beforeAutospacing="0" w:after="0" w:afterAutospacing="0"/>
              <w:ind w:left="0" w:right="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按照自治区土壤侵蚀类型的区划，并结合项目区的地形地貌、土壤、气候、植被等因素，确定项目区水土流失类型以中度水蚀轻度风蚀为主，本项目与宁夏土壤侵蚀图的位</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置关系见附图3-</w:t>
            </w:r>
            <w:r>
              <w:rPr>
                <w:rFonts w:hint="eastAsia" w:cs="Times New Roman"/>
                <w:color w:val="000000" w:themeColor="text1"/>
                <w:sz w:val="24"/>
                <w:highlight w:val="none"/>
                <w:lang w:val="en-US" w:eastAsia="zh-CN" w:bidi="ar"/>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w:t>
            </w:r>
          </w:p>
          <w:p w14:paraId="41BF6680">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⑦</w:t>
            </w:r>
            <w:r>
              <w:rPr>
                <w:rFonts w:hint="eastAsia"/>
                <w:color w:val="000000" w:themeColor="text1"/>
                <w:highlight w:val="none"/>
                <w14:textFill>
                  <w14:solidFill>
                    <w14:schemeClr w14:val="tx1"/>
                  </w14:solidFill>
                </w14:textFill>
              </w:rPr>
              <w:t>野生动物分布状况</w:t>
            </w:r>
          </w:p>
          <w:p w14:paraId="4AD4B432">
            <w:pPr>
              <w:keepNext w:val="0"/>
              <w:keepLines w:val="0"/>
              <w:widowControl/>
              <w:suppressLineNumbers w:val="0"/>
              <w:spacing w:before="0" w:beforeAutospacing="0" w:after="0" w:afterAutospacing="0"/>
              <w:ind w:left="0" w:right="0" w:firstLine="454" w:firstLineChars="200"/>
              <w:jc w:val="left"/>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本项目所在区域为中卫市沙坡头区</w:t>
            </w:r>
            <w:r>
              <w:rPr>
                <w:rFonts w:hint="eastAsia"/>
                <w:color w:val="000000" w:themeColor="text1"/>
                <w:kern w:val="0"/>
                <w:sz w:val="24"/>
                <w:highlight w:val="none"/>
                <w:lang w:val="en-US" w:eastAsia="zh-CN"/>
                <w14:textFill>
                  <w14:solidFill>
                    <w14:schemeClr w14:val="tx1"/>
                  </w14:solidFill>
                </w14:textFill>
              </w:rPr>
              <w:t>宣和镇</w:t>
            </w:r>
            <w:r>
              <w:rPr>
                <w:rFonts w:hint="eastAsia"/>
                <w:color w:val="000000" w:themeColor="text1"/>
                <w:kern w:val="0"/>
                <w:sz w:val="24"/>
                <w:highlight w:val="none"/>
                <w14:textFill>
                  <w14:solidFill>
                    <w14:schemeClr w14:val="tx1"/>
                  </w14:solidFill>
                </w14:textFill>
              </w:rPr>
              <w:t>，野生动物主要为田鼠、黄鼠、长爪沙鼠等，无重点保护动物种分布。该区域内鸟类主要为麻雀等，无</w:t>
            </w:r>
            <w:r>
              <w:rPr>
                <w:rFonts w:hint="eastAsia"/>
                <w:color w:val="000000" w:themeColor="text1"/>
                <w:kern w:val="0"/>
                <w:sz w:val="24"/>
                <w:highlight w:val="none"/>
                <w:lang w:eastAsia="zh-CN"/>
                <w14:textFill>
                  <w14:solidFill>
                    <w14:schemeClr w14:val="tx1"/>
                  </w14:solidFill>
                </w14:textFill>
              </w:rPr>
              <w:t>珍稀</w:t>
            </w:r>
            <w:r>
              <w:rPr>
                <w:rFonts w:hint="eastAsia"/>
                <w:color w:val="000000" w:themeColor="text1"/>
                <w:kern w:val="0"/>
                <w:sz w:val="24"/>
                <w:highlight w:val="none"/>
                <w14:textFill>
                  <w14:solidFill>
                    <w14:schemeClr w14:val="tx1"/>
                  </w14:solidFill>
                </w14:textFill>
              </w:rPr>
              <w:t>濒危鸟类分布。</w:t>
            </w:r>
          </w:p>
          <w:p w14:paraId="2EF09F54">
            <w:pPr>
              <w:keepNext w:val="0"/>
              <w:keepLines w:val="0"/>
              <w:suppressLineNumbers w:val="0"/>
              <w:bidi w:val="0"/>
              <w:spacing w:before="0" w:beforeAutospacing="0" w:after="0" w:afterAutospacing="0"/>
              <w:ind w:left="0" w:right="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根据现场</w:t>
            </w:r>
            <w:r>
              <w:rPr>
                <w:rFonts w:hint="eastAsia"/>
                <w:color w:val="000000" w:themeColor="text1"/>
                <w:kern w:val="0"/>
                <w:sz w:val="24"/>
                <w:highlight w:val="none"/>
                <w:lang w:eastAsia="zh-CN"/>
                <w14:textFill>
                  <w14:solidFill>
                    <w14:schemeClr w14:val="tx1"/>
                  </w14:solidFill>
                </w14:textFill>
              </w:rPr>
              <w:t>勘查</w:t>
            </w:r>
            <w:r>
              <w:rPr>
                <w:rFonts w:hint="eastAsia"/>
                <w:color w:val="000000" w:themeColor="text1"/>
                <w:kern w:val="0"/>
                <w:sz w:val="24"/>
                <w:highlight w:val="none"/>
                <w14:textFill>
                  <w14:solidFill>
                    <w14:schemeClr w14:val="tx1"/>
                  </w14:solidFill>
                </w14:textFill>
              </w:rPr>
              <w:t>，整个评价区内没有发现珍稀、濒危动物物种的栖息地和繁殖地。</w:t>
            </w:r>
          </w:p>
          <w:p w14:paraId="2CD6EB48">
            <w:pPr>
              <w:bidi w:val="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⑧</w:t>
            </w:r>
            <w:r>
              <w:rPr>
                <w:rFonts w:hint="default"/>
                <w:color w:val="000000" w:themeColor="text1"/>
                <w:highlight w:val="none"/>
                <w14:textFill>
                  <w14:solidFill>
                    <w14:schemeClr w14:val="tx1"/>
                  </w14:solidFill>
                </w14:textFill>
              </w:rPr>
              <w:t>土地利用类型</w:t>
            </w:r>
          </w:p>
          <w:p w14:paraId="19F520B2">
            <w:pPr>
              <w:bidi w:val="0"/>
              <w:ind w:firstLine="147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为矿山生态修复治理工程，</w:t>
            </w:r>
            <w:r>
              <w:rPr>
                <w:rFonts w:hint="eastAsia" w:ascii="Times New Roman" w:hAnsi="Times New Roman" w:eastAsia="宋体" w:cs="Times New Roman"/>
                <w:color w:val="000000" w:themeColor="text1"/>
                <w:highlight w:val="none"/>
                <w14:textFill>
                  <w14:solidFill>
                    <w14:schemeClr w14:val="tx1"/>
                  </w14:solidFill>
                </w14:textFill>
              </w:rPr>
              <w:t>无新增</w:t>
            </w:r>
            <w:r>
              <w:rPr>
                <w:rFonts w:hint="eastAsia" w:cs="Times New Roman"/>
                <w:color w:val="000000" w:themeColor="text1"/>
                <w:highlight w:val="none"/>
                <w:lang w:val="en-US" w:eastAsia="zh-CN"/>
                <w14:textFill>
                  <w14:solidFill>
                    <w14:schemeClr w14:val="tx1"/>
                  </w14:solidFill>
                </w14:textFill>
              </w:rPr>
              <w:t>永久占地</w:t>
            </w:r>
            <w:r>
              <w:rPr>
                <w:rFonts w:hint="eastAsia" w:ascii="Times New Roman" w:hAnsi="Times New Roman" w:eastAsia="宋体" w:cs="Times New Roman"/>
                <w:color w:val="000000" w:themeColor="text1"/>
                <w:highlight w:val="none"/>
                <w14:textFill>
                  <w14:solidFill>
                    <w14:schemeClr w14:val="tx1"/>
                  </w14:solidFill>
                </w14:textFill>
              </w:rPr>
              <w:t>。占地范围内均无房屋和附属建筑物，不涉及征地及移民搬迁安置问题。根据《土地利用现状分类》（GB/T21010-2017），通过实地调查和收集区域土地利用现状数据资料相结合，项目区总占地面积34.44hm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，占地类型主要为草地</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工矿用地</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交通运输用地等</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土地利用现状见附图。</w:t>
            </w:r>
          </w:p>
          <w:p w14:paraId="64C96759">
            <w:pPr>
              <w:pStyle w:val="2"/>
              <w:bidi w:val="0"/>
              <w:rPr>
                <w:rFonts w:hint="eastAsia"/>
                <w:color w:val="000000" w:themeColor="text1"/>
                <w:highlight w:val="none"/>
                <w:lang w:val="en-US" w:eastAsia="zh-CN"/>
                <w14:textFill>
                  <w14:solidFill>
                    <w14:schemeClr w14:val="tx1"/>
                  </w14:solidFill>
                </w14:textFill>
              </w:rPr>
            </w:pPr>
          </w:p>
          <w:p w14:paraId="7B4DD65A">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2、环境空气质量现状</w:t>
            </w:r>
          </w:p>
          <w:p w14:paraId="202C3E05">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本项目位于</w:t>
            </w:r>
            <w:r>
              <w:rPr>
                <w:rFonts w:hint="eastAsia"/>
                <w:color w:val="000000" w:themeColor="text1"/>
                <w:highlight w:val="none"/>
                <w:lang w:val="en-US" w:eastAsia="zh-CN"/>
                <w14:textFill>
                  <w14:solidFill>
                    <w14:schemeClr w14:val="tx1"/>
                  </w14:solidFill>
                </w14:textFill>
              </w:rPr>
              <w:t>宁夏回族自治区</w:t>
            </w:r>
            <w:r>
              <w:rPr>
                <w:rFonts w:hint="eastAsia"/>
                <w:color w:val="000000" w:themeColor="text1"/>
                <w:highlight w:val="none"/>
                <w14:textFill>
                  <w14:solidFill>
                    <w14:schemeClr w14:val="tx1"/>
                  </w14:solidFill>
                </w14:textFill>
              </w:rPr>
              <w:t>中卫市沙坡头区</w:t>
            </w:r>
            <w:r>
              <w:rPr>
                <w:rFonts w:hint="eastAsia"/>
                <w:color w:val="000000" w:themeColor="text1"/>
                <w:highlight w:val="none"/>
                <w:lang w:val="en-US" w:eastAsia="zh-CN"/>
                <w14:textFill>
                  <w14:solidFill>
                    <w14:schemeClr w14:val="tx1"/>
                  </w14:solidFill>
                </w14:textFill>
              </w:rPr>
              <w:t>宣和镇</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所在环境空气质量执行《环境空气质量标准》（GB3095-2012）及2018年修改单中二级标准。项目所在区域</w:t>
            </w:r>
            <w:r>
              <w:rPr>
                <w:rFonts w:hint="default"/>
                <w:color w:val="000000" w:themeColor="text1"/>
                <w:highlight w:val="none"/>
                <w14:textFill>
                  <w14:solidFill>
                    <w14:schemeClr w14:val="tx1"/>
                  </w14:solidFill>
                </w14:textFill>
              </w:rPr>
              <w:t>环境空气质量现状数据引用</w:t>
            </w:r>
            <w:r>
              <w:rPr>
                <w:rFonts w:hint="eastAsia"/>
                <w:color w:val="000000" w:themeColor="text1"/>
                <w:highlight w:val="none"/>
                <w:lang w:val="en-US" w:eastAsia="zh-CN"/>
                <w14:textFill>
                  <w14:solidFill>
                    <w14:schemeClr w14:val="tx1"/>
                  </w14:solidFill>
                </w14:textFill>
              </w:rPr>
              <w:t>《2024年宁夏生态环境质量报告》中的中卫市数据及《2024年宁夏生态环境状况公报》环境变化情况，对项目所在区域环境空气质量数据进行分析，评价因子为SO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、NO</w:t>
            </w:r>
            <w:r>
              <w:rPr>
                <w:rFonts w:hint="eastAsia"/>
                <w:color w:val="000000" w:themeColor="text1"/>
                <w:highlight w:val="none"/>
                <w:vertAlign w:val="sub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、PM</w:t>
            </w:r>
            <w:r>
              <w:rPr>
                <w:rFonts w:hint="eastAsia"/>
                <w:color w:val="000000" w:themeColor="text1"/>
                <w:highlight w:val="none"/>
                <w:vertAlign w:val="subscript"/>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、PM</w:t>
            </w:r>
            <w:r>
              <w:rPr>
                <w:rFonts w:hint="eastAsia"/>
                <w:color w:val="000000" w:themeColor="text1"/>
                <w:highlight w:val="none"/>
                <w:vertAlign w:val="subscript"/>
                <w:lang w:val="en-US" w:eastAsia="zh-CN"/>
                <w14:textFill>
                  <w14:solidFill>
                    <w14:schemeClr w14:val="tx1"/>
                  </w14:solidFill>
                </w14:textFill>
              </w:rPr>
              <w:t>2.5</w:t>
            </w:r>
            <w:r>
              <w:rPr>
                <w:rFonts w:hint="eastAsia"/>
                <w:color w:val="000000" w:themeColor="text1"/>
                <w:highlight w:val="none"/>
                <w:lang w:val="en-US" w:eastAsia="zh-CN"/>
                <w14:textFill>
                  <w14:solidFill>
                    <w14:schemeClr w14:val="tx1"/>
                  </w14:solidFill>
                </w14:textFill>
              </w:rPr>
              <w:t>、CO、O</w:t>
            </w:r>
            <w:r>
              <w:rPr>
                <w:rFonts w:hint="eastAsia"/>
                <w:color w:val="000000" w:themeColor="text1"/>
                <w:highlight w:val="none"/>
                <w:vertAlign w:val="sub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项</w:t>
            </w:r>
            <w:r>
              <w:rPr>
                <w:rFonts w:hint="eastAsia"/>
                <w:color w:val="000000" w:themeColor="text1"/>
                <w:highlight w:val="none"/>
                <w:lang w:val="en-US" w:eastAsia="zh-CN"/>
                <w14:textFill>
                  <w14:solidFill>
                    <w14:schemeClr w14:val="tx1"/>
                  </w14:solidFill>
                </w14:textFill>
              </w:rPr>
              <w:t>具体结果详</w:t>
            </w:r>
            <w:r>
              <w:rPr>
                <w:rFonts w:hint="default"/>
                <w:color w:val="000000" w:themeColor="text1"/>
                <w:highlight w:val="none"/>
                <w14:textFill>
                  <w14:solidFill>
                    <w14:schemeClr w14:val="tx1"/>
                  </w14:solidFill>
                </w14:textFill>
              </w:rPr>
              <w:t>见表3-</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w:t>
            </w:r>
          </w:p>
          <w:p w14:paraId="492BD195">
            <w:pPr>
              <w:pStyle w:val="3"/>
              <w:bidi w:val="0"/>
              <w:rPr>
                <w:rFonts w:hint="default" w:ascii="Times New Roman" w:cs="Times New Roman"/>
                <w:b/>
                <w:bCs/>
                <w:color w:val="000000" w:themeColor="text1"/>
                <w:sz w:val="24"/>
                <w:szCs w:val="24"/>
                <w:highlight w:val="none"/>
                <w:lang w:bidi="ar"/>
                <w14:textFill>
                  <w14:solidFill>
                    <w14:schemeClr w14:val="tx1"/>
                  </w14:solidFill>
                </w14:textFill>
              </w:rPr>
            </w:pPr>
            <w:r>
              <w:rPr>
                <w:rFonts w:hint="default" w:ascii="Times New Roman" w:eastAsia="黑体" w:cs="Times New Roman"/>
                <w:color w:val="000000" w:themeColor="text1"/>
                <w:sz w:val="24"/>
                <w:szCs w:val="24"/>
                <w:highlight w:val="none"/>
                <w:lang w:bidi="ar"/>
                <w14:textFill>
                  <w14:solidFill>
                    <w14:schemeClr w14:val="tx1"/>
                  </w14:solidFill>
                </w14:textFill>
              </w:rPr>
              <w:t>表3-</w:t>
            </w:r>
            <w:r>
              <w:rPr>
                <w:rFonts w:hint="eastAsia" w:cs="Times New Roman"/>
                <w:color w:val="000000" w:themeColor="text1"/>
                <w:sz w:val="24"/>
                <w:szCs w:val="24"/>
                <w:highlight w:val="none"/>
                <w:lang w:val="en-US" w:eastAsia="zh-CN" w:bidi="ar"/>
                <w14:textFill>
                  <w14:solidFill>
                    <w14:schemeClr w14:val="tx1"/>
                  </w14:solidFill>
                </w14:textFill>
              </w:rPr>
              <w:t>3</w:t>
            </w:r>
            <w:r>
              <w:rPr>
                <w:rFonts w:hint="default" w:ascii="Times New Roman" w:eastAsia="黑体" w:cs="Times New Roman"/>
                <w:color w:val="000000" w:themeColor="text1"/>
                <w:sz w:val="24"/>
                <w:szCs w:val="24"/>
                <w:highlight w:val="none"/>
                <w:lang w:bidi="ar"/>
                <w14:textFill>
                  <w14:solidFill>
                    <w14:schemeClr w14:val="tx1"/>
                  </w14:solidFill>
                </w14:textFill>
              </w:rPr>
              <w:t xml:space="preserve">  202</w:t>
            </w:r>
            <w:r>
              <w:rPr>
                <w:rFonts w:hint="eastAsia" w:cs="Times New Roman"/>
                <w:color w:val="000000" w:themeColor="text1"/>
                <w:sz w:val="24"/>
                <w:szCs w:val="24"/>
                <w:highlight w:val="none"/>
                <w:lang w:val="en-US" w:eastAsia="zh-CN" w:bidi="ar"/>
                <w14:textFill>
                  <w14:solidFill>
                    <w14:schemeClr w14:val="tx1"/>
                  </w14:solidFill>
                </w14:textFill>
              </w:rPr>
              <w:t>4</w:t>
            </w:r>
            <w:r>
              <w:rPr>
                <w:rFonts w:hint="default" w:ascii="Times New Roman" w:eastAsia="黑体" w:cs="Times New Roman"/>
                <w:color w:val="000000" w:themeColor="text1"/>
                <w:sz w:val="24"/>
                <w:szCs w:val="24"/>
                <w:highlight w:val="none"/>
                <w:lang w:bidi="ar"/>
                <w14:textFill>
                  <w14:solidFill>
                    <w14:schemeClr w14:val="tx1"/>
                  </w14:solidFill>
                </w14:textFill>
              </w:rPr>
              <w:t>年</w:t>
            </w:r>
            <w:r>
              <w:rPr>
                <w:rFonts w:hint="eastAsia" w:ascii="Times New Roman" w:eastAsia="黑体" w:cs="Times New Roman"/>
                <w:color w:val="000000" w:themeColor="text1"/>
                <w:sz w:val="24"/>
                <w:szCs w:val="24"/>
                <w:highlight w:val="none"/>
                <w:lang w:bidi="ar"/>
                <w14:textFill>
                  <w14:solidFill>
                    <w14:schemeClr w14:val="tx1"/>
                  </w14:solidFill>
                </w14:textFill>
              </w:rPr>
              <w:t>沙坡头区</w:t>
            </w:r>
            <w:r>
              <w:rPr>
                <w:rFonts w:hint="default" w:ascii="Times New Roman" w:eastAsia="黑体" w:cs="Times New Roman"/>
                <w:color w:val="000000" w:themeColor="text1"/>
                <w:sz w:val="24"/>
                <w:szCs w:val="24"/>
                <w:highlight w:val="none"/>
                <w:lang w:bidi="ar"/>
                <w14:textFill>
                  <w14:solidFill>
                    <w14:schemeClr w14:val="tx1"/>
                  </w14:solidFill>
                </w14:textFill>
              </w:rPr>
              <w:t>环境空气质量监测结果统计表  单位：</w:t>
            </w:r>
            <w:r>
              <w:rPr>
                <w:rFonts w:hint="default" w:ascii="Times New Roman" w:hAnsi="Times New Roman" w:cs="Times New Roman"/>
                <w:color w:val="000000" w:themeColor="text1"/>
                <w:sz w:val="24"/>
                <w:szCs w:val="24"/>
                <w:highlight w:val="none"/>
                <w:lang w:eastAsia="zh-CN" w:bidi="ar"/>
                <w14:textFill>
                  <w14:solidFill>
                    <w14:schemeClr w14:val="tx1"/>
                  </w14:solidFill>
                </w14:textFill>
              </w:rPr>
              <w:t>μ</w:t>
            </w:r>
            <w:r>
              <w:rPr>
                <w:rFonts w:hint="eastAsia" w:cs="Times New Roman"/>
                <w:color w:val="000000" w:themeColor="text1"/>
                <w:sz w:val="24"/>
                <w:szCs w:val="24"/>
                <w:highlight w:val="none"/>
                <w:lang w:eastAsia="zh-CN" w:bidi="ar"/>
                <w14:textFill>
                  <w14:solidFill>
                    <w14:schemeClr w14:val="tx1"/>
                  </w14:solidFill>
                </w14:textFill>
              </w:rPr>
              <w:t>g/m</w:t>
            </w:r>
            <w:r>
              <w:rPr>
                <w:rFonts w:hint="eastAsia" w:cs="Times New Roman"/>
                <w:color w:val="000000" w:themeColor="text1"/>
                <w:sz w:val="24"/>
                <w:szCs w:val="24"/>
                <w:highlight w:val="none"/>
                <w:vertAlign w:val="superscript"/>
                <w:lang w:eastAsia="zh-CN" w:bidi="ar"/>
                <w14:textFill>
                  <w14:solidFill>
                    <w14:schemeClr w14:val="tx1"/>
                  </w14:solidFill>
                </w14:textFill>
              </w:rPr>
              <w:t>3</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3"/>
              <w:gridCol w:w="2521"/>
              <w:gridCol w:w="1315"/>
              <w:gridCol w:w="1315"/>
              <w:gridCol w:w="1114"/>
              <w:gridCol w:w="770"/>
            </w:tblGrid>
            <w:tr w14:paraId="6A37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09DDF61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污染物</w:t>
                  </w:r>
                </w:p>
              </w:tc>
              <w:tc>
                <w:tcPr>
                  <w:tcW w:w="2560" w:type="dxa"/>
                  <w:noWrap w:val="0"/>
                  <w:vAlign w:val="center"/>
                </w:tcPr>
                <w:p w14:paraId="2BCEA91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评价指标</w:t>
                  </w:r>
                </w:p>
              </w:tc>
              <w:tc>
                <w:tcPr>
                  <w:tcW w:w="1334" w:type="dxa"/>
                  <w:noWrap w:val="0"/>
                  <w:vAlign w:val="center"/>
                </w:tcPr>
                <w:p w14:paraId="1C1272D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现状浓度</w:t>
                  </w:r>
                  <w:r>
                    <w:rPr>
                      <w:rFonts w:hint="default" w:cs="Times New Roman"/>
                      <w:b/>
                      <w:bCs/>
                      <w:color w:val="000000" w:themeColor="text1"/>
                      <w:highlight w:val="none"/>
                      <w:lang w:val="zh-TW"/>
                      <w14:textFill>
                        <w14:solidFill>
                          <w14:schemeClr w14:val="tx1"/>
                        </w14:solidFill>
                      </w14:textFill>
                    </w:rPr>
                    <w:t>（μg/m</w:t>
                  </w:r>
                  <w:r>
                    <w:rPr>
                      <w:rFonts w:hint="default" w:cs="Times New Roman"/>
                      <w:b/>
                      <w:bCs/>
                      <w:color w:val="000000" w:themeColor="text1"/>
                      <w:highlight w:val="none"/>
                      <w:vertAlign w:val="superscript"/>
                      <w:lang w:val="zh-TW"/>
                      <w14:textFill>
                        <w14:solidFill>
                          <w14:schemeClr w14:val="tx1"/>
                        </w14:solidFill>
                      </w14:textFill>
                    </w:rPr>
                    <w:t>3</w:t>
                  </w:r>
                  <w:r>
                    <w:rPr>
                      <w:rFonts w:hint="default" w:cs="Times New Roman"/>
                      <w:b/>
                      <w:bCs/>
                      <w:color w:val="000000" w:themeColor="text1"/>
                      <w:highlight w:val="none"/>
                      <w:lang w:val="zh-TW"/>
                      <w14:textFill>
                        <w14:solidFill>
                          <w14:schemeClr w14:val="tx1"/>
                        </w14:solidFill>
                      </w14:textFill>
                    </w:rPr>
                    <w:t>）</w:t>
                  </w:r>
                </w:p>
              </w:tc>
              <w:tc>
                <w:tcPr>
                  <w:tcW w:w="1334" w:type="dxa"/>
                  <w:noWrap w:val="0"/>
                  <w:vAlign w:val="center"/>
                </w:tcPr>
                <w:p w14:paraId="6D0193E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eastAsia="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标准值</w:t>
                  </w:r>
                </w:p>
                <w:p w14:paraId="709BCB5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（μg/m</w:t>
                  </w:r>
                  <w:r>
                    <w:rPr>
                      <w:rFonts w:hint="default" w:cs="Times New Roman"/>
                      <w:b/>
                      <w:bCs/>
                      <w:color w:val="000000" w:themeColor="text1"/>
                      <w:highlight w:val="none"/>
                      <w:vertAlign w:val="superscript"/>
                      <w:lang w:val="zh-TW"/>
                      <w14:textFill>
                        <w14:solidFill>
                          <w14:schemeClr w14:val="tx1"/>
                        </w14:solidFill>
                      </w14:textFill>
                    </w:rPr>
                    <w:t>3</w:t>
                  </w:r>
                  <w:r>
                    <w:rPr>
                      <w:rFonts w:hint="default" w:cs="Times New Roman"/>
                      <w:b/>
                      <w:bCs/>
                      <w:color w:val="000000" w:themeColor="text1"/>
                      <w:highlight w:val="none"/>
                      <w:lang w:val="zh-TW"/>
                      <w14:textFill>
                        <w14:solidFill>
                          <w14:schemeClr w14:val="tx1"/>
                        </w14:solidFill>
                      </w14:textFill>
                    </w:rPr>
                    <w:t>）</w:t>
                  </w:r>
                </w:p>
              </w:tc>
              <w:tc>
                <w:tcPr>
                  <w:tcW w:w="1129" w:type="dxa"/>
                  <w:noWrap w:val="0"/>
                  <w:vAlign w:val="center"/>
                </w:tcPr>
                <w:p w14:paraId="646C41F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占标率</w:t>
                  </w:r>
                  <w:r>
                    <w:rPr>
                      <w:rFonts w:hint="default" w:cs="Times New Roman"/>
                      <w:b/>
                      <w:bCs/>
                      <w:color w:val="000000" w:themeColor="text1"/>
                      <w:highlight w:val="none"/>
                      <w:lang w:val="zh-TW"/>
                      <w14:textFill>
                        <w14:solidFill>
                          <w14:schemeClr w14:val="tx1"/>
                        </w14:solidFill>
                      </w14:textFill>
                    </w:rPr>
                    <w:t>（%）</w:t>
                  </w:r>
                </w:p>
              </w:tc>
              <w:tc>
                <w:tcPr>
                  <w:tcW w:w="779" w:type="dxa"/>
                  <w:noWrap w:val="0"/>
                  <w:vAlign w:val="center"/>
                </w:tcPr>
                <w:p w14:paraId="7F2C42F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达标情况</w:t>
                  </w:r>
                </w:p>
              </w:tc>
            </w:tr>
            <w:tr w14:paraId="2088C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7FE6F5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SO</w:t>
                  </w:r>
                  <w:r>
                    <w:rPr>
                      <w:rFonts w:hint="default" w:cs="Times New Roman"/>
                      <w:color w:val="000000" w:themeColor="text1"/>
                      <w:highlight w:val="none"/>
                      <w:vertAlign w:val="subscript"/>
                      <w14:textFill>
                        <w14:solidFill>
                          <w14:schemeClr w14:val="tx1"/>
                        </w14:solidFill>
                      </w14:textFill>
                    </w:rPr>
                    <w:t>2</w:t>
                  </w:r>
                </w:p>
              </w:tc>
              <w:tc>
                <w:tcPr>
                  <w:tcW w:w="2560" w:type="dxa"/>
                  <w:noWrap w:val="0"/>
                  <w:vAlign w:val="center"/>
                </w:tcPr>
                <w:p w14:paraId="715F332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6484E32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w:t>
                  </w:r>
                </w:p>
              </w:tc>
              <w:tc>
                <w:tcPr>
                  <w:tcW w:w="1334" w:type="dxa"/>
                  <w:noWrap w:val="0"/>
                  <w:vAlign w:val="center"/>
                </w:tcPr>
                <w:p w14:paraId="323390C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60</w:t>
                  </w:r>
                </w:p>
              </w:tc>
              <w:tc>
                <w:tcPr>
                  <w:tcW w:w="1129" w:type="dxa"/>
                  <w:noWrap w:val="0"/>
                  <w:vAlign w:val="center"/>
                </w:tcPr>
                <w:p w14:paraId="721C1AC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13.33</w:t>
                  </w:r>
                </w:p>
              </w:tc>
              <w:tc>
                <w:tcPr>
                  <w:tcW w:w="779" w:type="dxa"/>
                  <w:noWrap w:val="0"/>
                  <w:vAlign w:val="center"/>
                </w:tcPr>
                <w:p w14:paraId="74381BF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038FF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455F5B2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NO</w:t>
                  </w:r>
                  <w:r>
                    <w:rPr>
                      <w:rFonts w:hint="default" w:cs="Times New Roman"/>
                      <w:color w:val="000000" w:themeColor="text1"/>
                      <w:highlight w:val="none"/>
                      <w:vertAlign w:val="subscript"/>
                      <w14:textFill>
                        <w14:solidFill>
                          <w14:schemeClr w14:val="tx1"/>
                        </w14:solidFill>
                      </w14:textFill>
                    </w:rPr>
                    <w:t>2</w:t>
                  </w:r>
                </w:p>
              </w:tc>
              <w:tc>
                <w:tcPr>
                  <w:tcW w:w="2560" w:type="dxa"/>
                  <w:noWrap w:val="0"/>
                  <w:vAlign w:val="center"/>
                </w:tcPr>
                <w:p w14:paraId="5A9FD6B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4BEBDD7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23</w:t>
                  </w:r>
                </w:p>
              </w:tc>
              <w:tc>
                <w:tcPr>
                  <w:tcW w:w="1334" w:type="dxa"/>
                  <w:noWrap w:val="0"/>
                  <w:vAlign w:val="center"/>
                </w:tcPr>
                <w:p w14:paraId="1A08CF4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40</w:t>
                  </w:r>
                </w:p>
              </w:tc>
              <w:tc>
                <w:tcPr>
                  <w:tcW w:w="1129" w:type="dxa"/>
                  <w:noWrap w:val="0"/>
                  <w:vAlign w:val="center"/>
                </w:tcPr>
                <w:p w14:paraId="7634812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57.50</w:t>
                  </w:r>
                </w:p>
              </w:tc>
              <w:tc>
                <w:tcPr>
                  <w:tcW w:w="779" w:type="dxa"/>
                  <w:noWrap w:val="0"/>
                  <w:vAlign w:val="center"/>
                </w:tcPr>
                <w:p w14:paraId="574314D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340BE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3FFF04E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CO</w:t>
                  </w:r>
                </w:p>
              </w:tc>
              <w:tc>
                <w:tcPr>
                  <w:tcW w:w="2560" w:type="dxa"/>
                  <w:noWrap w:val="0"/>
                  <w:vAlign w:val="center"/>
                </w:tcPr>
                <w:p w14:paraId="4F9AB92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24h平均第95百分位数</w:t>
                  </w:r>
                </w:p>
              </w:tc>
              <w:tc>
                <w:tcPr>
                  <w:tcW w:w="1334" w:type="dxa"/>
                  <w:noWrap w:val="0"/>
                  <w:vAlign w:val="center"/>
                </w:tcPr>
                <w:p w14:paraId="3959ED2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0.8</w:t>
                  </w:r>
                </w:p>
              </w:tc>
              <w:tc>
                <w:tcPr>
                  <w:tcW w:w="1334" w:type="dxa"/>
                  <w:noWrap w:val="0"/>
                  <w:vAlign w:val="center"/>
                </w:tcPr>
                <w:p w14:paraId="38D463C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4</w:t>
                  </w:r>
                </w:p>
              </w:tc>
              <w:tc>
                <w:tcPr>
                  <w:tcW w:w="1129" w:type="dxa"/>
                  <w:noWrap w:val="0"/>
                  <w:vAlign w:val="center"/>
                </w:tcPr>
                <w:p w14:paraId="423099D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779" w:type="dxa"/>
                  <w:noWrap w:val="0"/>
                  <w:vAlign w:val="center"/>
                </w:tcPr>
                <w:p w14:paraId="146223B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5B74F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67DCA9D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O</w:t>
                  </w:r>
                  <w:r>
                    <w:rPr>
                      <w:rFonts w:hint="default" w:cs="Times New Roman"/>
                      <w:color w:val="000000" w:themeColor="text1"/>
                      <w:highlight w:val="none"/>
                      <w:vertAlign w:val="subscript"/>
                      <w14:textFill>
                        <w14:solidFill>
                          <w14:schemeClr w14:val="tx1"/>
                        </w14:solidFill>
                      </w14:textFill>
                    </w:rPr>
                    <w:t>3</w:t>
                  </w:r>
                </w:p>
              </w:tc>
              <w:tc>
                <w:tcPr>
                  <w:tcW w:w="2560" w:type="dxa"/>
                  <w:noWrap w:val="0"/>
                  <w:vAlign w:val="center"/>
                </w:tcPr>
                <w:p w14:paraId="3AFADF4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日最大8h滑动平均值的第90百分位数</w:t>
                  </w:r>
                </w:p>
              </w:tc>
              <w:tc>
                <w:tcPr>
                  <w:tcW w:w="1334" w:type="dxa"/>
                  <w:noWrap w:val="0"/>
                  <w:vAlign w:val="center"/>
                </w:tcPr>
                <w:p w14:paraId="5B596B2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144</w:t>
                  </w:r>
                </w:p>
              </w:tc>
              <w:tc>
                <w:tcPr>
                  <w:tcW w:w="1334" w:type="dxa"/>
                  <w:noWrap w:val="0"/>
                  <w:vAlign w:val="center"/>
                </w:tcPr>
                <w:p w14:paraId="7C4B297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160</w:t>
                  </w:r>
                </w:p>
              </w:tc>
              <w:tc>
                <w:tcPr>
                  <w:tcW w:w="1129" w:type="dxa"/>
                  <w:noWrap w:val="0"/>
                  <w:vAlign w:val="center"/>
                </w:tcPr>
                <w:p w14:paraId="7B162AB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w:t>
                  </w:r>
                </w:p>
              </w:tc>
              <w:tc>
                <w:tcPr>
                  <w:tcW w:w="779" w:type="dxa"/>
                  <w:noWrap w:val="0"/>
                  <w:vAlign w:val="center"/>
                </w:tcPr>
                <w:p w14:paraId="77511A0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7CCD7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13784BE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PM</w:t>
                  </w:r>
                  <w:r>
                    <w:rPr>
                      <w:rFonts w:hint="default" w:cs="Times New Roman"/>
                      <w:color w:val="000000" w:themeColor="text1"/>
                      <w:highlight w:val="none"/>
                      <w:vertAlign w:val="subscript"/>
                      <w14:textFill>
                        <w14:solidFill>
                          <w14:schemeClr w14:val="tx1"/>
                        </w14:solidFill>
                      </w14:textFill>
                    </w:rPr>
                    <w:t>2.5</w:t>
                  </w:r>
                </w:p>
              </w:tc>
              <w:tc>
                <w:tcPr>
                  <w:tcW w:w="2560" w:type="dxa"/>
                  <w:noWrap w:val="0"/>
                  <w:vAlign w:val="center"/>
                </w:tcPr>
                <w:p w14:paraId="7272980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07C23A0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31</w:t>
                  </w:r>
                </w:p>
              </w:tc>
              <w:tc>
                <w:tcPr>
                  <w:tcW w:w="1334" w:type="dxa"/>
                  <w:noWrap w:val="0"/>
                  <w:vAlign w:val="center"/>
                </w:tcPr>
                <w:p w14:paraId="7AC5661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35</w:t>
                  </w:r>
                </w:p>
              </w:tc>
              <w:tc>
                <w:tcPr>
                  <w:tcW w:w="1129" w:type="dxa"/>
                  <w:noWrap w:val="0"/>
                  <w:vAlign w:val="center"/>
                </w:tcPr>
                <w:p w14:paraId="1EF1513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88.57</w:t>
                  </w:r>
                </w:p>
              </w:tc>
              <w:tc>
                <w:tcPr>
                  <w:tcW w:w="779" w:type="dxa"/>
                  <w:noWrap w:val="0"/>
                  <w:vAlign w:val="center"/>
                </w:tcPr>
                <w:p w14:paraId="3361E15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eastAsia="zh-TW"/>
                      <w14:textFill>
                        <w14:solidFill>
                          <w14:schemeClr w14:val="tx1"/>
                        </w14:solidFill>
                      </w14:textFill>
                    </w:rPr>
                    <w:t>达标</w:t>
                  </w:r>
                </w:p>
              </w:tc>
            </w:tr>
            <w:tr w14:paraId="05177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1193819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PM</w:t>
                  </w:r>
                  <w:r>
                    <w:rPr>
                      <w:rFonts w:hint="default" w:cs="Times New Roman"/>
                      <w:color w:val="000000" w:themeColor="text1"/>
                      <w:highlight w:val="none"/>
                      <w:vertAlign w:val="subscript"/>
                      <w14:textFill>
                        <w14:solidFill>
                          <w14:schemeClr w14:val="tx1"/>
                        </w14:solidFill>
                      </w14:textFill>
                    </w:rPr>
                    <w:t>10</w:t>
                  </w:r>
                </w:p>
              </w:tc>
              <w:tc>
                <w:tcPr>
                  <w:tcW w:w="2560" w:type="dxa"/>
                  <w:noWrap w:val="0"/>
                  <w:vAlign w:val="center"/>
                </w:tcPr>
                <w:p w14:paraId="593315D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22F1EA4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62</w:t>
                  </w:r>
                </w:p>
              </w:tc>
              <w:tc>
                <w:tcPr>
                  <w:tcW w:w="1334" w:type="dxa"/>
                  <w:noWrap w:val="0"/>
                  <w:vAlign w:val="center"/>
                </w:tcPr>
                <w:p w14:paraId="2170B0F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70</w:t>
                  </w:r>
                </w:p>
              </w:tc>
              <w:tc>
                <w:tcPr>
                  <w:tcW w:w="1129" w:type="dxa"/>
                  <w:noWrap w:val="0"/>
                  <w:vAlign w:val="center"/>
                </w:tcPr>
                <w:p w14:paraId="7EDA619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88.57</w:t>
                  </w:r>
                </w:p>
              </w:tc>
              <w:tc>
                <w:tcPr>
                  <w:tcW w:w="779" w:type="dxa"/>
                  <w:noWrap w:val="0"/>
                  <w:vAlign w:val="center"/>
                </w:tcPr>
                <w:p w14:paraId="0B022A9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eastAsia="zh-TW"/>
                      <w14:textFill>
                        <w14:solidFill>
                          <w14:schemeClr w14:val="tx1"/>
                        </w14:solidFill>
                      </w14:textFill>
                    </w:rPr>
                    <w:t>达标</w:t>
                  </w:r>
                </w:p>
              </w:tc>
            </w:tr>
            <w:tr w14:paraId="47D22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77" w:type="dxa"/>
                  <w:gridSpan w:val="6"/>
                  <w:noWrap w:val="0"/>
                  <w:vAlign w:val="center"/>
                </w:tcPr>
                <w:p w14:paraId="71860EA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注：1、CO现状浓度和标准值单位均为mg/m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w:t>
                  </w:r>
                </w:p>
                <w:p w14:paraId="7644023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both"/>
                    <w:textAlignment w:val="auto"/>
                    <w:rPr>
                      <w:rFonts w:hint="default" w:cs="Times New Roman"/>
                      <w:color w:val="000000" w:themeColor="text1"/>
                      <w:highlight w:val="none"/>
                      <w:lang w:val="zh-TW" w:eastAsia="zh-TW"/>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2、现状浓度中PM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14:textFill>
                        <w14:solidFill>
                          <w14:schemeClr w14:val="tx1"/>
                        </w14:solidFill>
                      </w14:textFill>
                    </w:rPr>
                    <w:t>为剔除沙尘天气后的数值。</w:t>
                  </w:r>
                </w:p>
              </w:tc>
            </w:tr>
          </w:tbl>
          <w:p w14:paraId="74EFF27E">
            <w:pPr>
              <w:keepNext w:val="0"/>
              <w:keepLines w:val="0"/>
              <w:suppressLineNumbers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根据表3-</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可知，</w:t>
            </w:r>
            <w:r>
              <w:rPr>
                <w:rFonts w:hint="eastAsia" w:cs="Times New Roman"/>
                <w:color w:val="000000" w:themeColor="text1"/>
                <w:sz w:val="24"/>
                <w:highlight w:val="none"/>
                <w:lang w:val="en-US" w:eastAsia="zh-CN"/>
                <w14:textFill>
                  <w14:solidFill>
                    <w14:schemeClr w14:val="tx1"/>
                  </w14:solidFill>
                </w14:textFill>
              </w:rPr>
              <w:t>剔除沙尘影响后</w:t>
            </w:r>
            <w:r>
              <w:rPr>
                <w:rFonts w:hint="eastAsia" w:ascii="Times New Roman" w:hAnsi="Times New Roman" w:eastAsia="宋体" w:cs="Times New Roman"/>
                <w:color w:val="000000" w:themeColor="text1"/>
                <w:sz w:val="24"/>
                <w:highlight w:val="none"/>
                <w14:textFill>
                  <w14:solidFill>
                    <w14:schemeClr w14:val="tx1"/>
                  </w14:solidFill>
                </w14:textFill>
              </w:rPr>
              <w:t>沙坡头区</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年PM</w:t>
            </w:r>
            <w:r>
              <w:rPr>
                <w:rFonts w:hint="default" w:ascii="Times New Roman" w:hAnsi="Times New Roman" w:cs="Times New Roman"/>
                <w:color w:val="000000" w:themeColor="text1"/>
                <w:sz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、PM</w:t>
            </w:r>
            <w:r>
              <w:rPr>
                <w:rFonts w:hint="default" w:ascii="Times New Roman" w:hAnsi="Times New Roman" w:cs="Times New Roman"/>
                <w:color w:val="000000" w:themeColor="text1"/>
                <w:sz w:val="24"/>
                <w:highlight w:val="none"/>
                <w:vertAlign w:val="subscript"/>
                <w14:textFill>
                  <w14:solidFill>
                    <w14:schemeClr w14:val="tx1"/>
                  </w14:solidFill>
                </w14:textFill>
              </w:rPr>
              <w:t>2.5</w:t>
            </w:r>
            <w:r>
              <w:rPr>
                <w:rFonts w:hint="default" w:ascii="Times New Roman" w:hAnsi="Times New Roman" w:cs="Times New Roman"/>
                <w:color w:val="000000" w:themeColor="text1"/>
                <w:sz w:val="24"/>
                <w:highlight w:val="none"/>
                <w14:textFill>
                  <w14:solidFill>
                    <w14:schemeClr w14:val="tx1"/>
                  </w14:solidFill>
                </w14:textFill>
              </w:rPr>
              <w:t>、SO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、NO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、CO、O</w:t>
            </w:r>
            <w:r>
              <w:rPr>
                <w:rFonts w:hint="default" w:ascii="Times New Roman" w:hAnsi="Times New Roman" w:cs="Times New Roman"/>
                <w:color w:val="000000" w:themeColor="text1"/>
                <w:sz w:val="24"/>
                <w:highlight w:val="none"/>
                <w:vertAlign w:val="sub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的年均浓度和相应百分位数24h平均浓度</w:t>
            </w:r>
            <w:r>
              <w:rPr>
                <w:rFonts w:hint="eastAsia" w:cs="Times New Roman"/>
                <w:color w:val="000000" w:themeColor="text1"/>
                <w:sz w:val="24"/>
                <w:highlight w:val="none"/>
                <w:lang w:val="en-US" w:eastAsia="zh-CN"/>
                <w14:textFill>
                  <w14:solidFill>
                    <w14:schemeClr w14:val="tx1"/>
                  </w14:solidFill>
                </w14:textFill>
              </w:rPr>
              <w:t>及</w:t>
            </w:r>
            <w:r>
              <w:rPr>
                <w:rFonts w:hint="default" w:cs="Times New Roman"/>
                <w:color w:val="000000" w:themeColor="text1"/>
                <w:highlight w:val="none"/>
                <w14:textFill>
                  <w14:solidFill>
                    <w14:schemeClr w14:val="tx1"/>
                  </w14:solidFill>
                </w14:textFill>
              </w:rPr>
              <w:t>日最大8h滑动平均值的第90百分位数</w:t>
            </w:r>
            <w:r>
              <w:rPr>
                <w:rFonts w:hint="default" w:ascii="Times New Roman" w:hAnsi="Times New Roman" w:cs="Times New Roman"/>
                <w:color w:val="000000" w:themeColor="text1"/>
                <w:sz w:val="24"/>
                <w:highlight w:val="none"/>
                <w14:textFill>
                  <w14:solidFill>
                    <w14:schemeClr w14:val="tx1"/>
                  </w14:solidFill>
                </w14:textFill>
              </w:rPr>
              <w:t>浓度均满足《环境空气质量标准》（GB3095-2012）中二级标准及修改单要求，属于达标区。</w:t>
            </w:r>
          </w:p>
          <w:p w14:paraId="617F475B">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地表水环境</w:t>
            </w:r>
          </w:p>
          <w:p w14:paraId="03C5D218">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cs="Times New Roman"/>
                <w:color w:val="000000" w:themeColor="text1"/>
                <w:sz w:val="24"/>
                <w:highlight w:val="none"/>
                <w14:textFill>
                  <w14:solidFill>
                    <w14:schemeClr w14:val="tx1"/>
                  </w14:solidFill>
                </w14:textFill>
              </w:rPr>
              <w:t>本项目所在地最近的地表水体为沙沟和寺口子沟，</w:t>
            </w:r>
            <w:r>
              <w:rPr>
                <w:rFonts w:hint="eastAsia" w:cs="Times New Roman"/>
                <w:color w:val="000000" w:themeColor="text1"/>
                <w:sz w:val="24"/>
                <w:highlight w:val="none"/>
                <w:lang w:val="en-US" w:eastAsia="zh-CN"/>
                <w14:textFill>
                  <w14:solidFill>
                    <w14:schemeClr w14:val="tx1"/>
                  </w14:solidFill>
                </w14:textFill>
              </w:rPr>
              <w:t>沙沟位于项目区东南侧2.9km，</w:t>
            </w:r>
            <w:r>
              <w:rPr>
                <w:rFonts w:hint="default" w:cs="Times New Roman"/>
                <w:color w:val="000000" w:themeColor="text1"/>
                <w:sz w:val="24"/>
                <w:highlight w:val="none"/>
                <w14:textFill>
                  <w14:solidFill>
                    <w14:schemeClr w14:val="tx1"/>
                  </w14:solidFill>
                </w14:textFill>
              </w:rPr>
              <w:t>为季节性沟道，无长流水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寺口子沟位于项目区北侧3.9km</w:t>
            </w:r>
            <w:r>
              <w:rPr>
                <w:rFonts w:hint="default" w:cs="Times New Roman"/>
                <w:color w:val="000000" w:themeColor="text1"/>
                <w:sz w:val="24"/>
                <w:highlight w:val="none"/>
                <w14:textFill>
                  <w14:solidFill>
                    <w14:schemeClr w14:val="tx1"/>
                  </w14:solidFill>
                </w14:textFill>
              </w:rPr>
              <w:t>。寺口子沟起源于沙坡头区香山地区，全长43km，流经沙坡头区、中宁县，于中宁县大战场镇清河村汇入清水河。</w:t>
            </w:r>
            <w:r>
              <w:rPr>
                <w:rFonts w:hint="eastAsia" w:cs="Times New Roman"/>
                <w:color w:val="000000" w:themeColor="text1"/>
                <w:sz w:val="24"/>
                <w:highlight w:val="none"/>
                <w:lang w:val="en-US" w:eastAsia="zh-CN"/>
                <w14:textFill>
                  <w14:solidFill>
                    <w14:schemeClr w14:val="tx1"/>
                  </w14:solidFill>
                </w14:textFill>
              </w:rPr>
              <w:t>本次评价</w:t>
            </w:r>
            <w:r>
              <w:rPr>
                <w:rFonts w:hint="eastAsia" w:cs="Times New Roman"/>
                <w:color w:val="000000" w:themeColor="text1"/>
                <w:sz w:val="24"/>
                <w:highlight w:val="none"/>
                <w14:textFill>
                  <w14:solidFill>
                    <w14:schemeClr w14:val="tx1"/>
                  </w14:solidFill>
                </w14:textFill>
              </w:rPr>
              <w:t>引用</w:t>
            </w:r>
            <w:r>
              <w:rPr>
                <w:rFonts w:hint="default"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default" w:cs="Times New Roman"/>
                <w:color w:val="000000" w:themeColor="text1"/>
                <w:sz w:val="24"/>
                <w:highlight w:val="none"/>
                <w14:textFill>
                  <w14:solidFill>
                    <w14:schemeClr w14:val="tx1"/>
                  </w14:solidFill>
                </w14:textFill>
              </w:rPr>
              <w:t>年宁夏生态环境质量状况报告》</w:t>
            </w:r>
            <w:r>
              <w:rPr>
                <w:rFonts w:hint="eastAsia" w:cs="Times New Roman"/>
                <w:color w:val="000000" w:themeColor="text1"/>
                <w:sz w:val="24"/>
                <w:highlight w:val="none"/>
                <w:lang w:val="en-US" w:eastAsia="zh-CN"/>
                <w14:textFill>
                  <w14:solidFill>
                    <w14:schemeClr w14:val="tx1"/>
                  </w14:solidFill>
                </w14:textFill>
              </w:rPr>
              <w:t>中清水河泉眼山</w:t>
            </w:r>
            <w:r>
              <w:rPr>
                <w:rFonts w:hint="default" w:cs="Times New Roman"/>
                <w:color w:val="000000" w:themeColor="text1"/>
                <w:sz w:val="24"/>
                <w:highlight w:val="none"/>
                <w14:textFill>
                  <w14:solidFill>
                    <w14:schemeClr w14:val="tx1"/>
                  </w14:solidFill>
                </w14:textFill>
              </w:rPr>
              <w:t>断面</w:t>
            </w:r>
            <w:r>
              <w:rPr>
                <w:rFonts w:hint="eastAsia"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中卫市入黄口</w:t>
            </w:r>
            <w:r>
              <w:rPr>
                <w:rFonts w:hint="eastAsia" w:cs="Times New Roman"/>
                <w:color w:val="000000" w:themeColor="text1"/>
                <w:sz w:val="24"/>
                <w:highlight w:val="none"/>
                <w14:textFill>
                  <w14:solidFill>
                    <w14:schemeClr w14:val="tx1"/>
                  </w14:solidFill>
                </w14:textFill>
              </w:rPr>
              <w:t>）</w:t>
            </w:r>
            <w:r>
              <w:rPr>
                <w:rFonts w:hint="default" w:cs="Times New Roman"/>
                <w:color w:val="000000" w:themeColor="text1"/>
                <w:sz w:val="24"/>
                <w:highlight w:val="none"/>
                <w14:textFill>
                  <w14:solidFill>
                    <w14:schemeClr w14:val="tx1"/>
                  </w14:solidFill>
                </w14:textFill>
              </w:rPr>
              <w:t>的监测数据来评价本项目所在区域的地表水环境质量，202</w:t>
            </w:r>
            <w:r>
              <w:rPr>
                <w:rFonts w:hint="eastAsia" w:cs="Times New Roman"/>
                <w:color w:val="000000" w:themeColor="text1"/>
                <w:sz w:val="24"/>
                <w:highlight w:val="none"/>
                <w:lang w:val="en-US" w:eastAsia="zh-CN"/>
                <w14:textFill>
                  <w14:solidFill>
                    <w14:schemeClr w14:val="tx1"/>
                  </w14:solidFill>
                </w14:textFill>
              </w:rPr>
              <w:t>4</w:t>
            </w:r>
            <w:r>
              <w:rPr>
                <w:rFonts w:hint="default" w:cs="Times New Roman"/>
                <w:color w:val="000000" w:themeColor="text1"/>
                <w:sz w:val="24"/>
                <w:highlight w:val="none"/>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清水河泉眼山</w:t>
            </w:r>
            <w:r>
              <w:rPr>
                <w:rFonts w:hint="default" w:cs="Times New Roman"/>
                <w:color w:val="000000" w:themeColor="text1"/>
                <w:sz w:val="24"/>
                <w:highlight w:val="none"/>
                <w14:textFill>
                  <w14:solidFill>
                    <w14:schemeClr w14:val="tx1"/>
                  </w14:solidFill>
                </w14:textFill>
              </w:rPr>
              <w:t>断面的水质</w:t>
            </w:r>
            <w:r>
              <w:rPr>
                <w:rFonts w:hint="eastAsia" w:cs="Times New Roman"/>
                <w:color w:val="000000" w:themeColor="text1"/>
                <w:sz w:val="24"/>
                <w:highlight w:val="none"/>
                <w:lang w:val="en-US" w:eastAsia="zh-CN"/>
                <w14:textFill>
                  <w14:solidFill>
                    <w14:schemeClr w14:val="tx1"/>
                  </w14:solidFill>
                </w14:textFill>
              </w:rPr>
              <w:t>为</w:t>
            </w:r>
            <w:r>
              <w:rPr>
                <w:rFonts w:hint="default"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地表水环境质量标准》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Ⅳ</w:t>
            </w:r>
            <w:r>
              <w:rPr>
                <w:rFonts w:hint="default" w:ascii="Times New Roman" w:hAnsi="Times New Roman" w:eastAsia="宋体" w:cs="Times New Roman"/>
                <w:color w:val="000000" w:themeColor="text1"/>
                <w:sz w:val="24"/>
                <w:highlight w:val="none"/>
                <w14:textFill>
                  <w14:solidFill>
                    <w14:schemeClr w14:val="tx1"/>
                  </w14:solidFill>
                </w14:textFill>
              </w:rPr>
              <w:t>类水质</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不满足Ⅲ</w:t>
            </w:r>
            <w:r>
              <w:rPr>
                <w:rFonts w:hint="default" w:ascii="Times New Roman" w:hAnsi="Times New Roman" w:eastAsia="宋体" w:cs="Times New Roman"/>
                <w:color w:val="000000" w:themeColor="text1"/>
                <w:sz w:val="24"/>
                <w:highlight w:val="none"/>
                <w14:textFill>
                  <w14:solidFill>
                    <w14:schemeClr w14:val="tx1"/>
                  </w14:solidFill>
                </w14:textFill>
              </w:rPr>
              <w:t>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考核标准</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7ED4F1F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地下水环境质量</w:t>
            </w:r>
          </w:p>
          <w:p w14:paraId="76866B6F">
            <w:pPr>
              <w:keepNext w:val="0"/>
              <w:keepLines w:val="0"/>
              <w:suppressLineNumbers w:val="0"/>
              <w:bidi w:val="0"/>
              <w:spacing w:before="0" w:beforeAutospacing="0" w:after="0" w:afterAutospacing="0"/>
              <w:ind w:left="0" w:right="0"/>
              <w:rPr>
                <w:rFonts w:hint="default"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本项目主要对</w:t>
            </w:r>
            <w:r>
              <w:rPr>
                <w:rFonts w:hint="default"/>
                <w:color w:val="000000" w:themeColor="text1"/>
                <w:highlight w:val="none"/>
                <w14:textFill>
                  <w14:solidFill>
                    <w14:schemeClr w14:val="tx1"/>
                  </w14:solidFill>
                </w14:textFill>
              </w:rPr>
              <w:t>历史遗留废弃矿山</w:t>
            </w:r>
            <w:r>
              <w:rPr>
                <w:rFonts w:hint="eastAsia"/>
                <w:color w:val="000000" w:themeColor="text1"/>
                <w:highlight w:val="none"/>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恢复治理</w:t>
            </w:r>
            <w:r>
              <w:rPr>
                <w:rFonts w:hint="eastAsia"/>
                <w:color w:val="000000" w:themeColor="text1"/>
                <w:highlight w:val="none"/>
                <w14:textFill>
                  <w14:solidFill>
                    <w14:schemeClr w14:val="tx1"/>
                  </w14:solidFill>
                </w14:textFill>
              </w:rPr>
              <w:t>，项目主要建设内容包括</w:t>
            </w:r>
            <w:r>
              <w:rPr>
                <w:rFonts w:hint="eastAsia" w:cs="Times New Roman"/>
                <w:color w:val="000000" w:themeColor="text1"/>
                <w:sz w:val="24"/>
                <w:highlight w:val="none"/>
                <w:lang w:val="en-US" w:eastAsia="zh-CN"/>
                <w14:textFill>
                  <w14:solidFill>
                    <w14:schemeClr w14:val="tx1"/>
                  </w14:solidFill>
                </w14:textFill>
              </w:rPr>
              <w:t>地形地貌恢复工程、截排水工程、生态恢复工程</w:t>
            </w:r>
            <w:r>
              <w:rPr>
                <w:rFonts w:hint="eastAsia"/>
                <w:color w:val="000000" w:themeColor="text1"/>
                <w:highlight w:val="none"/>
                <w14:textFill>
                  <w14:solidFill>
                    <w14:schemeClr w14:val="tx1"/>
                  </w14:solidFill>
                </w14:textFill>
              </w:rPr>
              <w:t>等，施工期及运营期不存在地下水的污染途径，</w:t>
            </w:r>
            <w:r>
              <w:rPr>
                <w:rFonts w:hint="default"/>
                <w:color w:val="000000" w:themeColor="text1"/>
                <w:highlight w:val="none"/>
                <w14:textFill>
                  <w14:solidFill>
                    <w14:schemeClr w14:val="tx1"/>
                  </w14:solidFill>
                </w14:textFill>
              </w:rPr>
              <w:t>根据《环境影响评价技术导则 地下水环境》（HJ610-2016）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本项目行业类别“J 非金属矿采选及制品制造 54、土砂石开采”评价等级为Ⅳ类。因此，本次不开展地下水环境影响现状评价</w:t>
            </w:r>
            <w:r>
              <w:rPr>
                <w:rFonts w:hint="eastAsia" w:cs="Times New Roman"/>
                <w:color w:val="000000" w:themeColor="text1"/>
                <w:highlight w:val="none"/>
                <w:lang w:val="en-US" w:eastAsia="zh-CN"/>
                <w14:textFill>
                  <w14:solidFill>
                    <w14:schemeClr w14:val="tx1"/>
                  </w14:solidFill>
                </w14:textFill>
              </w:rPr>
              <w:t>。</w:t>
            </w:r>
          </w:p>
          <w:p w14:paraId="30B0CD44">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声环境</w:t>
            </w:r>
          </w:p>
          <w:p w14:paraId="14F034E4">
            <w:pPr>
              <w:keepNext w:val="0"/>
              <w:keepLines w:val="0"/>
              <w:suppressLineNumbers w:val="0"/>
              <w:spacing w:before="0" w:beforeAutospacing="0" w:after="0" w:afterAutospacing="0"/>
              <w:ind w:left="0" w:right="0" w:firstLine="454" w:firstLineChars="200"/>
              <w:rPr>
                <w:rFonts w:hint="default" w:cs="Times New Roman"/>
                <w:color w:val="000000" w:themeColor="text1"/>
                <w:kern w:val="0"/>
                <w:sz w:val="24"/>
                <w:highlight w:val="none"/>
                <w14:textFill>
                  <w14:solidFill>
                    <w14:schemeClr w14:val="tx1"/>
                  </w14:solidFill>
                </w14:textFill>
              </w:rPr>
            </w:pPr>
            <w:r>
              <w:rPr>
                <w:rFonts w:hint="default" w:cs="Times New Roman"/>
                <w:color w:val="000000" w:themeColor="text1"/>
                <w:kern w:val="0"/>
                <w:sz w:val="24"/>
                <w:highlight w:val="none"/>
                <w14:textFill>
                  <w14:solidFill>
                    <w14:schemeClr w14:val="tx1"/>
                  </w14:solidFill>
                </w14:textFill>
              </w:rPr>
              <w:t>根据《建设项目环境影响报告表</w:t>
            </w:r>
            <w:r>
              <w:rPr>
                <w:rFonts w:hint="eastAsia" w:cs="Times New Roman"/>
                <w:color w:val="000000" w:themeColor="text1"/>
                <w:kern w:val="0"/>
                <w:sz w:val="24"/>
                <w:highlight w:val="none"/>
                <w:lang w:val="en-US" w:eastAsia="zh-CN"/>
                <w14:textFill>
                  <w14:solidFill>
                    <w14:schemeClr w14:val="tx1"/>
                  </w14:solidFill>
                </w14:textFill>
              </w:rPr>
              <w:t>编制</w:t>
            </w:r>
            <w:r>
              <w:rPr>
                <w:rFonts w:hint="default" w:cs="Times New Roman"/>
                <w:color w:val="000000" w:themeColor="text1"/>
                <w:kern w:val="0"/>
                <w:sz w:val="24"/>
                <w:highlight w:val="none"/>
                <w14:textFill>
                  <w14:solidFill>
                    <w14:schemeClr w14:val="tx1"/>
                  </w14:solidFill>
                </w14:textFill>
              </w:rPr>
              <w:t>技术指南</w:t>
            </w:r>
            <w:r>
              <w:rPr>
                <w:rFonts w:hint="eastAsia" w:cs="Times New Roman"/>
                <w:color w:val="000000" w:themeColor="text1"/>
                <w:kern w:val="0"/>
                <w:sz w:val="24"/>
                <w:highlight w:val="none"/>
                <w:lang w:eastAsia="zh-CN"/>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生态影响类</w:t>
            </w:r>
            <w:r>
              <w:rPr>
                <w:rFonts w:hint="eastAsia" w:cs="Times New Roman"/>
                <w:color w:val="000000" w:themeColor="text1"/>
                <w:kern w:val="0"/>
                <w:sz w:val="24"/>
                <w:highlight w:val="none"/>
                <w:lang w:eastAsia="zh-CN"/>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试行</w:t>
            </w:r>
            <w:r>
              <w:rPr>
                <w:rFonts w:hint="eastAsia" w:cs="Times New Roman"/>
                <w:color w:val="000000" w:themeColor="text1"/>
                <w:kern w:val="0"/>
                <w:sz w:val="24"/>
                <w:highlight w:val="none"/>
                <w:lang w:eastAsia="zh-CN"/>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中有关规定，声环境质量现状监测</w:t>
            </w:r>
            <w:r>
              <w:rPr>
                <w:rFonts w:hint="eastAsia" w:cs="Times New Roman"/>
                <w:color w:val="000000" w:themeColor="text1"/>
                <w:kern w:val="0"/>
                <w:sz w:val="24"/>
                <w:highlight w:val="none"/>
                <w:lang w:val="en-US" w:eastAsia="zh-CN"/>
                <w14:textFill>
                  <w14:solidFill>
                    <w14:schemeClr w14:val="tx1"/>
                  </w14:solidFill>
                </w14:textFill>
              </w:rPr>
              <w:t>参照</w:t>
            </w:r>
            <w:r>
              <w:rPr>
                <w:rFonts w:hint="default" w:cs="Times New Roman"/>
                <w:color w:val="000000" w:themeColor="text1"/>
                <w:kern w:val="0"/>
                <w:sz w:val="24"/>
                <w:highlight w:val="none"/>
                <w14:textFill>
                  <w14:solidFill>
                    <w14:schemeClr w14:val="tx1"/>
                  </w14:solidFill>
                </w14:textFill>
              </w:rPr>
              <w:t>《建设项目环境影响报告</w:t>
            </w:r>
            <w:r>
              <w:rPr>
                <w:rFonts w:hint="eastAsia" w:cs="Times New Roman"/>
                <w:color w:val="000000" w:themeColor="text1"/>
                <w:kern w:val="0"/>
                <w:sz w:val="24"/>
                <w:highlight w:val="none"/>
                <w:lang w:val="en-US" w:eastAsia="zh-CN"/>
                <w14:textFill>
                  <w14:solidFill>
                    <w14:schemeClr w14:val="tx1"/>
                  </w14:solidFill>
                </w14:textFill>
              </w:rPr>
              <w:t>编制技</w:t>
            </w:r>
            <w:r>
              <w:rPr>
                <w:rFonts w:hint="default" w:cs="Times New Roman"/>
                <w:color w:val="000000" w:themeColor="text1"/>
                <w:kern w:val="0"/>
                <w:sz w:val="24"/>
                <w:highlight w:val="none"/>
                <w14:textFill>
                  <w14:solidFill>
                    <w14:schemeClr w14:val="tx1"/>
                  </w14:solidFill>
                </w14:textFill>
              </w:rPr>
              <w:t>术指南</w:t>
            </w:r>
            <w:r>
              <w:rPr>
                <w:rFonts w:hint="eastAsia" w:cs="Times New Roman"/>
                <w:color w:val="000000" w:themeColor="text1"/>
                <w:kern w:val="0"/>
                <w:sz w:val="24"/>
                <w:highlight w:val="none"/>
                <w:lang w:eastAsia="zh-CN"/>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污染影响类</w:t>
            </w:r>
            <w:r>
              <w:rPr>
                <w:rFonts w:hint="eastAsia" w:cs="Times New Roman"/>
                <w:color w:val="000000" w:themeColor="text1"/>
                <w:kern w:val="0"/>
                <w:sz w:val="24"/>
                <w:highlight w:val="none"/>
                <w:lang w:eastAsia="zh-CN"/>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的相关规定开展补充监测。</w:t>
            </w:r>
          </w:p>
          <w:p w14:paraId="1864B287">
            <w:pPr>
              <w:keepNext w:val="0"/>
              <w:keepLines w:val="0"/>
              <w:suppressLineNumbers w:val="0"/>
              <w:spacing w:before="0" w:beforeAutospacing="0" w:after="0" w:afterAutospacing="0"/>
              <w:ind w:left="0" w:right="0" w:firstLine="454" w:firstLineChars="200"/>
              <w:rPr>
                <w:rFonts w:hint="eastAsia" w:cs="Times New Roman"/>
                <w:b/>
                <w:bCs/>
                <w:snapToGrid w:val="0"/>
                <w:color w:val="000000" w:themeColor="text1"/>
                <w:kern w:val="0"/>
                <w:sz w:val="24"/>
                <w:szCs w:val="22"/>
                <w:highlight w:val="none"/>
                <w14:textFill>
                  <w14:solidFill>
                    <w14:schemeClr w14:val="tx1"/>
                  </w14:solidFill>
                </w14:textFill>
              </w:rPr>
            </w:pPr>
            <w:r>
              <w:rPr>
                <w:rFonts w:hint="default" w:cs="Times New Roman"/>
                <w:color w:val="000000" w:themeColor="text1"/>
                <w:kern w:val="0"/>
                <w:sz w:val="24"/>
                <w:highlight w:val="none"/>
                <w14:textFill>
                  <w14:solidFill>
                    <w14:schemeClr w14:val="tx1"/>
                  </w14:solidFill>
                </w14:textFill>
              </w:rPr>
              <w:t>根据实地调查，本项目治理区周边50m</w:t>
            </w:r>
            <w:r>
              <w:rPr>
                <w:rFonts w:hint="eastAsia" w:cs="Times New Roman"/>
                <w:color w:val="000000" w:themeColor="text1"/>
                <w:kern w:val="0"/>
                <w:sz w:val="24"/>
                <w:highlight w:val="none"/>
                <w:lang w:val="en-US" w:eastAsia="zh-CN"/>
                <w14:textFill>
                  <w14:solidFill>
                    <w14:schemeClr w14:val="tx1"/>
                  </w14:solidFill>
                </w14:textFill>
              </w:rPr>
              <w:t>范围内</w:t>
            </w:r>
            <w:r>
              <w:rPr>
                <w:rFonts w:hint="default" w:cs="Times New Roman"/>
                <w:color w:val="000000" w:themeColor="text1"/>
                <w:kern w:val="0"/>
                <w:sz w:val="24"/>
                <w:highlight w:val="none"/>
                <w14:textFill>
                  <w14:solidFill>
                    <w14:schemeClr w14:val="tx1"/>
                  </w14:solidFill>
                </w14:textFill>
              </w:rPr>
              <w:t>无声环境敏感目标，</w:t>
            </w:r>
            <w:r>
              <w:rPr>
                <w:rFonts w:hint="eastAsia" w:cs="Times New Roman"/>
                <w:color w:val="000000" w:themeColor="text1"/>
                <w:kern w:val="0"/>
                <w:sz w:val="24"/>
                <w:highlight w:val="none"/>
                <w:lang w:val="en-US" w:eastAsia="zh-CN"/>
                <w14:textFill>
                  <w14:solidFill>
                    <w14:schemeClr w14:val="tx1"/>
                  </w14:solidFill>
                </w14:textFill>
              </w:rPr>
              <w:t>因此，</w:t>
            </w:r>
            <w:r>
              <w:rPr>
                <w:rFonts w:hint="default" w:cs="Times New Roman"/>
                <w:color w:val="000000" w:themeColor="text1"/>
                <w:kern w:val="0"/>
                <w:sz w:val="24"/>
                <w:highlight w:val="none"/>
                <w14:textFill>
                  <w14:solidFill>
                    <w14:schemeClr w14:val="tx1"/>
                  </w14:solidFill>
                </w14:textFill>
              </w:rPr>
              <w:t>不开展声环境质量现状调查。</w:t>
            </w:r>
          </w:p>
          <w:p w14:paraId="229DB6A7">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土壤环境质量</w:t>
            </w:r>
          </w:p>
          <w:p w14:paraId="25698145">
            <w:pPr>
              <w:keepNext w:val="0"/>
              <w:keepLines w:val="0"/>
              <w:suppressLineNumbers w:val="0"/>
              <w:bidi w:val="0"/>
              <w:spacing w:before="0" w:beforeAutospacing="0" w:after="0" w:afterAutospacing="0"/>
              <w:ind w:left="0" w:right="0"/>
              <w:rPr>
                <w:rFonts w:hint="default" w:cs="Times New Roman"/>
                <w:color w:val="000000" w:themeColor="text1"/>
                <w:kern w:val="0"/>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本项目主要对</w:t>
            </w:r>
            <w:r>
              <w:rPr>
                <w:rFonts w:hint="default"/>
                <w:color w:val="000000" w:themeColor="text1"/>
                <w:highlight w:val="none"/>
                <w14:textFill>
                  <w14:solidFill>
                    <w14:schemeClr w14:val="tx1"/>
                  </w14:solidFill>
                </w14:textFill>
              </w:rPr>
              <w:t>历史遗留废弃矿山</w:t>
            </w:r>
            <w:r>
              <w:rPr>
                <w:rFonts w:hint="eastAsia"/>
                <w:color w:val="000000" w:themeColor="text1"/>
                <w:highlight w:val="none"/>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恢复治理</w:t>
            </w:r>
            <w:r>
              <w:rPr>
                <w:rFonts w:hint="eastAsia"/>
                <w:color w:val="000000" w:themeColor="text1"/>
                <w:highlight w:val="none"/>
                <w14:textFill>
                  <w14:solidFill>
                    <w14:schemeClr w14:val="tx1"/>
                  </w14:solidFill>
                </w14:textFill>
              </w:rPr>
              <w:t>，项目主要建设内容</w:t>
            </w:r>
            <w:r>
              <w:rPr>
                <w:rFonts w:hint="eastAsia"/>
                <w:color w:val="000000" w:themeColor="text1"/>
                <w:highlight w:val="none"/>
                <w:lang w:val="en-US" w:eastAsia="zh-CN"/>
                <w14:textFill>
                  <w14:solidFill>
                    <w14:schemeClr w14:val="tx1"/>
                  </w14:solidFill>
                </w14:textFill>
              </w:rPr>
              <w:t>包括</w:t>
            </w:r>
            <w:r>
              <w:rPr>
                <w:rFonts w:hint="eastAsia"/>
                <w:color w:val="000000" w:themeColor="text1"/>
                <w:highlight w:val="none"/>
                <w14:textFill>
                  <w14:solidFill>
                    <w14:schemeClr w14:val="tx1"/>
                  </w14:solidFill>
                </w14:textFill>
              </w:rPr>
              <w:t>地形地貌恢复工程、截排水工程、生态恢复工程，施工期及运营期不存在</w:t>
            </w:r>
            <w:r>
              <w:rPr>
                <w:rFonts w:hint="eastAsia"/>
                <w:color w:val="000000" w:themeColor="text1"/>
                <w:highlight w:val="none"/>
                <w:lang w:eastAsia="zh-CN"/>
                <w14:textFill>
                  <w14:solidFill>
                    <w14:schemeClr w14:val="tx1"/>
                  </w14:solidFill>
                </w14:textFill>
              </w:rPr>
              <w:t>土壤</w:t>
            </w:r>
            <w:r>
              <w:rPr>
                <w:rFonts w:hint="eastAsia"/>
                <w:color w:val="000000" w:themeColor="text1"/>
                <w:highlight w:val="none"/>
                <w14:textFill>
                  <w14:solidFill>
                    <w14:schemeClr w14:val="tx1"/>
                  </w14:solidFill>
                </w14:textFill>
              </w:rPr>
              <w:t>污染途径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根据</w:t>
            </w:r>
            <w:r>
              <w:rPr>
                <w:rFonts w:hint="default"/>
                <w:color w:val="000000" w:themeColor="text1"/>
                <w:highlight w:val="none"/>
                <w14:textFill>
                  <w14:solidFill>
                    <w14:schemeClr w14:val="tx1"/>
                  </w14:solidFill>
                </w14:textFill>
              </w:rPr>
              <w:t>《环境影响评价技术导则</w:t>
            </w:r>
            <w:r>
              <w:rPr>
                <w:rFonts w:hint="eastAsia"/>
                <w:color w:val="000000" w:themeColor="text1"/>
                <w:highlight w:val="none"/>
                <w:lang w:val="en-US" w:eastAsia="zh-CN"/>
                <w14:textFill>
                  <w14:solidFill>
                    <w14:schemeClr w14:val="tx1"/>
                  </w14:solidFill>
                </w14:textFill>
              </w:rPr>
              <w:t xml:space="preserve"> 土壤环境（试行）</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（HJ 964—2018），</w:t>
            </w:r>
            <w:r>
              <w:rPr>
                <w:rFonts w:hint="eastAsia"/>
                <w:color w:val="000000" w:themeColor="text1"/>
                <w:highlight w:val="none"/>
                <w:lang w:val="en-US" w:eastAsia="zh-CN"/>
                <w14:textFill>
                  <w14:solidFill>
                    <w14:schemeClr w14:val="tx1"/>
                  </w14:solidFill>
                </w14:textFill>
              </w:rPr>
              <w:t>本</w:t>
            </w:r>
            <w:r>
              <w:rPr>
                <w:rFonts w:hint="default"/>
                <w:color w:val="000000" w:themeColor="text1"/>
                <w:highlight w:val="none"/>
                <w14:textFill>
                  <w14:solidFill>
                    <w14:schemeClr w14:val="tx1"/>
                  </w14:solidFill>
                </w14:textFill>
              </w:rPr>
              <w:t>项目行业类别</w:t>
            </w:r>
            <w:r>
              <w:rPr>
                <w:rFonts w:hint="eastAsia"/>
                <w:color w:val="000000" w:themeColor="text1"/>
                <w:highlight w:val="none"/>
                <w:lang w:val="en-US" w:eastAsia="zh-CN"/>
                <w14:textFill>
                  <w14:solidFill>
                    <w14:schemeClr w14:val="tx1"/>
                  </w14:solidFill>
                </w14:textFill>
              </w:rPr>
              <w:t>属于其他行</w:t>
            </w:r>
            <w:r>
              <w:rPr>
                <w:rFonts w:hint="default"/>
                <w:color w:val="000000" w:themeColor="text1"/>
                <w:highlight w:val="none"/>
                <w14:textFill>
                  <w14:solidFill>
                    <w14:schemeClr w14:val="tx1"/>
                  </w14:solidFill>
                </w14:textFill>
              </w:rPr>
              <w:t>业</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本项目施工期、运营期均不存在土壤污染途径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因此，本次评价不开展土壤环境质量现状调查。</w:t>
            </w:r>
          </w:p>
        </w:tc>
      </w:tr>
      <w:tr w14:paraId="20F8E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3" w:type="dxa"/>
            <w:noWrap w:val="0"/>
            <w:vAlign w:val="center"/>
          </w:tcPr>
          <w:p w14:paraId="667E2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b/>
                <w:bCs/>
                <w:color w:val="000000" w:themeColor="text1"/>
                <w:highlight w:val="none"/>
                <w14:textFill>
                  <w14:solidFill>
                    <w14:schemeClr w14:val="tx1"/>
                  </w14:solidFill>
                </w14:textFill>
              </w:rPr>
              <w:t>与项目有关的原有环境污染和生态破坏问题</w:t>
            </w:r>
          </w:p>
        </w:tc>
        <w:tc>
          <w:tcPr>
            <w:tcW w:w="8504" w:type="dxa"/>
            <w:noWrap w:val="0"/>
            <w:vAlign w:val="top"/>
          </w:tcPr>
          <w:p w14:paraId="6D024671">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1、主要生态问题和原因分析</w:t>
            </w:r>
          </w:p>
          <w:p w14:paraId="105E1533">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沙坡头区天景山区域石灰岩矿产资源分布集中，现有矿山企业以中小型为主，个别区域矿产资源开采生态保护不到位，生态修复效果较差。企业在执行生态修复任务时，未全面履行治理责任。</w:t>
            </w:r>
          </w:p>
          <w:p w14:paraId="2D9D69B9">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根据中央第五生态环境保护督察组督察宁夏时，发现中卫市宣和镇天景山天主峰灰石矿区部分区域生态修复不严不实等问题，主要有以下几</w:t>
            </w:r>
            <w:r>
              <w:rPr>
                <w:rFonts w:hint="eastAsia"/>
                <w:color w:val="000000" w:themeColor="text1"/>
                <w:highlight w:val="none"/>
                <w:lang w:val="en-US" w:eastAsia="zh-CN"/>
                <w14:textFill>
                  <w14:solidFill>
                    <w14:schemeClr w14:val="tx1"/>
                  </w14:solidFill>
                </w14:textFill>
              </w:rPr>
              <w:t>方面</w:t>
            </w:r>
            <w:r>
              <w:rPr>
                <w:rFonts w:hint="default"/>
                <w:color w:val="000000" w:themeColor="text1"/>
                <w:highlight w:val="none"/>
                <w14:textFill>
                  <w14:solidFill>
                    <w14:schemeClr w14:val="tx1"/>
                  </w14:solidFill>
                </w14:textFill>
              </w:rPr>
              <w:t>：</w:t>
            </w:r>
          </w:p>
          <w:p w14:paraId="4136736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default"/>
                <w:color w:val="000000" w:themeColor="text1"/>
                <w:highlight w:val="none"/>
                <w14:textFill>
                  <w14:solidFill>
                    <w14:schemeClr w14:val="tx1"/>
                  </w14:solidFill>
                </w14:textFill>
              </w:rPr>
              <w:t>地质灾害</w:t>
            </w:r>
          </w:p>
          <w:p w14:paraId="21BB6DA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矿山开采过程中，顺坡滑槽倾倒矿石、表土、废石，堆放于山坡或沟谷地带，未分层压实。浮石受自然风化、雨水冲刷及震动影响，渣石滚落，形成边坡浮石。同时，由于管护不到位，水保措施不完善，导致表土冲刷、渣石裸露，存在较大的地质灾害隐患。</w:t>
            </w:r>
          </w:p>
          <w:p w14:paraId="20E2EDB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根据《地质灾害危险性评估规范》（GB/T40112-2021），结合项目区各治理点调查情况，边坡风化浮石遇到暴雨容易使陡坎崩塌、渣堆塌陷、采坑滑坡等，造成山洪泥石流等地质灾害，使下游居民、农田受到侵害。</w:t>
            </w:r>
          </w:p>
          <w:p w14:paraId="49C14CD2">
            <w:pPr>
              <w:widowControl/>
              <w:adjustRightInd w:val="0"/>
              <w:snapToGrid w:val="0"/>
              <w:ind w:left="0" w:leftChars="0" w:firstLine="0" w:firstLineChars="0"/>
              <w:jc w:val="both"/>
              <w:rPr>
                <w:rFonts w:hint="default" w:ascii="Times New Roman" w:hAnsi="Times New Roman" w:eastAsia="黑体" w:cs="Times New Roman"/>
                <w:color w:val="000000" w:themeColor="text1"/>
                <w:sz w:val="24"/>
                <w:highlight w:val="none"/>
                <w:lang w:eastAsia="zh-CN"/>
                <w14:textFill>
                  <w14:solidFill>
                    <w14:schemeClr w14:val="tx1"/>
                  </w14:solidFill>
                </w14:textFill>
              </w:rPr>
            </w:pP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drawing>
                <wp:inline distT="0" distB="0" distL="114300" distR="114300">
                  <wp:extent cx="5252720" cy="3244215"/>
                  <wp:effectExtent l="0" t="0" r="5080" b="13335"/>
                  <wp:docPr id="34" name="图片 34" descr="ad4e8f990e068537eaac92a991687f04"/>
                  <wp:cNvGraphicFramePr/>
                  <a:graphic xmlns:a="http://schemas.openxmlformats.org/drawingml/2006/main">
                    <a:graphicData uri="http://schemas.openxmlformats.org/drawingml/2006/picture">
                      <pic:pic xmlns:pic="http://schemas.openxmlformats.org/drawingml/2006/picture">
                        <pic:nvPicPr>
                          <pic:cNvPr id="34" name="图片 34" descr="ad4e8f990e068537eaac92a991687f04"/>
                          <pic:cNvPicPr/>
                        </pic:nvPicPr>
                        <pic:blipFill>
                          <a:blip r:embed="rId14"/>
                          <a:stretch>
                            <a:fillRect/>
                          </a:stretch>
                        </pic:blipFill>
                        <pic:spPr>
                          <a:xfrm>
                            <a:off x="0" y="0"/>
                            <a:ext cx="5252720" cy="3244215"/>
                          </a:xfrm>
                          <a:prstGeom prst="rect">
                            <a:avLst/>
                          </a:prstGeom>
                        </pic:spPr>
                      </pic:pic>
                    </a:graphicData>
                  </a:graphic>
                </wp:inline>
              </w:drawing>
            </w:r>
          </w:p>
          <w:p w14:paraId="506F890F">
            <w:pPr>
              <w:pStyle w:val="3"/>
              <w:bidi w:val="0"/>
              <w:rPr>
                <w:rFonts w:hint="default" w:ascii="Times New Roman" w:hAnsi="Times New Roman" w:cs="宋体"/>
                <w:color w:val="000000" w:themeColor="text1"/>
                <w:highlight w:val="none"/>
                <w:lang w:val="en-US" w:eastAsia="zh-CN"/>
                <w14:textFill>
                  <w14:solidFill>
                    <w14:schemeClr w14:val="tx1"/>
                  </w14:solidFill>
                </w14:textFill>
              </w:rPr>
            </w:pPr>
            <w:r>
              <w:rPr>
                <w:rFonts w:hint="default" w:ascii="Times New Roman" w:hAnsi="Times New Roman" w:cs="宋体"/>
                <w:color w:val="000000" w:themeColor="text1"/>
                <w:highlight w:val="none"/>
                <w:lang w:val="en-US" w:eastAsia="zh-CN"/>
                <w14:textFill>
                  <w14:solidFill>
                    <w14:schemeClr w14:val="tx1"/>
                  </w14:solidFill>
                </w14:textFill>
              </w:rPr>
              <w:t>图</w:t>
            </w:r>
            <w:r>
              <w:rPr>
                <w:rFonts w:hint="eastAsia" w:ascii="Times New Roman" w:hAnsi="Times New Roman" w:cs="宋体"/>
                <w:color w:val="000000" w:themeColor="text1"/>
                <w:highlight w:val="none"/>
                <w:lang w:val="en-US" w:eastAsia="zh-CN"/>
                <w14:textFill>
                  <w14:solidFill>
                    <w14:schemeClr w14:val="tx1"/>
                  </w14:solidFill>
                </w14:textFill>
              </w:rPr>
              <w:t xml:space="preserve">3-2 </w:t>
            </w:r>
            <w:r>
              <w:rPr>
                <w:rFonts w:hint="default" w:ascii="Times New Roman" w:hAnsi="Times New Roman" w:cs="宋体"/>
                <w:color w:val="000000" w:themeColor="text1"/>
                <w:highlight w:val="none"/>
                <w:lang w:val="en-US" w:eastAsia="zh-CN"/>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松散渣石生态问题图</w:t>
            </w:r>
          </w:p>
          <w:p w14:paraId="2B936B4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⑵</w:t>
            </w:r>
            <w:r>
              <w:rPr>
                <w:rFonts w:hint="default"/>
                <w:color w:val="000000" w:themeColor="text1"/>
                <w:highlight w:val="none"/>
                <w14:textFill>
                  <w14:solidFill>
                    <w14:schemeClr w14:val="tx1"/>
                  </w14:solidFill>
                </w14:textFill>
              </w:rPr>
              <w:t>生态环境破坏导致植被覆盖率低下</w:t>
            </w:r>
          </w:p>
          <w:p w14:paraId="1365B96C">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宁夏为西北地区重要的生态屏障，也是国家重要生态系统中的生态环境脆弱区。项目区地处宁夏中部干旱带，该区域气候干旱、降雨量稀少，水资源匮乏，土壤等基本立地条件较差。治理区采矿历史悠久。由于区域气候干旱、降水稀少，生态环境脆弱，过去对生态环境保护认识不足、资金技术短缺和历史遗留等客观因素，长期的矿山开发利用活动，使经济发展与资源、环境间的矛盾日益突出。在此之前实施过《中卫市宣和镇天景山天主峰灰石矿矿山生态修复治理实施方案》，通过坡面分级整理、土地平整、植被恢复等措施，使治理区及周边的生态环境得到了极大地改善。但由于当地降雨量少，蒸发量大等自然因素，加之原治理工程后期管护没有及时跟进，导致植被成活率较低，植被覆盖率不足3%，难以维持治理区的生态环境，生态环境日益退化，使得区域生态环境对气候变化和人类干扰活动负面影响更加敏感，生态系统稳定性差。</w:t>
            </w:r>
          </w:p>
          <w:p w14:paraId="66E0CF9F">
            <w:pPr>
              <w:widowControl/>
              <w:adjustRightInd w:val="0"/>
              <w:snapToGrid w:val="0"/>
              <w:ind w:left="0" w:leftChars="0" w:firstLine="0" w:firstLineChars="0"/>
              <w:jc w:val="both"/>
              <w:rPr>
                <w:rFonts w:hint="default" w:ascii="Times New Roman" w:hAnsi="Times New Roman" w:eastAsia="黑体" w:cs="Times New Roman"/>
                <w:color w:val="000000" w:themeColor="text1"/>
                <w:sz w:val="24"/>
                <w:highlight w:val="none"/>
                <w:lang w:eastAsia="zh-CN"/>
                <w14:textFill>
                  <w14:solidFill>
                    <w14:schemeClr w14:val="tx1"/>
                  </w14:solidFill>
                </w14:textFill>
              </w:rPr>
            </w:pPr>
            <w:r>
              <w:rPr>
                <w:rFonts w:hint="default" w:ascii="Times New Roman" w:hAnsi="Times New Roman" w:eastAsia="黑体" w:cs="Times New Roman"/>
                <w:color w:val="000000" w:themeColor="text1"/>
                <w:sz w:val="24"/>
                <w:highlight w:val="none"/>
                <w:lang w:eastAsia="zh-CN"/>
                <w14:textFill>
                  <w14:solidFill>
                    <w14:schemeClr w14:val="tx1"/>
                  </w14:solidFill>
                </w14:textFill>
              </w:rPr>
              <w:drawing>
                <wp:inline distT="0" distB="0" distL="114300" distR="114300">
                  <wp:extent cx="5248910" cy="3177540"/>
                  <wp:effectExtent l="0" t="0" r="0" b="0"/>
                  <wp:docPr id="3" name="图片 3" descr="89d34a8092ee7cb2c9347974953cb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9d34a8092ee7cb2c9347974953cb75b"/>
                          <pic:cNvPicPr>
                            <a:picLocks noChangeAspect="1"/>
                          </pic:cNvPicPr>
                        </pic:nvPicPr>
                        <pic:blipFill>
                          <a:blip r:embed="rId15"/>
                          <a:srcRect b="19251"/>
                          <a:stretch>
                            <a:fillRect/>
                          </a:stretch>
                        </pic:blipFill>
                        <pic:spPr>
                          <a:xfrm>
                            <a:off x="0" y="0"/>
                            <a:ext cx="5248910" cy="3177540"/>
                          </a:xfrm>
                          <a:prstGeom prst="rect">
                            <a:avLst/>
                          </a:prstGeom>
                        </pic:spPr>
                      </pic:pic>
                    </a:graphicData>
                  </a:graphic>
                </wp:inline>
              </w:drawing>
            </w:r>
          </w:p>
          <w:p w14:paraId="26A25E02">
            <w:pPr>
              <w:pStyle w:val="3"/>
              <w:bidi w:val="0"/>
              <w:rPr>
                <w:rFonts w:hint="default" w:ascii="Times New Roman" w:hAnsi="Times New Roman" w:cs="宋体"/>
                <w:color w:val="000000" w:themeColor="text1"/>
                <w:highlight w:val="none"/>
                <w:lang w:val="en-US" w:eastAsia="zh-CN"/>
                <w14:textFill>
                  <w14:solidFill>
                    <w14:schemeClr w14:val="tx1"/>
                  </w14:solidFill>
                </w14:textFill>
              </w:rPr>
            </w:pPr>
            <w:r>
              <w:rPr>
                <w:rFonts w:hint="default" w:ascii="Times New Roman" w:hAnsi="Times New Roman" w:cs="宋体"/>
                <w:color w:val="000000" w:themeColor="text1"/>
                <w:highlight w:val="none"/>
                <w:lang w:val="en-US" w:eastAsia="zh-CN"/>
                <w14:textFill>
                  <w14:solidFill>
                    <w14:schemeClr w14:val="tx1"/>
                  </w14:solidFill>
                </w14:textFill>
              </w:rPr>
              <w:t>图3-3  项目区</w:t>
            </w:r>
            <w:r>
              <w:rPr>
                <w:rFonts w:hint="eastAsia" w:ascii="Times New Roman" w:hAnsi="Times New Roman" w:cs="宋体"/>
                <w:color w:val="000000" w:themeColor="text1"/>
                <w:highlight w:val="none"/>
                <w:lang w:val="en-US" w:eastAsia="zh-CN"/>
                <w14:textFill>
                  <w14:solidFill>
                    <w14:schemeClr w14:val="tx1"/>
                  </w14:solidFill>
                </w14:textFill>
              </w:rPr>
              <w:t>植被覆盖度</w:t>
            </w:r>
            <w:r>
              <w:rPr>
                <w:rFonts w:hint="default" w:ascii="Times New Roman" w:hAnsi="Times New Roman" w:cs="宋体"/>
                <w:color w:val="000000" w:themeColor="text1"/>
                <w:highlight w:val="none"/>
                <w:lang w:val="en-US" w:eastAsia="zh-CN"/>
                <w14:textFill>
                  <w14:solidFill>
                    <w14:schemeClr w14:val="tx1"/>
                  </w14:solidFill>
                </w14:textFill>
              </w:rPr>
              <w:t>生态问题图</w:t>
            </w:r>
          </w:p>
          <w:p w14:paraId="0A891375">
            <w:pPr>
              <w:pStyle w:val="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2、主要生态修复措施</w:t>
            </w:r>
          </w:p>
          <w:p w14:paraId="0F93B870">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eastAsia" w:eastAsia="宋体"/>
                <w:color w:val="000000" w:themeColor="text1"/>
                <w:highlight w:val="none"/>
                <w:lang w:val="en-US" w:eastAsia="zh-CN"/>
                <w14:textFill>
                  <w14:solidFill>
                    <w14:schemeClr w14:val="tx1"/>
                  </w14:solidFill>
                </w14:textFill>
              </w:rPr>
              <w:t>地质灾害防治</w:t>
            </w:r>
            <w:r>
              <w:rPr>
                <w:rFonts w:hint="default"/>
                <w:color w:val="000000" w:themeColor="text1"/>
                <w:highlight w:val="none"/>
                <w14:textFill>
                  <w14:solidFill>
                    <w14:schemeClr w14:val="tx1"/>
                  </w14:solidFill>
                </w14:textFill>
              </w:rPr>
              <w:t>措施</w:t>
            </w:r>
          </w:p>
          <w:p w14:paraId="29431557">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治理区内堆积于开采坑口的渣石废土进行清理，部分用于回填采坑，部分用于修筑边坡。对于开采形成的坡度稳定但不平整的边坡进行坡面修整，采用人工或机械修整，坡面转角处及坡顶棱角修整顺直，使坡面稳定平直，无较大的凸起和凹陷，使坡面与周围坡面连接平滑、协调。</w:t>
            </w:r>
          </w:p>
          <w:p w14:paraId="700C4A0B">
            <w:pPr>
              <w:keepNext w:val="0"/>
              <w:keepLines w:val="0"/>
              <w:suppressLineNumbers w:val="0"/>
              <w:bidi w:val="0"/>
              <w:spacing w:before="0" w:beforeAutospacing="0" w:after="0" w:afterAutospacing="0"/>
              <w:ind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在2022年修复治理的基础上，马道外侧设置截水埂，并且采用反坡设计，防止坡面集水形成的地面径流造成下级坡面的破坏。根据项目区地形，在雨水汇集处设置导流槽，减少水土流失。</w:t>
            </w:r>
          </w:p>
          <w:p w14:paraId="76284A05">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⑵</w:t>
            </w:r>
            <w:r>
              <w:rPr>
                <w:rFonts w:hint="default"/>
                <w:color w:val="000000" w:themeColor="text1"/>
                <w:highlight w:val="none"/>
                <w14:textFill>
                  <w14:solidFill>
                    <w14:schemeClr w14:val="tx1"/>
                  </w14:solidFill>
                </w14:textFill>
              </w:rPr>
              <w:t>生态植被恢复措施</w:t>
            </w:r>
          </w:p>
          <w:p w14:paraId="64B795DA">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对治理区可进行植被恢复的区域进行植被恢复。必要时先进行覆土，</w:t>
            </w:r>
            <w:r>
              <w:rPr>
                <w:rFonts w:hint="eastAsia"/>
                <w:color w:val="000000" w:themeColor="text1"/>
                <w:highlight w:val="none"/>
                <w:lang w:val="en-US" w:eastAsia="zh-CN"/>
                <w14:textFill>
                  <w14:solidFill>
                    <w14:schemeClr w14:val="tx1"/>
                  </w14:solidFill>
                </w14:textFill>
              </w:rPr>
              <w:t>并</w:t>
            </w:r>
            <w:r>
              <w:rPr>
                <w:rFonts w:hint="default"/>
                <w:color w:val="000000" w:themeColor="text1"/>
                <w:highlight w:val="none"/>
                <w14:textFill>
                  <w14:solidFill>
                    <w14:schemeClr w14:val="tx1"/>
                  </w14:solidFill>
                </w14:textFill>
              </w:rPr>
              <w:t>对种草区域进行翻松，草籽采用适宜当地生长的草种。植草养护期为3年，养护主要以人工补水灌溉确保植被成活率。</w:t>
            </w:r>
          </w:p>
          <w:p w14:paraId="30F1C50E">
            <w:pPr>
              <w:pStyle w:val="3"/>
              <w:bidi w:val="0"/>
              <w:rPr>
                <w:rFonts w:hint="eastAsia" w:eastAsia="宋体" w:cs="Times New Roman"/>
                <w:color w:val="000000" w:themeColor="text1"/>
                <w:kern w:val="0"/>
                <w:szCs w:val="21"/>
                <w:highlight w:val="none"/>
                <w:lang w:eastAsia="zh-CN"/>
                <w14:textFill>
                  <w14:solidFill>
                    <w14:schemeClr w14:val="tx1"/>
                  </w14:solidFill>
                </w14:textFill>
              </w:rPr>
            </w:pPr>
          </w:p>
        </w:tc>
      </w:tr>
      <w:tr w14:paraId="5D610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3" w:type="dxa"/>
            <w:noWrap w:val="0"/>
            <w:vAlign w:val="center"/>
          </w:tcPr>
          <w:p w14:paraId="50E44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生态环境保护目标</w:t>
            </w:r>
          </w:p>
        </w:tc>
        <w:tc>
          <w:tcPr>
            <w:tcW w:w="8504" w:type="dxa"/>
            <w:noWrap w:val="0"/>
            <w:vAlign w:val="center"/>
          </w:tcPr>
          <w:p w14:paraId="6BB5BF2F">
            <w:pPr>
              <w:keepNext w:val="0"/>
              <w:keepLines w:val="0"/>
              <w:widowControl/>
              <w:suppressLineNumbers w:val="0"/>
              <w:spacing w:before="0" w:beforeAutospacing="0" w:after="0" w:afterAutospacing="0"/>
              <w:ind w:left="0" w:right="0"/>
              <w:jc w:val="both"/>
              <w:rPr>
                <w:rFonts w:hint="eastAsia" w:cs="Times New Roman"/>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根据《建设项目环境影响报告表编制技术指南（生态影响类）》（试行），生态环境保护目标按照环境影响评价相关技术导则要求确定评价范围并识别环境保护目标。</w:t>
            </w:r>
          </w:p>
          <w:p w14:paraId="7044DE06">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大气环境</w:t>
            </w:r>
            <w:r>
              <w:rPr>
                <w:rFonts w:hint="eastAsia"/>
                <w:color w:val="000000" w:themeColor="text1"/>
                <w:highlight w:val="none"/>
                <w:lang w:val="en-US" w:eastAsia="zh-CN"/>
                <w14:textFill>
                  <w14:solidFill>
                    <w14:schemeClr w14:val="tx1"/>
                  </w14:solidFill>
                </w14:textFill>
              </w:rPr>
              <w:t>保护目标</w:t>
            </w:r>
          </w:p>
          <w:p w14:paraId="1EFE1D0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大气环境》（HJ2.2-2018），本项目运营期无废气产生和排放。因此，不划分大气评价等级及评价范围。因此，本项目周边无大气环境保护目标。</w:t>
            </w:r>
          </w:p>
          <w:p w14:paraId="75688C15">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声环境</w:t>
            </w:r>
            <w:r>
              <w:rPr>
                <w:rFonts w:hint="eastAsia"/>
                <w:color w:val="000000" w:themeColor="text1"/>
                <w:highlight w:val="none"/>
                <w:lang w:val="en-US" w:eastAsia="zh-CN"/>
                <w14:textFill>
                  <w14:solidFill>
                    <w14:schemeClr w14:val="tx1"/>
                  </w14:solidFill>
                </w14:textFill>
              </w:rPr>
              <w:t>保护目标</w:t>
            </w:r>
          </w:p>
          <w:p w14:paraId="2CB5AA5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声环境》（HJ2.4-2021），本项目声环境保护目标调查范围为200m。根据现场调查，本项目周边200m范围内无声环境保护目标。</w:t>
            </w:r>
          </w:p>
          <w:p w14:paraId="6C70217A">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3、地表水</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31234B0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地表水环境》（</w:t>
            </w:r>
            <w:r>
              <w:rPr>
                <w:rFonts w:hint="default"/>
                <w:color w:val="000000" w:themeColor="text1"/>
                <w:highlight w:val="none"/>
                <w:lang w:val="en-US" w:eastAsia="zh-CN"/>
                <w14:textFill>
                  <w14:solidFill>
                    <w14:schemeClr w14:val="tx1"/>
                  </w14:solidFill>
                </w14:textFill>
              </w:rPr>
              <w:t>HJ 2.3—2018</w:t>
            </w:r>
            <w:r>
              <w:rPr>
                <w:rFonts w:hint="eastAsia"/>
                <w:color w:val="000000" w:themeColor="text1"/>
                <w:highlight w:val="none"/>
                <w:lang w:val="en-US" w:eastAsia="zh-CN"/>
                <w14:textFill>
                  <w14:solidFill>
                    <w14:schemeClr w14:val="tx1"/>
                  </w14:solidFill>
                </w14:textFill>
              </w:rPr>
              <w:t>），本项目施工期、运营期无废水排放。经调查，项目选址500m范围内无饮用水源保护区、饮用水取水口、涉水自然保护区等地表水环境保护目标。因此，不划分地表水评价等级及评价范围。因此，本项目周边无地表水环境保护目标。</w:t>
            </w:r>
          </w:p>
          <w:p w14:paraId="0C40EB84">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4、地下水</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3A160091">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根据《环境影响评价技术导则地下水环境》（HJ610-2016），本项目行业类别“J 非金属矿采选及制品制造 54、土砂石开采”评价等级为Ⅳ类。由于本项目施工期生活污水依托周边村庄现有旱厕处理，运营期无废水排放，不会对地下水环境产生影响。因此，本次不开展地下水环境保护目标调查。</w:t>
            </w:r>
          </w:p>
          <w:p w14:paraId="24B2A29B">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5、土壤</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6311FCA6">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土壤环境（试行）》（HJ964-2018），本项目行业类别在导则中属于“其他行业”，评价类别为Ⅳ类。本项目实施地形地貌恢复工程、截排水工程和生态恢复工程等生态修复措施，施工期及运营期不存在土壤污染途径。因此，本次不开展土壤环境保护目标调查。</w:t>
            </w:r>
          </w:p>
          <w:p w14:paraId="2CF52B4F">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6、生态环境保护目标</w:t>
            </w:r>
          </w:p>
          <w:p w14:paraId="1C64814A">
            <w:pPr>
              <w:bidi w:val="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t>评价等级及范围</w:t>
            </w:r>
          </w:p>
          <w:p w14:paraId="16C3968E">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对照《环境影响评价技术导则 生态影响》（HJ19-2022）中对于评价等级的确定原则，本项目总占地面积34.44hm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，小于20km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，项目不占用自然保护区、森林公园、风景名胜区、生态保护红线、国家重点保护文物及野生动物的重要栖息地、重要或特殊的植物群落区域。根据《环境影响评价技术导则 生态影响》（HJ19-2022），确定本项目环境影响评价等级为三级。生态环境影响评价范围为项目占地范围及项目治理区边界外扩200m。</w:t>
            </w:r>
          </w:p>
          <w:p w14:paraId="66F2127C">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环境保护目标</w:t>
            </w:r>
          </w:p>
          <w:p w14:paraId="58F65D1C">
            <w:pPr>
              <w:bidi w:val="0"/>
              <w:rPr>
                <w:rFonts w:hint="default" w:cs="Times New Roman"/>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经现场踏勘，本项目生态环境影响评价范围内无生态环境保护目标。</w:t>
            </w:r>
          </w:p>
        </w:tc>
      </w:tr>
      <w:tr w14:paraId="0D1D0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5" w:hRule="atLeast"/>
        </w:trPr>
        <w:tc>
          <w:tcPr>
            <w:tcW w:w="653" w:type="dxa"/>
            <w:noWrap w:val="0"/>
            <w:vAlign w:val="center"/>
          </w:tcPr>
          <w:p w14:paraId="7E4ED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b/>
                <w:bCs/>
                <w:color w:val="000000" w:themeColor="text1"/>
                <w:kern w:val="0"/>
                <w:sz w:val="24"/>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评价</w:t>
            </w:r>
          </w:p>
          <w:p w14:paraId="6C0AF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标准</w:t>
            </w:r>
          </w:p>
        </w:tc>
        <w:tc>
          <w:tcPr>
            <w:tcW w:w="8504" w:type="dxa"/>
            <w:noWrap w:val="0"/>
            <w:vAlign w:val="center"/>
          </w:tcPr>
          <w:p w14:paraId="1D1ECE96">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环境质量标准</w:t>
            </w:r>
          </w:p>
          <w:p w14:paraId="2EF34194">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⑴环境空气质量标准</w:t>
            </w:r>
          </w:p>
          <w:p w14:paraId="64F17A48">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项目所在区域</w:t>
            </w:r>
            <w:r>
              <w:rPr>
                <w:rFonts w:hint="eastAsia"/>
                <w:color w:val="000000" w:themeColor="text1"/>
                <w:highlight w:val="none"/>
                <w14:textFill>
                  <w14:solidFill>
                    <w14:schemeClr w14:val="tx1"/>
                  </w14:solidFill>
                </w14:textFill>
              </w:rPr>
              <w:t>属于环境空气质量功能二类区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环境空气质量执行《环境空气质量标准》</w:t>
            </w:r>
            <w:r>
              <w:rPr>
                <w:rFonts w:hint="default"/>
                <w:color w:val="000000" w:themeColor="text1"/>
                <w:highlight w:val="none"/>
                <w:lang w:val="en-US" w:eastAsia="zh-CN"/>
                <w14:textFill>
                  <w14:solidFill>
                    <w14:schemeClr w14:val="tx1"/>
                  </w14:solidFill>
                </w14:textFill>
              </w:rPr>
              <w:t>(GB3095-2012)</w:t>
            </w:r>
            <w:r>
              <w:rPr>
                <w:rFonts w:hint="eastAsia"/>
                <w:color w:val="000000" w:themeColor="text1"/>
                <w:highlight w:val="none"/>
                <w:lang w:val="en-US" w:eastAsia="zh-CN"/>
                <w14:textFill>
                  <w14:solidFill>
                    <w14:schemeClr w14:val="tx1"/>
                  </w14:solidFill>
                </w14:textFill>
              </w:rPr>
              <w:t>及修改单二级标准。</w:t>
            </w:r>
          </w:p>
          <w:p w14:paraId="3598A1D8">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 xml:space="preserve">6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环境空气质量标准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082"/>
              <w:gridCol w:w="1446"/>
              <w:gridCol w:w="1435"/>
              <w:gridCol w:w="953"/>
              <w:gridCol w:w="2378"/>
            </w:tblGrid>
            <w:tr w14:paraId="55F2D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vMerge w:val="restart"/>
                  <w:tcBorders>
                    <w:tl2br w:val="nil"/>
                    <w:tr2bl w:val="nil"/>
                  </w:tcBorders>
                  <w:noWrap w:val="0"/>
                  <w:vAlign w:val="center"/>
                </w:tcPr>
                <w:p w14:paraId="57AC9A3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污染物名称</w:t>
                  </w:r>
                </w:p>
              </w:tc>
              <w:tc>
                <w:tcPr>
                  <w:tcW w:w="4880" w:type="dxa"/>
                  <w:gridSpan w:val="4"/>
                  <w:tcBorders>
                    <w:tl2br w:val="nil"/>
                    <w:tr2bl w:val="nil"/>
                  </w:tcBorders>
                  <w:noWrap w:val="0"/>
                  <w:vAlign w:val="center"/>
                </w:tcPr>
                <w:p w14:paraId="199E29D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标准值</w:t>
                  </w:r>
                </w:p>
              </w:tc>
              <w:tc>
                <w:tcPr>
                  <w:tcW w:w="2361" w:type="dxa"/>
                  <w:vMerge w:val="restart"/>
                  <w:tcBorders>
                    <w:tl2br w:val="nil"/>
                    <w:tr2bl w:val="nil"/>
                  </w:tcBorders>
                  <w:noWrap w:val="0"/>
                  <w:vAlign w:val="center"/>
                </w:tcPr>
                <w:p w14:paraId="698CAE6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标准来源</w:t>
                  </w:r>
                </w:p>
              </w:tc>
            </w:tr>
            <w:tr w14:paraId="3C37B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vMerge w:val="continue"/>
                  <w:tcBorders>
                    <w:tl2br w:val="nil"/>
                    <w:tr2bl w:val="nil"/>
                  </w:tcBorders>
                  <w:noWrap w:val="0"/>
                  <w:vAlign w:val="center"/>
                </w:tcPr>
                <w:p w14:paraId="2B39FB5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p>
              </w:tc>
              <w:tc>
                <w:tcPr>
                  <w:tcW w:w="1074" w:type="dxa"/>
                  <w:tcBorders>
                    <w:tl2br w:val="nil"/>
                    <w:tr2bl w:val="nil"/>
                  </w:tcBorders>
                  <w:noWrap w:val="0"/>
                  <w:vAlign w:val="center"/>
                </w:tcPr>
                <w:p w14:paraId="7BE6CAF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年平均</w:t>
                  </w:r>
                </w:p>
              </w:tc>
              <w:tc>
                <w:tcPr>
                  <w:tcW w:w="1435" w:type="dxa"/>
                  <w:tcBorders>
                    <w:tl2br w:val="nil"/>
                    <w:tr2bl w:val="nil"/>
                  </w:tcBorders>
                  <w:noWrap w:val="0"/>
                  <w:vAlign w:val="center"/>
                </w:tcPr>
                <w:p w14:paraId="75B2F96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24小时平均</w:t>
                  </w:r>
                </w:p>
              </w:tc>
              <w:tc>
                <w:tcPr>
                  <w:tcW w:w="1425" w:type="dxa"/>
                  <w:tcBorders>
                    <w:tl2br w:val="nil"/>
                    <w:tr2bl w:val="nil"/>
                  </w:tcBorders>
                  <w:noWrap w:val="0"/>
                  <w:vAlign w:val="center"/>
                </w:tcPr>
                <w:p w14:paraId="4C7BCD5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1小时平均</w:t>
                  </w:r>
                </w:p>
              </w:tc>
              <w:tc>
                <w:tcPr>
                  <w:tcW w:w="946" w:type="dxa"/>
                  <w:tcBorders>
                    <w:tl2br w:val="nil"/>
                    <w:tr2bl w:val="nil"/>
                  </w:tcBorders>
                  <w:noWrap w:val="0"/>
                  <w:vAlign w:val="center"/>
                </w:tcPr>
                <w:p w14:paraId="3550F14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单位</w:t>
                  </w:r>
                </w:p>
              </w:tc>
              <w:tc>
                <w:tcPr>
                  <w:tcW w:w="2361" w:type="dxa"/>
                  <w:vMerge w:val="continue"/>
                  <w:tcBorders>
                    <w:tl2br w:val="nil"/>
                    <w:tr2bl w:val="nil"/>
                  </w:tcBorders>
                  <w:noWrap w:val="0"/>
                  <w:vAlign w:val="center"/>
                </w:tcPr>
                <w:p w14:paraId="64DA712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pPr>
                </w:p>
              </w:tc>
            </w:tr>
            <w:tr w14:paraId="3EF50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4169198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SO</w:t>
                  </w:r>
                  <w:r>
                    <w:rPr>
                      <w:rFonts w:hint="default" w:cs="Times New Roman"/>
                      <w:color w:val="000000" w:themeColor="text1"/>
                      <w:highlight w:val="none"/>
                      <w:vertAlign w:val="subscript"/>
                      <w:lang w:eastAsia="zh-CN"/>
                      <w14:textFill>
                        <w14:solidFill>
                          <w14:schemeClr w14:val="tx1"/>
                        </w14:solidFill>
                      </w14:textFill>
                    </w:rPr>
                    <w:t>2</w:t>
                  </w:r>
                </w:p>
              </w:tc>
              <w:tc>
                <w:tcPr>
                  <w:tcW w:w="1074" w:type="dxa"/>
                  <w:tcBorders>
                    <w:tl2br w:val="nil"/>
                    <w:tr2bl w:val="nil"/>
                  </w:tcBorders>
                  <w:noWrap w:val="0"/>
                  <w:vAlign w:val="center"/>
                </w:tcPr>
                <w:p w14:paraId="52BEA0B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60</w:t>
                  </w:r>
                </w:p>
              </w:tc>
              <w:tc>
                <w:tcPr>
                  <w:tcW w:w="1435" w:type="dxa"/>
                  <w:tcBorders>
                    <w:tl2br w:val="nil"/>
                    <w:tr2bl w:val="nil"/>
                  </w:tcBorders>
                  <w:noWrap w:val="0"/>
                  <w:vAlign w:val="center"/>
                </w:tcPr>
                <w:p w14:paraId="75259FC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150</w:t>
                  </w:r>
                </w:p>
              </w:tc>
              <w:tc>
                <w:tcPr>
                  <w:tcW w:w="1425" w:type="dxa"/>
                  <w:tcBorders>
                    <w:tl2br w:val="nil"/>
                    <w:tr2bl w:val="nil"/>
                  </w:tcBorders>
                  <w:noWrap w:val="0"/>
                  <w:vAlign w:val="center"/>
                </w:tcPr>
                <w:p w14:paraId="096B77D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500</w:t>
                  </w:r>
                </w:p>
              </w:tc>
              <w:tc>
                <w:tcPr>
                  <w:tcW w:w="946" w:type="dxa"/>
                  <w:vMerge w:val="restart"/>
                  <w:tcBorders>
                    <w:tl2br w:val="nil"/>
                    <w:tr2bl w:val="nil"/>
                  </w:tcBorders>
                  <w:noWrap w:val="0"/>
                  <w:vAlign w:val="center"/>
                </w:tcPr>
                <w:p w14:paraId="164C3A0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μg/m³</w:t>
                  </w:r>
                </w:p>
              </w:tc>
              <w:tc>
                <w:tcPr>
                  <w:tcW w:w="2361" w:type="dxa"/>
                  <w:vMerge w:val="restart"/>
                  <w:tcBorders>
                    <w:tl2br w:val="nil"/>
                    <w:tr2bl w:val="nil"/>
                  </w:tcBorders>
                  <w:noWrap w:val="0"/>
                  <w:vAlign w:val="center"/>
                </w:tcPr>
                <w:p w14:paraId="2441893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《环境空气质量标准》</w:t>
                  </w:r>
                  <w:r>
                    <w:rPr>
                      <w:rFonts w:hint="eastAsia" w:cs="Times New Roman"/>
                      <w:color w:val="000000" w:themeColor="text1"/>
                      <w:highlight w:val="none"/>
                      <w:lang w:eastAsia="zh-CN"/>
                      <w14:textFill>
                        <w14:solidFill>
                          <w14:schemeClr w14:val="tx1"/>
                        </w14:solidFill>
                      </w14:textFill>
                    </w:rPr>
                    <w:t>（</w:t>
                  </w:r>
                  <w:r>
                    <w:rPr>
                      <w:rFonts w:hint="default" w:cs="Times New Roman"/>
                      <w:color w:val="000000" w:themeColor="text1"/>
                      <w:highlight w:val="none"/>
                      <w:lang w:eastAsia="zh-CN"/>
                      <w14:textFill>
                        <w14:solidFill>
                          <w14:schemeClr w14:val="tx1"/>
                        </w14:solidFill>
                      </w14:textFill>
                    </w:rPr>
                    <w:t>GB3095-2012）二级标准及修改单</w:t>
                  </w:r>
                </w:p>
              </w:tc>
            </w:tr>
            <w:tr w14:paraId="30AA2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6373790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NO</w:t>
                  </w:r>
                  <w:r>
                    <w:rPr>
                      <w:rFonts w:hint="default" w:cs="Times New Roman"/>
                      <w:color w:val="000000" w:themeColor="text1"/>
                      <w:highlight w:val="none"/>
                      <w:vertAlign w:val="subscript"/>
                      <w:lang w:eastAsia="zh-CN"/>
                      <w14:textFill>
                        <w14:solidFill>
                          <w14:schemeClr w14:val="tx1"/>
                        </w14:solidFill>
                      </w14:textFill>
                    </w:rPr>
                    <w:t>2</w:t>
                  </w:r>
                </w:p>
              </w:tc>
              <w:tc>
                <w:tcPr>
                  <w:tcW w:w="1074" w:type="dxa"/>
                  <w:tcBorders>
                    <w:tl2br w:val="nil"/>
                    <w:tr2bl w:val="nil"/>
                  </w:tcBorders>
                  <w:noWrap w:val="0"/>
                  <w:vAlign w:val="center"/>
                </w:tcPr>
                <w:p w14:paraId="51AA44C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40</w:t>
                  </w:r>
                </w:p>
              </w:tc>
              <w:tc>
                <w:tcPr>
                  <w:tcW w:w="1435" w:type="dxa"/>
                  <w:tcBorders>
                    <w:tl2br w:val="nil"/>
                    <w:tr2bl w:val="nil"/>
                  </w:tcBorders>
                  <w:noWrap w:val="0"/>
                  <w:vAlign w:val="center"/>
                </w:tcPr>
                <w:p w14:paraId="409763D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80</w:t>
                  </w:r>
                </w:p>
              </w:tc>
              <w:tc>
                <w:tcPr>
                  <w:tcW w:w="1425" w:type="dxa"/>
                  <w:tcBorders>
                    <w:tl2br w:val="nil"/>
                    <w:tr2bl w:val="nil"/>
                  </w:tcBorders>
                  <w:noWrap w:val="0"/>
                  <w:vAlign w:val="center"/>
                </w:tcPr>
                <w:p w14:paraId="77FAA63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946" w:type="dxa"/>
                  <w:vMerge w:val="continue"/>
                  <w:tcBorders>
                    <w:tl2br w:val="nil"/>
                    <w:tr2bl w:val="nil"/>
                  </w:tcBorders>
                  <w:noWrap w:val="0"/>
                  <w:vAlign w:val="center"/>
                </w:tcPr>
                <w:p w14:paraId="66D58CA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2361" w:type="dxa"/>
                  <w:vMerge w:val="continue"/>
                  <w:tcBorders>
                    <w:tl2br w:val="nil"/>
                    <w:tr2bl w:val="nil"/>
                  </w:tcBorders>
                  <w:noWrap w:val="0"/>
                  <w:vAlign w:val="center"/>
                </w:tcPr>
                <w:p w14:paraId="018726E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6C368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6D79B53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PM</w:t>
                  </w:r>
                  <w:r>
                    <w:rPr>
                      <w:rFonts w:hint="default" w:cs="Times New Roman"/>
                      <w:color w:val="000000" w:themeColor="text1"/>
                      <w:highlight w:val="none"/>
                      <w:vertAlign w:val="subscript"/>
                      <w:lang w:eastAsia="zh-CN"/>
                      <w14:textFill>
                        <w14:solidFill>
                          <w14:schemeClr w14:val="tx1"/>
                        </w14:solidFill>
                      </w14:textFill>
                    </w:rPr>
                    <w:t>10</w:t>
                  </w:r>
                </w:p>
              </w:tc>
              <w:tc>
                <w:tcPr>
                  <w:tcW w:w="1074" w:type="dxa"/>
                  <w:tcBorders>
                    <w:tl2br w:val="nil"/>
                    <w:tr2bl w:val="nil"/>
                  </w:tcBorders>
                  <w:noWrap w:val="0"/>
                  <w:vAlign w:val="center"/>
                </w:tcPr>
                <w:p w14:paraId="0C7E2CF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70</w:t>
                  </w:r>
                </w:p>
              </w:tc>
              <w:tc>
                <w:tcPr>
                  <w:tcW w:w="1435" w:type="dxa"/>
                  <w:tcBorders>
                    <w:tl2br w:val="nil"/>
                    <w:tr2bl w:val="nil"/>
                  </w:tcBorders>
                  <w:noWrap w:val="0"/>
                  <w:vAlign w:val="center"/>
                </w:tcPr>
                <w:p w14:paraId="0D187F2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150</w:t>
                  </w:r>
                </w:p>
              </w:tc>
              <w:tc>
                <w:tcPr>
                  <w:tcW w:w="1425" w:type="dxa"/>
                  <w:tcBorders>
                    <w:tl2br w:val="nil"/>
                    <w:tr2bl w:val="nil"/>
                  </w:tcBorders>
                  <w:noWrap w:val="0"/>
                  <w:vAlign w:val="center"/>
                </w:tcPr>
                <w:p w14:paraId="188705C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946" w:type="dxa"/>
                  <w:vMerge w:val="continue"/>
                  <w:tcBorders>
                    <w:tl2br w:val="nil"/>
                    <w:tr2bl w:val="nil"/>
                  </w:tcBorders>
                  <w:noWrap w:val="0"/>
                  <w:vAlign w:val="center"/>
                </w:tcPr>
                <w:p w14:paraId="2EA9153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2361" w:type="dxa"/>
                  <w:vMerge w:val="continue"/>
                  <w:tcBorders>
                    <w:tl2br w:val="nil"/>
                    <w:tr2bl w:val="nil"/>
                  </w:tcBorders>
                  <w:noWrap w:val="0"/>
                  <w:vAlign w:val="center"/>
                </w:tcPr>
                <w:p w14:paraId="4EE31C2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567E7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3A235CC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PM</w:t>
                  </w:r>
                  <w:r>
                    <w:rPr>
                      <w:rFonts w:hint="default" w:cs="Times New Roman"/>
                      <w:color w:val="000000" w:themeColor="text1"/>
                      <w:highlight w:val="none"/>
                      <w:vertAlign w:val="subscript"/>
                      <w:lang w:eastAsia="zh-CN"/>
                      <w14:textFill>
                        <w14:solidFill>
                          <w14:schemeClr w14:val="tx1"/>
                        </w14:solidFill>
                      </w14:textFill>
                    </w:rPr>
                    <w:t>2.5</w:t>
                  </w:r>
                </w:p>
              </w:tc>
              <w:tc>
                <w:tcPr>
                  <w:tcW w:w="1074" w:type="dxa"/>
                  <w:tcBorders>
                    <w:tl2br w:val="nil"/>
                    <w:tr2bl w:val="nil"/>
                  </w:tcBorders>
                  <w:noWrap w:val="0"/>
                  <w:vAlign w:val="center"/>
                </w:tcPr>
                <w:p w14:paraId="0938007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35</w:t>
                  </w:r>
                </w:p>
              </w:tc>
              <w:tc>
                <w:tcPr>
                  <w:tcW w:w="1435" w:type="dxa"/>
                  <w:tcBorders>
                    <w:tl2br w:val="nil"/>
                    <w:tr2bl w:val="nil"/>
                  </w:tcBorders>
                  <w:noWrap w:val="0"/>
                  <w:vAlign w:val="center"/>
                </w:tcPr>
                <w:p w14:paraId="198BF6A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75</w:t>
                  </w:r>
                </w:p>
              </w:tc>
              <w:tc>
                <w:tcPr>
                  <w:tcW w:w="1425" w:type="dxa"/>
                  <w:tcBorders>
                    <w:tl2br w:val="nil"/>
                    <w:tr2bl w:val="nil"/>
                  </w:tcBorders>
                  <w:noWrap w:val="0"/>
                  <w:vAlign w:val="center"/>
                </w:tcPr>
                <w:p w14:paraId="5840304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946" w:type="dxa"/>
                  <w:vMerge w:val="continue"/>
                  <w:tcBorders>
                    <w:tl2br w:val="nil"/>
                    <w:tr2bl w:val="nil"/>
                  </w:tcBorders>
                  <w:noWrap w:val="0"/>
                  <w:vAlign w:val="center"/>
                </w:tcPr>
                <w:p w14:paraId="1973A6D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2361" w:type="dxa"/>
                  <w:vMerge w:val="continue"/>
                  <w:tcBorders>
                    <w:tl2br w:val="nil"/>
                    <w:tr2bl w:val="nil"/>
                  </w:tcBorders>
                  <w:noWrap w:val="0"/>
                  <w:vAlign w:val="center"/>
                </w:tcPr>
                <w:p w14:paraId="64A614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5799D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740B33B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O</w:t>
                  </w:r>
                  <w:r>
                    <w:rPr>
                      <w:rFonts w:hint="default" w:cs="Times New Roman"/>
                      <w:color w:val="000000" w:themeColor="text1"/>
                      <w:highlight w:val="none"/>
                      <w:vertAlign w:val="subscript"/>
                      <w:lang w:eastAsia="zh-CN"/>
                      <w14:textFill>
                        <w14:solidFill>
                          <w14:schemeClr w14:val="tx1"/>
                        </w14:solidFill>
                      </w14:textFill>
                    </w:rPr>
                    <w:t>3</w:t>
                  </w:r>
                </w:p>
              </w:tc>
              <w:tc>
                <w:tcPr>
                  <w:tcW w:w="1074" w:type="dxa"/>
                  <w:tcBorders>
                    <w:tl2br w:val="nil"/>
                    <w:tr2bl w:val="nil"/>
                  </w:tcBorders>
                  <w:noWrap w:val="0"/>
                  <w:vAlign w:val="center"/>
                </w:tcPr>
                <w:p w14:paraId="7092E05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435" w:type="dxa"/>
                  <w:tcBorders>
                    <w:tl2br w:val="nil"/>
                    <w:tr2bl w:val="nil"/>
                  </w:tcBorders>
                  <w:noWrap w:val="0"/>
                  <w:vAlign w:val="center"/>
                </w:tcPr>
                <w:p w14:paraId="5AC2099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160（日最大8小时平均）</w:t>
                  </w:r>
                </w:p>
              </w:tc>
              <w:tc>
                <w:tcPr>
                  <w:tcW w:w="1425" w:type="dxa"/>
                  <w:tcBorders>
                    <w:tl2br w:val="nil"/>
                    <w:tr2bl w:val="nil"/>
                  </w:tcBorders>
                  <w:noWrap w:val="0"/>
                  <w:vAlign w:val="center"/>
                </w:tcPr>
                <w:p w14:paraId="6ADDD74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946" w:type="dxa"/>
                  <w:vMerge w:val="continue"/>
                  <w:tcBorders>
                    <w:tl2br w:val="nil"/>
                    <w:tr2bl w:val="nil"/>
                  </w:tcBorders>
                  <w:noWrap w:val="0"/>
                  <w:vAlign w:val="center"/>
                </w:tcPr>
                <w:p w14:paraId="637B22B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2361" w:type="dxa"/>
                  <w:vMerge w:val="continue"/>
                  <w:tcBorders>
                    <w:tl2br w:val="nil"/>
                    <w:tr2bl w:val="nil"/>
                  </w:tcBorders>
                  <w:noWrap w:val="0"/>
                  <w:vAlign w:val="center"/>
                </w:tcPr>
                <w:p w14:paraId="4F15298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534D5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6A337CF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CO</w:t>
                  </w:r>
                </w:p>
              </w:tc>
              <w:tc>
                <w:tcPr>
                  <w:tcW w:w="1074" w:type="dxa"/>
                  <w:tcBorders>
                    <w:tl2br w:val="nil"/>
                    <w:tr2bl w:val="nil"/>
                  </w:tcBorders>
                  <w:noWrap w:val="0"/>
                  <w:vAlign w:val="center"/>
                </w:tcPr>
                <w:p w14:paraId="03D475B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435" w:type="dxa"/>
                  <w:tcBorders>
                    <w:tl2br w:val="nil"/>
                    <w:tr2bl w:val="nil"/>
                  </w:tcBorders>
                  <w:noWrap w:val="0"/>
                  <w:vAlign w:val="center"/>
                </w:tcPr>
                <w:p w14:paraId="6F68255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4</w:t>
                  </w:r>
                </w:p>
              </w:tc>
              <w:tc>
                <w:tcPr>
                  <w:tcW w:w="1425" w:type="dxa"/>
                  <w:tcBorders>
                    <w:tl2br w:val="nil"/>
                    <w:tr2bl w:val="nil"/>
                  </w:tcBorders>
                  <w:noWrap w:val="0"/>
                  <w:vAlign w:val="center"/>
                </w:tcPr>
                <w:p w14:paraId="05433A4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10</w:t>
                  </w:r>
                </w:p>
              </w:tc>
              <w:tc>
                <w:tcPr>
                  <w:tcW w:w="946" w:type="dxa"/>
                  <w:tcBorders>
                    <w:tl2br w:val="nil"/>
                    <w:tr2bl w:val="nil"/>
                  </w:tcBorders>
                  <w:noWrap w:val="0"/>
                  <w:vAlign w:val="center"/>
                </w:tcPr>
                <w:p w14:paraId="1E241C5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mg/m³</w:t>
                  </w:r>
                </w:p>
              </w:tc>
              <w:tc>
                <w:tcPr>
                  <w:tcW w:w="2361" w:type="dxa"/>
                  <w:vMerge w:val="continue"/>
                  <w:tcBorders>
                    <w:tl2br w:val="nil"/>
                    <w:tr2bl w:val="nil"/>
                  </w:tcBorders>
                  <w:noWrap w:val="0"/>
                  <w:vAlign w:val="center"/>
                </w:tcPr>
                <w:p w14:paraId="2CE0227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75A1E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7" w:type="dxa"/>
                  <w:tcBorders>
                    <w:tl2br w:val="nil"/>
                    <w:tr2bl w:val="nil"/>
                  </w:tcBorders>
                  <w:noWrap w:val="0"/>
                  <w:vAlign w:val="center"/>
                </w:tcPr>
                <w:p w14:paraId="4016020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TSP</w:t>
                  </w:r>
                </w:p>
              </w:tc>
              <w:tc>
                <w:tcPr>
                  <w:tcW w:w="1074" w:type="dxa"/>
                  <w:tcBorders>
                    <w:tl2br w:val="nil"/>
                    <w:tr2bl w:val="nil"/>
                  </w:tcBorders>
                  <w:noWrap w:val="0"/>
                  <w:vAlign w:val="center"/>
                </w:tcPr>
                <w:p w14:paraId="430E3CF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1435" w:type="dxa"/>
                  <w:tcBorders>
                    <w:tl2br w:val="nil"/>
                    <w:tr2bl w:val="nil"/>
                  </w:tcBorders>
                  <w:noWrap w:val="0"/>
                  <w:vAlign w:val="center"/>
                </w:tcPr>
                <w:p w14:paraId="3C8F78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300</w:t>
                  </w:r>
                </w:p>
              </w:tc>
              <w:tc>
                <w:tcPr>
                  <w:tcW w:w="1425" w:type="dxa"/>
                  <w:tcBorders>
                    <w:tl2br w:val="nil"/>
                    <w:tr2bl w:val="nil"/>
                  </w:tcBorders>
                  <w:noWrap w:val="0"/>
                  <w:vAlign w:val="center"/>
                </w:tcPr>
                <w:p w14:paraId="25808D0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946" w:type="dxa"/>
                  <w:tcBorders>
                    <w:tl2br w:val="nil"/>
                    <w:tr2bl w:val="nil"/>
                  </w:tcBorders>
                  <w:noWrap w:val="0"/>
                  <w:vAlign w:val="center"/>
                </w:tcPr>
                <w:p w14:paraId="7D441ED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μg/m³</w:t>
                  </w:r>
                </w:p>
              </w:tc>
              <w:tc>
                <w:tcPr>
                  <w:tcW w:w="2361" w:type="dxa"/>
                  <w:vMerge w:val="continue"/>
                  <w:tcBorders>
                    <w:tl2br w:val="nil"/>
                    <w:tr2bl w:val="nil"/>
                  </w:tcBorders>
                  <w:noWrap w:val="0"/>
                  <w:vAlign w:val="center"/>
                </w:tcPr>
                <w:p w14:paraId="4625123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bl>
          <w:p w14:paraId="535DBB62">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w:t>
            </w:r>
            <w:r>
              <w:rPr>
                <w:rFonts w:hint="eastAsia"/>
                <w:color w:val="000000" w:themeColor="text1"/>
                <w:highlight w:val="none"/>
                <w14:textFill>
                  <w14:solidFill>
                    <w14:schemeClr w14:val="tx1"/>
                  </w14:solidFill>
                </w14:textFill>
              </w:rPr>
              <w:t>地表水环境质量标准</w:t>
            </w:r>
          </w:p>
          <w:p w14:paraId="7E92DF81">
            <w:pP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本项目所在地最近的地表水体为</w:t>
            </w:r>
            <w:r>
              <w:rPr>
                <w:rFonts w:hint="eastAsia"/>
                <w:color w:val="000000" w:themeColor="text1"/>
                <w:highlight w:val="none"/>
                <w:lang w:val="en-US" w:eastAsia="zh-CN"/>
                <w14:textFill>
                  <w14:solidFill>
                    <w14:schemeClr w14:val="tx1"/>
                  </w14:solidFill>
                </w14:textFill>
              </w:rPr>
              <w:t>沙沟、寺口子沟</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沙沟为季节性沟道，无长流水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寺口子沟流经沙坡头区、中宁县，于中宁县大战场镇清河村汇入清水河。</w:t>
            </w:r>
            <w:r>
              <w:rPr>
                <w:rFonts w:hint="eastAsia"/>
                <w:color w:val="000000" w:themeColor="text1"/>
                <w:highlight w:val="none"/>
                <w:lang w:val="en-US" w:eastAsia="zh-CN"/>
                <w14:textFill>
                  <w14:solidFill>
                    <w14:schemeClr w14:val="tx1"/>
                  </w14:solidFill>
                </w14:textFill>
              </w:rPr>
              <w:t>清水河</w:t>
            </w:r>
            <w:r>
              <w:rPr>
                <w:rFonts w:hint="eastAsia"/>
                <w:color w:val="000000" w:themeColor="text1"/>
                <w:highlight w:val="none"/>
                <w14:textFill>
                  <w14:solidFill>
                    <w14:schemeClr w14:val="tx1"/>
                  </w14:solidFill>
                </w14:textFill>
              </w:rPr>
              <w:t>水质执行《地表水环境质量标准》（</w:t>
            </w:r>
            <w:r>
              <w:rPr>
                <w:rFonts w:hint="default"/>
                <w:color w:val="000000" w:themeColor="text1"/>
                <w:highlight w:val="none"/>
                <w14:textFill>
                  <w14:solidFill>
                    <w14:schemeClr w14:val="tx1"/>
                  </w14:solidFill>
                </w14:textFill>
              </w:rPr>
              <w:t>GB3838-2002</w:t>
            </w:r>
            <w:r>
              <w:rPr>
                <w:rFonts w:hint="eastAsia"/>
                <w:color w:val="000000" w:themeColor="text1"/>
                <w:highlight w:val="none"/>
                <w14:textFill>
                  <w14:solidFill>
                    <w14:schemeClr w14:val="tx1"/>
                  </w14:solidFill>
                </w14:textFill>
              </w:rPr>
              <w:t>）中的</w:t>
            </w:r>
            <w:r>
              <w:rPr>
                <w:rFonts w:hint="eastAsia"/>
                <w:color w:val="000000" w:themeColor="text1"/>
                <w:highlight w:val="none"/>
                <w:lang w:val="en-US" w:eastAsia="zh-CN"/>
                <w14:textFill>
                  <w14:solidFill>
                    <w14:schemeClr w14:val="tx1"/>
                  </w14:solidFill>
                </w14:textFill>
              </w:rPr>
              <w:t>Ⅲ</w:t>
            </w:r>
            <w:r>
              <w:rPr>
                <w:rFonts w:hint="eastAsia"/>
                <w:color w:val="000000" w:themeColor="text1"/>
                <w:highlight w:val="none"/>
                <w14:textFill>
                  <w14:solidFill>
                    <w14:schemeClr w14:val="tx1"/>
                  </w14:solidFill>
                </w14:textFill>
              </w:rPr>
              <w:t>类水质标准。</w:t>
            </w:r>
          </w:p>
          <w:p w14:paraId="13BCC910">
            <w:pPr>
              <w:pStyle w:val="3"/>
              <w:keepNext w:val="0"/>
              <w:keepLines w:val="0"/>
              <w:suppressLineNumbers w:val="0"/>
              <w:bidi w:val="0"/>
              <w:spacing w:before="0" w:beforeAutospacing="0" w:after="0" w:afterAutospacing="0"/>
              <w:ind w:left="0" w:right="0"/>
              <w:rPr>
                <w:rFonts w:hint="eastAsia" w:ascii="Times New Roman" w:hAnsi="Times New Roman" w:cs="宋体"/>
                <w:color w:val="000000" w:themeColor="text1"/>
                <w:highlight w:val="none"/>
                <w:lang w:val="en-US" w:eastAsia="zh-CN"/>
                <w14:textFill>
                  <w14:solidFill>
                    <w14:schemeClr w14:val="tx1"/>
                  </w14:solidFill>
                </w14:textFill>
              </w:rPr>
            </w:pPr>
            <w:r>
              <w:rPr>
                <w:rFonts w:hint="eastAsia" w:ascii="Times New Roman" w:hAnsi="Times New Roman" w:cs="宋体"/>
                <w:color w:val="000000" w:themeColor="text1"/>
                <w:highlight w:val="none"/>
                <w:lang w:val="en-US" w:eastAsia="zh-CN"/>
                <w14:textFill>
                  <w14:solidFill>
                    <w14:schemeClr w14:val="tx1"/>
                  </w14:solidFill>
                </w14:textFill>
              </w:rPr>
              <w:t xml:space="preserve">表3-7   项目地表水环境质量标准一览表  </w:t>
            </w:r>
            <w:r>
              <w:rPr>
                <w:rFonts w:hint="default" w:ascii="Times New Roman" w:hAnsi="Times New Roman" w:cs="宋体"/>
                <w:color w:val="000000" w:themeColor="text1"/>
                <w:highlight w:val="none"/>
                <w:lang w:val="en-US" w:eastAsia="zh-CN"/>
                <w14:textFill>
                  <w14:solidFill>
                    <w14:schemeClr w14:val="tx1"/>
                  </w14:solidFill>
                </w14:textFill>
              </w:rPr>
              <w:t>单位：mg/L（pH除外）</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492"/>
              <w:gridCol w:w="1084"/>
              <w:gridCol w:w="734"/>
              <w:gridCol w:w="1996"/>
              <w:gridCol w:w="1246"/>
            </w:tblGrid>
            <w:tr w14:paraId="555CE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754B423F">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序号</w:t>
                  </w:r>
                </w:p>
              </w:tc>
              <w:tc>
                <w:tcPr>
                  <w:tcW w:w="1508" w:type="pct"/>
                  <w:tcBorders>
                    <w:tl2br w:val="nil"/>
                    <w:tr2bl w:val="nil"/>
                  </w:tcBorders>
                  <w:noWrap w:val="0"/>
                  <w:vAlign w:val="center"/>
                </w:tcPr>
                <w:p w14:paraId="2F06BACE">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评价因子</w:t>
                  </w:r>
                </w:p>
              </w:tc>
              <w:tc>
                <w:tcPr>
                  <w:tcW w:w="656" w:type="pct"/>
                  <w:tcBorders>
                    <w:tl2br w:val="nil"/>
                    <w:tr2bl w:val="nil"/>
                  </w:tcBorders>
                  <w:noWrap w:val="0"/>
                  <w:vAlign w:val="center"/>
                </w:tcPr>
                <w:p w14:paraId="5086B6BE">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标准限值</w:t>
                  </w:r>
                </w:p>
              </w:tc>
              <w:tc>
                <w:tcPr>
                  <w:tcW w:w="444" w:type="pct"/>
                  <w:tcBorders>
                    <w:tl2br w:val="nil"/>
                    <w:tr2bl w:val="nil"/>
                  </w:tcBorders>
                  <w:noWrap w:val="0"/>
                  <w:vAlign w:val="center"/>
                </w:tcPr>
                <w:p w14:paraId="74157FBA">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序号</w:t>
                  </w:r>
                </w:p>
              </w:tc>
              <w:tc>
                <w:tcPr>
                  <w:tcW w:w="1208" w:type="pct"/>
                  <w:tcBorders>
                    <w:tl2br w:val="nil"/>
                    <w:tr2bl w:val="nil"/>
                  </w:tcBorders>
                  <w:noWrap w:val="0"/>
                  <w:vAlign w:val="center"/>
                </w:tcPr>
                <w:p w14:paraId="6E70FBD5">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评价因子</w:t>
                  </w:r>
                </w:p>
              </w:tc>
              <w:tc>
                <w:tcPr>
                  <w:tcW w:w="754" w:type="pct"/>
                  <w:tcBorders>
                    <w:tl2br w:val="nil"/>
                    <w:tr2bl w:val="nil"/>
                  </w:tcBorders>
                  <w:noWrap w:val="0"/>
                  <w:vAlign w:val="center"/>
                </w:tcPr>
                <w:p w14:paraId="287A0467">
                  <w:pPr>
                    <w:pStyle w:val="88"/>
                    <w:bidi w:val="0"/>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标准限值</w:t>
                  </w:r>
                </w:p>
              </w:tc>
            </w:tr>
            <w:tr w14:paraId="254B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384F9856">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p>
              </w:tc>
              <w:tc>
                <w:tcPr>
                  <w:tcW w:w="1508" w:type="pct"/>
                  <w:tcBorders>
                    <w:tl2br w:val="nil"/>
                    <w:tr2bl w:val="nil"/>
                  </w:tcBorders>
                  <w:noWrap w:val="0"/>
                  <w:vAlign w:val="center"/>
                </w:tcPr>
                <w:p w14:paraId="4EE05B52">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pH</w:t>
                  </w:r>
                </w:p>
              </w:tc>
              <w:tc>
                <w:tcPr>
                  <w:tcW w:w="656" w:type="pct"/>
                  <w:tcBorders>
                    <w:tl2br w:val="nil"/>
                    <w:tr2bl w:val="nil"/>
                  </w:tcBorders>
                  <w:noWrap w:val="0"/>
                  <w:vAlign w:val="center"/>
                </w:tcPr>
                <w:p w14:paraId="4287C153">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6～9</w:t>
                  </w:r>
                </w:p>
              </w:tc>
              <w:tc>
                <w:tcPr>
                  <w:tcW w:w="444" w:type="pct"/>
                  <w:tcBorders>
                    <w:tl2br w:val="nil"/>
                    <w:tr2bl w:val="nil"/>
                  </w:tcBorders>
                  <w:noWrap w:val="0"/>
                  <w:vAlign w:val="center"/>
                </w:tcPr>
                <w:p w14:paraId="39960D4C">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12</w:t>
                  </w:r>
                </w:p>
              </w:tc>
              <w:tc>
                <w:tcPr>
                  <w:tcW w:w="1208" w:type="pct"/>
                  <w:tcBorders>
                    <w:tl2br w:val="nil"/>
                    <w:tr2bl w:val="nil"/>
                  </w:tcBorders>
                  <w:noWrap w:val="0"/>
                  <w:vAlign w:val="center"/>
                </w:tcPr>
                <w:p w14:paraId="4D587F9F">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砷</w:t>
                  </w:r>
                </w:p>
              </w:tc>
              <w:tc>
                <w:tcPr>
                  <w:tcW w:w="754" w:type="pct"/>
                  <w:tcBorders>
                    <w:tl2br w:val="nil"/>
                    <w:tr2bl w:val="nil"/>
                  </w:tcBorders>
                  <w:noWrap w:val="0"/>
                  <w:vAlign w:val="center"/>
                </w:tcPr>
                <w:p w14:paraId="0F81E933">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05</w:t>
                  </w:r>
                </w:p>
              </w:tc>
            </w:tr>
            <w:tr w14:paraId="042D8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37C9A7E2">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p>
              </w:tc>
              <w:tc>
                <w:tcPr>
                  <w:tcW w:w="1508" w:type="pct"/>
                  <w:tcBorders>
                    <w:tl2br w:val="nil"/>
                    <w:tr2bl w:val="nil"/>
                  </w:tcBorders>
                  <w:noWrap w:val="0"/>
                  <w:vAlign w:val="center"/>
                </w:tcPr>
                <w:p w14:paraId="20DDA4C4">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溶解氧</w:t>
                  </w:r>
                </w:p>
              </w:tc>
              <w:tc>
                <w:tcPr>
                  <w:tcW w:w="656" w:type="pct"/>
                  <w:tcBorders>
                    <w:tl2br w:val="nil"/>
                    <w:tr2bl w:val="nil"/>
                  </w:tcBorders>
                  <w:noWrap w:val="0"/>
                  <w:vAlign w:val="center"/>
                </w:tcPr>
                <w:p w14:paraId="291EBB87">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p>
              </w:tc>
              <w:tc>
                <w:tcPr>
                  <w:tcW w:w="444" w:type="pct"/>
                  <w:tcBorders>
                    <w:tl2br w:val="nil"/>
                    <w:tr2bl w:val="nil"/>
                  </w:tcBorders>
                  <w:noWrap w:val="0"/>
                  <w:vAlign w:val="center"/>
                </w:tcPr>
                <w:p w14:paraId="00E108C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13</w:t>
                  </w:r>
                </w:p>
              </w:tc>
              <w:tc>
                <w:tcPr>
                  <w:tcW w:w="1208" w:type="pct"/>
                  <w:tcBorders>
                    <w:tl2br w:val="nil"/>
                    <w:tr2bl w:val="nil"/>
                  </w:tcBorders>
                  <w:noWrap w:val="0"/>
                  <w:vAlign w:val="center"/>
                </w:tcPr>
                <w:p w14:paraId="1E83E3B0">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总氮</w:t>
                  </w:r>
                  <w:r>
                    <w:rPr>
                      <w:rFonts w:hint="eastAsia"/>
                      <w:color w:val="000000" w:themeColor="text1"/>
                      <w:highlight w:val="none"/>
                      <w:lang w:val="en-US" w:eastAsia="zh-CN"/>
                      <w14:textFill>
                        <w14:solidFill>
                          <w14:schemeClr w14:val="tx1"/>
                        </w14:solidFill>
                      </w14:textFill>
                    </w:rPr>
                    <w:t>（以N计）</w:t>
                  </w:r>
                </w:p>
              </w:tc>
              <w:tc>
                <w:tcPr>
                  <w:tcW w:w="754" w:type="pct"/>
                  <w:tcBorders>
                    <w:tl2br w:val="nil"/>
                    <w:tr2bl w:val="nil"/>
                  </w:tcBorders>
                  <w:noWrap w:val="0"/>
                  <w:vAlign w:val="center"/>
                </w:tcPr>
                <w:p w14:paraId="17D51F85">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p>
              </w:tc>
            </w:tr>
            <w:tr w14:paraId="466AD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10CA6002">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p>
              </w:tc>
              <w:tc>
                <w:tcPr>
                  <w:tcW w:w="1508" w:type="pct"/>
                  <w:tcBorders>
                    <w:tl2br w:val="nil"/>
                    <w:tr2bl w:val="nil"/>
                  </w:tcBorders>
                  <w:noWrap w:val="0"/>
                  <w:vAlign w:val="center"/>
                </w:tcPr>
                <w:p w14:paraId="264363CB">
                  <w:pPr>
                    <w:pStyle w:val="8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化学需氧量（</w:t>
                  </w:r>
                  <w:r>
                    <w:rPr>
                      <w:rFonts w:hint="default"/>
                      <w:color w:val="000000" w:themeColor="text1"/>
                      <w:highlight w:val="none"/>
                      <w:lang w:val="en-US" w:eastAsia="zh-CN"/>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w:t>
                  </w:r>
                </w:p>
              </w:tc>
              <w:tc>
                <w:tcPr>
                  <w:tcW w:w="656" w:type="pct"/>
                  <w:tcBorders>
                    <w:tl2br w:val="nil"/>
                    <w:tr2bl w:val="nil"/>
                  </w:tcBorders>
                  <w:noWrap w:val="0"/>
                  <w:vAlign w:val="center"/>
                </w:tcPr>
                <w:p w14:paraId="2251A749">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w:t>
                  </w:r>
                </w:p>
              </w:tc>
              <w:tc>
                <w:tcPr>
                  <w:tcW w:w="444" w:type="pct"/>
                  <w:tcBorders>
                    <w:tl2br w:val="nil"/>
                    <w:tr2bl w:val="nil"/>
                  </w:tcBorders>
                  <w:noWrap w:val="0"/>
                  <w:vAlign w:val="center"/>
                </w:tcPr>
                <w:p w14:paraId="21862AE6">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14</w:t>
                  </w:r>
                </w:p>
              </w:tc>
              <w:tc>
                <w:tcPr>
                  <w:tcW w:w="1208" w:type="pct"/>
                  <w:tcBorders>
                    <w:tl2br w:val="nil"/>
                    <w:tr2bl w:val="nil"/>
                  </w:tcBorders>
                  <w:noWrap w:val="0"/>
                  <w:vAlign w:val="center"/>
                </w:tcPr>
                <w:p w14:paraId="1F8D755B">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汞</w:t>
                  </w:r>
                </w:p>
              </w:tc>
              <w:tc>
                <w:tcPr>
                  <w:tcW w:w="754" w:type="pct"/>
                  <w:tcBorders>
                    <w:tl2br w:val="nil"/>
                    <w:tr2bl w:val="nil"/>
                  </w:tcBorders>
                  <w:noWrap w:val="0"/>
                  <w:vAlign w:val="center"/>
                </w:tcPr>
                <w:p w14:paraId="5009DC85">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w:t>
                  </w: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w:t>
                  </w:r>
                </w:p>
              </w:tc>
            </w:tr>
            <w:tr w14:paraId="71C82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3F0796E4">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w:t>
                  </w:r>
                </w:p>
              </w:tc>
              <w:tc>
                <w:tcPr>
                  <w:tcW w:w="1508" w:type="pct"/>
                  <w:tcBorders>
                    <w:tl2br w:val="nil"/>
                    <w:tr2bl w:val="nil"/>
                  </w:tcBorders>
                  <w:noWrap w:val="0"/>
                  <w:vAlign w:val="center"/>
                </w:tcPr>
                <w:p w14:paraId="4E49CC46">
                  <w:pPr>
                    <w:pStyle w:val="8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五日生化需氧量（</w:t>
                  </w:r>
                  <w:r>
                    <w:rPr>
                      <w:rFonts w:hint="default"/>
                      <w:color w:val="000000" w:themeColor="text1"/>
                      <w:highlight w:val="none"/>
                      <w:lang w:val="en-US" w:eastAsia="zh-CN"/>
                      <w14:textFill>
                        <w14:solidFill>
                          <w14:schemeClr w14:val="tx1"/>
                        </w14:solidFill>
                      </w14:textFill>
                    </w:rPr>
                    <w:t>BOD</w:t>
                  </w:r>
                  <w:r>
                    <w:rPr>
                      <w:rFonts w:hint="default"/>
                      <w:color w:val="000000" w:themeColor="text1"/>
                      <w:highlight w:val="none"/>
                      <w:vertAlign w:val="subscript"/>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w:t>
                  </w:r>
                </w:p>
              </w:tc>
              <w:tc>
                <w:tcPr>
                  <w:tcW w:w="656" w:type="pct"/>
                  <w:tcBorders>
                    <w:tl2br w:val="nil"/>
                    <w:tr2bl w:val="nil"/>
                  </w:tcBorders>
                  <w:noWrap w:val="0"/>
                  <w:vAlign w:val="center"/>
                </w:tcPr>
                <w:p w14:paraId="6307E82B">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p>
              </w:tc>
              <w:tc>
                <w:tcPr>
                  <w:tcW w:w="444" w:type="pct"/>
                  <w:tcBorders>
                    <w:tl2br w:val="nil"/>
                    <w:tr2bl w:val="nil"/>
                  </w:tcBorders>
                  <w:noWrap w:val="0"/>
                  <w:vAlign w:val="center"/>
                </w:tcPr>
                <w:p w14:paraId="58BE75C5">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15</w:t>
                  </w:r>
                </w:p>
              </w:tc>
              <w:tc>
                <w:tcPr>
                  <w:tcW w:w="1208" w:type="pct"/>
                  <w:tcBorders>
                    <w:tl2br w:val="nil"/>
                    <w:tr2bl w:val="nil"/>
                  </w:tcBorders>
                  <w:noWrap w:val="0"/>
                  <w:vAlign w:val="center"/>
                </w:tcPr>
                <w:p w14:paraId="06E072DC">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铬</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六价</w:t>
                  </w:r>
                  <w:r>
                    <w:rPr>
                      <w:rFonts w:hint="eastAsia"/>
                      <w:color w:val="000000" w:themeColor="text1"/>
                      <w:highlight w:val="none"/>
                      <w:lang w:val="en-US" w:eastAsia="zh-CN"/>
                      <w14:textFill>
                        <w14:solidFill>
                          <w14:schemeClr w14:val="tx1"/>
                        </w14:solidFill>
                      </w14:textFill>
                    </w:rPr>
                    <w:t>）</w:t>
                  </w:r>
                </w:p>
              </w:tc>
              <w:tc>
                <w:tcPr>
                  <w:tcW w:w="754" w:type="pct"/>
                  <w:tcBorders>
                    <w:tl2br w:val="nil"/>
                    <w:tr2bl w:val="nil"/>
                  </w:tcBorders>
                  <w:noWrap w:val="0"/>
                  <w:vAlign w:val="center"/>
                </w:tcPr>
                <w:p w14:paraId="2399807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≤0.05</w:t>
                  </w:r>
                </w:p>
              </w:tc>
            </w:tr>
            <w:tr w14:paraId="144B9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6BECBDD3">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1508" w:type="pct"/>
                  <w:tcBorders>
                    <w:tl2br w:val="nil"/>
                    <w:tr2bl w:val="nil"/>
                  </w:tcBorders>
                  <w:noWrap w:val="0"/>
                  <w:vAlign w:val="center"/>
                </w:tcPr>
                <w:p w14:paraId="7F310EBE">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氨氮（NH</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-N）</w:t>
                  </w:r>
                </w:p>
              </w:tc>
              <w:tc>
                <w:tcPr>
                  <w:tcW w:w="656" w:type="pct"/>
                  <w:tcBorders>
                    <w:tl2br w:val="nil"/>
                    <w:tr2bl w:val="nil"/>
                  </w:tcBorders>
                  <w:noWrap w:val="0"/>
                  <w:vAlign w:val="center"/>
                </w:tcPr>
                <w:p w14:paraId="13E48E4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p>
              </w:tc>
              <w:tc>
                <w:tcPr>
                  <w:tcW w:w="444" w:type="pct"/>
                  <w:tcBorders>
                    <w:tl2br w:val="nil"/>
                    <w:tr2bl w:val="nil"/>
                  </w:tcBorders>
                  <w:noWrap w:val="0"/>
                  <w:vAlign w:val="center"/>
                </w:tcPr>
                <w:p w14:paraId="6260C1DE">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16</w:t>
                  </w:r>
                </w:p>
              </w:tc>
              <w:tc>
                <w:tcPr>
                  <w:tcW w:w="1208" w:type="pct"/>
                  <w:tcBorders>
                    <w:tl2br w:val="nil"/>
                    <w:tr2bl w:val="nil"/>
                  </w:tcBorders>
                  <w:noWrap w:val="0"/>
                  <w:vAlign w:val="center"/>
                </w:tcPr>
                <w:p w14:paraId="102E164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氰化物</w:t>
                  </w:r>
                </w:p>
              </w:tc>
              <w:tc>
                <w:tcPr>
                  <w:tcW w:w="754" w:type="pct"/>
                  <w:tcBorders>
                    <w:tl2br w:val="nil"/>
                    <w:tr2bl w:val="nil"/>
                  </w:tcBorders>
                  <w:noWrap w:val="0"/>
                  <w:vAlign w:val="center"/>
                </w:tcPr>
                <w:p w14:paraId="1AE43932">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r>
            <w:tr w14:paraId="48A0B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342B83CA">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1508" w:type="pct"/>
                  <w:tcBorders>
                    <w:tl2br w:val="nil"/>
                    <w:tr2bl w:val="nil"/>
                  </w:tcBorders>
                  <w:noWrap w:val="0"/>
                  <w:vAlign w:val="center"/>
                </w:tcPr>
                <w:p w14:paraId="391C8103">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总磷（以P计）</w:t>
                  </w:r>
                </w:p>
              </w:tc>
              <w:tc>
                <w:tcPr>
                  <w:tcW w:w="656" w:type="pct"/>
                  <w:tcBorders>
                    <w:tl2br w:val="nil"/>
                    <w:tr2bl w:val="nil"/>
                  </w:tcBorders>
                  <w:noWrap w:val="0"/>
                  <w:vAlign w:val="center"/>
                </w:tcPr>
                <w:p w14:paraId="365B5AD6">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c>
                <w:tcPr>
                  <w:tcW w:w="444" w:type="pct"/>
                  <w:tcBorders>
                    <w:tl2br w:val="nil"/>
                    <w:tr2bl w:val="nil"/>
                  </w:tcBorders>
                  <w:noWrap w:val="0"/>
                  <w:vAlign w:val="center"/>
                </w:tcPr>
                <w:p w14:paraId="7D11B19B">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17</w:t>
                  </w:r>
                </w:p>
              </w:tc>
              <w:tc>
                <w:tcPr>
                  <w:tcW w:w="1208" w:type="pct"/>
                  <w:tcBorders>
                    <w:tl2br w:val="nil"/>
                    <w:tr2bl w:val="nil"/>
                  </w:tcBorders>
                  <w:noWrap w:val="0"/>
                  <w:vAlign w:val="center"/>
                </w:tcPr>
                <w:p w14:paraId="2FEF75E7">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硫化物</w:t>
                  </w:r>
                </w:p>
              </w:tc>
              <w:tc>
                <w:tcPr>
                  <w:tcW w:w="754" w:type="pct"/>
                  <w:tcBorders>
                    <w:tl2br w:val="nil"/>
                    <w:tr2bl w:val="nil"/>
                  </w:tcBorders>
                  <w:noWrap w:val="0"/>
                  <w:vAlign w:val="center"/>
                </w:tcPr>
                <w:p w14:paraId="6BFD7C4F">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r>
            <w:tr w14:paraId="70774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21704E3A">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w:t>
                  </w:r>
                </w:p>
              </w:tc>
              <w:tc>
                <w:tcPr>
                  <w:tcW w:w="1508" w:type="pct"/>
                  <w:tcBorders>
                    <w:tl2br w:val="nil"/>
                    <w:tr2bl w:val="nil"/>
                  </w:tcBorders>
                  <w:noWrap w:val="0"/>
                  <w:vAlign w:val="center"/>
                </w:tcPr>
                <w:p w14:paraId="3C58B49C">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铜</w:t>
                  </w:r>
                </w:p>
              </w:tc>
              <w:tc>
                <w:tcPr>
                  <w:tcW w:w="656" w:type="pct"/>
                  <w:tcBorders>
                    <w:tl2br w:val="nil"/>
                    <w:tr2bl w:val="nil"/>
                  </w:tcBorders>
                  <w:noWrap w:val="0"/>
                  <w:vAlign w:val="center"/>
                </w:tcPr>
                <w:p w14:paraId="6C21102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≤1.0</w:t>
                  </w:r>
                </w:p>
              </w:tc>
              <w:tc>
                <w:tcPr>
                  <w:tcW w:w="444" w:type="pct"/>
                  <w:tcBorders>
                    <w:tl2br w:val="nil"/>
                    <w:tr2bl w:val="nil"/>
                  </w:tcBorders>
                  <w:noWrap w:val="0"/>
                  <w:vAlign w:val="center"/>
                </w:tcPr>
                <w:p w14:paraId="60782A28">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18</w:t>
                  </w:r>
                </w:p>
              </w:tc>
              <w:tc>
                <w:tcPr>
                  <w:tcW w:w="1208" w:type="pct"/>
                  <w:tcBorders>
                    <w:tl2br w:val="nil"/>
                    <w:tr2bl w:val="nil"/>
                  </w:tcBorders>
                  <w:noWrap w:val="0"/>
                  <w:vAlign w:val="center"/>
                </w:tcPr>
                <w:p w14:paraId="4B46455B">
                  <w:pPr>
                    <w:pStyle w:val="8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铅</w:t>
                  </w:r>
                </w:p>
              </w:tc>
              <w:tc>
                <w:tcPr>
                  <w:tcW w:w="754" w:type="pct"/>
                  <w:tcBorders>
                    <w:tl2br w:val="nil"/>
                    <w:tr2bl w:val="nil"/>
                  </w:tcBorders>
                  <w:noWrap w:val="0"/>
                  <w:vAlign w:val="center"/>
                </w:tcPr>
                <w:p w14:paraId="72FDD44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0.05</w:t>
                  </w:r>
                </w:p>
              </w:tc>
            </w:tr>
            <w:tr w14:paraId="35C94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15F1DBD1">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1508" w:type="pct"/>
                  <w:tcBorders>
                    <w:tl2br w:val="nil"/>
                    <w:tr2bl w:val="nil"/>
                  </w:tcBorders>
                  <w:noWrap w:val="0"/>
                  <w:vAlign w:val="center"/>
                </w:tcPr>
                <w:p w14:paraId="69A6501C">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锌</w:t>
                  </w:r>
                </w:p>
              </w:tc>
              <w:tc>
                <w:tcPr>
                  <w:tcW w:w="656" w:type="pct"/>
                  <w:tcBorders>
                    <w:tl2br w:val="nil"/>
                    <w:tr2bl w:val="nil"/>
                  </w:tcBorders>
                  <w:noWrap w:val="0"/>
                  <w:vAlign w:val="center"/>
                </w:tcPr>
                <w:p w14:paraId="1CA336F2">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.0</w:t>
                  </w:r>
                </w:p>
              </w:tc>
              <w:tc>
                <w:tcPr>
                  <w:tcW w:w="444" w:type="pct"/>
                  <w:tcBorders>
                    <w:tl2br w:val="nil"/>
                    <w:tr2bl w:val="nil"/>
                  </w:tcBorders>
                  <w:noWrap w:val="0"/>
                  <w:vAlign w:val="center"/>
                </w:tcPr>
                <w:p w14:paraId="1D98E238">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19</w:t>
                  </w:r>
                </w:p>
              </w:tc>
              <w:tc>
                <w:tcPr>
                  <w:tcW w:w="1208" w:type="pct"/>
                  <w:tcBorders>
                    <w:tl2br w:val="nil"/>
                    <w:tr2bl w:val="nil"/>
                  </w:tcBorders>
                  <w:noWrap w:val="0"/>
                  <w:vAlign w:val="center"/>
                </w:tcPr>
                <w:p w14:paraId="3E3F72D9">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石油类</w:t>
                  </w:r>
                </w:p>
              </w:tc>
              <w:tc>
                <w:tcPr>
                  <w:tcW w:w="754" w:type="pct"/>
                  <w:tcBorders>
                    <w:tl2br w:val="nil"/>
                    <w:tr2bl w:val="nil"/>
                  </w:tcBorders>
                  <w:noWrap w:val="0"/>
                  <w:vAlign w:val="center"/>
                </w:tcPr>
                <w:p w14:paraId="66C307FF">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05</w:t>
                  </w:r>
                </w:p>
              </w:tc>
            </w:tr>
            <w:tr w14:paraId="19710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71519B6E">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9</w:t>
                  </w:r>
                </w:p>
              </w:tc>
              <w:tc>
                <w:tcPr>
                  <w:tcW w:w="1508" w:type="pct"/>
                  <w:tcBorders>
                    <w:tl2br w:val="nil"/>
                    <w:tr2bl w:val="nil"/>
                  </w:tcBorders>
                  <w:noWrap w:val="0"/>
                  <w:vAlign w:val="center"/>
                </w:tcPr>
                <w:p w14:paraId="0A506E62">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氟化物（以F-计）</w:t>
                  </w:r>
                </w:p>
              </w:tc>
              <w:tc>
                <w:tcPr>
                  <w:tcW w:w="656" w:type="pct"/>
                  <w:tcBorders>
                    <w:tl2br w:val="nil"/>
                    <w:tr2bl w:val="nil"/>
                  </w:tcBorders>
                  <w:noWrap w:val="0"/>
                  <w:vAlign w:val="center"/>
                </w:tcPr>
                <w:p w14:paraId="4266B358">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p>
              </w:tc>
              <w:tc>
                <w:tcPr>
                  <w:tcW w:w="444" w:type="pct"/>
                  <w:tcBorders>
                    <w:tl2br w:val="nil"/>
                    <w:tr2bl w:val="nil"/>
                  </w:tcBorders>
                  <w:noWrap w:val="0"/>
                  <w:vAlign w:val="center"/>
                </w:tcPr>
                <w:p w14:paraId="1F4CBB6F">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20</w:t>
                  </w:r>
                </w:p>
              </w:tc>
              <w:tc>
                <w:tcPr>
                  <w:tcW w:w="1208" w:type="pct"/>
                  <w:tcBorders>
                    <w:tl2br w:val="nil"/>
                    <w:tr2bl w:val="nil"/>
                  </w:tcBorders>
                  <w:noWrap w:val="0"/>
                  <w:vAlign w:val="center"/>
                </w:tcPr>
                <w:p w14:paraId="3FC572A1">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硒</w:t>
                  </w:r>
                </w:p>
              </w:tc>
              <w:tc>
                <w:tcPr>
                  <w:tcW w:w="754" w:type="pct"/>
                  <w:tcBorders>
                    <w:tl2br w:val="nil"/>
                    <w:tr2bl w:val="nil"/>
                  </w:tcBorders>
                  <w:noWrap w:val="0"/>
                  <w:vAlign w:val="center"/>
                </w:tcPr>
                <w:p w14:paraId="07CB5F76">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1</w:t>
                  </w:r>
                </w:p>
              </w:tc>
            </w:tr>
            <w:tr w14:paraId="39BEF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325B0714">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c>
                <w:tcPr>
                  <w:tcW w:w="1508" w:type="pct"/>
                  <w:tcBorders>
                    <w:tl2br w:val="nil"/>
                    <w:tr2bl w:val="nil"/>
                  </w:tcBorders>
                  <w:noWrap w:val="0"/>
                  <w:vAlign w:val="center"/>
                </w:tcPr>
                <w:p w14:paraId="11F5A5AE">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高锰酸</w:t>
                  </w:r>
                  <w:r>
                    <w:rPr>
                      <w:rFonts w:hint="eastAsia" w:ascii="Times New Roman" w:hAnsi="Times New Roman" w:cs="Times New Roman"/>
                      <w:color w:val="000000" w:themeColor="text1"/>
                      <w:highlight w:val="none"/>
                      <w:lang w:val="en-US" w:eastAsia="zh-CN"/>
                      <w14:textFill>
                        <w14:solidFill>
                          <w14:schemeClr w14:val="tx1"/>
                        </w14:solidFill>
                      </w14:textFill>
                    </w:rPr>
                    <w:t>盐</w:t>
                  </w:r>
                  <w:r>
                    <w:rPr>
                      <w:rFonts w:hint="default" w:ascii="Times New Roman" w:hAnsi="Times New Roman" w:cs="Times New Roman"/>
                      <w:color w:val="000000" w:themeColor="text1"/>
                      <w:highlight w:val="none"/>
                      <w:lang w:val="en-US" w:eastAsia="zh-CN"/>
                      <w14:textFill>
                        <w14:solidFill>
                          <w14:schemeClr w14:val="tx1"/>
                        </w14:solidFill>
                      </w14:textFill>
                    </w:rPr>
                    <w:t>指数</w:t>
                  </w:r>
                </w:p>
              </w:tc>
              <w:tc>
                <w:tcPr>
                  <w:tcW w:w="656" w:type="pct"/>
                  <w:tcBorders>
                    <w:tl2br w:val="nil"/>
                    <w:tr2bl w:val="nil"/>
                  </w:tcBorders>
                  <w:noWrap w:val="0"/>
                  <w:vAlign w:val="center"/>
                </w:tcPr>
                <w:p w14:paraId="530BA5C1">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p>
              </w:tc>
              <w:tc>
                <w:tcPr>
                  <w:tcW w:w="444" w:type="pct"/>
                  <w:tcBorders>
                    <w:tl2br w:val="nil"/>
                    <w:tr2bl w:val="nil"/>
                  </w:tcBorders>
                  <w:noWrap w:val="0"/>
                  <w:vAlign w:val="center"/>
                </w:tcPr>
                <w:p w14:paraId="78D9C41F">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21</w:t>
                  </w:r>
                </w:p>
              </w:tc>
              <w:tc>
                <w:tcPr>
                  <w:tcW w:w="1208" w:type="pct"/>
                  <w:tcBorders>
                    <w:tl2br w:val="nil"/>
                    <w:tr2bl w:val="nil"/>
                  </w:tcBorders>
                  <w:noWrap w:val="0"/>
                  <w:vAlign w:val="center"/>
                </w:tcPr>
                <w:p w14:paraId="3BD28DF3">
                  <w:pPr>
                    <w:pStyle w:val="88"/>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镉</w:t>
                  </w:r>
                </w:p>
              </w:tc>
              <w:tc>
                <w:tcPr>
                  <w:tcW w:w="754" w:type="pct"/>
                  <w:tcBorders>
                    <w:tl2br w:val="nil"/>
                    <w:tr2bl w:val="nil"/>
                  </w:tcBorders>
                  <w:noWrap w:val="0"/>
                  <w:vAlign w:val="center"/>
                </w:tcPr>
                <w:p w14:paraId="5C8B9EE6">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005</w:t>
                  </w:r>
                </w:p>
              </w:tc>
            </w:tr>
            <w:tr w14:paraId="1F0AC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tcBorders>
                    <w:tl2br w:val="nil"/>
                    <w:tr2bl w:val="nil"/>
                  </w:tcBorders>
                  <w:noWrap w:val="0"/>
                  <w:vAlign w:val="center"/>
                </w:tcPr>
                <w:p w14:paraId="44730055">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c>
                <w:tcPr>
                  <w:tcW w:w="1508" w:type="pct"/>
                  <w:tcBorders>
                    <w:tl2br w:val="nil"/>
                    <w:tr2bl w:val="nil"/>
                  </w:tcBorders>
                  <w:noWrap w:val="0"/>
                  <w:vAlign w:val="center"/>
                </w:tcPr>
                <w:p w14:paraId="41669B5A">
                  <w:pPr>
                    <w:pStyle w:val="8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挥发酚</w:t>
                  </w:r>
                </w:p>
              </w:tc>
              <w:tc>
                <w:tcPr>
                  <w:tcW w:w="656" w:type="pct"/>
                  <w:tcBorders>
                    <w:tl2br w:val="nil"/>
                    <w:tr2bl w:val="nil"/>
                  </w:tcBorders>
                  <w:noWrap w:val="0"/>
                  <w:vAlign w:val="center"/>
                </w:tcPr>
                <w:p w14:paraId="17687DAB">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05</w:t>
                  </w:r>
                </w:p>
              </w:tc>
              <w:tc>
                <w:tcPr>
                  <w:tcW w:w="444" w:type="pct"/>
                  <w:tcBorders>
                    <w:tl2br w:val="nil"/>
                    <w:tr2bl w:val="nil"/>
                  </w:tcBorders>
                  <w:noWrap w:val="0"/>
                  <w:vAlign w:val="center"/>
                </w:tcPr>
                <w:p w14:paraId="7502B29D">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22</w:t>
                  </w:r>
                </w:p>
              </w:tc>
              <w:tc>
                <w:tcPr>
                  <w:tcW w:w="1208" w:type="pct"/>
                  <w:tcBorders>
                    <w:tl2br w:val="nil"/>
                    <w:tr2bl w:val="nil"/>
                  </w:tcBorders>
                  <w:noWrap w:val="0"/>
                  <w:vAlign w:val="center"/>
                </w:tcPr>
                <w:p w14:paraId="13A00170">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阴离子表面活性剂</w:t>
                  </w:r>
                </w:p>
              </w:tc>
              <w:tc>
                <w:tcPr>
                  <w:tcW w:w="754" w:type="pct"/>
                  <w:tcBorders>
                    <w:tl2br w:val="nil"/>
                    <w:tr2bl w:val="nil"/>
                  </w:tcBorders>
                  <w:noWrap w:val="0"/>
                  <w:vAlign w:val="center"/>
                </w:tcPr>
                <w:p w14:paraId="49FAD684">
                  <w:pPr>
                    <w:pStyle w:val="88"/>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w:t>
                  </w:r>
                </w:p>
              </w:tc>
            </w:tr>
          </w:tbl>
          <w:p w14:paraId="585EC44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声环境质量标准</w:t>
            </w:r>
          </w:p>
          <w:p w14:paraId="10DFF57F">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default"/>
                <w:color w:val="000000" w:themeColor="text1"/>
                <w:highlight w:val="none"/>
                <w14:textFill>
                  <w14:solidFill>
                    <w14:schemeClr w14:val="tx1"/>
                  </w14:solidFill>
                </w14:textFill>
              </w:rPr>
              <w:t>《中卫市沙坡头区城区声环境功能区调整划分方案》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2021.4.7</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项目所在区域划分为乡村，未给出声环境功能区划。经现场踏勘及周边环境综合考虑农村地区执行</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《声环境质量标准》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(GB3096-2008)</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类标准。</w:t>
            </w:r>
          </w:p>
          <w:p w14:paraId="5257DA0F">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14:textFill>
                  <w14:solidFill>
                    <w14:schemeClr w14:val="tx1"/>
                  </w14:solidFill>
                </w14:textFill>
              </w:rPr>
              <w:t xml:space="preserve">  项目声环境质量标准  单位：dB(A)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44"/>
              <w:gridCol w:w="1700"/>
              <w:gridCol w:w="2815"/>
            </w:tblGrid>
            <w:tr w14:paraId="7D4C8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noWrap w:val="0"/>
                  <w:vAlign w:val="center"/>
                </w:tcPr>
                <w:p w14:paraId="630BE058">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类别</w:t>
                  </w:r>
                </w:p>
              </w:tc>
              <w:tc>
                <w:tcPr>
                  <w:tcW w:w="1029" w:type="pct"/>
                  <w:noWrap w:val="0"/>
                  <w:vAlign w:val="center"/>
                </w:tcPr>
                <w:p w14:paraId="723E387F">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昼间</w:t>
                  </w:r>
                </w:p>
              </w:tc>
              <w:tc>
                <w:tcPr>
                  <w:tcW w:w="1704" w:type="pct"/>
                  <w:noWrap w:val="0"/>
                  <w:vAlign w:val="center"/>
                </w:tcPr>
                <w:p w14:paraId="1580C699">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夜间</w:t>
                  </w:r>
                </w:p>
              </w:tc>
            </w:tr>
            <w:tr w14:paraId="37885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noWrap w:val="0"/>
                  <w:vAlign w:val="center"/>
                </w:tcPr>
                <w:p w14:paraId="1FB7B0A5">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eastAsia="zh-CN"/>
                      <w14:textFill>
                        <w14:solidFill>
                          <w14:schemeClr w14:val="tx1"/>
                        </w14:solidFill>
                      </w14:textFill>
                    </w:rPr>
                  </w:pPr>
                  <w:r>
                    <w:rPr>
                      <w:rFonts w:hint="default" w:ascii="宋体" w:hAnsi="宋体" w:eastAsia="宋体" w:cs="宋体"/>
                      <w:b w:val="0"/>
                      <w:bCs w:val="0"/>
                      <w:color w:val="000000" w:themeColor="text1"/>
                      <w:sz w:val="20"/>
                      <w:szCs w:val="20"/>
                      <w:highlight w:val="none"/>
                      <w14:textFill>
                        <w14:solidFill>
                          <w14:schemeClr w14:val="tx1"/>
                        </w14:solidFill>
                      </w14:textFill>
                    </w:rPr>
                    <w:t>《声环境质量标准》（</w:t>
                  </w:r>
                  <w:r>
                    <w:rPr>
                      <w:rFonts w:hint="default" w:ascii="TimesNewRomanPSMT" w:hAnsi="TimesNewRomanPSMT" w:eastAsia="TimesNewRomanPSMT" w:cs="TimesNewRomanPSMT"/>
                      <w:b w:val="0"/>
                      <w:bCs w:val="0"/>
                      <w:color w:val="000000" w:themeColor="text1"/>
                      <w:sz w:val="20"/>
                      <w:szCs w:val="20"/>
                      <w:highlight w:val="none"/>
                      <w14:textFill>
                        <w14:solidFill>
                          <w14:schemeClr w14:val="tx1"/>
                        </w14:solidFill>
                      </w14:textFill>
                    </w:rPr>
                    <w:t>GB3096-2008</w:t>
                  </w:r>
                  <w:r>
                    <w:rPr>
                      <w:rFonts w:hint="default" w:ascii="宋体" w:hAnsi="宋体" w:eastAsia="宋体" w:cs="宋体"/>
                      <w:b w:val="0"/>
                      <w:bCs w:val="0"/>
                      <w:color w:val="000000" w:themeColor="text1"/>
                      <w:sz w:val="20"/>
                      <w:szCs w:val="20"/>
                      <w:highlight w:val="none"/>
                      <w14:textFill>
                        <w14:solidFill>
                          <w14:schemeClr w14:val="tx1"/>
                        </w14:solidFill>
                      </w14:textFill>
                    </w:rPr>
                    <w:t>）</w:t>
                  </w:r>
                  <w:r>
                    <w:rPr>
                      <w:rFonts w:hint="default" w:ascii="TimesNewRomanPSMT" w:hAnsi="TimesNewRomanPSMT" w:eastAsia="TimesNewRomanPSMT" w:cs="TimesNewRomanPSMT"/>
                      <w:b w:val="0"/>
                      <w:bCs w:val="0"/>
                      <w:color w:val="000000" w:themeColor="text1"/>
                      <w:sz w:val="20"/>
                      <w:szCs w:val="20"/>
                      <w:highlight w:val="none"/>
                      <w14:textFill>
                        <w14:solidFill>
                          <w14:schemeClr w14:val="tx1"/>
                        </w14:solidFill>
                      </w14:textFill>
                    </w:rPr>
                    <w:t>1</w:t>
                  </w:r>
                  <w:r>
                    <w:rPr>
                      <w:rFonts w:hint="default" w:ascii="宋体" w:hAnsi="宋体" w:eastAsia="宋体" w:cs="宋体"/>
                      <w:b w:val="0"/>
                      <w:bCs w:val="0"/>
                      <w:color w:val="000000" w:themeColor="text1"/>
                      <w:sz w:val="20"/>
                      <w:szCs w:val="20"/>
                      <w:highlight w:val="none"/>
                      <w14:textFill>
                        <w14:solidFill>
                          <w14:schemeClr w14:val="tx1"/>
                        </w14:solidFill>
                      </w14:textFill>
                    </w:rPr>
                    <w:t>类</w:t>
                  </w:r>
                </w:p>
              </w:tc>
              <w:tc>
                <w:tcPr>
                  <w:tcW w:w="1029" w:type="pct"/>
                  <w:noWrap w:val="0"/>
                  <w:vAlign w:val="center"/>
                </w:tcPr>
                <w:p w14:paraId="69B37D91">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1704" w:type="pct"/>
                  <w:noWrap w:val="0"/>
                  <w:vAlign w:val="center"/>
                </w:tcPr>
                <w:p w14:paraId="4765B11F">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r>
          </w:tbl>
          <w:p w14:paraId="41488624">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污染物排放标准</w:t>
            </w:r>
          </w:p>
          <w:p w14:paraId="7E1AE0C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⑴</w:t>
            </w:r>
            <w:r>
              <w:rPr>
                <w:rFonts w:hint="eastAsia"/>
                <w:color w:val="000000" w:themeColor="text1"/>
                <w:highlight w:val="none"/>
                <w14:textFill>
                  <w14:solidFill>
                    <w14:schemeClr w14:val="tx1"/>
                  </w14:solidFill>
                </w14:textFill>
              </w:rPr>
              <w:t>噪声排放</w:t>
            </w:r>
            <w:r>
              <w:rPr>
                <w:rFonts w:hint="eastAsia"/>
                <w:color w:val="000000" w:themeColor="text1"/>
                <w:highlight w:val="none"/>
                <w:lang w:val="en-US" w:eastAsia="zh-CN"/>
                <w14:textFill>
                  <w14:solidFill>
                    <w14:schemeClr w14:val="tx1"/>
                  </w14:solidFill>
                </w14:textFill>
              </w:rPr>
              <w:t>标准</w:t>
            </w:r>
          </w:p>
          <w:p w14:paraId="325D403E">
            <w:pPr>
              <w:keepNext w:val="0"/>
              <w:keepLines w:val="0"/>
              <w:suppressLineNumbers w:val="0"/>
              <w:spacing w:before="0" w:beforeAutospacing="0" w:after="0" w:afterAutospacing="0"/>
              <w:ind w:left="0" w:right="0" w:firstLine="454" w:firstLineChars="200"/>
              <w:rPr>
                <w:rFonts w:hint="default"/>
                <w:color w:val="000000" w:themeColor="text1"/>
                <w:highlight w:val="none"/>
                <w14:textFill>
                  <w14:solidFill>
                    <w14:schemeClr w14:val="tx1"/>
                  </w14:solidFill>
                </w14:textFill>
              </w:rPr>
            </w:pPr>
            <w:r>
              <w:rPr>
                <w:rFonts w:hint="eastAsia" w:ascii="Times New Roman" w:hAnsi="Times New Roman" w:cs="Times New Roman"/>
                <w:color w:val="000000" w:themeColor="text1"/>
                <w:kern w:val="0"/>
                <w:sz w:val="24"/>
                <w:highlight w:val="none"/>
                <w14:textFill>
                  <w14:solidFill>
                    <w14:schemeClr w14:val="tx1"/>
                  </w14:solidFill>
                </w14:textFill>
              </w:rPr>
              <w:t>项目区噪声排放执行《建筑施工场界环境噪声排放标准》（GB12523-2011），具体见表3-</w:t>
            </w:r>
            <w:r>
              <w:rPr>
                <w:rFonts w:hint="eastAsia" w:cs="Times New Roman"/>
                <w:color w:val="000000" w:themeColor="text1"/>
                <w:kern w:val="0"/>
                <w:sz w:val="24"/>
                <w:highlight w:val="none"/>
                <w:lang w:val="en-US" w:eastAsia="zh-CN"/>
                <w14:textFill>
                  <w14:solidFill>
                    <w14:schemeClr w14:val="tx1"/>
                  </w14:solidFill>
                </w14:textFill>
              </w:rPr>
              <w:t>9</w:t>
            </w:r>
            <w:r>
              <w:rPr>
                <w:rFonts w:hint="eastAsia" w:ascii="Times New Roman" w:hAnsi="Times New Roman" w:cs="Times New Roman"/>
                <w:color w:val="000000" w:themeColor="text1"/>
                <w:kern w:val="0"/>
                <w:sz w:val="24"/>
                <w:highlight w:val="none"/>
                <w14:textFill>
                  <w14:solidFill>
                    <w14:schemeClr w14:val="tx1"/>
                  </w14:solidFill>
                </w14:textFill>
              </w:rPr>
              <w:t>。</w:t>
            </w:r>
          </w:p>
          <w:p w14:paraId="590F14CB">
            <w:pPr>
              <w:pStyle w:val="3"/>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14:textFill>
                  <w14:solidFill>
                    <w14:schemeClr w14:val="tx1"/>
                  </w14:solidFill>
                </w14:textFill>
              </w:rPr>
              <w:t xml:space="preserve">  建筑施工场界环境噪声排放标准  单位</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039"/>
              <w:gridCol w:w="3320"/>
            </w:tblGrid>
            <w:tr w14:paraId="6BD4C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op w:val="single" w:color="auto" w:sz="12" w:space="0"/>
                    <w:left w:val="single" w:color="auto" w:sz="12" w:space="0"/>
                    <w:bottom w:val="single" w:color="auto" w:sz="12" w:space="0"/>
                    <w:right w:val="single" w:color="auto" w:sz="4" w:space="0"/>
                  </w:tcBorders>
                  <w:noWrap w:val="0"/>
                  <w:vAlign w:val="center"/>
                </w:tcPr>
                <w:p w14:paraId="57A9245E">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施工阶段</w:t>
                  </w:r>
                </w:p>
              </w:tc>
              <w:tc>
                <w:tcPr>
                  <w:tcW w:w="3850" w:type="pct"/>
                  <w:gridSpan w:val="2"/>
                  <w:tcBorders>
                    <w:top w:val="single" w:color="auto" w:sz="12" w:space="0"/>
                    <w:left w:val="single" w:color="auto" w:sz="4" w:space="0"/>
                    <w:bottom w:val="single" w:color="auto" w:sz="4" w:space="0"/>
                    <w:right w:val="single" w:color="auto" w:sz="12" w:space="0"/>
                  </w:tcBorders>
                  <w:noWrap w:val="0"/>
                  <w:vAlign w:val="center"/>
                </w:tcPr>
                <w:p w14:paraId="7ADC9F6D">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噪声限值〔</w:t>
                  </w:r>
                  <w:r>
                    <w:rPr>
                      <w:rFonts w:hint="default" w:ascii="Times New Roman" w:hAnsi="Times New Roman" w:cs="Times New Roman"/>
                      <w:b/>
                      <w:color w:val="000000" w:themeColor="text1"/>
                      <w:sz w:val="21"/>
                      <w:szCs w:val="21"/>
                      <w:highlight w:val="none"/>
                      <w14:textFill>
                        <w14:solidFill>
                          <w14:schemeClr w14:val="tx1"/>
                        </w14:solidFill>
                      </w14:textFill>
                    </w:rPr>
                    <w:t>dB(A)</w:t>
                  </w:r>
                  <w:r>
                    <w:rPr>
                      <w:rFonts w:hint="eastAsia" w:ascii="Times New Roman" w:hAnsi="Times New Roman" w:cs="Times New Roman"/>
                      <w:b/>
                      <w:color w:val="000000" w:themeColor="text1"/>
                      <w:sz w:val="21"/>
                      <w:szCs w:val="21"/>
                      <w:highlight w:val="none"/>
                      <w14:textFill>
                        <w14:solidFill>
                          <w14:schemeClr w14:val="tx1"/>
                        </w14:solidFill>
                      </w14:textFill>
                    </w:rPr>
                    <w:t>〕</w:t>
                  </w:r>
                </w:p>
              </w:tc>
            </w:tr>
            <w:tr w14:paraId="4064D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op w:val="single" w:color="auto" w:sz="12" w:space="0"/>
                    <w:left w:val="single" w:color="auto" w:sz="12" w:space="0"/>
                    <w:bottom w:val="single" w:color="auto" w:sz="12" w:space="0"/>
                    <w:right w:val="single" w:color="auto" w:sz="4" w:space="0"/>
                  </w:tcBorders>
                  <w:noWrap w:val="0"/>
                  <w:vAlign w:val="center"/>
                </w:tcPr>
                <w:p w14:paraId="2F13E6F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40" w:type="pct"/>
                  <w:tcBorders>
                    <w:top w:val="single" w:color="auto" w:sz="4" w:space="0"/>
                    <w:left w:val="single" w:color="auto" w:sz="4" w:space="0"/>
                    <w:bottom w:val="single" w:color="auto" w:sz="12" w:space="0"/>
                    <w:right w:val="single" w:color="auto" w:sz="4" w:space="0"/>
                  </w:tcBorders>
                  <w:noWrap w:val="0"/>
                  <w:vAlign w:val="center"/>
                </w:tcPr>
                <w:p w14:paraId="18E5115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昼间</w:t>
                  </w:r>
                  <w:r>
                    <w:rPr>
                      <w:rFonts w:hint="default" w:ascii="Times New Roman" w:hAnsi="Times New Roman" w:cs="Times New Roman"/>
                      <w:color w:val="000000" w:themeColor="text1"/>
                      <w:sz w:val="21"/>
                      <w:szCs w:val="21"/>
                      <w:highlight w:val="none"/>
                      <w14:textFill>
                        <w14:solidFill>
                          <w14:schemeClr w14:val="tx1"/>
                        </w14:solidFill>
                      </w14:textFill>
                    </w:rPr>
                    <w:t>7</w:t>
                  </w:r>
                  <w:r>
                    <w:rPr>
                      <w:rFonts w:hint="eastAsia" w:ascii="Times New Roman" w:hAnsi="Times New Roman" w:cs="Times New Roman"/>
                      <w:color w:val="000000" w:themeColor="text1"/>
                      <w:sz w:val="21"/>
                      <w:szCs w:val="21"/>
                      <w:highlight w:val="none"/>
                      <w14:textFill>
                        <w14:solidFill>
                          <w14:schemeClr w14:val="tx1"/>
                        </w14:solidFill>
                      </w14:textFill>
                    </w:rPr>
                    <w:t>0</w:t>
                  </w:r>
                </w:p>
              </w:tc>
              <w:tc>
                <w:tcPr>
                  <w:tcW w:w="2011" w:type="pct"/>
                  <w:tcBorders>
                    <w:top w:val="single" w:color="auto" w:sz="4" w:space="0"/>
                    <w:left w:val="single" w:color="auto" w:sz="4" w:space="0"/>
                    <w:bottom w:val="single" w:color="auto" w:sz="12" w:space="0"/>
                    <w:right w:val="single" w:color="auto" w:sz="12" w:space="0"/>
                  </w:tcBorders>
                  <w:noWrap w:val="0"/>
                  <w:vAlign w:val="center"/>
                </w:tcPr>
                <w:p w14:paraId="438CEF09">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夜间</w:t>
                  </w:r>
                  <w:r>
                    <w:rPr>
                      <w:rFonts w:hint="default" w:ascii="Times New Roman" w:hAnsi="Times New Roman" w:cs="Times New Roman"/>
                      <w:color w:val="000000" w:themeColor="text1"/>
                      <w:sz w:val="21"/>
                      <w:szCs w:val="21"/>
                      <w:highlight w:val="none"/>
                      <w14:textFill>
                        <w14:solidFill>
                          <w14:schemeClr w14:val="tx1"/>
                        </w14:solidFill>
                      </w14:textFill>
                    </w:rPr>
                    <w:t>55</w:t>
                  </w:r>
                </w:p>
              </w:tc>
            </w:tr>
          </w:tbl>
          <w:p w14:paraId="3660A186">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⑵大气</w:t>
            </w:r>
            <w:r>
              <w:rPr>
                <w:rFonts w:hint="eastAsia"/>
                <w:color w:val="000000" w:themeColor="text1"/>
                <w:highlight w:val="none"/>
                <w14:textFill>
                  <w14:solidFill>
                    <w14:schemeClr w14:val="tx1"/>
                  </w14:solidFill>
                </w14:textFill>
              </w:rPr>
              <w:t>排放</w:t>
            </w:r>
            <w:r>
              <w:rPr>
                <w:rFonts w:hint="eastAsia"/>
                <w:color w:val="000000" w:themeColor="text1"/>
                <w:highlight w:val="none"/>
                <w:lang w:val="en-US" w:eastAsia="zh-CN"/>
                <w14:textFill>
                  <w14:solidFill>
                    <w14:schemeClr w14:val="tx1"/>
                  </w14:solidFill>
                </w14:textFill>
              </w:rPr>
              <w:t>标准</w:t>
            </w:r>
          </w:p>
          <w:p w14:paraId="5CDE5E60">
            <w:pPr>
              <w:keepNext w:val="0"/>
              <w:keepLines w:val="0"/>
              <w:suppressLineNumbers w:val="0"/>
              <w:spacing w:before="0" w:beforeLines="0" w:beforeAutospacing="0" w:after="0" w:afterAutospacing="0"/>
              <w:ind w:left="0" w:right="0" w:firstLine="454" w:firstLineChars="200"/>
              <w:rPr>
                <w:rFonts w:hint="default" w:ascii="Times New Roman" w:hAnsi="Times New Roman" w:cs="Times New Roman"/>
                <w:bCs/>
                <w:color w:val="000000" w:themeColor="text1"/>
                <w:sz w:val="24"/>
                <w:highlight w:val="none"/>
                <w:lang w:bidi="ar"/>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项目施工期颗粒物</w:t>
            </w:r>
            <w:r>
              <w:rPr>
                <w:rFonts w:hint="eastAsia" w:ascii="Times New Roman" w:hAnsi="Times New Roman" w:cs="Times New Roman"/>
                <w:color w:val="000000" w:themeColor="text1"/>
                <w:kern w:val="0"/>
                <w:sz w:val="24"/>
                <w:highlight w:val="none"/>
                <w14:textFill>
                  <w14:solidFill>
                    <w14:schemeClr w14:val="tx1"/>
                  </w14:solidFill>
                </w14:textFill>
              </w:rPr>
              <w:t>执行《大气污染物综合排放标准》（GB16297-1996）表2二级标准限值，具体见表3-</w:t>
            </w:r>
            <w:r>
              <w:rPr>
                <w:rFonts w:hint="eastAsia" w:cs="Times New Roman"/>
                <w:color w:val="000000" w:themeColor="text1"/>
                <w:kern w:val="0"/>
                <w:sz w:val="24"/>
                <w:highlight w:val="none"/>
                <w:lang w:val="en-US" w:eastAsia="zh-CN"/>
                <w14:textFill>
                  <w14:solidFill>
                    <w14:schemeClr w14:val="tx1"/>
                  </w14:solidFill>
                </w14:textFill>
              </w:rPr>
              <w:t>10</w:t>
            </w:r>
            <w:r>
              <w:rPr>
                <w:rFonts w:hint="eastAsia" w:ascii="Times New Roman" w:hAnsi="Times New Roman" w:cs="Times New Roman"/>
                <w:color w:val="000000" w:themeColor="text1"/>
                <w:kern w:val="0"/>
                <w:sz w:val="24"/>
                <w:highlight w:val="none"/>
                <w14:textFill>
                  <w14:solidFill>
                    <w14:schemeClr w14:val="tx1"/>
                  </w14:solidFill>
                </w14:textFill>
              </w:rPr>
              <w:t>。</w:t>
            </w:r>
          </w:p>
          <w:p w14:paraId="65A63D20">
            <w:pPr>
              <w:pStyle w:val="3"/>
              <w:bidi w:val="0"/>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10</w:t>
            </w:r>
            <w:r>
              <w:rPr>
                <w:rFonts w:hint="default"/>
                <w:color w:val="000000" w:themeColor="text1"/>
                <w:highlight w:val="none"/>
                <w14:textFill>
                  <w14:solidFill>
                    <w14:schemeClr w14:val="tx1"/>
                  </w14:solidFill>
                </w14:textFill>
              </w:rPr>
              <w:t xml:space="preserve">  大气污染物综合排放标准  单位</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dB(A)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850"/>
              <w:gridCol w:w="3312"/>
              <w:gridCol w:w="3096"/>
            </w:tblGrid>
            <w:tr w14:paraId="5E1D0F2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restart"/>
                  <w:noWrap w:val="0"/>
                  <w:vAlign w:val="center"/>
                </w:tcPr>
                <w:p w14:paraId="21AB83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污染物</w:t>
                  </w:r>
                </w:p>
              </w:tc>
              <w:tc>
                <w:tcPr>
                  <w:tcW w:w="3879" w:type="pct"/>
                  <w:gridSpan w:val="2"/>
                  <w:noWrap w:val="0"/>
                  <w:vAlign w:val="center"/>
                </w:tcPr>
                <w:p w14:paraId="3C0C3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无组织排放监控浓度限值</w:t>
                  </w:r>
                </w:p>
              </w:tc>
            </w:tr>
            <w:tr w14:paraId="1386602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noWrap w:val="0"/>
                  <w:vAlign w:val="center"/>
                </w:tcPr>
                <w:p w14:paraId="40AE3D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宋体" w:cs="Times New Roman"/>
                      <w:b/>
                      <w:color w:val="000000" w:themeColor="text1"/>
                      <w:sz w:val="21"/>
                      <w:szCs w:val="21"/>
                      <w:highlight w:val="none"/>
                      <w14:textFill>
                        <w14:solidFill>
                          <w14:schemeClr w14:val="tx1"/>
                        </w14:solidFill>
                      </w14:textFill>
                    </w:rPr>
                  </w:pPr>
                </w:p>
              </w:tc>
              <w:tc>
                <w:tcPr>
                  <w:tcW w:w="2005" w:type="pct"/>
                  <w:noWrap w:val="0"/>
                  <w:vAlign w:val="center"/>
                </w:tcPr>
                <w:p w14:paraId="1B778C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监控点</w:t>
                  </w:r>
                </w:p>
              </w:tc>
              <w:tc>
                <w:tcPr>
                  <w:tcW w:w="1873" w:type="pct"/>
                  <w:noWrap w:val="0"/>
                  <w:vAlign w:val="center"/>
                </w:tcPr>
                <w:p w14:paraId="3A18D3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浓度（</w:t>
                  </w:r>
                  <w:r>
                    <w:rPr>
                      <w:rFonts w:hint="default" w:ascii="Times New Roman" w:hAnsi="宋体" w:cs="Times New Roman"/>
                      <w:b/>
                      <w:color w:val="000000" w:themeColor="text1"/>
                      <w:sz w:val="21"/>
                      <w:szCs w:val="21"/>
                      <w:highlight w:val="none"/>
                      <w14:textFill>
                        <w14:solidFill>
                          <w14:schemeClr w14:val="tx1"/>
                        </w14:solidFill>
                      </w14:textFill>
                    </w:rPr>
                    <w:t>mg/m</w:t>
                  </w:r>
                  <w:r>
                    <w:rPr>
                      <w:rFonts w:hint="default" w:ascii="Times New Roman" w:hAnsi="宋体" w:cs="Times New Roman"/>
                      <w:b/>
                      <w:color w:val="000000" w:themeColor="text1"/>
                      <w:sz w:val="21"/>
                      <w:szCs w:val="21"/>
                      <w:highlight w:val="none"/>
                      <w:vertAlign w:val="superscript"/>
                      <w14:textFill>
                        <w14:solidFill>
                          <w14:schemeClr w14:val="tx1"/>
                        </w14:solidFill>
                      </w14:textFill>
                    </w:rPr>
                    <w:t>3</w:t>
                  </w:r>
                  <w:r>
                    <w:rPr>
                      <w:rFonts w:hint="eastAsia" w:ascii="Times New Roman" w:hAnsi="宋体" w:cs="Times New Roman"/>
                      <w:b/>
                      <w:color w:val="000000" w:themeColor="text1"/>
                      <w:sz w:val="21"/>
                      <w:szCs w:val="21"/>
                      <w:highlight w:val="none"/>
                      <w14:textFill>
                        <w14:solidFill>
                          <w14:schemeClr w14:val="tx1"/>
                        </w14:solidFill>
                      </w14:textFill>
                    </w:rPr>
                    <w:t>）</w:t>
                  </w:r>
                </w:p>
              </w:tc>
            </w:tr>
            <w:tr w14:paraId="54C0F9F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noWrap w:val="0"/>
                  <w:vAlign w:val="center"/>
                </w:tcPr>
                <w:p w14:paraId="2E13CE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eastAsia" w:ascii="Times New Roman" w:hAnsi="宋体" w:cs="Times New Roman"/>
                      <w:color w:val="000000" w:themeColor="text1"/>
                      <w:sz w:val="21"/>
                      <w:szCs w:val="21"/>
                      <w:highlight w:val="none"/>
                      <w14:textFill>
                        <w14:solidFill>
                          <w14:schemeClr w14:val="tx1"/>
                        </w14:solidFill>
                      </w14:textFill>
                    </w:rPr>
                    <w:t>颗粒物</w:t>
                  </w:r>
                </w:p>
              </w:tc>
              <w:tc>
                <w:tcPr>
                  <w:tcW w:w="2005" w:type="pct"/>
                  <w:noWrap w:val="0"/>
                  <w:vAlign w:val="center"/>
                </w:tcPr>
                <w:p w14:paraId="1FC4F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eastAsia" w:ascii="Times New Roman" w:hAnsi="宋体" w:cs="Times New Roman"/>
                      <w:color w:val="000000" w:themeColor="text1"/>
                      <w:sz w:val="21"/>
                      <w:szCs w:val="21"/>
                      <w:highlight w:val="none"/>
                      <w14:textFill>
                        <w14:solidFill>
                          <w14:schemeClr w14:val="tx1"/>
                        </w14:solidFill>
                      </w14:textFill>
                    </w:rPr>
                    <w:t>周界外浓度最高点</w:t>
                  </w:r>
                </w:p>
              </w:tc>
              <w:tc>
                <w:tcPr>
                  <w:tcW w:w="1873" w:type="pct"/>
                  <w:noWrap w:val="0"/>
                  <w:vAlign w:val="center"/>
                </w:tcPr>
                <w:p w14:paraId="4F89B9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default" w:ascii="Times New Roman" w:hAnsi="宋体" w:cs="Times New Roman"/>
                      <w:color w:val="000000" w:themeColor="text1"/>
                      <w:sz w:val="21"/>
                      <w:szCs w:val="21"/>
                      <w:highlight w:val="none"/>
                      <w14:textFill>
                        <w14:solidFill>
                          <w14:schemeClr w14:val="tx1"/>
                        </w14:solidFill>
                      </w14:textFill>
                    </w:rPr>
                    <w:t>1.0</w:t>
                  </w:r>
                </w:p>
              </w:tc>
            </w:tr>
          </w:tbl>
          <w:p w14:paraId="496EF19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固体废物</w:t>
            </w:r>
            <w:r>
              <w:rPr>
                <w:rFonts w:hint="eastAsia"/>
                <w:color w:val="000000" w:themeColor="text1"/>
                <w:highlight w:val="none"/>
                <w:lang w:val="en-US" w:eastAsia="zh-CN"/>
                <w14:textFill>
                  <w14:solidFill>
                    <w14:schemeClr w14:val="tx1"/>
                  </w14:solidFill>
                </w14:textFill>
              </w:rPr>
              <w:t>排放标准</w:t>
            </w:r>
          </w:p>
          <w:p w14:paraId="55E4543F">
            <w:pPr>
              <w:bidi w:val="0"/>
              <w:rPr>
                <w:rFonts w:hint="eastAsia" w:cs="Times New Roman"/>
                <w:color w:val="000000" w:themeColor="text1"/>
                <w:kern w:val="0"/>
                <w:highlight w:val="none"/>
                <w14:textFill>
                  <w14:solidFill>
                    <w14:schemeClr w14:val="tx1"/>
                  </w14:solidFill>
                </w14:textFill>
              </w:rPr>
            </w:pPr>
            <w:r>
              <w:rPr>
                <w:rFonts w:hint="default"/>
                <w:color w:val="000000" w:themeColor="text1"/>
                <w:highlight w:val="none"/>
                <w14:textFill>
                  <w14:solidFill>
                    <w14:schemeClr w14:val="tx1"/>
                  </w14:solidFill>
                </w14:textFill>
              </w:rPr>
              <w:t>施工期生活垃圾等一般固体废物贮存、清运过程应满足《中华人民共和国固体废物污染环境防治法》（2020年修订）中防渗漏、防雨淋、防扬尘等环境保护要求。</w:t>
            </w:r>
          </w:p>
        </w:tc>
      </w:tr>
      <w:tr w14:paraId="146D5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3" w:type="dxa"/>
            <w:noWrap w:val="0"/>
            <w:vAlign w:val="center"/>
          </w:tcPr>
          <w:p w14:paraId="4A43FEF5">
            <w:pPr>
              <w:keepNext w:val="0"/>
              <w:keepLines w:val="0"/>
              <w:suppressLineNumbers w:val="0"/>
              <w:bidi w:val="0"/>
              <w:spacing w:before="0" w:beforeAutospacing="0" w:after="0" w:afterAutospacing="0"/>
              <w:ind w:left="0" w:leftChars="0" w:right="0" w:firstLine="0" w:firstLineChars="0"/>
              <w:jc w:val="center"/>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其他</w:t>
            </w:r>
          </w:p>
        </w:tc>
        <w:tc>
          <w:tcPr>
            <w:tcW w:w="8504" w:type="dxa"/>
            <w:noWrap w:val="0"/>
            <w:vAlign w:val="center"/>
          </w:tcPr>
          <w:p w14:paraId="0515E027">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sz w:val="24"/>
                <w:szCs w:val="32"/>
                <w:highlight w:val="none"/>
                <w14:textFill>
                  <w14:solidFill>
                    <w14:schemeClr w14:val="tx1"/>
                  </w14:solidFill>
                </w14:textFill>
              </w:rPr>
              <w:t>无</w:t>
            </w:r>
          </w:p>
        </w:tc>
      </w:tr>
    </w:tbl>
    <w:p w14:paraId="7D8F4687">
      <w:pPr>
        <w:pStyle w:val="4"/>
        <w:bidi w:val="0"/>
        <w:jc w:val="left"/>
        <w:rPr>
          <w:rFonts w:ascii="Times New Roman" w:hAnsi="Times New Roman" w:eastAsia="黑体"/>
          <w:snapToGrid w:val="0"/>
          <w:color w:val="000000" w:themeColor="text1"/>
          <w:szCs w:val="30"/>
          <w:highlight w:val="none"/>
          <w14:textFill>
            <w14:solidFill>
              <w14:schemeClr w14:val="tx1"/>
            </w14:solidFill>
          </w14:textFill>
        </w:rPr>
      </w:pPr>
      <w:r>
        <w:rPr>
          <w:rFonts w:ascii="Times New Roman" w:hAnsi="Times New Roman" w:eastAsia="黑体"/>
          <w:snapToGrid w:val="0"/>
          <w:color w:val="000000" w:themeColor="text1"/>
          <w:kern w:val="2"/>
          <w:szCs w:val="36"/>
          <w:highlight w:val="none"/>
          <w14:textFill>
            <w14:solidFill>
              <w14:schemeClr w14:val="tx1"/>
            </w14:solidFill>
          </w14:textFill>
        </w:rPr>
        <w:br w:type="page"/>
      </w:r>
      <w:r>
        <w:rPr>
          <w:color w:val="000000" w:themeColor="text1"/>
          <w:highlight w:val="none"/>
          <w14:textFill>
            <w14:solidFill>
              <w14:schemeClr w14:val="tx1"/>
            </w14:solidFill>
          </w14:textFill>
        </w:rPr>
        <w:t>四、生态环境影响分析</w:t>
      </w:r>
    </w:p>
    <w:tbl>
      <w:tblPr>
        <w:tblStyle w:val="27"/>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535"/>
      </w:tblGrid>
      <w:tr w14:paraId="1E584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707" w:type="dxa"/>
            <w:tcBorders>
              <w:tl2br w:val="nil"/>
              <w:tr2bl w:val="nil"/>
            </w:tcBorders>
            <w:noWrap w:val="0"/>
            <w:tcMar>
              <w:left w:w="28" w:type="dxa"/>
              <w:right w:w="28" w:type="dxa"/>
            </w:tcMar>
            <w:vAlign w:val="center"/>
          </w:tcPr>
          <w:p w14:paraId="4A094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bookmarkStart w:id="3" w:name="_Hlk49796138"/>
            <w:r>
              <w:rPr>
                <w:rFonts w:hint="default" w:cs="Times New Roman"/>
                <w:b/>
                <w:bCs/>
                <w:color w:val="000000" w:themeColor="text1"/>
                <w:highlight w:val="none"/>
                <w14:textFill>
                  <w14:solidFill>
                    <w14:schemeClr w14:val="tx1"/>
                  </w14:solidFill>
                </w14:textFill>
              </w:rPr>
              <w:t>施工期生态环境影响分析</w:t>
            </w:r>
            <w:bookmarkEnd w:id="3"/>
          </w:p>
        </w:tc>
        <w:tc>
          <w:tcPr>
            <w:tcW w:w="8535" w:type="dxa"/>
            <w:tcBorders>
              <w:tl2br w:val="nil"/>
              <w:tr2bl w:val="nil"/>
            </w:tcBorders>
            <w:noWrap w:val="0"/>
            <w:vAlign w:val="top"/>
          </w:tcPr>
          <w:p w14:paraId="35D4B732">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1、生态环境影响分析</w:t>
            </w:r>
          </w:p>
          <w:p w14:paraId="1EB6EC3F">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t>对</w:t>
            </w:r>
            <w:r>
              <w:rPr>
                <w:rFonts w:hint="default"/>
                <w:color w:val="000000" w:themeColor="text1"/>
                <w:highlight w:val="none"/>
                <w:lang w:val="en-US" w:eastAsia="zh-CN"/>
                <w14:textFill>
                  <w14:solidFill>
                    <w14:schemeClr w14:val="tx1"/>
                  </w14:solidFill>
                </w14:textFill>
              </w:rPr>
              <w:t>土地利用影响分析</w:t>
            </w:r>
          </w:p>
          <w:p w14:paraId="5FEDBD05">
            <w:pPr>
              <w:bidi w:val="0"/>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恢复</w:t>
            </w:r>
            <w:r>
              <w:rPr>
                <w:rFonts w:hint="eastAsia" w:ascii="Times New Roman" w:hAnsi="Times New Roman" w:eastAsia="宋体" w:cs="Times New Roman"/>
                <w:color w:val="000000" w:themeColor="text1"/>
                <w:highlight w:val="none"/>
                <w14:textFill>
                  <w14:solidFill>
                    <w14:schemeClr w14:val="tx1"/>
                  </w14:solidFill>
                </w14:textFill>
              </w:rPr>
              <w:t>地形</w:t>
            </w:r>
            <w:r>
              <w:rPr>
                <w:rFonts w:hint="eastAsia" w:cs="Times New Roman"/>
                <w:color w:val="000000" w:themeColor="text1"/>
                <w:highlight w:val="none"/>
                <w:lang w:val="en-US" w:eastAsia="zh-CN"/>
                <w14:textFill>
                  <w14:solidFill>
                    <w14:schemeClr w14:val="tx1"/>
                  </w14:solidFill>
                </w14:textFill>
              </w:rPr>
              <w:t>地貌</w:t>
            </w:r>
            <w:r>
              <w:rPr>
                <w:rFonts w:hint="eastAsia" w:ascii="Times New Roman" w:hAnsi="Times New Roman" w:eastAsia="宋体" w:cs="Times New Roman"/>
                <w:color w:val="000000" w:themeColor="text1"/>
                <w:highlight w:val="none"/>
                <w14:textFill>
                  <w14:solidFill>
                    <w14:schemeClr w14:val="tx1"/>
                  </w14:solidFill>
                </w14:textFill>
              </w:rPr>
              <w:t>，恢复植被，从源头上消除</w:t>
            </w:r>
            <w:r>
              <w:rPr>
                <w:rFonts w:hint="eastAsia" w:cs="Times New Roman"/>
                <w:color w:val="000000" w:themeColor="text1"/>
                <w:highlight w:val="none"/>
                <w:lang w:val="en-US" w:eastAsia="zh-CN"/>
                <w14:textFill>
                  <w14:solidFill>
                    <w14:schemeClr w14:val="tx1"/>
                  </w14:solidFill>
                </w14:textFill>
              </w:rPr>
              <w:t>矿山地质</w:t>
            </w:r>
            <w:r>
              <w:rPr>
                <w:rFonts w:hint="eastAsia" w:ascii="Times New Roman" w:hAnsi="Times New Roman" w:eastAsia="宋体" w:cs="Times New Roman"/>
                <w:color w:val="000000" w:themeColor="text1"/>
                <w:highlight w:val="none"/>
                <w14:textFill>
                  <w14:solidFill>
                    <w14:schemeClr w14:val="tx1"/>
                  </w14:solidFill>
                </w14:textFill>
              </w:rPr>
              <w:t>安全隐患，修复</w:t>
            </w:r>
            <w:r>
              <w:rPr>
                <w:rFonts w:hint="eastAsia" w:cs="Times New Roman"/>
                <w:color w:val="000000" w:themeColor="text1"/>
                <w:highlight w:val="none"/>
                <w:lang w:val="en-US" w:eastAsia="zh-CN"/>
                <w14:textFill>
                  <w14:solidFill>
                    <w14:schemeClr w14:val="tx1"/>
                  </w14:solidFill>
                </w14:textFill>
              </w:rPr>
              <w:t>采矿</w:t>
            </w:r>
            <w:r>
              <w:rPr>
                <w:rFonts w:hint="eastAsia" w:ascii="Times New Roman" w:hAnsi="Times New Roman" w:eastAsia="宋体" w:cs="Times New Roman"/>
                <w:color w:val="000000" w:themeColor="text1"/>
                <w:highlight w:val="none"/>
                <w14:textFill>
                  <w14:solidFill>
                    <w14:schemeClr w14:val="tx1"/>
                  </w14:solidFill>
                </w14:textFill>
              </w:rPr>
              <w:t>活动而被挖损或压占的土地资源，通过覆土绿化等措施增加草地土地资源，显著增加植被覆盖率</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使土地资源恢复其利用价值，为实现当地经济的可持续发展，构建和谐社会奠定良好的基础。</w:t>
            </w:r>
          </w:p>
          <w:p w14:paraId="1A9DB3B4">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⑵对</w:t>
            </w:r>
            <w:r>
              <w:rPr>
                <w:rFonts w:hint="eastAsia"/>
                <w:color w:val="000000" w:themeColor="text1"/>
                <w:highlight w:val="none"/>
                <w:lang w:val="en-US" w:eastAsia="zh-CN"/>
                <w14:textFill>
                  <w14:solidFill>
                    <w14:schemeClr w14:val="tx1"/>
                  </w14:solidFill>
                </w14:textFill>
              </w:rPr>
              <w:t>植物</w:t>
            </w:r>
            <w:r>
              <w:rPr>
                <w:rFonts w:hint="default"/>
                <w:color w:val="000000" w:themeColor="text1"/>
                <w:highlight w:val="none"/>
                <w:lang w:val="en-US" w:eastAsia="zh-CN"/>
                <w14:textFill>
                  <w14:solidFill>
                    <w14:schemeClr w14:val="tx1"/>
                  </w14:solidFill>
                </w14:textFill>
              </w:rPr>
              <w:t>的影响分析</w:t>
            </w:r>
          </w:p>
          <w:p w14:paraId="2E6DF018">
            <w:pPr>
              <w:bidi w:val="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①治理区位于黄河南岸天景山地区，</w:t>
            </w:r>
            <w:r>
              <w:rPr>
                <w:rFonts w:hint="eastAsia" w:ascii="宋体" w:hAnsi="宋体" w:cs="宋体"/>
                <w:color w:val="000000" w:themeColor="text1"/>
                <w:highlight w:val="none"/>
                <w:lang w:val="en-US" w:eastAsia="zh-CN"/>
                <w14:textFill>
                  <w14:solidFill>
                    <w14:schemeClr w14:val="tx1"/>
                  </w14:solidFill>
                </w14:textFill>
              </w:rPr>
              <w:t>治理区原生地貌</w:t>
            </w:r>
            <w:r>
              <w:rPr>
                <w:rFonts w:hint="eastAsia" w:ascii="宋体" w:hAnsi="宋体" w:eastAsia="宋体" w:cs="宋体"/>
                <w:color w:val="000000" w:themeColor="text1"/>
                <w:highlight w:val="none"/>
                <w:lang w:val="en-US" w:eastAsia="zh-CN"/>
                <w14:textFill>
                  <w14:solidFill>
                    <w14:schemeClr w14:val="tx1"/>
                  </w14:solidFill>
                </w14:textFill>
              </w:rPr>
              <w:t>以荒漠和草原为主，原生植被主要为耐寒、耐旱的草本植物，树木及灌木不发育。植被类型主要包括沙蒿、毛头硬刺、毛头软刺、柠条等。</w:t>
            </w:r>
          </w:p>
          <w:p w14:paraId="77136014">
            <w:pPr>
              <w:bidi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②由于矿山开采，已对该区域的植被系统造成大面积的破坏，项目生态评价范围内植被覆盖度低，生态条件脆弱。</w:t>
            </w:r>
          </w:p>
          <w:p w14:paraId="10B40190">
            <w:pPr>
              <w:bidi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cs="宋体"/>
                <w:color w:val="000000" w:themeColor="text1"/>
                <w:highlight w:val="none"/>
                <w:lang w:val="en-US" w:eastAsia="zh-CN"/>
                <w14:textFill>
                  <w14:solidFill>
                    <w14:schemeClr w14:val="tx1"/>
                  </w14:solidFill>
                </w14:textFill>
              </w:rPr>
              <w:t>项目区</w:t>
            </w:r>
            <w:r>
              <w:rPr>
                <w:rFonts w:hint="eastAsia" w:ascii="宋体" w:hAnsi="宋体" w:eastAsia="宋体" w:cs="宋体"/>
                <w:color w:val="000000" w:themeColor="text1"/>
                <w:highlight w:val="none"/>
                <w:lang w:val="en-US" w:eastAsia="zh-CN"/>
                <w14:textFill>
                  <w14:solidFill>
                    <w14:schemeClr w14:val="tx1"/>
                  </w14:solidFill>
                </w14:textFill>
              </w:rPr>
              <w:t>原生植被较</w:t>
            </w:r>
            <w:r>
              <w:rPr>
                <w:rFonts w:hint="eastAsia" w:ascii="宋体" w:hAnsi="宋体" w:cs="宋体"/>
                <w:color w:val="000000" w:themeColor="text1"/>
                <w:highlight w:val="none"/>
                <w:lang w:val="en-US" w:eastAsia="zh-CN"/>
                <w14:textFill>
                  <w14:solidFill>
                    <w14:schemeClr w14:val="tx1"/>
                  </w14:solidFill>
                </w14:textFill>
              </w:rPr>
              <w:t>少</w:t>
            </w:r>
            <w:r>
              <w:rPr>
                <w:rFonts w:hint="eastAsia" w:ascii="宋体" w:hAnsi="宋体" w:eastAsia="宋体" w:cs="宋体"/>
                <w:color w:val="000000" w:themeColor="text1"/>
                <w:highlight w:val="none"/>
                <w:lang w:val="en-US" w:eastAsia="zh-CN"/>
                <w14:textFill>
                  <w14:solidFill>
                    <w14:schemeClr w14:val="tx1"/>
                  </w14:solidFill>
                </w14:textFill>
              </w:rPr>
              <w:t>，无国家及地方重点保护野生植物名录所列的物种，《中国生物多样性红色名录》中列为极危、濒危和易危的物种，国家和地方政府列入拯救保护的极小种群物种，特有种以及古树名木等。</w:t>
            </w:r>
          </w:p>
          <w:p w14:paraId="6F416DF4">
            <w:pPr>
              <w:bidi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④本项目通过</w:t>
            </w:r>
            <w:r>
              <w:rPr>
                <w:rFonts w:hint="eastAsia" w:ascii="宋体" w:hAnsi="宋体" w:cs="宋体"/>
                <w:color w:val="000000" w:themeColor="text1"/>
                <w:highlight w:val="none"/>
                <w:lang w:val="en-US" w:eastAsia="zh-CN"/>
                <w14:textFill>
                  <w14:solidFill>
                    <w14:schemeClr w14:val="tx1"/>
                  </w14:solidFill>
                </w14:textFill>
              </w:rPr>
              <w:t>实施生态修复工程，包括植被重建、土壤改良和水土保持措施，结合当地气候与立地条件，选择适生植物种进行人工恢复，逐步提升区域植被覆盖度和生态系统稳定性。</w:t>
            </w:r>
          </w:p>
          <w:p w14:paraId="4AF4F470">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动物的</w:t>
            </w:r>
            <w:r>
              <w:rPr>
                <w:rFonts w:hint="default"/>
                <w:color w:val="000000" w:themeColor="text1"/>
                <w:highlight w:val="none"/>
                <w:lang w:val="en-US" w:eastAsia="zh-CN"/>
                <w14:textFill>
                  <w14:solidFill>
                    <w14:schemeClr w14:val="tx1"/>
                  </w14:solidFill>
                </w14:textFill>
              </w:rPr>
              <w:t>影响分析</w:t>
            </w:r>
          </w:p>
          <w:p w14:paraId="2031AFE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本项目的特点，对野生动物的影响主要发生在施工期。随着项目的开工，施工机械、施工人员的进场及其他施工场地的布置，施工中产生的噪声可能干扰现有野生动物的生存环境，导致野生动物栖息环境的改变。根据现场勘查及资料分析，本项目区域均为当地常见种，主要有啮齿类中的野兔、小毛足鼠、壁虎、蛇类、麻雀、昆虫等，无珍稀、濒危及国家级和自治区级野生保护动物栖息地和繁殖地。一般动物可能在施工期间受到影响，但由于工程量小，施工期集中，施工单位通过加强对施工人员保护野生动物的宣传教育，提高施工人员自觉保护野生动物的意识，不会对周边野生动物产生明显影响。根据现场走访了解，项目所在区域野生动物很少出没，也无珍稀濒危保护动物。因施工期较短，施工完毕即可恢复正常。因此，项目施工对野生动物种群、数量影响较小。</w:t>
            </w:r>
          </w:p>
          <w:p w14:paraId="40F2C1F4">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本项目施工对野生动物的影响为间断性、暂时性的。项目施工量较少，施工不会影响到动物的正常迁徙活动，且不涉及动物灭绝。因此，本项目施工对当地的动物不会产生明显影响。</w:t>
            </w:r>
          </w:p>
          <w:p w14:paraId="6954EF8D">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水土流失影响分析</w:t>
            </w:r>
          </w:p>
          <w:p w14:paraId="06DA8B79">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本项目施工期间地形地貌恢复工程、截排水工程、生态恢复工程等施工活动对地表土体产生扰动，导致土壤结构改变及植被破坏。当地表植被破坏后，表层土壤裸露，在降雨形成的地表径流的作用下发生流失，但影响是暂时的，且造成的水土流失均在本项目占地范围内，不会外损。工程完工和生态恢复后，其水土流失程度会随着施工的结束而结束，项目通过恢复原有的地形地貌及土地资源，可以起到防治水土流失的作用，并且使遭到破坏的生态环境得到改善和基本恢复。</w:t>
            </w:r>
          </w:p>
          <w:p w14:paraId="229B5B20">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4 \* GB2 \* MERGEFORMAT </w:instrText>
            </w:r>
            <w:r>
              <w:rPr>
                <w:rFonts w:hint="default"/>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⑷</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生态景观的影响</w:t>
            </w:r>
            <w:r>
              <w:rPr>
                <w:rFonts w:hint="eastAsia"/>
                <w:color w:val="000000" w:themeColor="text1"/>
                <w:highlight w:val="none"/>
                <w:lang w:val="en-US" w:eastAsia="zh-CN"/>
                <w14:textFill>
                  <w14:solidFill>
                    <w14:schemeClr w14:val="tx1"/>
                  </w14:solidFill>
                </w14:textFill>
              </w:rPr>
              <w:t>分析</w:t>
            </w:r>
          </w:p>
          <w:p w14:paraId="4F195BB7">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本项目施工期间地形地貌恢复工程、截排水工程、生态恢复工程等施工活动对原地貌进行扰动。施工期结束后，被改变的原有景观无法恢复。但当本项目建成后，通过</w:t>
            </w:r>
            <w:r>
              <w:rPr>
                <w:rFonts w:hint="eastAsia"/>
                <w:color w:val="000000" w:themeColor="text1"/>
                <w:highlight w:val="none"/>
                <w:lang w:val="en-US" w:eastAsia="zh-CN"/>
                <w14:textFill>
                  <w14:solidFill>
                    <w14:schemeClr w14:val="tx1"/>
                  </w14:solidFill>
                </w14:textFill>
              </w:rPr>
              <w:t>地形地貌被恢复，有利于后期植物生长</w:t>
            </w:r>
            <w:r>
              <w:rPr>
                <w:rFonts w:hint="default"/>
                <w:color w:val="000000" w:themeColor="text1"/>
                <w:highlight w:val="none"/>
                <w14:textFill>
                  <w14:solidFill>
                    <w14:schemeClr w14:val="tx1"/>
                  </w14:solidFill>
                </w14:textFill>
              </w:rPr>
              <w:t>，因此，对自然生态景观不会造成不良影响。</w:t>
            </w:r>
          </w:p>
          <w:p w14:paraId="6115E48C">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5 \* GB2 \* MERGEFORMAT </w:instrText>
            </w:r>
            <w:r>
              <w:rPr>
                <w:rFonts w:hint="default"/>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⑸</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生物多样性影响分析</w:t>
            </w:r>
          </w:p>
          <w:p w14:paraId="63121839">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占地范围内</w:t>
            </w:r>
            <w:r>
              <w:rPr>
                <w:rFonts w:hint="eastAsia"/>
                <w:color w:val="000000" w:themeColor="text1"/>
                <w:highlight w:val="none"/>
                <w:lang w:val="en-US" w:eastAsia="zh-CN"/>
                <w14:textFill>
                  <w14:solidFill>
                    <w14:schemeClr w14:val="tx1"/>
                  </w14:solidFill>
                </w14:textFill>
              </w:rPr>
              <w:t>植物物种均为当地植被。</w:t>
            </w:r>
            <w:r>
              <w:rPr>
                <w:rFonts w:hint="default"/>
                <w:color w:val="000000" w:themeColor="text1"/>
                <w:highlight w:val="none"/>
                <w14:textFill>
                  <w14:solidFill>
                    <w14:schemeClr w14:val="tx1"/>
                  </w14:solidFill>
                </w14:textFill>
              </w:rPr>
              <w:t>项目施工期占地会造成短时的植被数量减少，野生动物活动会受到干扰；项目为矿山修复生态治理项目，项目通过</w:t>
            </w:r>
            <w:r>
              <w:rPr>
                <w:rFonts w:hint="eastAsia"/>
                <w:color w:val="000000" w:themeColor="text1"/>
                <w:highlight w:val="none"/>
                <w14:textFill>
                  <w14:solidFill>
                    <w14:schemeClr w14:val="tx1"/>
                  </w14:solidFill>
                </w14:textFill>
              </w:rPr>
              <w:t>地形地貌恢复工程、截排水工程、生态恢复工程</w:t>
            </w:r>
            <w:r>
              <w:rPr>
                <w:rFonts w:hint="default"/>
                <w:color w:val="000000" w:themeColor="text1"/>
                <w:highlight w:val="none"/>
                <w14:textFill>
                  <w14:solidFill>
                    <w14:schemeClr w14:val="tx1"/>
                  </w14:solidFill>
                </w14:textFill>
              </w:rPr>
              <w:t>恢复损毁土地的利用功能，提高项目区生态功能，项目实施对治理植被动物影响为正环境效益。因此，本项目的建设对评价区域内生物多样性的影响较小。</w:t>
            </w:r>
          </w:p>
          <w:p w14:paraId="6B91DA25">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6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⑹</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生态系统影响分析</w:t>
            </w:r>
          </w:p>
          <w:p w14:paraId="623D1CCF">
            <w:pP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本项目施工期间施工占地、场地清理等施工活动对</w:t>
            </w:r>
            <w:r>
              <w:rPr>
                <w:rFonts w:hint="eastAsia"/>
                <w:color w:val="000000" w:themeColor="text1"/>
                <w:highlight w:val="none"/>
                <w:lang w:val="en-US" w:eastAsia="zh-CN"/>
                <w14:textFill>
                  <w14:solidFill>
                    <w14:schemeClr w14:val="tx1"/>
                  </w14:solidFill>
                </w14:textFill>
              </w:rPr>
              <w:t>生态系统</w:t>
            </w:r>
            <w:r>
              <w:rPr>
                <w:rFonts w:hint="default"/>
                <w:color w:val="000000" w:themeColor="text1"/>
                <w:highlight w:val="none"/>
                <w14:textFill>
                  <w14:solidFill>
                    <w14:schemeClr w14:val="tx1"/>
                  </w14:solidFill>
                </w14:textFill>
              </w:rPr>
              <w:t>进行扰动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会</w:t>
            </w:r>
            <w:r>
              <w:rPr>
                <w:rFonts w:hint="eastAsia"/>
                <w:color w:val="000000" w:themeColor="text1"/>
                <w:highlight w:val="none"/>
                <w14:textFill>
                  <w14:solidFill>
                    <w14:schemeClr w14:val="tx1"/>
                  </w14:solidFill>
                </w14:textFill>
              </w:rPr>
              <w:t>造成区域</w:t>
            </w:r>
            <w:r>
              <w:rPr>
                <w:rFonts w:hint="eastAsia"/>
                <w:color w:val="000000" w:themeColor="text1"/>
                <w:highlight w:val="none"/>
                <w:lang w:val="en-US" w:eastAsia="zh-CN"/>
                <w14:textFill>
                  <w14:solidFill>
                    <w14:schemeClr w14:val="tx1"/>
                  </w14:solidFill>
                </w14:textFill>
              </w:rPr>
              <w:t>生物量的减少，生产力下降，</w:t>
            </w:r>
            <w:r>
              <w:rPr>
                <w:rFonts w:hint="eastAsia"/>
                <w:color w:val="000000" w:themeColor="text1"/>
                <w:highlight w:val="none"/>
                <w14:textFill>
                  <w14:solidFill>
                    <w14:schemeClr w14:val="tx1"/>
                  </w14:solidFill>
                </w14:textFill>
              </w:rPr>
              <w:t>生态系统服务功能</w:t>
            </w:r>
            <w:r>
              <w:rPr>
                <w:rFonts w:hint="eastAsia"/>
                <w:color w:val="000000" w:themeColor="text1"/>
                <w:highlight w:val="none"/>
                <w:lang w:val="en-US" w:eastAsia="zh-CN"/>
                <w14:textFill>
                  <w14:solidFill>
                    <w14:schemeClr w14:val="tx1"/>
                  </w14:solidFill>
                </w14:textFill>
              </w:rPr>
              <w:t>削弱。</w:t>
            </w:r>
            <w:r>
              <w:rPr>
                <w:rFonts w:hint="default"/>
                <w:color w:val="000000" w:themeColor="text1"/>
                <w:highlight w:val="none"/>
                <w14:textFill>
                  <w14:solidFill>
                    <w14:schemeClr w14:val="tx1"/>
                  </w14:solidFill>
                </w14:textFill>
              </w:rPr>
              <w:t>项目通过</w:t>
            </w:r>
            <w:r>
              <w:rPr>
                <w:rFonts w:hint="eastAsia"/>
                <w:color w:val="000000" w:themeColor="text1"/>
                <w:highlight w:val="none"/>
                <w14:textFill>
                  <w14:solidFill>
                    <w14:schemeClr w14:val="tx1"/>
                  </w14:solidFill>
                </w14:textFill>
              </w:rPr>
              <w:t>地形地貌恢复工程、截排水工程、生态恢复工程</w:t>
            </w:r>
            <w:r>
              <w:rPr>
                <w:rFonts w:hint="default"/>
                <w:color w:val="000000" w:themeColor="text1"/>
                <w:highlight w:val="none"/>
                <w14:textFill>
                  <w14:solidFill>
                    <w14:schemeClr w14:val="tx1"/>
                  </w14:solidFill>
                </w14:textFill>
              </w:rPr>
              <w:t>等</w:t>
            </w:r>
            <w:r>
              <w:rPr>
                <w:rFonts w:hint="eastAsia"/>
                <w:color w:val="000000" w:themeColor="text1"/>
                <w:highlight w:val="none"/>
                <w:lang w:val="en-US" w:eastAsia="zh-CN"/>
                <w14:textFill>
                  <w14:solidFill>
                    <w14:schemeClr w14:val="tx1"/>
                  </w14:solidFill>
                </w14:textFill>
              </w:rPr>
              <w:t>生态保护措施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w:t>
            </w:r>
            <w:r>
              <w:rPr>
                <w:rFonts w:hint="default"/>
                <w:color w:val="000000" w:themeColor="text1"/>
                <w:highlight w:val="none"/>
                <w14:textFill>
                  <w14:solidFill>
                    <w14:schemeClr w14:val="tx1"/>
                  </w14:solidFill>
                </w14:textFill>
              </w:rPr>
              <w:t>恢复损毁土地的利用功能</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提高项目区生态功能</w:t>
            </w:r>
            <w:r>
              <w:rPr>
                <w:rFonts w:hint="eastAsia"/>
                <w:color w:val="000000" w:themeColor="text1"/>
                <w:highlight w:val="none"/>
                <w:lang w:val="en-US" w:eastAsia="zh-CN"/>
                <w14:textFill>
                  <w14:solidFill>
                    <w14:schemeClr w14:val="tx1"/>
                  </w14:solidFill>
                </w14:textFill>
              </w:rPr>
              <w:t>等，对区域生态系统的影响</w:t>
            </w:r>
            <w:r>
              <w:rPr>
                <w:rFonts w:hint="default"/>
                <w:color w:val="000000" w:themeColor="text1"/>
                <w:highlight w:val="none"/>
                <w14:textFill>
                  <w14:solidFill>
                    <w14:schemeClr w14:val="tx1"/>
                  </w14:solidFill>
                </w14:textFill>
              </w:rPr>
              <w:t>为正环境效益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w:t>
            </w:r>
            <w:r>
              <w:rPr>
                <w:rFonts w:hint="default"/>
                <w:color w:val="000000" w:themeColor="text1"/>
                <w:highlight w:val="none"/>
                <w14:textFill>
                  <w14:solidFill>
                    <w14:schemeClr w14:val="tx1"/>
                  </w14:solidFill>
                </w14:textFill>
              </w:rPr>
              <w:t>本项目的建设对评价区域</w:t>
            </w:r>
            <w:r>
              <w:rPr>
                <w:rFonts w:hint="eastAsia"/>
                <w:color w:val="000000" w:themeColor="text1"/>
                <w:highlight w:val="none"/>
                <w:lang w:val="en-US" w:eastAsia="zh-CN"/>
                <w14:textFill>
                  <w14:solidFill>
                    <w14:schemeClr w14:val="tx1"/>
                  </w14:solidFill>
                </w14:textFill>
              </w:rPr>
              <w:t>生态系统影响</w:t>
            </w:r>
            <w:r>
              <w:rPr>
                <w:rFonts w:hint="default"/>
                <w:color w:val="000000" w:themeColor="text1"/>
                <w:highlight w:val="none"/>
                <w14:textFill>
                  <w14:solidFill>
                    <w14:schemeClr w14:val="tx1"/>
                  </w14:solidFill>
                </w14:textFill>
              </w:rPr>
              <w:t>较小。</w:t>
            </w:r>
          </w:p>
          <w:p w14:paraId="14B2E52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7 \* GB2 \* MERGEFORMAT </w:instrText>
            </w:r>
            <w:r>
              <w:rPr>
                <w:rFonts w:hint="default"/>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⑺</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小结</w:t>
            </w:r>
          </w:p>
          <w:p w14:paraId="3409CB9D">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综上，本项目工程量小、施工时间短，施工期会对周边生态环境影响有限，并随施工期的结束、植被恢复，将逐渐得到缓解，并趋于稳定。</w:t>
            </w:r>
          </w:p>
          <w:p w14:paraId="00DC38ED">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施工废气影响分析</w:t>
            </w:r>
          </w:p>
          <w:p w14:paraId="26EB3B88">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环境空气污染主要是土方开挖、运输等施工过程中产生的粉尘、扬尘，机械施工、车辆运行等产生的废气对周边环境空气产生一定的污染，主要污染物为CO、NO</w:t>
            </w:r>
            <w:r>
              <w:rPr>
                <w:rFonts w:hint="eastAsia" w:cs="Times New Roman"/>
                <w:color w:val="000000" w:themeColor="text1"/>
                <w:highlight w:val="none"/>
                <w:vertAlign w:val="subscript"/>
                <w14:textFill>
                  <w14:solidFill>
                    <w14:schemeClr w14:val="tx1"/>
                  </w14:solidFill>
                </w14:textFill>
              </w:rPr>
              <w:t>2</w:t>
            </w:r>
            <w:r>
              <w:rPr>
                <w:rFonts w:hint="eastAsia" w:cs="Times New Roman"/>
                <w:color w:val="000000" w:themeColor="text1"/>
                <w:highlight w:val="none"/>
                <w14:textFill>
                  <w14:solidFill>
                    <w14:schemeClr w14:val="tx1"/>
                  </w14:solidFill>
                </w14:textFill>
              </w:rPr>
              <w:t>、SO</w:t>
            </w:r>
            <w:r>
              <w:rPr>
                <w:rFonts w:hint="eastAsia" w:cs="Times New Roman"/>
                <w:color w:val="000000" w:themeColor="text1"/>
                <w:highlight w:val="none"/>
                <w:vertAlign w:val="subscript"/>
                <w14:textFill>
                  <w14:solidFill>
                    <w14:schemeClr w14:val="tx1"/>
                  </w14:solidFill>
                </w14:textFill>
              </w:rPr>
              <w:t>2</w:t>
            </w:r>
            <w:r>
              <w:rPr>
                <w:rFonts w:hint="eastAsia" w:cs="Times New Roman"/>
                <w:color w:val="000000" w:themeColor="text1"/>
                <w:highlight w:val="none"/>
                <w14:textFill>
                  <w14:solidFill>
                    <w14:schemeClr w14:val="tx1"/>
                  </w14:solidFill>
                </w14:textFill>
              </w:rPr>
              <w:t>等。本工程施工中主要在以下几个方面对施工区的大气环境质量产生影响：</w:t>
            </w:r>
          </w:p>
          <w:p w14:paraId="072AB52A">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⑴施工现场扬尘</w:t>
            </w:r>
          </w:p>
          <w:p w14:paraId="60443BB5">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施工作业面扬尘：施工作业面的裸露地面，在干燥天气，尤其是在大风时容易产生扬尘；开挖面、开挖场等施工作业面均会产生扬尘；扬尘产生量与作业面大小、施工机械、施工方法、天气状况及洒水频率等都有关系。工程区主要是土方开挖、临时材料堆放等施工过程会产生粉尘。根据施工工程的调查资料，工程施工期间施工现场近地面粉尘浓度可达1.5～30mg/m</w:t>
            </w:r>
            <w:r>
              <w:rPr>
                <w:rFonts w:hint="eastAsia"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14:textFill>
                  <w14:solidFill>
                    <w14:schemeClr w14:val="tx1"/>
                  </w14:solidFill>
                </w14:textFill>
              </w:rPr>
              <w:t>。施工中土石方开挖等产生的扬尘，基本上都是间歇式排放。一般只要定时洒水，施工作业面扬尘即可得到有效控制，对环境影响较小。</w:t>
            </w:r>
          </w:p>
          <w:p w14:paraId="601D7DFA">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交通运输扬尘：根据有关资料，施工过程中车辆行驶产生的扬尘约占施工总扬尘量的60%以上。一般情</w:t>
            </w:r>
            <w:r>
              <w:rPr>
                <w:rFonts w:hint="eastAsia" w:cs="Times New Roman"/>
                <w:color w:val="000000" w:themeColor="text1"/>
                <w:highlight w:val="none"/>
                <w:lang w:eastAsia="zh-CN"/>
                <w14:textFill>
                  <w14:solidFill>
                    <w14:schemeClr w14:val="tx1"/>
                  </w14:solidFill>
                </w14:textFill>
              </w:rPr>
              <w:t>况下</w:t>
            </w:r>
            <w:r>
              <w:rPr>
                <w:rFonts w:hint="eastAsia" w:cs="Times New Roman"/>
                <w:color w:val="000000" w:themeColor="text1"/>
                <w:highlight w:val="none"/>
                <w14:textFill>
                  <w14:solidFill>
                    <w14:schemeClr w14:val="tx1"/>
                  </w14:solidFill>
                </w14:textFill>
              </w:rPr>
              <w:t>车辆行驶产生的扬尘在同样路面清洁程度下，车速越快，扬尘量越大；而在同样车速下，路面条件越差扬尘量越大。工程交通运输扬尘的影响对象为现场施工人员。另外施工区进场公路附近分布有居民，故交通运输扬尘还有可能对上述居民产生影响。</w:t>
            </w:r>
          </w:p>
          <w:p w14:paraId="7B85D2A1">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⑵机械尾气</w:t>
            </w:r>
          </w:p>
          <w:p w14:paraId="5508A28C">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项目施工期间，使用液体燃料的施工机械及运输车辆排放的尾气中含有CO、NO</w:t>
            </w:r>
            <w:r>
              <w:rPr>
                <w:rFonts w:hint="eastAsia" w:cs="Times New Roman"/>
                <w:color w:val="000000" w:themeColor="text1"/>
                <w:highlight w:val="none"/>
                <w:vertAlign w:val="subscript"/>
                <w14:textFill>
                  <w14:solidFill>
                    <w14:schemeClr w14:val="tx1"/>
                  </w14:solidFill>
                </w14:textFill>
              </w:rPr>
              <w:t>x</w:t>
            </w:r>
            <w:r>
              <w:rPr>
                <w:rFonts w:hint="eastAsia" w:cs="Times New Roman"/>
                <w:color w:val="000000" w:themeColor="text1"/>
                <w:highlight w:val="none"/>
                <w14:textFill>
                  <w14:solidFill>
                    <w14:schemeClr w14:val="tx1"/>
                  </w14:solidFill>
                </w14:textFill>
              </w:rPr>
              <w:t>以及未完全燃烧的THC等，一般情况下，各种污染物的排放量不大。由于污染源较分散，且为流动性，影响是短期的、局部的。</w:t>
            </w:r>
          </w:p>
          <w:p w14:paraId="1B8B2E25">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废水影响分析</w:t>
            </w:r>
          </w:p>
          <w:p w14:paraId="6E13EE7B">
            <w:pPr>
              <w:keepNext w:val="0"/>
              <w:keepLines w:val="0"/>
              <w:widowControl/>
              <w:suppressLineNumbers w:val="0"/>
              <w:spacing w:before="0" w:beforeAutospacing="0" w:after="0" w:afterAutospacing="0"/>
              <w:ind w:left="0" w:right="0"/>
              <w:jc w:val="left"/>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项目区不设置施工生活营地，生活污水依托周边村庄旱厕处理，项目区无废水排放</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。因此本项目基本不会对外环境产生影响。</w:t>
            </w:r>
          </w:p>
          <w:p w14:paraId="5286700D">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噪声影响分析</w:t>
            </w:r>
          </w:p>
          <w:p w14:paraId="31F9B64F">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本项目施工期噪声主要为土建噪声和挖掘机、装卸机、推土机、运输车等施工机械噪声，常用建筑施工机械的声压级及距施工机械不同距离处的噪声级见表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6EF91C9D">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 xml:space="preserve">1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距主要施工机械不同距离处的噪声级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单位：</w:t>
            </w:r>
            <w:r>
              <w:rPr>
                <w:rFonts w:hint="default"/>
                <w:color w:val="000000" w:themeColor="text1"/>
                <w:highlight w:val="none"/>
                <w:lang w:val="en-US" w:eastAsia="zh-CN"/>
                <w14:textFill>
                  <w14:solidFill>
                    <w14:schemeClr w14:val="tx1"/>
                  </w14:solidFill>
                </w14:textFill>
              </w:rPr>
              <w:t>dB(A)</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12"/>
              <w:gridCol w:w="998"/>
              <w:gridCol w:w="1063"/>
              <w:gridCol w:w="1076"/>
              <w:gridCol w:w="1063"/>
              <w:gridCol w:w="998"/>
              <w:gridCol w:w="929"/>
            </w:tblGrid>
            <w:tr w14:paraId="2BD5E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restart"/>
                  <w:tcBorders>
                    <w:tl2br w:val="nil"/>
                    <w:tr2bl w:val="nil"/>
                  </w:tcBorders>
                  <w:noWrap w:val="0"/>
                  <w:vAlign w:val="center"/>
                </w:tcPr>
                <w:p w14:paraId="0BED3AF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机械名称</w:t>
                  </w:r>
                </w:p>
              </w:tc>
              <w:tc>
                <w:tcPr>
                  <w:tcW w:w="4306" w:type="pct"/>
                  <w:gridSpan w:val="7"/>
                  <w:tcBorders>
                    <w:tl2br w:val="nil"/>
                    <w:tr2bl w:val="nil"/>
                  </w:tcBorders>
                  <w:noWrap w:val="0"/>
                  <w:vAlign w:val="center"/>
                </w:tcPr>
                <w:p w14:paraId="36A4D86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离施工机械的距离（m）</w:t>
                  </w:r>
                </w:p>
              </w:tc>
            </w:tr>
            <w:tr w14:paraId="7A988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continue"/>
                  <w:tcBorders>
                    <w:tl2br w:val="nil"/>
                    <w:tr2bl w:val="nil"/>
                  </w:tcBorders>
                  <w:noWrap w:val="0"/>
                  <w:vAlign w:val="center"/>
                </w:tcPr>
                <w:p w14:paraId="580AC56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p>
              </w:tc>
              <w:tc>
                <w:tcPr>
                  <w:tcW w:w="610" w:type="pct"/>
                  <w:tcBorders>
                    <w:tl2br w:val="nil"/>
                    <w:tr2bl w:val="nil"/>
                  </w:tcBorders>
                  <w:noWrap w:val="0"/>
                  <w:vAlign w:val="center"/>
                </w:tcPr>
                <w:p w14:paraId="04FBA5A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5</w:t>
                  </w:r>
                </w:p>
              </w:tc>
              <w:tc>
                <w:tcPr>
                  <w:tcW w:w="602" w:type="pct"/>
                  <w:tcBorders>
                    <w:tl2br w:val="nil"/>
                    <w:tr2bl w:val="nil"/>
                  </w:tcBorders>
                  <w:noWrap w:val="0"/>
                  <w:vAlign w:val="center"/>
                </w:tcPr>
                <w:p w14:paraId="4A66B7B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10</w:t>
                  </w:r>
                </w:p>
              </w:tc>
              <w:tc>
                <w:tcPr>
                  <w:tcW w:w="641" w:type="pct"/>
                  <w:tcBorders>
                    <w:tl2br w:val="nil"/>
                    <w:tr2bl w:val="nil"/>
                  </w:tcBorders>
                  <w:noWrap w:val="0"/>
                  <w:vAlign w:val="center"/>
                </w:tcPr>
                <w:p w14:paraId="7F30A03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20</w:t>
                  </w:r>
                </w:p>
              </w:tc>
              <w:tc>
                <w:tcPr>
                  <w:tcW w:w="649" w:type="pct"/>
                  <w:tcBorders>
                    <w:tl2br w:val="nil"/>
                    <w:tr2bl w:val="nil"/>
                  </w:tcBorders>
                  <w:noWrap w:val="0"/>
                  <w:vAlign w:val="center"/>
                </w:tcPr>
                <w:p w14:paraId="78842C4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40</w:t>
                  </w:r>
                </w:p>
              </w:tc>
              <w:tc>
                <w:tcPr>
                  <w:tcW w:w="641" w:type="pct"/>
                  <w:tcBorders>
                    <w:tl2br w:val="nil"/>
                    <w:tr2bl w:val="nil"/>
                  </w:tcBorders>
                  <w:noWrap w:val="0"/>
                  <w:vAlign w:val="center"/>
                </w:tcPr>
                <w:p w14:paraId="623BEE9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80</w:t>
                  </w:r>
                </w:p>
              </w:tc>
              <w:tc>
                <w:tcPr>
                  <w:tcW w:w="602" w:type="pct"/>
                  <w:tcBorders>
                    <w:tl2br w:val="nil"/>
                    <w:tr2bl w:val="nil"/>
                  </w:tcBorders>
                  <w:noWrap w:val="0"/>
                  <w:vAlign w:val="center"/>
                </w:tcPr>
                <w:p w14:paraId="4A12623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160</w:t>
                  </w:r>
                </w:p>
              </w:tc>
              <w:tc>
                <w:tcPr>
                  <w:tcW w:w="560" w:type="pct"/>
                  <w:tcBorders>
                    <w:tl2br w:val="nil"/>
                    <w:tr2bl w:val="nil"/>
                  </w:tcBorders>
                  <w:noWrap w:val="0"/>
                  <w:vAlign w:val="center"/>
                </w:tcPr>
                <w:p w14:paraId="63B8FC5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320</w:t>
                  </w:r>
                </w:p>
              </w:tc>
            </w:tr>
            <w:tr w14:paraId="63886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1A0721E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推土机</w:t>
                  </w:r>
                </w:p>
              </w:tc>
              <w:tc>
                <w:tcPr>
                  <w:tcW w:w="610" w:type="pct"/>
                  <w:tcBorders>
                    <w:tl2br w:val="nil"/>
                    <w:tr2bl w:val="nil"/>
                  </w:tcBorders>
                  <w:noWrap w:val="0"/>
                  <w:vAlign w:val="center"/>
                </w:tcPr>
                <w:p w14:paraId="1C70EA3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86</w:t>
                  </w:r>
                </w:p>
              </w:tc>
              <w:tc>
                <w:tcPr>
                  <w:tcW w:w="602" w:type="pct"/>
                  <w:tcBorders>
                    <w:tl2br w:val="nil"/>
                    <w:tr2bl w:val="nil"/>
                  </w:tcBorders>
                  <w:noWrap w:val="0"/>
                  <w:vAlign w:val="center"/>
                </w:tcPr>
                <w:p w14:paraId="6D7C797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80</w:t>
                  </w:r>
                </w:p>
              </w:tc>
              <w:tc>
                <w:tcPr>
                  <w:tcW w:w="641" w:type="pct"/>
                  <w:tcBorders>
                    <w:tl2br w:val="nil"/>
                    <w:tr2bl w:val="nil"/>
                  </w:tcBorders>
                  <w:noWrap w:val="0"/>
                  <w:vAlign w:val="center"/>
                </w:tcPr>
                <w:p w14:paraId="6DFB1FA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74</w:t>
                  </w:r>
                </w:p>
              </w:tc>
              <w:tc>
                <w:tcPr>
                  <w:tcW w:w="649" w:type="pct"/>
                  <w:tcBorders>
                    <w:tl2br w:val="nil"/>
                    <w:tr2bl w:val="nil"/>
                  </w:tcBorders>
                  <w:noWrap w:val="0"/>
                  <w:vAlign w:val="center"/>
                </w:tcPr>
                <w:p w14:paraId="6721E18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68</w:t>
                  </w:r>
                </w:p>
              </w:tc>
              <w:tc>
                <w:tcPr>
                  <w:tcW w:w="641" w:type="pct"/>
                  <w:tcBorders>
                    <w:tl2br w:val="nil"/>
                    <w:tr2bl w:val="nil"/>
                  </w:tcBorders>
                  <w:noWrap w:val="0"/>
                  <w:vAlign w:val="center"/>
                </w:tcPr>
                <w:p w14:paraId="1D95426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62</w:t>
                  </w:r>
                </w:p>
              </w:tc>
              <w:tc>
                <w:tcPr>
                  <w:tcW w:w="602" w:type="pct"/>
                  <w:tcBorders>
                    <w:tl2br w:val="nil"/>
                    <w:tr2bl w:val="nil"/>
                  </w:tcBorders>
                  <w:noWrap w:val="0"/>
                  <w:vAlign w:val="center"/>
                </w:tcPr>
                <w:p w14:paraId="0E58A6A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56</w:t>
                  </w:r>
                </w:p>
              </w:tc>
              <w:tc>
                <w:tcPr>
                  <w:tcW w:w="560" w:type="pct"/>
                  <w:tcBorders>
                    <w:tl2br w:val="nil"/>
                    <w:tr2bl w:val="nil"/>
                  </w:tcBorders>
                  <w:noWrap w:val="0"/>
                  <w:vAlign w:val="center"/>
                </w:tcPr>
                <w:p w14:paraId="7565943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w:t>
                  </w:r>
                </w:p>
              </w:tc>
            </w:tr>
            <w:tr w14:paraId="6AE99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04E7391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挖掘机</w:t>
                  </w:r>
                </w:p>
              </w:tc>
              <w:tc>
                <w:tcPr>
                  <w:tcW w:w="610" w:type="pct"/>
                  <w:tcBorders>
                    <w:tl2br w:val="nil"/>
                    <w:tr2bl w:val="nil"/>
                  </w:tcBorders>
                  <w:noWrap w:val="0"/>
                  <w:vAlign w:val="center"/>
                </w:tcPr>
                <w:p w14:paraId="67B0DC6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84</w:t>
                  </w:r>
                </w:p>
              </w:tc>
              <w:tc>
                <w:tcPr>
                  <w:tcW w:w="602" w:type="pct"/>
                  <w:tcBorders>
                    <w:tl2br w:val="nil"/>
                    <w:tr2bl w:val="nil"/>
                  </w:tcBorders>
                  <w:noWrap w:val="0"/>
                  <w:vAlign w:val="center"/>
                </w:tcPr>
                <w:p w14:paraId="0ADF9D8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78</w:t>
                  </w:r>
                </w:p>
              </w:tc>
              <w:tc>
                <w:tcPr>
                  <w:tcW w:w="641" w:type="pct"/>
                  <w:tcBorders>
                    <w:tl2br w:val="nil"/>
                    <w:tr2bl w:val="nil"/>
                  </w:tcBorders>
                  <w:noWrap w:val="0"/>
                  <w:vAlign w:val="center"/>
                </w:tcPr>
                <w:p w14:paraId="202412F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72</w:t>
                  </w:r>
                </w:p>
              </w:tc>
              <w:tc>
                <w:tcPr>
                  <w:tcW w:w="649" w:type="pct"/>
                  <w:tcBorders>
                    <w:tl2br w:val="nil"/>
                    <w:tr2bl w:val="nil"/>
                  </w:tcBorders>
                  <w:noWrap w:val="0"/>
                  <w:vAlign w:val="center"/>
                </w:tcPr>
                <w:p w14:paraId="51AECEB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66</w:t>
                  </w:r>
                </w:p>
              </w:tc>
              <w:tc>
                <w:tcPr>
                  <w:tcW w:w="641" w:type="pct"/>
                  <w:tcBorders>
                    <w:tl2br w:val="nil"/>
                    <w:tr2bl w:val="nil"/>
                  </w:tcBorders>
                  <w:noWrap w:val="0"/>
                  <w:vAlign w:val="center"/>
                </w:tcPr>
                <w:p w14:paraId="40FE420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60</w:t>
                  </w:r>
                </w:p>
              </w:tc>
              <w:tc>
                <w:tcPr>
                  <w:tcW w:w="602" w:type="pct"/>
                  <w:tcBorders>
                    <w:tl2br w:val="nil"/>
                    <w:tr2bl w:val="nil"/>
                  </w:tcBorders>
                  <w:noWrap w:val="0"/>
                  <w:vAlign w:val="center"/>
                </w:tcPr>
                <w:p w14:paraId="78FD020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54</w:t>
                  </w:r>
                </w:p>
              </w:tc>
              <w:tc>
                <w:tcPr>
                  <w:tcW w:w="560" w:type="pct"/>
                  <w:tcBorders>
                    <w:tl2br w:val="nil"/>
                    <w:tr2bl w:val="nil"/>
                  </w:tcBorders>
                  <w:noWrap w:val="0"/>
                  <w:vAlign w:val="center"/>
                </w:tcPr>
                <w:p w14:paraId="3B5F33B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48</w:t>
                  </w:r>
                </w:p>
              </w:tc>
            </w:tr>
            <w:tr w14:paraId="72DF1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2D7A256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运输车辆</w:t>
                  </w:r>
                </w:p>
              </w:tc>
              <w:tc>
                <w:tcPr>
                  <w:tcW w:w="610" w:type="pct"/>
                  <w:tcBorders>
                    <w:tl2br w:val="nil"/>
                    <w:tr2bl w:val="nil"/>
                  </w:tcBorders>
                  <w:noWrap w:val="0"/>
                  <w:vAlign w:val="center"/>
                </w:tcPr>
                <w:p w14:paraId="553FE60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88</w:t>
                  </w:r>
                </w:p>
              </w:tc>
              <w:tc>
                <w:tcPr>
                  <w:tcW w:w="602" w:type="pct"/>
                  <w:tcBorders>
                    <w:tl2br w:val="nil"/>
                    <w:tr2bl w:val="nil"/>
                  </w:tcBorders>
                  <w:noWrap w:val="0"/>
                  <w:vAlign w:val="center"/>
                </w:tcPr>
                <w:p w14:paraId="011CB7E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82</w:t>
                  </w:r>
                </w:p>
              </w:tc>
              <w:tc>
                <w:tcPr>
                  <w:tcW w:w="641" w:type="pct"/>
                  <w:tcBorders>
                    <w:tl2br w:val="nil"/>
                    <w:tr2bl w:val="nil"/>
                  </w:tcBorders>
                  <w:noWrap w:val="0"/>
                  <w:vAlign w:val="center"/>
                </w:tcPr>
                <w:p w14:paraId="18D31B7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76</w:t>
                  </w:r>
                </w:p>
              </w:tc>
              <w:tc>
                <w:tcPr>
                  <w:tcW w:w="649" w:type="pct"/>
                  <w:tcBorders>
                    <w:tl2br w:val="nil"/>
                    <w:tr2bl w:val="nil"/>
                  </w:tcBorders>
                  <w:noWrap w:val="0"/>
                  <w:vAlign w:val="center"/>
                </w:tcPr>
                <w:p w14:paraId="0EA51B7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70</w:t>
                  </w:r>
                </w:p>
              </w:tc>
              <w:tc>
                <w:tcPr>
                  <w:tcW w:w="641" w:type="pct"/>
                  <w:tcBorders>
                    <w:tl2br w:val="nil"/>
                    <w:tr2bl w:val="nil"/>
                  </w:tcBorders>
                  <w:noWrap w:val="0"/>
                  <w:vAlign w:val="center"/>
                </w:tcPr>
                <w:p w14:paraId="12FCFD9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64</w:t>
                  </w:r>
                </w:p>
              </w:tc>
              <w:tc>
                <w:tcPr>
                  <w:tcW w:w="602" w:type="pct"/>
                  <w:tcBorders>
                    <w:tl2br w:val="nil"/>
                    <w:tr2bl w:val="nil"/>
                  </w:tcBorders>
                  <w:noWrap w:val="0"/>
                  <w:vAlign w:val="center"/>
                </w:tcPr>
                <w:p w14:paraId="09ADBEC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58</w:t>
                  </w:r>
                </w:p>
              </w:tc>
              <w:tc>
                <w:tcPr>
                  <w:tcW w:w="560" w:type="pct"/>
                  <w:tcBorders>
                    <w:tl2br w:val="nil"/>
                    <w:tr2bl w:val="nil"/>
                  </w:tcBorders>
                  <w:noWrap w:val="0"/>
                  <w:vAlign w:val="center"/>
                </w:tcPr>
                <w:p w14:paraId="440D912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52</w:t>
                  </w:r>
                </w:p>
              </w:tc>
            </w:tr>
          </w:tbl>
          <w:p w14:paraId="26A9BE16">
            <w:pPr>
              <w:keepNext w:val="0"/>
              <w:keepLines w:val="0"/>
              <w:suppressLineNumbers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建筑施工场界环境噪声排放标准》（GB12523-2011）的规定，施工场界昼间的噪声限值为70dB（A），夜间限值为55dB（A），根据表4-1预测结果表示，昼间施工机械最远距施工场地40m外可达到70dB（A）的要求。本项目夜间不施工，且项目治理区200m范围内无居民区等噪声环境保护目标，因此，本项目施工对周边噪声环境影响较小。</w:t>
            </w:r>
          </w:p>
          <w:p w14:paraId="10F31325">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固体废物影响分析</w:t>
            </w:r>
          </w:p>
          <w:p w14:paraId="386CAB81">
            <w:pPr>
              <w:keepNext w:val="0"/>
              <w:keepLines w:val="0"/>
              <w:suppressLineNumbers w:val="0"/>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eastAsia"/>
                <w:color w:val="000000" w:themeColor="text1"/>
                <w:highlight w:val="none"/>
                <w14:textFill>
                  <w14:solidFill>
                    <w14:schemeClr w14:val="tx1"/>
                  </w14:solidFill>
                </w14:textFill>
              </w:rPr>
              <w:t>废土石方</w:t>
            </w:r>
          </w:p>
          <w:p w14:paraId="048F4075">
            <w:pPr>
              <w:keepNext w:val="0"/>
              <w:keepLines w:val="0"/>
              <w:suppressLineNumbers w:val="0"/>
              <w:bidi w:val="0"/>
              <w:spacing w:before="0" w:beforeAutospacing="0" w:after="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根据本项目土石方平衡表可知，本项目开挖土方全部回填用于土地平整</w:t>
            </w:r>
            <w:r>
              <w:rPr>
                <w:rFonts w:hint="eastAsia"/>
                <w:color w:val="000000" w:themeColor="text1"/>
                <w:highlight w:val="none"/>
                <w:lang w:val="en-US" w:eastAsia="zh-CN"/>
                <w14:textFill>
                  <w14:solidFill>
                    <w14:schemeClr w14:val="tx1"/>
                  </w14:solidFill>
                </w14:textFill>
              </w:rPr>
              <w:t>及覆土</w:t>
            </w:r>
            <w:r>
              <w:rPr>
                <w:rFonts w:hint="eastAsia"/>
                <w:color w:val="000000" w:themeColor="text1"/>
                <w:highlight w:val="none"/>
                <w14:textFill>
                  <w14:solidFill>
                    <w14:schemeClr w14:val="tx1"/>
                  </w14:solidFill>
                </w14:textFill>
              </w:rPr>
              <w:t>，无弃土外运，临时堆放时采取相应的防护措施，避免因长期堆放对水体或空气质量造成影响</w:t>
            </w:r>
            <w:r>
              <w:rPr>
                <w:rFonts w:hint="eastAsia"/>
                <w:color w:val="000000" w:themeColor="text1"/>
                <w:highlight w:val="none"/>
                <w:lang w:eastAsia="zh-CN"/>
                <w14:textFill>
                  <w14:solidFill>
                    <w14:schemeClr w14:val="tx1"/>
                  </w14:solidFill>
                </w14:textFill>
              </w:rPr>
              <w:t>。</w:t>
            </w:r>
          </w:p>
          <w:p w14:paraId="7A083A41">
            <w:pPr>
              <w:keepNext w:val="0"/>
              <w:keepLines w:val="0"/>
              <w:suppressLineNumbers w:val="0"/>
              <w:bidi w:val="0"/>
              <w:spacing w:before="0" w:beforeAutospacing="0" w:after="0" w:afterAutospacing="0"/>
              <w:ind w:left="0" w:leftChars="0" w:right="0" w:firstLine="454"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eastAsia"/>
                <w:color w:val="000000" w:themeColor="text1"/>
                <w:highlight w:val="none"/>
                <w:lang w:val="en-US" w:eastAsia="zh-CN"/>
                <w14:textFill>
                  <w14:solidFill>
                    <w14:schemeClr w14:val="tx1"/>
                  </w14:solidFill>
                </w14:textFill>
              </w:rPr>
              <w:t>生活垃圾</w:t>
            </w:r>
          </w:p>
          <w:p w14:paraId="07578E51">
            <w:pPr>
              <w:keepNext w:val="0"/>
              <w:keepLines w:val="0"/>
              <w:suppressLineNumbers w:val="0"/>
              <w:bidi w:val="0"/>
              <w:spacing w:before="0" w:beforeAutospacing="0" w:after="0" w:afterAutospacing="0"/>
              <w:ind w:left="0" w:leftChars="0" w:right="0" w:firstLine="454"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施工期生活垃圾集中分类收集后送至邻近村庄生活垃圾收集点，由当地环卫部门统一清运处置。</w:t>
            </w:r>
          </w:p>
          <w:p w14:paraId="024232D6">
            <w:pPr>
              <w:keepNext w:val="0"/>
              <w:keepLines w:val="0"/>
              <w:suppressLineNumbers w:val="0"/>
              <w:bidi w:val="0"/>
              <w:spacing w:before="0" w:beforeAutospacing="0" w:after="0" w:afterAutospacing="0"/>
              <w:ind w:left="0" w:leftChars="0" w:right="0" w:firstLine="454"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固体废物均可妥善处置，对</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周围环境影响</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较</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小</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tc>
      </w:tr>
      <w:tr w14:paraId="49F59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7" w:type="dxa"/>
            <w:tcBorders>
              <w:tl2br w:val="nil"/>
              <w:tr2bl w:val="nil"/>
            </w:tcBorders>
            <w:noWrap w:val="0"/>
            <w:tcMar>
              <w:left w:w="28" w:type="dxa"/>
              <w:right w:w="28" w:type="dxa"/>
            </w:tcMar>
            <w:vAlign w:val="center"/>
          </w:tcPr>
          <w:p w14:paraId="1F3F9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运营期生态环境影响分析</w:t>
            </w:r>
          </w:p>
        </w:tc>
        <w:tc>
          <w:tcPr>
            <w:tcW w:w="8535" w:type="dxa"/>
            <w:tcBorders>
              <w:tl2br w:val="nil"/>
              <w:tr2bl w:val="nil"/>
            </w:tcBorders>
            <w:noWrap w:val="0"/>
            <w:vAlign w:val="top"/>
          </w:tcPr>
          <w:p w14:paraId="5E657BDF">
            <w:pPr>
              <w:keepNext w:val="0"/>
              <w:keepLines w:val="0"/>
              <w:suppressLineNumbers w:val="0"/>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项目通过治理后，修复区生态系统会保持或恢复到自身结构和功能相对稳定的状态。</w:t>
            </w:r>
          </w:p>
          <w:p w14:paraId="5781E251">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⑴本项目运营期无废气、废水、噪声及固体废弃物等的产生，项目生态恢复治理面积较大，区域降水较少，雨季产生的雨水基本可被植物、土壤吸收，本项目的实施相对于项目实施前对区域生态环境具有正效应。</w:t>
            </w:r>
          </w:p>
          <w:p w14:paraId="553A2F58">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⑵本项目占地类型为草地、采矿用地、交通运输用地，</w:t>
            </w:r>
            <w:r>
              <w:rPr>
                <w:rFonts w:hint="default"/>
                <w:color w:val="000000" w:themeColor="text1"/>
                <w:highlight w:val="none"/>
                <w14:textFill>
                  <w14:solidFill>
                    <w14:schemeClr w14:val="tx1"/>
                  </w14:solidFill>
                </w14:textFill>
              </w:rPr>
              <w:t>项目实施后，</w:t>
            </w:r>
            <w:r>
              <w:rPr>
                <w:rFonts w:hint="eastAsia"/>
                <w:color w:val="000000" w:themeColor="text1"/>
                <w:highlight w:val="none"/>
                <w:lang w:val="en-US" w:eastAsia="zh-CN"/>
                <w14:textFill>
                  <w14:solidFill>
                    <w14:schemeClr w14:val="tx1"/>
                  </w14:solidFill>
                </w14:textFill>
              </w:rPr>
              <w:t>草地面积增加</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项目通过</w:t>
            </w:r>
            <w:r>
              <w:rPr>
                <w:rFonts w:hint="eastAsia"/>
                <w:color w:val="000000" w:themeColor="text1"/>
                <w:highlight w:val="none"/>
                <w14:textFill>
                  <w14:solidFill>
                    <w14:schemeClr w14:val="tx1"/>
                  </w14:solidFill>
                </w14:textFill>
              </w:rPr>
              <w:t>地形地貌恢复工程、截排水工程、生态恢复工程</w:t>
            </w:r>
            <w:r>
              <w:rPr>
                <w:rFonts w:hint="default"/>
                <w:color w:val="000000" w:themeColor="text1"/>
                <w:highlight w:val="none"/>
                <w14:textFill>
                  <w14:solidFill>
                    <w14:schemeClr w14:val="tx1"/>
                  </w14:solidFill>
                </w14:textFill>
              </w:rPr>
              <w:t>等生态建设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可恢复项目区原有地形地貌或与周边环境相协调。</w:t>
            </w:r>
          </w:p>
          <w:p w14:paraId="6A14A037">
            <w:pPr>
              <w:keepNext w:val="0"/>
              <w:keepLines w:val="0"/>
              <w:suppressLineNumbers w:val="0"/>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t>项目运营期对治理区草地进行养护，补水方式采用水罐车拉水，利用软管进行人工浇水。提高治理区内被破坏土地的植被覆盖率，平缓区域草地覆盖率第二年达到10%，第三年达到20%；缓坡面区域植被覆盖率第二年达到7%，第三年达到10%；陡坡区的边坡植被覆盖率第二年达到3%，第三年达到5%。项目实施后生态环境将得到有效恢复。</w:t>
            </w:r>
          </w:p>
        </w:tc>
      </w:tr>
      <w:tr w14:paraId="324AC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9" w:hRule="atLeast"/>
          <w:jc w:val="center"/>
        </w:trPr>
        <w:tc>
          <w:tcPr>
            <w:tcW w:w="707" w:type="dxa"/>
            <w:tcBorders>
              <w:tl2br w:val="nil"/>
              <w:tr2bl w:val="nil"/>
            </w:tcBorders>
            <w:noWrap w:val="0"/>
            <w:vAlign w:val="center"/>
          </w:tcPr>
          <w:p w14:paraId="729DD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选址选线环境合理性分析</w:t>
            </w:r>
          </w:p>
        </w:tc>
        <w:tc>
          <w:tcPr>
            <w:tcW w:w="8535" w:type="dxa"/>
            <w:tcBorders>
              <w:tl2br w:val="nil"/>
              <w:tr2bl w:val="nil"/>
            </w:tcBorders>
            <w:noWrap w:val="0"/>
            <w:vAlign w:val="center"/>
          </w:tcPr>
          <w:p w14:paraId="5BB14E8E">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本项目治理区位于宁夏回族自治区中卫市沙坡头区宣和镇，本项目是对天景山天主峰灰石矿山进行生态修复治理，选址具有唯一性、不可替代性。</w:t>
            </w:r>
          </w:p>
          <w:p w14:paraId="14199048">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中卫市沙坡头区矿产资源开发利用以煤炭、铁矿、铜矿、建筑用砂、粘土等非金属矿藏为主。矿业采掘活动历史悠久，为宁夏经济社会发展做出巨大贡献。但长时间的采矿活动对矿山生态环境造成的负面效应也逐渐显现。采矿活动不仅引发、加剧地质灾害，也对地形地貌景观、土地资源和地下含水层造成了严重影响和破坏。天景山天主峰灰石矿涉及占地堆放废渣土，对天然植被造成破坏，边坡坡底仍堆积大量碎石，渣石、废土依山体堆放，未采取有效的水土保持措施，边坡、渣堆上可见雨水冲沟4处，造成的生态破坏一直未修复到位。</w:t>
            </w:r>
          </w:p>
          <w:p w14:paraId="5FEDC15B">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项目的建设可</w:t>
            </w:r>
            <w:r>
              <w:rPr>
                <w:rFonts w:hint="default" w:ascii="宋体" w:hAnsi="宋体" w:eastAsia="宋体" w:cs="宋体"/>
                <w:color w:val="000000" w:themeColor="text1"/>
                <w:sz w:val="24"/>
                <w:szCs w:val="24"/>
                <w:highlight w:val="none"/>
                <w14:textFill>
                  <w14:solidFill>
                    <w14:schemeClr w14:val="tx1"/>
                  </w14:solidFill>
                </w14:textFill>
              </w:rPr>
              <w:t>加快并彻底恢复矿山毁损山体的生态环境以及消除地质灾害隐患</w:t>
            </w:r>
            <w:r>
              <w:rPr>
                <w:rFonts w:hint="eastAsia" w:ascii="宋体" w:hAnsi="宋体" w:cs="宋体"/>
                <w:color w:val="000000" w:themeColor="text1"/>
                <w:sz w:val="24"/>
                <w:szCs w:val="24"/>
                <w:highlight w:val="none"/>
                <w:lang w:eastAsia="zh-CN"/>
                <w14:textFill>
                  <w14:solidFill>
                    <w14:schemeClr w14:val="tx1"/>
                  </w14:solidFill>
                </w14:textFill>
              </w:rPr>
              <w:t>。</w:t>
            </w:r>
            <w:r>
              <w:rPr>
                <w:rFonts w:hint="default" w:ascii="宋体" w:hAnsi="宋体" w:eastAsia="宋体" w:cs="宋体"/>
                <w:color w:val="000000" w:themeColor="text1"/>
                <w:sz w:val="24"/>
                <w:szCs w:val="24"/>
                <w:highlight w:val="none"/>
                <w14:textFill>
                  <w14:solidFill>
                    <w14:schemeClr w14:val="tx1"/>
                  </w14:solidFill>
                </w14:textFill>
              </w:rPr>
              <w:t>矿山的修复过程中产生的废气、噪声、地表水等污染经过采取相应的措施处理后对周边环境的影响较小</w:t>
            </w:r>
            <w:r>
              <w:rPr>
                <w:rFonts w:hint="eastAsia" w:ascii="宋体" w:hAnsi="宋体" w:cs="宋体"/>
                <w:color w:val="000000" w:themeColor="text1"/>
                <w:sz w:val="24"/>
                <w:szCs w:val="24"/>
                <w:highlight w:val="none"/>
                <w:lang w:eastAsia="zh-CN"/>
                <w14:textFill>
                  <w14:solidFill>
                    <w14:schemeClr w14:val="tx1"/>
                  </w14:solidFill>
                </w14:textFill>
              </w:rPr>
              <w:t>。项目区</w:t>
            </w:r>
            <w:r>
              <w:rPr>
                <w:rFonts w:hint="eastAsia" w:ascii="宋体" w:hAnsi="宋体" w:cs="宋体"/>
                <w:color w:val="000000" w:themeColor="text1"/>
                <w:sz w:val="24"/>
                <w:szCs w:val="24"/>
                <w:highlight w:val="none"/>
                <w:lang w:val="en-US" w:eastAsia="zh-CN"/>
                <w14:textFill>
                  <w14:solidFill>
                    <w14:schemeClr w14:val="tx1"/>
                  </w14:solidFill>
                </w14:textFill>
              </w:rPr>
              <w:t>不涉及生态红线，</w:t>
            </w:r>
            <w:r>
              <w:rPr>
                <w:rFonts w:hint="eastAsia" w:ascii="宋体" w:hAnsi="宋体" w:cs="宋体"/>
                <w:color w:val="000000" w:themeColor="text1"/>
                <w:sz w:val="24"/>
                <w:szCs w:val="24"/>
                <w:highlight w:val="none"/>
                <w:lang w:eastAsia="zh-CN"/>
                <w14:textFill>
                  <w14:solidFill>
                    <w14:schemeClr w14:val="tx1"/>
                  </w14:solidFill>
                </w14:textFill>
              </w:rPr>
              <w:t>周边无自然保护区、重要生境、基本农田、耕地等，无饮用水源地、名胜古迹等国家明令规定的保护对象，也无居民点分布。</w:t>
            </w:r>
            <w:r>
              <w:rPr>
                <w:rFonts w:hint="eastAsia" w:cs="Times New Roman"/>
                <w:color w:val="000000" w:themeColor="text1"/>
                <w:highlight w:val="none"/>
                <w:lang w:val="en-US" w:eastAsia="zh-CN"/>
                <w14:textFill>
                  <w14:solidFill>
                    <w14:schemeClr w14:val="tx1"/>
                  </w14:solidFill>
                </w14:textFill>
              </w:rPr>
              <w:t>从环境影响角度，本项目选址合理。</w:t>
            </w:r>
          </w:p>
        </w:tc>
      </w:tr>
    </w:tbl>
    <w:p w14:paraId="3240236F">
      <w:pPr>
        <w:pStyle w:val="23"/>
        <w:jc w:val="center"/>
        <w:rPr>
          <w:rFonts w:ascii="Times New Roman" w:hAnsi="Times New Roman" w:eastAsia="黑体"/>
          <w:snapToGrid w:val="0"/>
          <w:color w:val="000000" w:themeColor="text1"/>
          <w:sz w:val="36"/>
          <w:szCs w:val="36"/>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6C609483">
      <w:pPr>
        <w:pStyle w:val="4"/>
        <w:numPr>
          <w:ilvl w:val="0"/>
          <w:numId w:val="3"/>
        </w:numPr>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主要生态环境保护措施</w:t>
      </w:r>
    </w:p>
    <w:tbl>
      <w:tblPr>
        <w:tblStyle w:val="27"/>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519"/>
      </w:tblGrid>
      <w:tr w14:paraId="11261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691" w:type="dxa"/>
            <w:noWrap w:val="0"/>
            <w:tcMar>
              <w:left w:w="28" w:type="dxa"/>
              <w:right w:w="28" w:type="dxa"/>
            </w:tcMar>
            <w:vAlign w:val="center"/>
          </w:tcPr>
          <w:p w14:paraId="7167A694">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施工期生态环境保护措施</w:t>
            </w:r>
          </w:p>
        </w:tc>
        <w:tc>
          <w:tcPr>
            <w:tcW w:w="8519" w:type="dxa"/>
            <w:noWrap w:val="0"/>
            <w:vAlign w:val="top"/>
          </w:tcPr>
          <w:p w14:paraId="7A298EED">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生态环境保护措施</w:t>
            </w:r>
          </w:p>
          <w:p w14:paraId="16EADBE0">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为了减缓施工过程对生态环境的影响，建议采取以下措施：</w:t>
            </w:r>
          </w:p>
          <w:p w14:paraId="2168BAA6">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⑴施工占地保护措施</w:t>
            </w:r>
          </w:p>
          <w:p w14:paraId="5DCAF95D">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施工期间，严格控制施工范围，施工范围控制在占地范围内</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做好施工组织</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工程占地应尽量利用既有场地</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严禁随意扩大施工活动范围。</w:t>
            </w:r>
          </w:p>
          <w:p w14:paraId="031229B9">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②划</w:t>
            </w:r>
            <w:r>
              <w:rPr>
                <w:rStyle w:val="33"/>
                <w:rFonts w:hint="default" w:ascii="Times New Roman" w:hAnsi="Times New Roman" w:cs="Times New Roman"/>
                <w:color w:val="000000" w:themeColor="text1"/>
                <w:kern w:val="0"/>
                <w:sz w:val="24"/>
                <w:szCs w:val="24"/>
                <w:highlight w:val="none"/>
                <w14:textFill>
                  <w14:solidFill>
                    <w14:schemeClr w14:val="tx1"/>
                  </w14:solidFill>
                </w14:textFill>
              </w:rPr>
              <w:t>定施工活动范围，采取围栏、警戒线等措施限定</w:t>
            </w:r>
            <w:r>
              <w:rPr>
                <w:rStyle w:val="33"/>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施工占用区域</w:t>
            </w:r>
            <w:r>
              <w:rPr>
                <w:rStyle w:val="33"/>
                <w:rFonts w:hint="default" w:ascii="Times New Roman" w:hAnsi="Times New Roman" w:cs="Times New Roman"/>
                <w:color w:val="000000" w:themeColor="text1"/>
                <w:kern w:val="0"/>
                <w:sz w:val="24"/>
                <w:szCs w:val="24"/>
                <w:highlight w:val="none"/>
                <w14:textFill>
                  <w14:solidFill>
                    <w14:schemeClr w14:val="tx1"/>
                  </w14:solidFill>
                </w14:textFill>
              </w:rPr>
              <w:t>与扰动范围，同时对施工人员进行环境保护意识教育，宣传动植物保护法规，严禁随意扩大施工范围，禁止随意乱采滥伐等。</w:t>
            </w:r>
          </w:p>
          <w:p w14:paraId="46D3BE14">
            <w:pPr>
              <w:bidi w:val="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⑵</w:t>
            </w:r>
            <w:r>
              <w:rPr>
                <w:rFonts w:hint="default"/>
                <w:color w:val="000000" w:themeColor="text1"/>
                <w:highlight w:val="none"/>
                <w14:textFill>
                  <w14:solidFill>
                    <w14:schemeClr w14:val="tx1"/>
                  </w14:solidFill>
                </w14:textFill>
              </w:rPr>
              <w:t>植被保护措施</w:t>
            </w:r>
          </w:p>
          <w:p w14:paraId="6A179821">
            <w:pPr>
              <w:ind w:firstLine="45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①减缓措施</w:t>
            </w:r>
          </w:p>
          <w:p w14:paraId="335D81BB">
            <w:pPr>
              <w:ind w:firstLine="454"/>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严格控制施工范围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设置明确的施工红线，禁止机械和人员进入周边</w:t>
            </w:r>
            <w:r>
              <w:rPr>
                <w:rFonts w:hint="eastAsia"/>
                <w:color w:val="000000" w:themeColor="text1"/>
                <w:highlight w:val="none"/>
                <w:lang w:val="en-US" w:eastAsia="zh-CN"/>
                <w14:textFill>
                  <w14:solidFill>
                    <w14:schemeClr w14:val="tx1"/>
                  </w14:solidFill>
                </w14:textFill>
              </w:rPr>
              <w:t>山地与</w:t>
            </w:r>
            <w:r>
              <w:rPr>
                <w:rFonts w:hint="eastAsia"/>
                <w:color w:val="000000" w:themeColor="text1"/>
                <w:highlight w:val="none"/>
                <w14:textFill>
                  <w14:solidFill>
                    <w14:schemeClr w14:val="tx1"/>
                  </w14:solidFill>
                </w14:textFill>
              </w:rPr>
              <w:t>原生植被区。采用围挡或警示标识隔离保护敏感植被区域。对临时堆土场、边坡等裸露区域铺设防尘网，减少水土流失。</w:t>
            </w:r>
          </w:p>
          <w:p w14:paraId="43E776CD">
            <w:pPr>
              <w:ind w:firstLine="45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②恢复措施</w:t>
            </w:r>
          </w:p>
          <w:p w14:paraId="5C86A072">
            <w:pPr>
              <w:ind w:firstLine="454"/>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本工程不增加永久</w:t>
            </w:r>
            <w:r>
              <w:rPr>
                <w:rFonts w:hint="eastAsia"/>
                <w:color w:val="000000" w:themeColor="text1"/>
                <w:highlight w:val="none"/>
                <w14:textFill>
                  <w14:solidFill>
                    <w14:schemeClr w14:val="tx1"/>
                  </w14:solidFill>
                </w14:textFill>
              </w:rPr>
              <w:t>占地</w:t>
            </w:r>
            <w:r>
              <w:rPr>
                <w:color w:val="000000" w:themeColor="text1"/>
                <w:highlight w:val="none"/>
                <w14:textFill>
                  <w14:solidFill>
                    <w14:schemeClr w14:val="tx1"/>
                  </w14:solidFill>
                </w14:textFill>
              </w:rPr>
              <w:t>，临时</w:t>
            </w:r>
            <w:r>
              <w:rPr>
                <w:rFonts w:hint="eastAsia"/>
                <w:color w:val="000000" w:themeColor="text1"/>
                <w:highlight w:val="none"/>
                <w14:textFill>
                  <w14:solidFill>
                    <w14:schemeClr w14:val="tx1"/>
                  </w14:solidFill>
                </w14:textFill>
              </w:rPr>
              <w:t>占地</w:t>
            </w:r>
            <w:r>
              <w:rPr>
                <w:color w:val="000000" w:themeColor="text1"/>
                <w:highlight w:val="none"/>
                <w14:textFill>
                  <w14:solidFill>
                    <w14:schemeClr w14:val="tx1"/>
                  </w14:solidFill>
                </w14:textFill>
              </w:rPr>
              <w:t>对生态环境的影响主要表现为占压破坏植被、水土流失加重等。</w:t>
            </w: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根据施工方法及施工区地形等情况，进行规划布置，尽可能减少工程占压对植被资源的破坏。本</w:t>
            </w:r>
            <w:r>
              <w:rPr>
                <w:rFonts w:hint="eastAsia"/>
                <w:color w:val="000000" w:themeColor="text1"/>
                <w:highlight w:val="none"/>
                <w:lang w:val="en-US" w:eastAsia="zh-CN"/>
                <w14:textFill>
                  <w14:solidFill>
                    <w14:schemeClr w14:val="tx1"/>
                  </w14:solidFill>
                </w14:textFill>
              </w:rPr>
              <w:t>项目</w:t>
            </w:r>
            <w:r>
              <w:rPr>
                <w:color w:val="000000" w:themeColor="text1"/>
                <w:highlight w:val="none"/>
                <w14:textFill>
                  <w14:solidFill>
                    <w14:schemeClr w14:val="tx1"/>
                  </w14:solidFill>
                </w14:textFill>
              </w:rPr>
              <w:t>临时</w:t>
            </w:r>
            <w:r>
              <w:rPr>
                <w:rFonts w:hint="eastAsia"/>
                <w:color w:val="000000" w:themeColor="text1"/>
                <w:highlight w:val="none"/>
                <w:lang w:val="en-US" w:eastAsia="zh-CN"/>
                <w14:textFill>
                  <w14:solidFill>
                    <w14:schemeClr w14:val="tx1"/>
                  </w14:solidFill>
                </w14:textFill>
              </w:rPr>
              <w:t>占地</w:t>
            </w:r>
            <w:r>
              <w:rPr>
                <w:color w:val="000000" w:themeColor="text1"/>
                <w:highlight w:val="none"/>
                <w14:textFill>
                  <w14:solidFill>
                    <w14:schemeClr w14:val="tx1"/>
                  </w14:solidFill>
                </w14:textFill>
              </w:rPr>
              <w:t>不涉及耕地，其占地</w:t>
            </w:r>
            <w:r>
              <w:rPr>
                <w:rFonts w:hint="eastAsia"/>
                <w:color w:val="000000" w:themeColor="text1"/>
                <w:highlight w:val="none"/>
                <w14:textFill>
                  <w14:solidFill>
                    <w14:schemeClr w14:val="tx1"/>
                  </w14:solidFill>
                </w14:textFill>
              </w:rPr>
              <w:t>类型为</w:t>
            </w:r>
            <w:r>
              <w:rPr>
                <w:rFonts w:hint="eastAsia"/>
                <w:color w:val="000000" w:themeColor="text1"/>
                <w:highlight w:val="none"/>
                <w:lang w:val="en-US" w:eastAsia="zh-CN"/>
                <w14:textFill>
                  <w14:solidFill>
                    <w14:schemeClr w14:val="tx1"/>
                  </w14:solidFill>
                </w14:textFill>
              </w:rPr>
              <w:t>采矿用地、草地、交通运输用地</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针对治理区退化草原采取以混播建植为主的植草方式，选用狼尾草、短花针茅、蒙古冰草，按照4:3:3穴播。草籽播撒后，设计养护期为3年，养护期根据治理区周边多年植草经验，结合区域内降水量小，蒸发量大的特点，在6-8月份需进行人工补水</w:t>
            </w:r>
          </w:p>
          <w:p w14:paraId="1A651D63">
            <w:pPr>
              <w:ind w:firstLine="45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本项目生态保护措施平面布置</w:t>
            </w:r>
            <w:r>
              <w:rPr>
                <w:rFonts w:hint="eastAsia"/>
                <w:color w:val="000000" w:themeColor="text1"/>
                <w:highlight w:val="none"/>
                <w:lang w:val="en-US" w:eastAsia="zh-CN"/>
                <w14:textFill>
                  <w14:solidFill>
                    <w14:schemeClr w14:val="tx1"/>
                  </w14:solidFill>
                </w14:textFill>
              </w:rPr>
              <w:t>与</w:t>
            </w:r>
            <w:r>
              <w:rPr>
                <w:rFonts w:hint="eastAsia"/>
                <w:color w:val="000000" w:themeColor="text1"/>
                <w:highlight w:val="none"/>
                <w14:textFill>
                  <w14:solidFill>
                    <w14:schemeClr w14:val="tx1"/>
                  </w14:solidFill>
                </w14:textFill>
              </w:rPr>
              <w:t>典型生态保护措施设计</w:t>
            </w:r>
            <w:r>
              <w:rPr>
                <w:rFonts w:hint="eastAsia"/>
                <w:color w:val="000000" w:themeColor="text1"/>
                <w:highlight w:val="none"/>
                <w:lang w:val="en-US" w:eastAsia="zh-CN"/>
                <w14:textFill>
                  <w14:solidFill>
                    <w14:schemeClr w14:val="tx1"/>
                  </w14:solidFill>
                </w14:textFill>
              </w:rPr>
              <w:t>见</w:t>
            </w:r>
            <w:r>
              <w:rPr>
                <w:rFonts w:hint="eastAsia"/>
                <w:color w:val="000000" w:themeColor="text1"/>
                <w:highlight w:val="none"/>
                <w14:textFill>
                  <w14:solidFill>
                    <w14:schemeClr w14:val="tx1"/>
                  </w14:solidFill>
                </w14:textFill>
              </w:rPr>
              <w:t>附图5-1。</w:t>
            </w:r>
          </w:p>
          <w:p w14:paraId="15C9971F">
            <w:pPr>
              <w:ind w:firstLine="45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管理措施</w:t>
            </w:r>
          </w:p>
          <w:p w14:paraId="2738EF7A">
            <w:pPr>
              <w:ind w:firstLine="45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在施工过程中，对保护措施实施监督和检查，对出现的环境问题及时处理；施工单位在进场前，必须制定严格的施工组织和管理细则，</w:t>
            </w:r>
            <w:r>
              <w:rPr>
                <w:rFonts w:hint="eastAsia"/>
                <w:color w:val="000000" w:themeColor="text1"/>
                <w:highlight w:val="none"/>
                <w14:textFill>
                  <w14:solidFill>
                    <w14:schemeClr w14:val="tx1"/>
                  </w14:solidFill>
                </w14:textFill>
              </w:rPr>
              <w:t>做好</w:t>
            </w:r>
            <w:r>
              <w:rPr>
                <w:color w:val="000000" w:themeColor="text1"/>
                <w:highlight w:val="none"/>
                <w14:textFill>
                  <w14:solidFill>
                    <w14:schemeClr w14:val="tx1"/>
                  </w14:solidFill>
                </w14:textFill>
              </w:rPr>
              <w:t>有关生态环境保护知识和法律宣传工作，</w:t>
            </w:r>
            <w:r>
              <w:rPr>
                <w:rFonts w:hint="eastAsia"/>
                <w:color w:val="000000" w:themeColor="text1"/>
                <w:highlight w:val="none"/>
                <w14:textFill>
                  <w14:solidFill>
                    <w14:schemeClr w14:val="tx1"/>
                  </w14:solidFill>
                </w14:textFill>
              </w:rPr>
              <w:t>增强</w:t>
            </w:r>
            <w:r>
              <w:rPr>
                <w:color w:val="000000" w:themeColor="text1"/>
                <w:highlight w:val="none"/>
                <w14:textFill>
                  <w14:solidFill>
                    <w14:schemeClr w14:val="tx1"/>
                  </w14:solidFill>
                </w14:textFill>
              </w:rPr>
              <w:t>施工人员环境保护意识。施工过程中须严格控制施工作业面，采取水土保持工程措施；施工期间要求文明施工；</w:t>
            </w:r>
            <w:r>
              <w:rPr>
                <w:rFonts w:hint="eastAsia"/>
                <w:color w:val="000000" w:themeColor="text1"/>
                <w:highlight w:val="none"/>
                <w:lang w:val="en-US" w:eastAsia="zh-CN"/>
                <w14:textFill>
                  <w14:solidFill>
                    <w14:schemeClr w14:val="tx1"/>
                  </w14:solidFill>
                </w14:textFill>
              </w:rPr>
              <w:t>播撒草籽</w:t>
            </w:r>
            <w:r>
              <w:rPr>
                <w:color w:val="000000" w:themeColor="text1"/>
                <w:highlight w:val="none"/>
                <w14:textFill>
                  <w14:solidFill>
                    <w14:schemeClr w14:val="tx1"/>
                  </w14:solidFill>
                </w14:textFill>
              </w:rPr>
              <w:t>施工时应明确标记施工作业带，所有车辆、机械设备、施工人员的活动要严格在施工带内，不得在施工带以外的地方作业。</w:t>
            </w:r>
          </w:p>
          <w:p w14:paraId="10B0D01F">
            <w:pPr>
              <w:bidi w:val="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⑶</w:t>
            </w:r>
            <w:r>
              <w:rPr>
                <w:rFonts w:hint="default"/>
                <w:color w:val="000000" w:themeColor="text1"/>
                <w:highlight w:val="none"/>
                <w14:textFill>
                  <w14:solidFill>
                    <w14:schemeClr w14:val="tx1"/>
                  </w14:solidFill>
                </w14:textFill>
              </w:rPr>
              <w:t>动物保护措施</w:t>
            </w:r>
          </w:p>
          <w:p w14:paraId="250EE105">
            <w:pP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default"/>
                <w:color w:val="000000" w:themeColor="text1"/>
                <w:highlight w:val="none"/>
                <w14:textFill>
                  <w14:solidFill>
                    <w14:schemeClr w14:val="tx1"/>
                  </w14:solidFill>
                </w14:textFill>
              </w:rPr>
              <w:t>施工过程中，根据工程设计优化施工布置，尽量减少施工占地及施工活动对</w:t>
            </w:r>
            <w:r>
              <w:rPr>
                <w:rFonts w:hint="eastAsia"/>
                <w:color w:val="000000" w:themeColor="text1"/>
                <w:highlight w:val="none"/>
                <w:lang w:val="en-US" w:eastAsia="zh-CN"/>
                <w14:textFill>
                  <w14:solidFill>
                    <w14:schemeClr w14:val="tx1"/>
                  </w14:solidFill>
                </w14:textFill>
              </w:rPr>
              <w:t>动物</w:t>
            </w:r>
            <w:r>
              <w:rPr>
                <w:rFonts w:hint="default"/>
                <w:color w:val="000000" w:themeColor="text1"/>
                <w:highlight w:val="none"/>
                <w14:textFill>
                  <w14:solidFill>
                    <w14:schemeClr w14:val="tx1"/>
                  </w14:solidFill>
                </w14:textFill>
              </w:rPr>
              <w:t>的扰动，减少陆生动物生境损失。</w:t>
            </w:r>
          </w:p>
          <w:p w14:paraId="3018190B">
            <w:pP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default"/>
                <w:color w:val="000000" w:themeColor="text1"/>
                <w:highlight w:val="none"/>
                <w14:textFill>
                  <w14:solidFill>
                    <w14:schemeClr w14:val="tx1"/>
                  </w14:solidFill>
                </w14:textFill>
              </w:rPr>
              <w:t>施工期间，对施工人员和附近居民加强生态保护的宣传教育，以公告、发放宣传册等形式，教育施工人员，说明国家法律对动物保护的要求及意义，尤其说明对施工区周边保护动物保护的重要性，增强施工人员保护植被和动植物多样性对生态环境重要性的意识。</w:t>
            </w:r>
          </w:p>
          <w:p w14:paraId="5C5A5649">
            <w:pP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default"/>
                <w:color w:val="000000" w:themeColor="text1"/>
                <w:highlight w:val="none"/>
                <w14:textFill>
                  <w14:solidFill>
                    <w14:schemeClr w14:val="tx1"/>
                  </w14:solidFill>
                </w14:textFill>
              </w:rPr>
              <w:t>建立生态破坏惩罚制度，严禁施工人员非法猎捕野生动物；限制施工人员在施工以外区域活动，禁止施工人员野外用火，把对野生动物的干扰降至最低程度。</w:t>
            </w:r>
          </w:p>
          <w:p w14:paraId="144E5069">
            <w:pPr>
              <w:bidi w:val="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default"/>
                <w:color w:val="000000" w:themeColor="text1"/>
                <w:highlight w:val="none"/>
                <w14:textFill>
                  <w14:solidFill>
                    <w14:schemeClr w14:val="tx1"/>
                  </w14:solidFill>
                </w14:textFill>
              </w:rPr>
              <w:t>加强工程监理工作的环境保护内容</w:t>
            </w:r>
            <w:r>
              <w:rPr>
                <w:rFonts w:hint="eastAsia"/>
                <w:color w:val="000000" w:themeColor="text1"/>
                <w:highlight w:val="none"/>
                <w:lang w:eastAsia="zh-CN"/>
                <w14:textFill>
                  <w14:solidFill>
                    <w14:schemeClr w14:val="tx1"/>
                  </w14:solidFill>
                </w14:textFill>
              </w:rPr>
              <w:t>。</w:t>
            </w:r>
          </w:p>
          <w:p w14:paraId="778A5D7F">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 5 \* GB2 \* MERGEFORMAT </w:instrText>
            </w:r>
            <w:r>
              <w:rPr>
                <w:rFonts w:hint="default"/>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⑸</w:t>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水土流失</w:t>
            </w:r>
            <w:r>
              <w:rPr>
                <w:rFonts w:hint="eastAsia"/>
                <w:color w:val="000000" w:themeColor="text1"/>
                <w:highlight w:val="none"/>
                <w:lang w:val="en-US" w:eastAsia="zh-CN"/>
                <w14:textFill>
                  <w14:solidFill>
                    <w14:schemeClr w14:val="tx1"/>
                  </w14:solidFill>
                </w14:textFill>
              </w:rPr>
              <w:t>保护</w:t>
            </w:r>
            <w:r>
              <w:rPr>
                <w:rFonts w:hint="default"/>
                <w:color w:val="000000" w:themeColor="text1"/>
                <w:highlight w:val="none"/>
                <w14:textFill>
                  <w14:solidFill>
                    <w14:schemeClr w14:val="tx1"/>
                  </w14:solidFill>
                </w14:textFill>
              </w:rPr>
              <w:t>措施</w:t>
            </w:r>
          </w:p>
          <w:p w14:paraId="30E1DA4F">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由于该工程为</w:t>
            </w:r>
            <w:r>
              <w:rPr>
                <w:rFonts w:hint="eastAsia"/>
                <w:color w:val="000000" w:themeColor="text1"/>
                <w:highlight w:val="none"/>
                <w:lang w:val="en-US" w:eastAsia="zh-CN"/>
                <w14:textFill>
                  <w14:solidFill>
                    <w14:schemeClr w14:val="tx1"/>
                  </w14:solidFill>
                </w14:textFill>
              </w:rPr>
              <w:t>矿山生态修复</w:t>
            </w:r>
            <w:r>
              <w:rPr>
                <w:rFonts w:hint="default"/>
                <w:color w:val="000000" w:themeColor="text1"/>
                <w:highlight w:val="none"/>
                <w14:textFill>
                  <w14:solidFill>
                    <w14:schemeClr w14:val="tx1"/>
                  </w14:solidFill>
                </w14:textFill>
              </w:rPr>
              <w:t>项目，评价要求项目应避开雨季施工，施工临时堆土场表面</w:t>
            </w:r>
            <w:r>
              <w:rPr>
                <w:rFonts w:hint="eastAsia"/>
                <w:color w:val="000000" w:themeColor="text1"/>
                <w:highlight w:val="none"/>
                <w:lang w:val="en-US" w:eastAsia="zh-CN"/>
                <w14:textFill>
                  <w14:solidFill>
                    <w14:schemeClr w14:val="tx1"/>
                  </w14:solidFill>
                </w14:textFill>
              </w:rPr>
              <w:t>铺设防尘网</w:t>
            </w:r>
            <w:r>
              <w:rPr>
                <w:rFonts w:hint="default"/>
                <w:color w:val="000000" w:themeColor="text1"/>
                <w:highlight w:val="none"/>
                <w14:textFill>
                  <w14:solidFill>
                    <w14:schemeClr w14:val="tx1"/>
                  </w14:solidFill>
                </w14:textFill>
              </w:rPr>
              <w:t>覆盖。施工过程中造成的影响是暂时的，因施工破坏而影响水土流失的各种因素在各项水土保持措施后逐渐消失，并且随着时间的推移，各项措施的水土保持功能得到发挥，生态环境得到恢复和改善，水土流失量逐渐减少，直至达到新的稳定状态。</w:t>
            </w:r>
          </w:p>
          <w:p w14:paraId="3D16E749">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①工程措施</w:t>
            </w:r>
          </w:p>
          <w:p w14:paraId="3C71E507">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对进行渣石清理</w:t>
            </w:r>
            <w:r>
              <w:rPr>
                <w:rFonts w:hint="default"/>
                <w:color w:val="000000" w:themeColor="text1"/>
                <w:highlight w:val="none"/>
                <w14:textFill>
                  <w14:solidFill>
                    <w14:schemeClr w14:val="tx1"/>
                  </w14:solidFill>
                </w14:textFill>
              </w:rPr>
              <w:t>过程中产生的</w:t>
            </w:r>
            <w:r>
              <w:rPr>
                <w:rFonts w:hint="eastAsia"/>
                <w:color w:val="000000" w:themeColor="text1"/>
                <w:highlight w:val="none"/>
                <w:lang w:val="en-US" w:eastAsia="zh-CN"/>
                <w14:textFill>
                  <w14:solidFill>
                    <w14:schemeClr w14:val="tx1"/>
                  </w14:solidFill>
                </w14:textFill>
              </w:rPr>
              <w:t>渣石</w:t>
            </w:r>
            <w:r>
              <w:rPr>
                <w:rFonts w:hint="default"/>
                <w:color w:val="000000" w:themeColor="text1"/>
                <w:highlight w:val="none"/>
                <w14:textFill>
                  <w14:solidFill>
                    <w14:schemeClr w14:val="tx1"/>
                  </w14:solidFill>
                </w14:textFill>
              </w:rPr>
              <w:t>选择专门存放地，有规范地进行堆放；雨季，及时将</w:t>
            </w:r>
            <w:r>
              <w:rPr>
                <w:rFonts w:hint="eastAsia"/>
                <w:color w:val="000000" w:themeColor="text1"/>
                <w:highlight w:val="none"/>
                <w:lang w:val="en-US" w:eastAsia="zh-CN"/>
                <w14:textFill>
                  <w14:solidFill>
                    <w14:schemeClr w14:val="tx1"/>
                  </w14:solidFill>
                </w14:textFill>
              </w:rPr>
              <w:t>渣石</w:t>
            </w:r>
            <w:r>
              <w:rPr>
                <w:rFonts w:hint="default"/>
                <w:color w:val="000000" w:themeColor="text1"/>
                <w:highlight w:val="none"/>
                <w14:textFill>
                  <w14:solidFill>
                    <w14:schemeClr w14:val="tx1"/>
                  </w14:solidFill>
                </w14:textFill>
              </w:rPr>
              <w:t>进行拦截，并疏通排水工程，减少因泥沙堆积造成大量植被破坏的现象；对</w:t>
            </w:r>
            <w:r>
              <w:rPr>
                <w:rFonts w:hint="eastAsia"/>
                <w:color w:val="000000" w:themeColor="text1"/>
                <w:highlight w:val="none"/>
                <w:lang w:val="en-US" w:eastAsia="zh-CN"/>
                <w14:textFill>
                  <w14:solidFill>
                    <w14:schemeClr w14:val="tx1"/>
                  </w14:solidFill>
                </w14:textFill>
              </w:rPr>
              <w:t>渣石清理区域</w:t>
            </w:r>
            <w:r>
              <w:rPr>
                <w:rFonts w:hint="default"/>
                <w:color w:val="000000" w:themeColor="text1"/>
                <w:highlight w:val="none"/>
                <w14:textFill>
                  <w14:solidFill>
                    <w14:schemeClr w14:val="tx1"/>
                  </w14:solidFill>
                </w14:textFill>
              </w:rPr>
              <w:t>进行平整复垦，彻底清除</w:t>
            </w:r>
            <w:r>
              <w:rPr>
                <w:rFonts w:hint="eastAsia"/>
                <w:color w:val="000000" w:themeColor="text1"/>
                <w:highlight w:val="none"/>
                <w:lang w:val="en-US" w:eastAsia="zh-CN"/>
                <w14:textFill>
                  <w14:solidFill>
                    <w14:schemeClr w14:val="tx1"/>
                  </w14:solidFill>
                </w14:textFill>
              </w:rPr>
              <w:t>渣石</w:t>
            </w:r>
            <w:r>
              <w:rPr>
                <w:rFonts w:hint="default"/>
                <w:color w:val="000000" w:themeColor="text1"/>
                <w:highlight w:val="none"/>
                <w14:textFill>
                  <w14:solidFill>
                    <w14:schemeClr w14:val="tx1"/>
                  </w14:solidFill>
                </w14:textFill>
              </w:rPr>
              <w:t>后，保证场地的清洁干净的基础上重新利用有效场地。</w:t>
            </w:r>
          </w:p>
          <w:p w14:paraId="77F6760D">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②植被措施</w:t>
            </w:r>
          </w:p>
          <w:p w14:paraId="52EC5768">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治理区植被恢复较差的</w:t>
            </w:r>
            <w:r>
              <w:rPr>
                <w:rFonts w:hint="default"/>
                <w:color w:val="000000" w:themeColor="text1"/>
                <w:highlight w:val="none"/>
                <w14:textFill>
                  <w14:solidFill>
                    <w14:schemeClr w14:val="tx1"/>
                  </w14:solidFill>
                </w14:textFill>
              </w:rPr>
              <w:t>区域进行生态植被恢复工程。播种量为15kg/hm</w:t>
            </w:r>
            <w:r>
              <w:rPr>
                <w:rFonts w:hint="default"/>
                <w:color w:val="000000" w:themeColor="text1"/>
                <w:highlight w:val="none"/>
                <w:vertAlign w:val="superscript"/>
                <w14:textFill>
                  <w14:solidFill>
                    <w14:schemeClr w14:val="tx1"/>
                  </w14:solidFill>
                </w14:textFill>
              </w:rPr>
              <w:t>2</w:t>
            </w:r>
            <w:r>
              <w:rPr>
                <w:rFonts w:hint="default"/>
                <w:color w:val="000000" w:themeColor="text1"/>
                <w:highlight w:val="none"/>
                <w14:textFill>
                  <w14:solidFill>
                    <w14:schemeClr w14:val="tx1"/>
                  </w14:solidFill>
                </w14:textFill>
              </w:rPr>
              <w:t>，草籽</w:t>
            </w:r>
            <w:r>
              <w:rPr>
                <w:rFonts w:hint="eastAsia"/>
                <w:color w:val="000000" w:themeColor="text1"/>
                <w:highlight w:val="none"/>
                <w:lang w:val="en-US" w:eastAsia="zh-CN"/>
                <w14:textFill>
                  <w14:solidFill>
                    <w14:schemeClr w14:val="tx1"/>
                  </w14:solidFill>
                </w14:textFill>
              </w:rPr>
              <w:t>选择</w:t>
            </w:r>
            <w:r>
              <w:rPr>
                <w:rFonts w:hint="default"/>
                <w:color w:val="000000" w:themeColor="text1"/>
                <w:highlight w:val="none"/>
                <w14:textFill>
                  <w14:solidFill>
                    <w14:schemeClr w14:val="tx1"/>
                  </w14:solidFill>
                </w14:textFill>
              </w:rPr>
              <w:t>优质种子。为确保植草的出苗率，可在项目区周边人工采集适宜当地生产的植物种子，作为先锋物种。穴播时，采用草籽与细质砂壤土按照1：5的比例混合，然后用于种植，同时需满足林草其他相关种植技术要求。</w:t>
            </w:r>
          </w:p>
          <w:p w14:paraId="73A66FAB">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③临时措施</w:t>
            </w:r>
          </w:p>
          <w:p w14:paraId="142A589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对</w:t>
            </w:r>
            <w:r>
              <w:rPr>
                <w:rFonts w:hint="default"/>
                <w:color w:val="000000" w:themeColor="text1"/>
                <w:highlight w:val="none"/>
                <w14:textFill>
                  <w14:solidFill>
                    <w14:schemeClr w14:val="tx1"/>
                  </w14:solidFill>
                </w14:textFill>
              </w:rPr>
              <w:t>裸露地表覆盖防尘网。在坡面设置临时排水沟</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对不稳定坡面打入木桩或设置坡脚堆石</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在适宜区域播种速生草本植物。优化施工时序避开雨季作业</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分片施工并及时覆盖</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期巡查排水设施和覆盖状态。</w:t>
            </w:r>
          </w:p>
          <w:p w14:paraId="633A52F4">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6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⑹</w:t>
            </w:r>
            <w:r>
              <w:rPr>
                <w:rFonts w:hint="eastAsia"/>
                <w:color w:val="000000" w:themeColor="text1"/>
                <w:highlight w:val="none"/>
                <w:lang w:val="en-US" w:eastAsia="zh-CN"/>
                <w14:textFill>
                  <w14:solidFill>
                    <w14:schemeClr w14:val="tx1"/>
                  </w14:solidFill>
                </w14:textFill>
              </w:rPr>
              <w:fldChar w:fldCharType="end"/>
            </w:r>
            <w:r>
              <w:rPr>
                <w:rFonts w:hint="default"/>
                <w:color w:val="000000" w:themeColor="text1"/>
                <w:highlight w:val="none"/>
                <w14:textFill>
                  <w14:solidFill>
                    <w14:schemeClr w14:val="tx1"/>
                  </w14:solidFill>
                </w14:textFill>
              </w:rPr>
              <w:t>管理措施</w:t>
            </w:r>
          </w:p>
          <w:p w14:paraId="19963949">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建立完善的施工制度，有序管理施工活动。制定施工原则，划定施工范围，限定施工时间。施工过程禁止对植被滥砍滥伐，破坏沿线生态环境尽量避免对动物生境造成不良影响；按照规定的施工时间进行施工，以减缓对动物栖息与繁殖的不利影响。</w:t>
            </w:r>
          </w:p>
          <w:p w14:paraId="14C0F9F6">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加强对施工人员的管理，定期开展环保、防火等宣传教育。可组织专业人员通过宣传视频、讲座或印发图册等形式，强化施工人员环保意识；对于涉及环境敏感区段，必要时划定施工红线，布设施工围栏，防止施工人员作业、施工机械布置，增加占地，增大对施工区域陆生动植物、生态环境的影响。加强对施工人员的管理，定期开展有关动物保护的宣传教育。可组织专业人员通过宣传视频、讲座或印发图册等形式，强化施工人员动物保护意识；开展相关野生动物保护法律法规教育，增强法律意识，保证依法施工。</w:t>
            </w:r>
          </w:p>
          <w:p w14:paraId="79FE73DB">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③建立完善的生态影响监测制度。定期对施工期产生的生态影响进行监测与调查。施工期主要对</w:t>
            </w:r>
            <w:r>
              <w:rPr>
                <w:rFonts w:hint="eastAsia"/>
                <w:color w:val="000000" w:themeColor="text1"/>
                <w:highlight w:val="none"/>
                <w:lang w:val="en-US" w:eastAsia="zh-CN"/>
                <w14:textFill>
                  <w14:solidFill>
                    <w14:schemeClr w14:val="tx1"/>
                  </w14:solidFill>
                </w14:textFill>
              </w:rPr>
              <w:t>植物群落变化、动物的活动、分布变化、生境质量变化等</w:t>
            </w:r>
            <w:r>
              <w:rPr>
                <w:rFonts w:hint="default"/>
                <w:color w:val="000000" w:themeColor="text1"/>
                <w:highlight w:val="none"/>
                <w14:textFill>
                  <w14:solidFill>
                    <w14:schemeClr w14:val="tx1"/>
                  </w14:solidFill>
                </w14:textFill>
              </w:rPr>
              <w:t>进行监测</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加强生态管理，设置生态环境管理人员，建立各种管理及报告制度。通过动态监测和完善管理，使生态向良性方向发展。</w:t>
            </w:r>
          </w:p>
          <w:p w14:paraId="0B4AEEF1">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④加强与当地林草部门和各敏感区管理部门的联系工作，施工过程中若发现有受伤的野生保护动物，可及时联系有关部门进行相关救助。</w:t>
            </w:r>
          </w:p>
          <w:p w14:paraId="06DC74E4">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施工期大气污染影响防治措施</w:t>
            </w:r>
          </w:p>
          <w:p w14:paraId="589F2C8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⑴施工扬尘</w:t>
            </w:r>
          </w:p>
          <w:p w14:paraId="2E358491">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根据自治区住建厅，宁（建）发〔</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2017</w:t>
            </w:r>
            <w:r>
              <w:rPr>
                <w:rFonts w:hint="default" w:ascii="宋体" w:hAnsi="宋体" w:eastAsia="宋体" w:cs="宋体"/>
                <w:b w:val="0"/>
                <w:bCs w:val="0"/>
                <w:color w:val="000000" w:themeColor="text1"/>
                <w:sz w:val="24"/>
                <w:szCs w:val="24"/>
                <w:highlight w:val="none"/>
                <w14:textFill>
                  <w14:solidFill>
                    <w14:schemeClr w14:val="tx1"/>
                  </w14:solidFill>
                </w14:textFill>
              </w:rPr>
              <w:t>〕</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17</w:t>
            </w:r>
            <w:r>
              <w:rPr>
                <w:rFonts w:hint="default" w:ascii="宋体" w:hAnsi="宋体" w:eastAsia="宋体" w:cs="宋体"/>
                <w:b w:val="0"/>
                <w:bCs w:val="0"/>
                <w:color w:val="000000" w:themeColor="text1"/>
                <w:sz w:val="24"/>
                <w:szCs w:val="24"/>
                <w:highlight w:val="none"/>
                <w14:textFill>
                  <w14:solidFill>
                    <w14:schemeClr w14:val="tx1"/>
                  </w14:solidFill>
                </w14:textFill>
              </w:rPr>
              <w:t>号《关于进一步加强建筑工地施工扬尘控制和标准化管理的通知》、自治区环境保护厅《加强全区城市扬尘污染整治工作方案》《宁夏建筑施工扬尘治理标准化实施指南》，施工单位应加强管理，文明施工，为减少扬尘对环境的影响，严格采取以下措施：</w:t>
            </w:r>
          </w:p>
          <w:p w14:paraId="78B3BE44">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w:t>
            </w:r>
            <w:r>
              <w:rPr>
                <w:rFonts w:hint="default" w:ascii="宋体" w:hAnsi="宋体" w:eastAsia="宋体" w:cs="宋体"/>
                <w:color w:val="000000" w:themeColor="text1"/>
                <w:sz w:val="24"/>
                <w:szCs w:val="24"/>
                <w:highlight w:val="none"/>
                <w14:textFill>
                  <w14:solidFill>
                    <w14:schemeClr w14:val="tx1"/>
                  </w14:solidFill>
                </w14:textFill>
              </w:rPr>
              <w:t>根据施工过程的实际情况，</w:t>
            </w:r>
            <w:r>
              <w:rPr>
                <w:rFonts w:hint="eastAsia" w:ascii="宋体" w:hAnsi="宋体" w:cs="宋体"/>
                <w:color w:val="000000" w:themeColor="text1"/>
                <w:sz w:val="24"/>
                <w:szCs w:val="24"/>
                <w:highlight w:val="none"/>
                <w:lang w:eastAsia="zh-CN"/>
                <w14:textFill>
                  <w14:solidFill>
                    <w14:schemeClr w14:val="tx1"/>
                  </w14:solidFill>
                </w14:textFill>
              </w:rPr>
              <w:t>施工场地设围栏</w:t>
            </w:r>
            <w:r>
              <w:rPr>
                <w:rFonts w:hint="default" w:ascii="宋体" w:hAnsi="宋体" w:eastAsia="宋体" w:cs="宋体"/>
                <w:color w:val="000000" w:themeColor="text1"/>
                <w:sz w:val="24"/>
                <w:szCs w:val="24"/>
                <w:highlight w:val="none"/>
                <w14:textFill>
                  <w14:solidFill>
                    <w14:schemeClr w14:val="tx1"/>
                  </w14:solidFill>
                </w14:textFill>
              </w:rPr>
              <w:t>，以减少施工扬尘扩散范围。</w:t>
            </w:r>
          </w:p>
          <w:p w14:paraId="128D22F2">
            <w:pPr>
              <w:keepNext w:val="0"/>
              <w:keepLines w:val="0"/>
              <w:widowControl/>
              <w:numPr>
                <w:ilvl w:val="0"/>
                <w:numId w:val="0"/>
              </w:numPr>
              <w:suppressLineNumbers w:val="0"/>
              <w:spacing w:before="0" w:beforeAutospacing="0" w:after="0" w:afterAutospacing="0"/>
              <w:ind w:left="0" w:right="0" w:firstLine="454" w:firstLineChars="20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w:t>
            </w:r>
            <w:r>
              <w:rPr>
                <w:rFonts w:hint="default" w:ascii="宋体" w:hAnsi="宋体" w:eastAsia="宋体" w:cs="宋体"/>
                <w:color w:val="000000" w:themeColor="text1"/>
                <w:sz w:val="24"/>
                <w:szCs w:val="24"/>
                <w:highlight w:val="none"/>
                <w14:textFill>
                  <w14:solidFill>
                    <w14:schemeClr w14:val="tx1"/>
                  </w14:solidFill>
                </w14:textFill>
              </w:rPr>
              <w:t>避免在大风日以及夏季暴雨时节施工，尽可能缩短施工时间，提高施工效率，减少地表裸露的时间，遇有大风天气时，避免进行挖掘、回填等大土方量作业或采取洒水抑尘</w:t>
            </w:r>
            <w:r>
              <w:rPr>
                <w:rFonts w:hint="eastAsia" w:ascii="宋体" w:hAnsi="宋体" w:eastAsia="宋体" w:cs="宋体"/>
                <w:color w:val="000000" w:themeColor="text1"/>
                <w:sz w:val="24"/>
                <w:szCs w:val="24"/>
                <w:highlight w:val="none"/>
                <w:lang w:val="en-US" w:eastAsia="zh-CN"/>
                <w14:textFill>
                  <w14:solidFill>
                    <w14:schemeClr w14:val="tx1"/>
                  </w14:solidFill>
                </w14:textFill>
              </w:rPr>
              <w:t>措施。</w:t>
            </w:r>
          </w:p>
          <w:p w14:paraId="4003D761">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w:t>
            </w:r>
            <w:r>
              <w:rPr>
                <w:rFonts w:hint="default" w:ascii="宋体" w:hAnsi="宋体" w:eastAsia="宋体" w:cs="宋体"/>
                <w:color w:val="000000" w:themeColor="text1"/>
                <w:sz w:val="24"/>
                <w:szCs w:val="24"/>
                <w:highlight w:val="none"/>
                <w14:textFill>
                  <w14:solidFill>
                    <w14:schemeClr w14:val="tx1"/>
                  </w14:solidFill>
                </w14:textFill>
              </w:rPr>
              <w:t>施工单位必须加强施工区的规划管理：如在大风天气，对散料堆场应采用水喷淋法防尘，以减少建设过程中使用的建筑材料在装卸、堆放过程中的粉尘外逸，降低项目建设对当地的空气污染。</w:t>
            </w:r>
          </w:p>
          <w:p w14:paraId="6803F96D">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④</w:t>
            </w:r>
            <w:r>
              <w:rPr>
                <w:rFonts w:hint="default" w:ascii="宋体" w:hAnsi="宋体" w:eastAsia="宋体" w:cs="宋体"/>
                <w:color w:val="000000" w:themeColor="text1"/>
                <w:sz w:val="24"/>
                <w:szCs w:val="24"/>
                <w:highlight w:val="none"/>
                <w14:textFill>
                  <w14:solidFill>
                    <w14:schemeClr w14:val="tx1"/>
                  </w14:solidFill>
                </w14:textFill>
              </w:rPr>
              <w:t>用汽车运输易起尘的物料时，要加盖</w:t>
            </w:r>
            <w:r>
              <w:rPr>
                <w:rFonts w:hint="eastAsia" w:ascii="宋体" w:hAnsi="宋体" w:cs="宋体"/>
                <w:color w:val="000000" w:themeColor="text1"/>
                <w:sz w:val="24"/>
                <w:szCs w:val="24"/>
                <w:highlight w:val="none"/>
                <w:lang w:eastAsia="zh-CN"/>
                <w14:textFill>
                  <w14:solidFill>
                    <w14:schemeClr w14:val="tx1"/>
                  </w14:solidFill>
                </w14:textFill>
              </w:rPr>
              <w:t>篷布</w:t>
            </w:r>
            <w:r>
              <w:rPr>
                <w:rFonts w:hint="default" w:ascii="宋体" w:hAnsi="宋体" w:eastAsia="宋体" w:cs="宋体"/>
                <w:color w:val="000000" w:themeColor="text1"/>
                <w:sz w:val="24"/>
                <w:szCs w:val="24"/>
                <w:highlight w:val="none"/>
                <w14:textFill>
                  <w14:solidFill>
                    <w14:schemeClr w14:val="tx1"/>
                  </w14:solidFill>
                </w14:textFill>
              </w:rPr>
              <w:t>、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14:paraId="6DB6254A">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⑤</w:t>
            </w:r>
            <w:r>
              <w:rPr>
                <w:rFonts w:hint="default" w:ascii="宋体" w:hAnsi="宋体" w:eastAsia="宋体" w:cs="宋体"/>
                <w:color w:val="000000" w:themeColor="text1"/>
                <w:sz w:val="24"/>
                <w:szCs w:val="24"/>
                <w:highlight w:val="none"/>
                <w14:textFill>
                  <w14:solidFill>
                    <w14:schemeClr w14:val="tx1"/>
                  </w14:solidFill>
                </w14:textFill>
              </w:rPr>
              <w:t>加强对施工机械、车辆的维修保养，禁止以柴油为燃料的施工机械超负荷工作，减少烟尘和颗粒物的排放。</w:t>
            </w:r>
          </w:p>
          <w:p w14:paraId="02FD288F">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⑥</w:t>
            </w:r>
            <w:r>
              <w:rPr>
                <w:rFonts w:hint="default" w:ascii="宋体" w:hAnsi="宋体" w:eastAsia="宋体" w:cs="宋体"/>
                <w:color w:val="000000" w:themeColor="text1"/>
                <w:sz w:val="24"/>
                <w:szCs w:val="24"/>
                <w:highlight w:val="none"/>
                <w14:textFill>
                  <w14:solidFill>
                    <w14:schemeClr w14:val="tx1"/>
                  </w14:solidFill>
                </w14:textFill>
              </w:rPr>
              <w:t>对堆放的施工废料采取必要的防扬尘措施。本项目施工期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14:paraId="53876162">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default" w:ascii="宋体" w:hAnsi="宋体" w:eastAsia="宋体" w:cs="宋体"/>
                <w:color w:val="000000" w:themeColor="text1"/>
                <w:sz w:val="24"/>
                <w:szCs w:val="24"/>
                <w:highlight w:val="none"/>
                <w14:textFill>
                  <w14:solidFill>
                    <w14:schemeClr w14:val="tx1"/>
                  </w14:solidFill>
                </w14:textFill>
              </w:rPr>
              <w:t>综上所述，施工期采取的扬尘污染防治措施技术可行、经济合理，在落实上述措施后对区域</w:t>
            </w:r>
            <w:r>
              <w:rPr>
                <w:rFonts w:hint="eastAsia" w:ascii="宋体" w:hAnsi="宋体" w:eastAsia="宋体" w:cs="宋体"/>
                <w:color w:val="000000" w:themeColor="text1"/>
                <w:sz w:val="24"/>
                <w:szCs w:val="24"/>
                <w:highlight w:val="none"/>
                <w:lang w:val="en-US" w:eastAsia="zh-CN"/>
                <w14:textFill>
                  <w14:solidFill>
                    <w14:schemeClr w14:val="tx1"/>
                  </w14:solidFill>
                </w14:textFill>
              </w:rPr>
              <w:t>环境</w:t>
            </w:r>
            <w:r>
              <w:rPr>
                <w:rFonts w:hint="default" w:ascii="宋体" w:hAnsi="宋体" w:eastAsia="宋体" w:cs="宋体"/>
                <w:color w:val="000000" w:themeColor="text1"/>
                <w:sz w:val="24"/>
                <w:szCs w:val="24"/>
                <w:highlight w:val="none"/>
                <w14:textFill>
                  <w14:solidFill>
                    <w14:schemeClr w14:val="tx1"/>
                  </w14:solidFill>
                </w14:textFill>
              </w:rPr>
              <w:t>影响较小。</w:t>
            </w:r>
          </w:p>
          <w:p w14:paraId="274B9320">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⑵</w:t>
            </w:r>
            <w:r>
              <w:rPr>
                <w:rFonts w:hint="default" w:ascii="宋体" w:hAnsi="宋体" w:eastAsia="宋体" w:cs="宋体"/>
                <w:color w:val="000000" w:themeColor="text1"/>
                <w:sz w:val="24"/>
                <w:szCs w:val="24"/>
                <w:highlight w:val="none"/>
                <w14:textFill>
                  <w14:solidFill>
                    <w14:schemeClr w14:val="tx1"/>
                  </w14:solidFill>
                </w14:textFill>
              </w:rPr>
              <w:t>施工机械尾气</w:t>
            </w:r>
          </w:p>
          <w:p w14:paraId="1825C162">
            <w:pPr>
              <w:keepNext w:val="0"/>
              <w:keepLines w:val="0"/>
              <w:widowControl/>
              <w:numPr>
                <w:ilvl w:val="0"/>
                <w:numId w:val="0"/>
              </w:numPr>
              <w:suppressLineNumbers w:val="0"/>
              <w:spacing w:before="0" w:beforeAutospacing="0" w:after="0" w:afterAutospacing="0"/>
              <w:ind w:left="0" w:right="0" w:firstLine="454" w:firstLineChars="200"/>
              <w:jc w:val="both"/>
              <w:rPr>
                <w:rFonts w:hint="default" w:cs="Times New Roman"/>
                <w:color w:val="000000" w:themeColor="text1"/>
                <w:highlight w:val="none"/>
                <w14:textFill>
                  <w14:solidFill>
                    <w14:schemeClr w14:val="tx1"/>
                  </w14:solidFill>
                </w14:textFill>
              </w:rPr>
            </w:pPr>
            <w:r>
              <w:rPr>
                <w:rFonts w:hint="default" w:ascii="宋体" w:hAnsi="宋体" w:eastAsia="宋体" w:cs="宋体"/>
                <w:color w:val="000000" w:themeColor="text1"/>
                <w:sz w:val="24"/>
                <w:szCs w:val="24"/>
                <w:highlight w:val="none"/>
                <w14:textFill>
                  <w14:solidFill>
                    <w14:schemeClr w14:val="tx1"/>
                  </w14:solidFill>
                </w14:textFill>
              </w:rPr>
              <w:t>由于拟建项目所在地较为开阔，空气流通较好，车辆排放的尾气能够较快地扩散，不会对当地的环境空气产生较大影响。通过选用低能耗、低污染排放的施工运输车辆，加强施工机械的维护及保养，减少因车辆状况不佳造成的空气污染等措施进一步降低对环境空气的影响</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046D668">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施工期废水防治措施</w:t>
            </w:r>
          </w:p>
          <w:p w14:paraId="690C4F6B">
            <w:pPr>
              <w:keepNext w:val="0"/>
              <w:keepLines w:val="0"/>
              <w:widowControl/>
              <w:suppressLineNumbers w:val="0"/>
              <w:spacing w:before="0" w:beforeAutospacing="0" w:after="0" w:afterAutospacing="0"/>
              <w:ind w:left="0" w:right="0"/>
              <w:jc w:val="both"/>
              <w:rPr>
                <w:rFonts w:hint="default" w:cs="Times New Roman"/>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项目区不设置施工生活营地，生活污水依托周边村庄旱厕处理，项目区无废水排放。</w:t>
            </w:r>
          </w:p>
          <w:p w14:paraId="09CD517B">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施工期噪声防治措施</w:t>
            </w:r>
          </w:p>
          <w:p w14:paraId="2C311BA2">
            <w:pPr>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施工期的噪声主要来源于施工现场的各类机械设备噪声和运输车辆噪声。施工时应妥善布置较大的噪声设备，使其尽量远离声敏感点；同时施工方应合理布置施工时间，夜间尽量不施工，避免施工噪声扰民。</w:t>
            </w:r>
          </w:p>
          <w:p w14:paraId="6013318F">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本项目分段进行施工，建设期比较短，因此，只要采取的措施得当、管理得力，影响的程度有限。具体措施如下：</w:t>
            </w:r>
          </w:p>
          <w:p w14:paraId="02646ADF">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1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合理安排施工时间，禁止在夜间二十二时至次日六时进行产生环境噪声污染的建筑施工作业。确因工程需要必须连续作业的，应当提前报所在地环境保护行政主管部门批准，并公告附近居民。</w:t>
            </w:r>
          </w:p>
          <w:p w14:paraId="477D37E3">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⑵优化运输路线，车辆应避免经过敏感路段。</w:t>
            </w:r>
          </w:p>
          <w:p w14:paraId="31315654">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3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选用低噪声设备，分片区施工，加强生产设备的日常维护和维修等，定期检修设备，使其处于良好的运转状态；</w:t>
            </w:r>
          </w:p>
          <w:p w14:paraId="1BBE0431">
            <w:pPr>
              <w:keepNext w:val="0"/>
              <w:keepLines w:val="0"/>
              <w:widowControl/>
              <w:suppressLineNumbers w:val="0"/>
              <w:spacing w:before="0" w:beforeAutospacing="0" w:after="0" w:afterAutospacing="0"/>
              <w:ind w:left="0" w:right="0"/>
              <w:jc w:val="left"/>
              <w:rPr>
                <w:rFonts w:hint="default" w:cs="Times New Roman"/>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4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⑷</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同一施工地点应避免安排大量动力机械设备，以免局部累积声级过高。通过采取上述综合降噪措施，可有效降低施工过程噪声对周围环境的影响，确保施工期各项施工活动产生的噪声达到《建筑施工场界环境噪声排放标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GB12523-2011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）中的相关规定限值要求，对周围环境影响较小。</w:t>
            </w:r>
          </w:p>
          <w:p w14:paraId="1BBAE11E">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、施工期固体废物处理措施</w:t>
            </w:r>
          </w:p>
          <w:p w14:paraId="6B4BC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54" w:firstLineChars="200"/>
              <w:textAlignment w:val="auto"/>
              <w:rPr>
                <w:rFonts w:hint="eastAsia"/>
                <w:color w:val="000000" w:themeColor="text1"/>
                <w:highlight w:val="none"/>
                <w:lang w:val="en-US" w:eastAsia="zh-CN"/>
                <w14:textFill>
                  <w14:solidFill>
                    <w14:schemeClr w14:val="tx1"/>
                  </w14:solidFill>
                </w14:textFill>
              </w:rPr>
            </w:pPr>
            <w:r>
              <w:rPr>
                <w:rFonts w:hint="default" w:cs="Times New Roman"/>
                <w:snapToGrid w:val="0"/>
                <w:color w:val="000000" w:themeColor="text1"/>
                <w:sz w:val="24"/>
                <w:highlight w:val="none"/>
                <w14:textFill>
                  <w14:solidFill>
                    <w14:schemeClr w14:val="tx1"/>
                  </w14:solidFill>
                </w14:textFill>
              </w:rPr>
              <w:t>本工程施工期的固体废弃物主要来源为</w:t>
            </w:r>
            <w:r>
              <w:rPr>
                <w:rFonts w:hint="eastAsia" w:cs="Times New Roman"/>
                <w:snapToGrid w:val="0"/>
                <w:color w:val="000000" w:themeColor="text1"/>
                <w:sz w:val="24"/>
                <w:highlight w:val="none"/>
                <w:lang w:val="en-US" w:eastAsia="zh-CN"/>
                <w14:textFill>
                  <w14:solidFill>
                    <w14:schemeClr w14:val="tx1"/>
                  </w14:solidFill>
                </w14:textFill>
              </w:rPr>
              <w:t>生活垃圾</w:t>
            </w:r>
            <w:r>
              <w:rPr>
                <w:rFonts w:hint="eastAsia" w:cs="Times New Roman"/>
                <w:snapToGrid w:val="0"/>
                <w:color w:val="000000" w:themeColor="text1"/>
                <w:sz w:val="24"/>
                <w:highlight w:val="none"/>
                <w14:textFill>
                  <w14:solidFill>
                    <w14:schemeClr w14:val="tx1"/>
                  </w14:solidFill>
                </w14:textFill>
              </w:rPr>
              <w:t>。项目区不设置施工生活营地，施工生活营地依托周边村庄</w:t>
            </w:r>
            <w:r>
              <w:rPr>
                <w:rFonts w:hint="eastAsia" w:cs="Times New Roman"/>
                <w:snapToGrid w:val="0"/>
                <w:color w:val="000000" w:themeColor="text1"/>
                <w:sz w:val="24"/>
                <w:highlight w:val="none"/>
                <w:lang w:eastAsia="zh-CN"/>
                <w14:textFill>
                  <w14:solidFill>
                    <w14:schemeClr w14:val="tx1"/>
                  </w14:solidFill>
                </w14:textFill>
              </w:rPr>
              <w:t>。</w:t>
            </w:r>
            <w:r>
              <w:rPr>
                <w:rFonts w:hint="eastAsia" w:cs="Times New Roman"/>
                <w:snapToGrid w:val="0"/>
                <w:color w:val="000000" w:themeColor="text1"/>
                <w:sz w:val="24"/>
                <w:highlight w:val="none"/>
                <w14:textFill>
                  <w14:solidFill>
                    <w14:schemeClr w14:val="tx1"/>
                  </w14:solidFill>
                </w14:textFill>
              </w:rPr>
              <w:t>生活垃圾集中分类收集后送至邻近村庄生活垃圾收集点，由当地环卫部门统一清运处置。</w:t>
            </w:r>
          </w:p>
        </w:tc>
      </w:tr>
      <w:tr w14:paraId="51500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691" w:type="dxa"/>
            <w:noWrap w:val="0"/>
            <w:tcMar>
              <w:left w:w="28" w:type="dxa"/>
              <w:right w:w="28" w:type="dxa"/>
            </w:tcMar>
            <w:vAlign w:val="center"/>
          </w:tcPr>
          <w:p w14:paraId="558F27DF">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运营期生态环境保护措施</w:t>
            </w:r>
          </w:p>
        </w:tc>
        <w:tc>
          <w:tcPr>
            <w:tcW w:w="8519" w:type="dxa"/>
            <w:noWrap w:val="0"/>
            <w:vAlign w:val="center"/>
          </w:tcPr>
          <w:p w14:paraId="2F492494">
            <w:pPr>
              <w:keepNext w:val="0"/>
              <w:keepLines w:val="0"/>
              <w:widowControl/>
              <w:suppressLineNumbers w:val="0"/>
              <w:spacing w:before="0" w:beforeAutospacing="0" w:after="0" w:afterAutospacing="0"/>
              <w:ind w:left="0" w:right="0"/>
              <w:jc w:val="both"/>
              <w:rPr>
                <w:rFonts w:hint="eastAsia" w:eastAsia="宋体" w:cs="Times New Roman"/>
                <w:bCs/>
                <w:color w:val="000000" w:themeColor="text1"/>
                <w:spacing w:val="1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本项目通过地形地貌恢复工程、截排水工程和生态恢复工程对</w:t>
            </w:r>
            <w:r>
              <w:rPr>
                <w:rFonts w:hint="eastAsia" w:ascii="Times New Roman" w:hAnsi="Times New Roman" w:cs="Times New Roman"/>
                <w:color w:val="000000" w:themeColor="text1"/>
                <w:sz w:val="24"/>
                <w:highlight w:val="none"/>
                <w:lang w:val="en-US" w:eastAsia="zh-CN"/>
                <w14:textFill>
                  <w14:solidFill>
                    <w14:schemeClr w14:val="tx1"/>
                  </w14:solidFill>
                </w14:textFill>
              </w:rPr>
              <w:t>天景山天主峰灰石</w:t>
            </w:r>
            <w:r>
              <w:rPr>
                <w:rFonts w:hint="default" w:ascii="Times New Roman" w:hAnsi="Times New Roman" w:cs="Times New Roman"/>
                <w:color w:val="000000" w:themeColor="text1"/>
                <w:sz w:val="24"/>
                <w:highlight w:val="none"/>
                <w14:textFill>
                  <w14:solidFill>
                    <w14:schemeClr w14:val="tx1"/>
                  </w14:solidFill>
                </w14:textFill>
              </w:rPr>
              <w:t>矿山进行生态修复治理，恢复区域内的地形地貌并与周边环境相协调，改善当地的生态环境条件。</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运营期无废气、废水、噪声及固体废弃物等的产生。</w:t>
            </w:r>
          </w:p>
        </w:tc>
      </w:tr>
      <w:tr w14:paraId="2B66E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91" w:type="dxa"/>
            <w:noWrap w:val="0"/>
            <w:vAlign w:val="center"/>
          </w:tcPr>
          <w:p w14:paraId="67FE342B">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其他</w:t>
            </w:r>
          </w:p>
        </w:tc>
        <w:tc>
          <w:tcPr>
            <w:tcW w:w="8519" w:type="dxa"/>
            <w:noWrap w:val="0"/>
            <w:vAlign w:val="center"/>
          </w:tcPr>
          <w:p w14:paraId="17BC66B2">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项目生态修复目标及生态保护和修复效果可达性</w:t>
            </w:r>
          </w:p>
          <w:p w14:paraId="3F9626C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⑴</w:t>
            </w:r>
            <w:r>
              <w:rPr>
                <w:rFonts w:hint="default" w:ascii="Times New Roman" w:hAnsi="Times New Roman" w:eastAsia="宋体" w:cs="Times New Roman"/>
                <w:color w:val="000000" w:themeColor="text1"/>
                <w:sz w:val="24"/>
                <w:highlight w:val="none"/>
                <w14:textFill>
                  <w14:solidFill>
                    <w14:schemeClr w14:val="tx1"/>
                  </w14:solidFill>
                </w14:textFill>
              </w:rPr>
              <w:t>项目生态修复目标</w:t>
            </w:r>
          </w:p>
          <w:p w14:paraId="63FBA3D5">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①总体目标</w:t>
            </w:r>
          </w:p>
          <w:p w14:paraId="50D155B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将矿区内渣石废土进行就地整平或培坡，使地形地貌与周边相协调。提高治理区水土保持能力，减少水土流失，同时恢复治理区排水与周边水系的连通性。对采矿区复垦区域、二次破坏区域进行植被恢复，确保矿山地质环境达到稳定、损毁土地得到恢复利用、生态系统得到改善。</w:t>
            </w:r>
          </w:p>
          <w:p w14:paraId="4F2F5C96">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②具体目标</w:t>
            </w:r>
          </w:p>
          <w:p w14:paraId="744472D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恢复治理区域面积共34.44hm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，采用渣石清理、坡面修整和场区平整措施，消除地质灾害隐患，恢复区域地形地貌。通过植被恢复工程的实施，采用穴播方式播种草籽，穴播面积20.79hm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通过人工补水方式逐步提升区域植被覆盖度，使区域内生态环境逐步改善。通过修建截排工程措施，提高治理区水土保持能力，减少水土流失，同时恢复治理区排水与周边水系的连通性，减少天然降水形成的地面径流造成洪水隐患。</w:t>
            </w:r>
          </w:p>
          <w:p w14:paraId="7173E1E1">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⑵</w:t>
            </w:r>
            <w:r>
              <w:rPr>
                <w:rFonts w:hint="default" w:ascii="宋体" w:hAnsi="宋体" w:eastAsia="宋体" w:cs="宋体"/>
                <w:b w:val="0"/>
                <w:bCs w:val="0"/>
                <w:color w:val="000000" w:themeColor="text1"/>
                <w:sz w:val="24"/>
                <w:szCs w:val="24"/>
                <w:highlight w:val="none"/>
                <w14:textFill>
                  <w14:solidFill>
                    <w14:schemeClr w14:val="tx1"/>
                  </w14:solidFill>
                </w14:textFill>
              </w:rPr>
              <w:t>生态保护和修复效果可达性</w:t>
            </w:r>
          </w:p>
          <w:p w14:paraId="14386A12">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治理后的项目区可消除地质灾害隐患，恢复地形地貌，与周边自然地貌相得益彰。项目实施后可有效防止水土流失；修复破碎的地形地貌，改善当地的生态环境条件。施工期废水、废气、噪声、固体废物治理措施、生态影响防治措施均为经济合理、技术可行、并可运行稳定的治理措施，项目严格落实本报告提出的生态环境保护措施，对环境产生的影响在可接受范围之内，故措施可行。</w:t>
            </w:r>
          </w:p>
          <w:p w14:paraId="219C3348">
            <w:pPr>
              <w:pStyle w:val="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2、效益分析</w:t>
            </w:r>
          </w:p>
          <w:p w14:paraId="279CDA6F">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⑴</w:t>
            </w:r>
            <w:r>
              <w:rPr>
                <w:rFonts w:hint="default" w:ascii="宋体" w:hAnsi="宋体" w:eastAsia="宋体" w:cs="宋体"/>
                <w:b w:val="0"/>
                <w:bCs w:val="0"/>
                <w:color w:val="000000" w:themeColor="text1"/>
                <w:sz w:val="24"/>
                <w:szCs w:val="24"/>
                <w:highlight w:val="none"/>
                <w14:textFill>
                  <w14:solidFill>
                    <w14:schemeClr w14:val="tx1"/>
                  </w14:solidFill>
                </w14:textFill>
              </w:rPr>
              <w:t>社会效益</w:t>
            </w:r>
          </w:p>
          <w:p w14:paraId="185B2CD7">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项目</w:t>
            </w:r>
            <w:r>
              <w:rPr>
                <w:rFonts w:hint="eastAsia" w:ascii="宋体" w:hAnsi="宋体" w:cs="宋体"/>
                <w:b w:val="0"/>
                <w:bCs w:val="0"/>
                <w:color w:val="000000" w:themeColor="text1"/>
                <w:sz w:val="24"/>
                <w:szCs w:val="24"/>
                <w:highlight w:val="none"/>
                <w:lang w:eastAsia="zh-CN"/>
                <w14:textFill>
                  <w14:solidFill>
                    <w14:schemeClr w14:val="tx1"/>
                  </w14:solidFill>
                </w14:textFill>
              </w:rPr>
              <w:t>属于</w:t>
            </w:r>
            <w:r>
              <w:rPr>
                <w:rFonts w:hint="default" w:ascii="宋体" w:hAnsi="宋体" w:eastAsia="宋体" w:cs="宋体"/>
                <w:b w:val="0"/>
                <w:bCs w:val="0"/>
                <w:color w:val="000000" w:themeColor="text1"/>
                <w:sz w:val="24"/>
                <w:szCs w:val="24"/>
                <w:highlight w:val="none"/>
                <w14:textFill>
                  <w14:solidFill>
                    <w14:schemeClr w14:val="tx1"/>
                  </w14:solidFill>
                </w14:textFill>
              </w:rPr>
              <w:t>公益性、社会性项目，其价值具有间接性、潜在性和长久性的特点，主要表现在恢复生态环境方面，将对后续类似矿山地质环境治理工程起到“示范工程”效应。该项工程牢牢把握住人民群众对美好生活的向往，着力打造生态文明建设的示范样板，有助于缓解矿业开发与环境保护之间的矛盾，适应经济社会可持续发展的战略要求。</w:t>
            </w:r>
          </w:p>
          <w:p w14:paraId="1FC5D7D7">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⑵</w:t>
            </w:r>
            <w:r>
              <w:rPr>
                <w:rFonts w:hint="default" w:ascii="宋体" w:hAnsi="宋体" w:eastAsia="宋体" w:cs="宋体"/>
                <w:b w:val="0"/>
                <w:bCs w:val="0"/>
                <w:color w:val="000000" w:themeColor="text1"/>
                <w:sz w:val="24"/>
                <w:szCs w:val="24"/>
                <w:highlight w:val="none"/>
                <w14:textFill>
                  <w14:solidFill>
                    <w14:schemeClr w14:val="tx1"/>
                  </w14:solidFill>
                </w14:textFill>
              </w:rPr>
              <w:t>生态环境效益</w:t>
            </w:r>
          </w:p>
          <w:p w14:paraId="0A6D818D">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通过项目的实施，提升北山地区及黄河两岸生态环境自然修复能力、生态系统自愈能力，使区域生态系统质量明显改善，生态服务功能显著提高，生态稳定性明显增强，自然生态系统基本实现良性循环，生态安全屏障体系基本建成，实现人与自然和谐共生，促进社会经济可持续发展。</w:t>
            </w:r>
          </w:p>
          <w:p w14:paraId="4B71A2E8">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项目的实施，将有效遏制矿区及周边环境的恶化，在合理管护的基础上最终实现生态系统的多样性与稳定性。吸引周边动物群落的回迁，增加动物群落多样性，达到植物动物群落的动态平衡；矿区地形地貌得到了恢复和改善，提高了土地抵御自然灾害的能力。</w:t>
            </w:r>
          </w:p>
          <w:p w14:paraId="6CDDE690">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⑶</w:t>
            </w:r>
            <w:r>
              <w:rPr>
                <w:rFonts w:hint="default" w:ascii="宋体" w:hAnsi="宋体" w:eastAsia="宋体" w:cs="宋体"/>
                <w:b w:val="0"/>
                <w:bCs w:val="0"/>
                <w:color w:val="000000" w:themeColor="text1"/>
                <w:sz w:val="24"/>
                <w:szCs w:val="24"/>
                <w:highlight w:val="none"/>
                <w14:textFill>
                  <w14:solidFill>
                    <w14:schemeClr w14:val="tx1"/>
                  </w14:solidFill>
                </w14:textFill>
              </w:rPr>
              <w:t>经济效益</w:t>
            </w:r>
          </w:p>
          <w:p w14:paraId="737ECD79">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本项目属于矿山生态修复项目，项目本身的经济效益微乎其微，但产生的经济效益主要有三方面。第一方面，通过项目的实施，有效防治由于盗采、滥采矿山而产生的崩塌、滑坡、泥石流等地质灾害隐患，保障了山区居民的生命和财产安全。第二方面，通过对损毁土地进行恢复，改善治理区的生态景观，提高人民群众生活质量，具有一定的潜在经济效益。第三方面，项目的实施，需要大量人力、物力，可以增加就业，拉动当地建筑材料企业的发展，增加当地民众的收入。</w:t>
            </w:r>
          </w:p>
          <w:p w14:paraId="1087C066">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环境管理</w:t>
            </w:r>
          </w:p>
          <w:p w14:paraId="1E76A073">
            <w:pPr>
              <w:bidi w:val="0"/>
              <w:rPr>
                <w:rFonts w:hint="eastAsia"/>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t>施工期环境管理</w:t>
            </w:r>
          </w:p>
          <w:p w14:paraId="7A52387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①建设单位在施工期间设立工程项目部，设有专人负责环境保护管理工作，加强施工期环境保护的管理工作，并对施工单位在工程施工过程中进行环境管理、检查和监督。</w:t>
            </w:r>
          </w:p>
          <w:p w14:paraId="1677D2E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②施工单位负责对项目资源进行合理使用和动态管理，确保施工人员能够严格执行各项安全环保管理制度、规定、贯彻落实各项环保政策，减少对生态环境影响。</w:t>
            </w:r>
          </w:p>
          <w:p w14:paraId="5E00C9CE">
            <w:pP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⑵</w:t>
            </w:r>
            <w:r>
              <w:rPr>
                <w:rFonts w:hint="eastAsia"/>
                <w:color w:val="000000" w:themeColor="text1"/>
                <w:highlight w:val="none"/>
                <w:lang w:val="en-US" w:eastAsia="zh-CN"/>
                <w14:textFill>
                  <w14:solidFill>
                    <w14:schemeClr w14:val="tx1"/>
                  </w14:solidFill>
                </w14:textFill>
              </w:rPr>
              <w:t>运营期环境管理</w:t>
            </w:r>
          </w:p>
          <w:p w14:paraId="63DC2C33">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贯彻落实《建设项目环境保护管理条例》，加强本项目环境保护工作的领导和管理，由</w:t>
            </w:r>
            <w:r>
              <w:rPr>
                <w:rFonts w:hint="eastAsia"/>
                <w:color w:val="000000" w:themeColor="text1"/>
                <w:highlight w:val="none"/>
                <w:lang w:val="en-US" w:eastAsia="zh-CN"/>
                <w14:textFill>
                  <w14:solidFill>
                    <w14:schemeClr w14:val="tx1"/>
                  </w14:solidFill>
                </w14:textFill>
              </w:rPr>
              <w:t>建设单位</w:t>
            </w:r>
            <w:r>
              <w:rPr>
                <w:rFonts w:hint="default"/>
                <w:color w:val="000000" w:themeColor="text1"/>
                <w:highlight w:val="none"/>
                <w14:textFill>
                  <w14:solidFill>
                    <w14:schemeClr w14:val="tx1"/>
                  </w14:solidFill>
                </w14:textFill>
              </w:rPr>
              <w:t>负责环境管理工作，从管理上保证环境保护措施的有效实施。</w:t>
            </w:r>
          </w:p>
          <w:p w14:paraId="08D6DD24">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贯彻执行国家和地方的各项环保方针、政策、法规和各项规章制度，制定和实施各项环境管理计划。</w:t>
            </w:r>
          </w:p>
          <w:p w14:paraId="5E4368FE">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定期巡查工程周边环境变化情况。</w:t>
            </w:r>
          </w:p>
          <w:p w14:paraId="08E9234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制定和实施各项环境管理计划。</w:t>
            </w:r>
          </w:p>
          <w:p w14:paraId="364CD6F6">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4、环境监测</w:t>
            </w:r>
          </w:p>
          <w:p w14:paraId="67214B32">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环境监测是环境管理必不可少的科学手段，通过有效的环境监测，</w:t>
            </w:r>
            <w:r>
              <w:rPr>
                <w:rFonts w:hint="eastAsia"/>
                <w:color w:val="000000" w:themeColor="text1"/>
                <w:highlight w:val="none"/>
                <w:lang w:eastAsia="zh-CN"/>
                <w14:textFill>
                  <w14:solidFill>
                    <w14:schemeClr w14:val="tx1"/>
                  </w14:solidFill>
                </w14:textFill>
              </w:rPr>
              <w:t>可以</w:t>
            </w:r>
            <w:r>
              <w:rPr>
                <w:rFonts w:hint="default"/>
                <w:color w:val="000000" w:themeColor="text1"/>
                <w:highlight w:val="none"/>
                <w14:textFill>
                  <w14:solidFill>
                    <w14:schemeClr w14:val="tx1"/>
                  </w14:solidFill>
                </w14:textFill>
              </w:rPr>
              <w:t>及时了解环境质量现状。</w:t>
            </w:r>
          </w:p>
          <w:p w14:paraId="5405C8D4">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⑴施工期环境监测计划</w:t>
            </w:r>
          </w:p>
          <w:p w14:paraId="6FCA980F">
            <w:pPr>
              <w:keepNext w:val="0"/>
              <w:keepLines w:val="0"/>
              <w:suppressLineNumbers w:val="0"/>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施工期的环境保护监测在于监督有关环保条款的执行，以保证施工场地邻近区域的生态环境不受干扰。根据项目特点和工程特征，制定施工期环境监测计划，具体见表5-1。</w:t>
            </w:r>
            <w:r>
              <w:rPr>
                <w:rFonts w:hint="eastAsia"/>
                <w:color w:val="000000" w:themeColor="text1"/>
                <w:highlight w:val="none"/>
                <w:lang w:val="en-US" w:eastAsia="zh-CN"/>
                <w14:textFill>
                  <w14:solidFill>
                    <w14:schemeClr w14:val="tx1"/>
                  </w14:solidFill>
                </w14:textFill>
              </w:rPr>
              <w:t>施工期大气、噪声、生态环境监测点位布点图见附图5-1。</w:t>
            </w:r>
          </w:p>
          <w:p w14:paraId="332165CC">
            <w:pPr>
              <w:pStyle w:val="3"/>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施工期环境监测计划一览表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2"/>
              <w:gridCol w:w="1791"/>
              <w:gridCol w:w="2131"/>
              <w:gridCol w:w="1927"/>
            </w:tblGrid>
            <w:tr w14:paraId="1FE8F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nil"/>
                    <w:tr2bl w:val="nil"/>
                  </w:tcBorders>
                  <w:noWrap w:val="0"/>
                  <w:vAlign w:val="center"/>
                </w:tcPr>
                <w:p w14:paraId="126AB2E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时段</w:t>
                  </w:r>
                </w:p>
              </w:tc>
              <w:tc>
                <w:tcPr>
                  <w:tcW w:w="1207" w:type="dxa"/>
                  <w:tcBorders>
                    <w:tl2br w:val="nil"/>
                    <w:tr2bl w:val="nil"/>
                  </w:tcBorders>
                  <w:noWrap w:val="0"/>
                  <w:vAlign w:val="center"/>
                </w:tcPr>
                <w:p w14:paraId="729CA7C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监测类别</w:t>
                  </w:r>
                </w:p>
              </w:tc>
              <w:tc>
                <w:tcPr>
                  <w:tcW w:w="1784" w:type="dxa"/>
                  <w:tcBorders>
                    <w:tl2br w:val="nil"/>
                    <w:tr2bl w:val="nil"/>
                  </w:tcBorders>
                  <w:noWrap w:val="0"/>
                  <w:vAlign w:val="center"/>
                </w:tcPr>
                <w:p w14:paraId="37D486D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监测项目</w:t>
                  </w:r>
                </w:p>
              </w:tc>
              <w:tc>
                <w:tcPr>
                  <w:tcW w:w="2123" w:type="dxa"/>
                  <w:tcBorders>
                    <w:tl2br w:val="nil"/>
                    <w:tr2bl w:val="nil"/>
                  </w:tcBorders>
                  <w:noWrap w:val="0"/>
                  <w:vAlign w:val="center"/>
                </w:tcPr>
                <w:p w14:paraId="5028179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监测位置</w:t>
                  </w:r>
                </w:p>
              </w:tc>
              <w:tc>
                <w:tcPr>
                  <w:tcW w:w="1920" w:type="dxa"/>
                  <w:tcBorders>
                    <w:tl2br w:val="nil"/>
                    <w:tr2bl w:val="nil"/>
                  </w:tcBorders>
                  <w:noWrap w:val="0"/>
                  <w:vAlign w:val="center"/>
                </w:tcPr>
                <w:p w14:paraId="7BF7547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监测频次</w:t>
                  </w:r>
                </w:p>
              </w:tc>
            </w:tr>
            <w:tr w14:paraId="697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tcBorders>
                    <w:tl2br w:val="nil"/>
                    <w:tr2bl w:val="nil"/>
                  </w:tcBorders>
                  <w:noWrap w:val="0"/>
                  <w:vAlign w:val="center"/>
                </w:tcPr>
                <w:p w14:paraId="6074279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w:t>
                  </w:r>
                </w:p>
              </w:tc>
              <w:tc>
                <w:tcPr>
                  <w:tcW w:w="1207" w:type="dxa"/>
                  <w:tcBorders>
                    <w:tl2br w:val="nil"/>
                    <w:tr2bl w:val="nil"/>
                  </w:tcBorders>
                  <w:noWrap w:val="0"/>
                  <w:vAlign w:val="center"/>
                </w:tcPr>
                <w:p w14:paraId="0700EB6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环境空气</w:t>
                  </w:r>
                </w:p>
              </w:tc>
              <w:tc>
                <w:tcPr>
                  <w:tcW w:w="1784" w:type="dxa"/>
                  <w:tcBorders>
                    <w:tl2br w:val="nil"/>
                    <w:tr2bl w:val="nil"/>
                  </w:tcBorders>
                  <w:noWrap w:val="0"/>
                  <w:vAlign w:val="center"/>
                </w:tcPr>
                <w:p w14:paraId="52E4B4F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TSP</w:t>
                  </w:r>
                </w:p>
              </w:tc>
              <w:tc>
                <w:tcPr>
                  <w:tcW w:w="2123" w:type="dxa"/>
                  <w:tcBorders>
                    <w:tl2br w:val="nil"/>
                    <w:tr2bl w:val="nil"/>
                  </w:tcBorders>
                  <w:noWrap w:val="0"/>
                  <w:vAlign w:val="center"/>
                </w:tcPr>
                <w:p w14:paraId="1BF0386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施工区边界</w:t>
                  </w:r>
                </w:p>
              </w:tc>
              <w:tc>
                <w:tcPr>
                  <w:tcW w:w="1920" w:type="dxa"/>
                  <w:tcBorders>
                    <w:tl2br w:val="nil"/>
                    <w:tr2bl w:val="nil"/>
                  </w:tcBorders>
                  <w:noWrap w:val="0"/>
                  <w:vAlign w:val="center"/>
                </w:tcPr>
                <w:p w14:paraId="182AF762">
                  <w:pPr>
                    <w:pStyle w:val="38"/>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ind w:left="0" w:right="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高峰期监测1次，每次连续监测3天，每天分4个时段监测</w:t>
                  </w:r>
                </w:p>
              </w:tc>
            </w:tr>
            <w:tr w14:paraId="0F52F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noWrap w:val="0"/>
                  <w:vAlign w:val="center"/>
                </w:tcPr>
                <w:p w14:paraId="3269547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1207" w:type="dxa"/>
                  <w:tcBorders>
                    <w:tl2br w:val="nil"/>
                    <w:tr2bl w:val="nil"/>
                  </w:tcBorders>
                  <w:noWrap w:val="0"/>
                  <w:vAlign w:val="center"/>
                </w:tcPr>
                <w:p w14:paraId="6AFA6EC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噪声</w:t>
                  </w:r>
                </w:p>
              </w:tc>
              <w:tc>
                <w:tcPr>
                  <w:tcW w:w="1784" w:type="dxa"/>
                  <w:tcBorders>
                    <w:tl2br w:val="nil"/>
                    <w:tr2bl w:val="nil"/>
                  </w:tcBorders>
                  <w:noWrap w:val="0"/>
                  <w:vAlign w:val="center"/>
                </w:tcPr>
                <w:p w14:paraId="1DB2730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等效声级 LAeq</w:t>
                  </w:r>
                </w:p>
              </w:tc>
              <w:tc>
                <w:tcPr>
                  <w:tcW w:w="2123" w:type="dxa"/>
                  <w:tcBorders>
                    <w:tl2br w:val="nil"/>
                    <w:tr2bl w:val="nil"/>
                  </w:tcBorders>
                  <w:noWrap w:val="0"/>
                  <w:vAlign w:val="center"/>
                </w:tcPr>
                <w:p w14:paraId="1AD2BCC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施工区边界</w:t>
                  </w:r>
                </w:p>
              </w:tc>
              <w:tc>
                <w:tcPr>
                  <w:tcW w:w="1920" w:type="dxa"/>
                  <w:tcBorders>
                    <w:tl2br w:val="nil"/>
                    <w:tr2bl w:val="nil"/>
                  </w:tcBorders>
                  <w:noWrap w:val="0"/>
                  <w:vAlign w:val="center"/>
                </w:tcPr>
                <w:p w14:paraId="666E25FE">
                  <w:pPr>
                    <w:pStyle w:val="38"/>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ind w:left="0" w:right="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施工期内至少一次，连续监测2天，每天昼、夜间监测1次</w:t>
                  </w:r>
                </w:p>
              </w:tc>
            </w:tr>
            <w:tr w14:paraId="73E0D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noWrap w:val="0"/>
                  <w:vAlign w:val="center"/>
                </w:tcPr>
                <w:p w14:paraId="59A27B3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14:textFill>
                        <w14:solidFill>
                          <w14:schemeClr w14:val="tx1"/>
                        </w14:solidFill>
                      </w14:textFill>
                    </w:rPr>
                  </w:pPr>
                </w:p>
              </w:tc>
              <w:tc>
                <w:tcPr>
                  <w:tcW w:w="1207" w:type="dxa"/>
                  <w:tcBorders>
                    <w:tl2br w:val="nil"/>
                    <w:tr2bl w:val="nil"/>
                  </w:tcBorders>
                  <w:noWrap w:val="0"/>
                  <w:vAlign w:val="center"/>
                </w:tcPr>
                <w:p w14:paraId="52ACCB0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1784" w:type="dxa"/>
                  <w:tcBorders>
                    <w:tl2br w:val="nil"/>
                    <w:tr2bl w:val="nil"/>
                  </w:tcBorders>
                  <w:noWrap w:val="0"/>
                  <w:vAlign w:val="center"/>
                </w:tcPr>
                <w:p w14:paraId="5AFE73F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植物群落变化、动物的活动、分布变化、生境质量变化</w:t>
                  </w:r>
                  <w:r>
                    <w:rPr>
                      <w:rFonts w:hint="eastAsia" w:cs="Times New Roman"/>
                      <w:color w:val="000000" w:themeColor="text1"/>
                      <w:highlight w:val="none"/>
                      <w:lang w:val="en-US" w:eastAsia="zh-CN"/>
                      <w14:textFill>
                        <w14:solidFill>
                          <w14:schemeClr w14:val="tx1"/>
                        </w14:solidFill>
                      </w14:textFill>
                    </w:rPr>
                    <w:t>等</w:t>
                  </w:r>
                </w:p>
              </w:tc>
              <w:tc>
                <w:tcPr>
                  <w:tcW w:w="2123" w:type="dxa"/>
                  <w:tcBorders>
                    <w:tl2br w:val="nil"/>
                    <w:tr2bl w:val="nil"/>
                  </w:tcBorders>
                  <w:noWrap w:val="0"/>
                  <w:vAlign w:val="center"/>
                </w:tcPr>
                <w:p w14:paraId="72E0A16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每个治理点1个监测点位</w:t>
                  </w:r>
                </w:p>
              </w:tc>
              <w:tc>
                <w:tcPr>
                  <w:tcW w:w="1920" w:type="dxa"/>
                  <w:tcBorders>
                    <w:tl2br w:val="nil"/>
                    <w:tr2bl w:val="nil"/>
                  </w:tcBorders>
                  <w:noWrap w:val="0"/>
                  <w:vAlign w:val="center"/>
                </w:tcPr>
                <w:p w14:paraId="1278410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整个施工期至少1次</w:t>
                  </w:r>
                </w:p>
              </w:tc>
            </w:tr>
          </w:tbl>
          <w:p w14:paraId="54E0447F">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⑵运营期环境监测计划</w:t>
            </w:r>
          </w:p>
          <w:p w14:paraId="586FC3A5">
            <w:pPr>
              <w:adjustRightInd w:val="0"/>
              <w:snapToGrid w:val="0"/>
              <w:spacing w:line="360" w:lineRule="auto"/>
              <w:ind w:firstLine="454"/>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运营期环境监测计划见表5-2。运营期</w:t>
            </w:r>
            <w:r>
              <w:rPr>
                <w:rFonts w:hint="eastAsia"/>
                <w:color w:val="000000" w:themeColor="text1"/>
                <w:highlight w:val="none"/>
                <w:lang w:val="en-US" w:eastAsia="zh-CN"/>
                <w14:textFill>
                  <w14:solidFill>
                    <w14:schemeClr w14:val="tx1"/>
                  </w14:solidFill>
                </w14:textFill>
              </w:rPr>
              <w:t>生态环境监测点位布点图见附图5-2。</w:t>
            </w:r>
          </w:p>
          <w:p w14:paraId="27FF53D1">
            <w:pPr>
              <w:pStyle w:val="3"/>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运营期环境监测计划一览表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2"/>
              <w:gridCol w:w="1791"/>
              <w:gridCol w:w="2131"/>
              <w:gridCol w:w="1927"/>
            </w:tblGrid>
            <w:tr w14:paraId="2DAE5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14:paraId="10569DF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时段</w:t>
                  </w:r>
                </w:p>
              </w:tc>
              <w:tc>
                <w:tcPr>
                  <w:tcW w:w="1212" w:type="dxa"/>
                  <w:tcBorders>
                    <w:tl2br w:val="nil"/>
                    <w:tr2bl w:val="nil"/>
                  </w:tcBorders>
                  <w:noWrap w:val="0"/>
                  <w:vAlign w:val="center"/>
                </w:tcPr>
                <w:p w14:paraId="5BD38DF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监测类别</w:t>
                  </w:r>
                </w:p>
              </w:tc>
              <w:tc>
                <w:tcPr>
                  <w:tcW w:w="1791" w:type="dxa"/>
                  <w:tcBorders>
                    <w:tl2br w:val="nil"/>
                    <w:tr2bl w:val="nil"/>
                  </w:tcBorders>
                  <w:noWrap w:val="0"/>
                  <w:vAlign w:val="center"/>
                </w:tcPr>
                <w:p w14:paraId="5A95A03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监测项目</w:t>
                  </w:r>
                </w:p>
              </w:tc>
              <w:tc>
                <w:tcPr>
                  <w:tcW w:w="2131" w:type="dxa"/>
                  <w:tcBorders>
                    <w:tl2br w:val="nil"/>
                    <w:tr2bl w:val="nil"/>
                  </w:tcBorders>
                  <w:noWrap w:val="0"/>
                  <w:vAlign w:val="center"/>
                </w:tcPr>
                <w:p w14:paraId="5E614C4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监测位置</w:t>
                  </w:r>
                </w:p>
              </w:tc>
              <w:tc>
                <w:tcPr>
                  <w:tcW w:w="1927" w:type="dxa"/>
                  <w:tcBorders>
                    <w:tl2br w:val="nil"/>
                    <w:tr2bl w:val="nil"/>
                  </w:tcBorders>
                  <w:noWrap w:val="0"/>
                  <w:vAlign w:val="center"/>
                </w:tcPr>
                <w:p w14:paraId="514F6AE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监测频次</w:t>
                  </w:r>
                </w:p>
              </w:tc>
            </w:tr>
            <w:tr w14:paraId="26764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14:paraId="5980DBC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w:t>
                  </w:r>
                </w:p>
              </w:tc>
              <w:tc>
                <w:tcPr>
                  <w:tcW w:w="1212" w:type="dxa"/>
                  <w:tcBorders>
                    <w:tl2br w:val="nil"/>
                    <w:tr2bl w:val="nil"/>
                  </w:tcBorders>
                  <w:noWrap w:val="0"/>
                  <w:vAlign w:val="center"/>
                </w:tcPr>
                <w:p w14:paraId="24758CE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1791" w:type="dxa"/>
                  <w:tcBorders>
                    <w:tl2br w:val="nil"/>
                    <w:tr2bl w:val="nil"/>
                  </w:tcBorders>
                  <w:noWrap w:val="0"/>
                  <w:vAlign w:val="center"/>
                </w:tcPr>
                <w:p w14:paraId="5D6A3D7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生态治理区范围内，植被成活率、植被覆盖度，生境质量变化</w:t>
                  </w:r>
                  <w:r>
                    <w:rPr>
                      <w:rFonts w:hint="eastAsia" w:cs="Times New Roman"/>
                      <w:color w:val="000000" w:themeColor="text1"/>
                      <w:highlight w:val="none"/>
                      <w:lang w:val="en-US" w:eastAsia="zh-CN"/>
                      <w14:textFill>
                        <w14:solidFill>
                          <w14:schemeClr w14:val="tx1"/>
                        </w14:solidFill>
                      </w14:textFill>
                    </w:rPr>
                    <w:t>等</w:t>
                  </w:r>
                </w:p>
              </w:tc>
              <w:tc>
                <w:tcPr>
                  <w:tcW w:w="2131" w:type="dxa"/>
                  <w:tcBorders>
                    <w:tl2br w:val="nil"/>
                    <w:tr2bl w:val="nil"/>
                  </w:tcBorders>
                  <w:noWrap w:val="0"/>
                  <w:vAlign w:val="center"/>
                </w:tcPr>
                <w:p w14:paraId="3412782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每个治理点1个监测点位</w:t>
                  </w:r>
                </w:p>
              </w:tc>
              <w:tc>
                <w:tcPr>
                  <w:tcW w:w="1927" w:type="dxa"/>
                  <w:tcBorders>
                    <w:tl2br w:val="nil"/>
                    <w:tr2bl w:val="nil"/>
                  </w:tcBorders>
                  <w:noWrap w:val="0"/>
                  <w:vAlign w:val="center"/>
                </w:tcPr>
                <w:p w14:paraId="2EFE368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整个施工期至少1次</w:t>
                  </w:r>
                </w:p>
              </w:tc>
            </w:tr>
          </w:tbl>
          <w:p w14:paraId="22465A69">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p>
        </w:tc>
      </w:tr>
      <w:tr w14:paraId="39CF4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91" w:type="dxa"/>
            <w:noWrap w:val="0"/>
            <w:vAlign w:val="center"/>
          </w:tcPr>
          <w:p w14:paraId="2695E70F">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环保投资</w:t>
            </w:r>
          </w:p>
        </w:tc>
        <w:tc>
          <w:tcPr>
            <w:tcW w:w="8519" w:type="dxa"/>
            <w:noWrap w:val="0"/>
            <w:vAlign w:val="top"/>
          </w:tcPr>
          <w:p w14:paraId="05747FA9">
            <w:pPr>
              <w:keepNext w:val="0"/>
              <w:keepLines w:val="0"/>
              <w:suppressLineNumbers w:val="0"/>
              <w:adjustRightInd w:val="0"/>
              <w:snapToGrid w:val="0"/>
              <w:spacing w:before="0" w:beforeAutospacing="0" w:after="0" w:afterAutospacing="0" w:line="360" w:lineRule="auto"/>
              <w:ind w:left="0" w:right="0" w:firstLine="454" w:firstLineChars="200"/>
              <w:rPr>
                <w:rFonts w:hint="default" w:cs="Times New Roman"/>
                <w:color w:val="000000" w:themeColor="text1"/>
                <w:sz w:val="24"/>
                <w:szCs w:val="32"/>
                <w:highlight w:val="none"/>
                <w14:textFill>
                  <w14:solidFill>
                    <w14:schemeClr w14:val="tx1"/>
                  </w14:solidFill>
                </w14:textFill>
              </w:rPr>
            </w:pPr>
            <w:r>
              <w:rPr>
                <w:rFonts w:hint="default" w:cs="Times New Roman"/>
                <w:color w:val="000000" w:themeColor="text1"/>
                <w:sz w:val="24"/>
                <w:highlight w:val="none"/>
                <w14:textFill>
                  <w14:solidFill>
                    <w14:schemeClr w14:val="tx1"/>
                  </w14:solidFill>
                </w14:textFill>
              </w:rPr>
              <w:t>项目实施预算总投资</w:t>
            </w:r>
            <w:r>
              <w:rPr>
                <w:rFonts w:hint="eastAsia" w:cs="Times New Roman"/>
                <w:color w:val="000000" w:themeColor="text1"/>
                <w:sz w:val="24"/>
                <w:highlight w:val="none"/>
                <w:lang w:val="en-US" w:eastAsia="zh-CN"/>
                <w14:textFill>
                  <w14:solidFill>
                    <w14:schemeClr w14:val="tx1"/>
                  </w14:solidFill>
                </w14:textFill>
              </w:rPr>
              <w:t>266.64</w:t>
            </w:r>
            <w:r>
              <w:rPr>
                <w:rFonts w:hint="default" w:cs="Times New Roman"/>
                <w:color w:val="000000" w:themeColor="text1"/>
                <w:sz w:val="24"/>
                <w:highlight w:val="none"/>
                <w14:textFill>
                  <w14:solidFill>
                    <w14:schemeClr w14:val="tx1"/>
                  </w14:solidFill>
                </w14:textFill>
              </w:rPr>
              <w:t>万元，</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项目为历史遗留废弃矿山地质环境进行生态修复治理，项目投资全部为环保投资，环保投资占总投资的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，项目环保投资统计情况见表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5-</w:t>
            </w:r>
            <w:r>
              <w:rPr>
                <w:rFonts w:hint="eastAsia" w:cs="Times New Roman"/>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299182BB">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 xml:space="preserve">  环保投资情况表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804"/>
              <w:gridCol w:w="3792"/>
              <w:gridCol w:w="1310"/>
              <w:gridCol w:w="760"/>
            </w:tblGrid>
            <w:tr w14:paraId="32FB5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noWrap w:val="0"/>
                  <w:vAlign w:val="center"/>
                </w:tcPr>
                <w:p w14:paraId="1BEBAF6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时段</w:t>
                  </w:r>
                </w:p>
              </w:tc>
              <w:tc>
                <w:tcPr>
                  <w:tcW w:w="1804" w:type="dxa"/>
                  <w:tcBorders>
                    <w:tl2br w:val="nil"/>
                    <w:tr2bl w:val="nil"/>
                  </w:tcBorders>
                  <w:noWrap w:val="0"/>
                  <w:vAlign w:val="center"/>
                </w:tcPr>
                <w:p w14:paraId="4DD6CF0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项目</w:t>
                  </w:r>
                </w:p>
              </w:tc>
              <w:tc>
                <w:tcPr>
                  <w:tcW w:w="3792" w:type="dxa"/>
                  <w:tcBorders>
                    <w:tl2br w:val="nil"/>
                    <w:tr2bl w:val="nil"/>
                  </w:tcBorders>
                  <w:noWrap w:val="0"/>
                  <w:vAlign w:val="center"/>
                </w:tcPr>
                <w:p w14:paraId="6E41A6E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内容</w:t>
                  </w:r>
                </w:p>
              </w:tc>
              <w:tc>
                <w:tcPr>
                  <w:tcW w:w="1310" w:type="dxa"/>
                  <w:tcBorders>
                    <w:tl2br w:val="nil"/>
                    <w:tr2bl w:val="nil"/>
                  </w:tcBorders>
                  <w:noWrap w:val="0"/>
                  <w:vAlign w:val="center"/>
                </w:tcPr>
                <w:p w14:paraId="17CD123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投资金额</w:t>
                  </w:r>
                </w:p>
                <w:p w14:paraId="6135BB3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(万元)</w:t>
                  </w:r>
                </w:p>
              </w:tc>
              <w:tc>
                <w:tcPr>
                  <w:tcW w:w="760" w:type="dxa"/>
                  <w:tcBorders>
                    <w:tl2br w:val="nil"/>
                    <w:tr2bl w:val="nil"/>
                  </w:tcBorders>
                  <w:noWrap w:val="0"/>
                  <w:vAlign w:val="center"/>
                </w:tcPr>
                <w:p w14:paraId="7FAEC9B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比例</w:t>
                  </w:r>
                </w:p>
              </w:tc>
            </w:tr>
            <w:tr w14:paraId="15D64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noWrap w:val="0"/>
                  <w:vAlign w:val="center"/>
                </w:tcPr>
                <w:p w14:paraId="2E29F07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前期</w:t>
                  </w:r>
                </w:p>
              </w:tc>
              <w:tc>
                <w:tcPr>
                  <w:tcW w:w="1804" w:type="dxa"/>
                  <w:tcBorders>
                    <w:tl2br w:val="nil"/>
                    <w:tr2bl w:val="nil"/>
                  </w:tcBorders>
                  <w:noWrap w:val="0"/>
                  <w:vAlign w:val="center"/>
                </w:tcPr>
                <w:p w14:paraId="025CD7C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设计、勘</w:t>
                  </w:r>
                  <w:r>
                    <w:rPr>
                      <w:rFonts w:hint="eastAsia" w:cs="Times New Roman"/>
                      <w:color w:val="000000" w:themeColor="text1"/>
                      <w:highlight w:val="none"/>
                      <w:lang w:val="en-US" w:eastAsia="zh-CN"/>
                      <w14:textFill>
                        <w14:solidFill>
                          <w14:schemeClr w14:val="tx1"/>
                        </w14:solidFill>
                      </w14:textFill>
                    </w:rPr>
                    <w:t>测</w:t>
                  </w:r>
                </w:p>
              </w:tc>
              <w:tc>
                <w:tcPr>
                  <w:tcW w:w="3792" w:type="dxa"/>
                  <w:tcBorders>
                    <w:tl2br w:val="nil"/>
                    <w:tr2bl w:val="nil"/>
                  </w:tcBorders>
                  <w:noWrap w:val="0"/>
                  <w:vAlign w:val="center"/>
                </w:tcPr>
                <w:p w14:paraId="72062F0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项目前期设计、勘测、水保、管理等</w:t>
                  </w:r>
                </w:p>
              </w:tc>
              <w:tc>
                <w:tcPr>
                  <w:tcW w:w="1310" w:type="dxa"/>
                  <w:tcBorders>
                    <w:tl2br w:val="nil"/>
                    <w:tr2bl w:val="nil"/>
                  </w:tcBorders>
                  <w:noWrap w:val="0"/>
                  <w:vAlign w:val="center"/>
                </w:tcPr>
                <w:p w14:paraId="7CEBD5D0">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7.77</w:t>
                  </w:r>
                </w:p>
              </w:tc>
              <w:tc>
                <w:tcPr>
                  <w:tcW w:w="760" w:type="dxa"/>
                  <w:tcBorders>
                    <w:tl2br w:val="nil"/>
                    <w:tr2bl w:val="nil"/>
                  </w:tcBorders>
                  <w:noWrap w:val="0"/>
                  <w:vAlign w:val="center"/>
                </w:tcPr>
                <w:p w14:paraId="664C9B3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2.91</w:t>
                  </w:r>
                </w:p>
              </w:tc>
            </w:tr>
            <w:tr w14:paraId="370D1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noWrap w:val="0"/>
                  <w:vAlign w:val="center"/>
                </w:tcPr>
                <w:p w14:paraId="0079016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施工期</w:t>
                  </w:r>
                </w:p>
              </w:tc>
              <w:tc>
                <w:tcPr>
                  <w:tcW w:w="1804" w:type="dxa"/>
                  <w:vMerge w:val="restart"/>
                  <w:tcBorders>
                    <w:tl2br w:val="nil"/>
                    <w:tr2bl w:val="nil"/>
                  </w:tcBorders>
                  <w:noWrap w:val="0"/>
                  <w:vAlign w:val="center"/>
                </w:tcPr>
                <w:p w14:paraId="60D5B60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生态环境影响减缓措施</w:t>
                  </w:r>
                </w:p>
              </w:tc>
              <w:tc>
                <w:tcPr>
                  <w:tcW w:w="3792" w:type="dxa"/>
                  <w:tcBorders>
                    <w:tl2br w:val="nil"/>
                    <w:tr2bl w:val="nil"/>
                  </w:tcBorders>
                  <w:noWrap w:val="0"/>
                  <w:vAlign w:val="center"/>
                </w:tcPr>
                <w:p w14:paraId="4C9B639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地形地貌恢复工程</w:t>
                  </w:r>
                </w:p>
              </w:tc>
              <w:tc>
                <w:tcPr>
                  <w:tcW w:w="1310" w:type="dxa"/>
                  <w:tcBorders>
                    <w:tl2br w:val="nil"/>
                    <w:tr2bl w:val="nil"/>
                  </w:tcBorders>
                  <w:noWrap w:val="0"/>
                  <w:vAlign w:val="center"/>
                </w:tcPr>
                <w:p w14:paraId="2F31E2D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p>
              </w:tc>
              <w:tc>
                <w:tcPr>
                  <w:tcW w:w="760" w:type="dxa"/>
                  <w:tcBorders>
                    <w:tl2br w:val="nil"/>
                    <w:tr2bl w:val="nil"/>
                  </w:tcBorders>
                  <w:noWrap w:val="0"/>
                  <w:vAlign w:val="center"/>
                </w:tcPr>
                <w:p w14:paraId="535D28AF">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9.00</w:t>
                  </w:r>
                </w:p>
              </w:tc>
            </w:tr>
            <w:tr w14:paraId="27AEE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498550E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vMerge w:val="continue"/>
                  <w:tcBorders>
                    <w:tl2br w:val="nil"/>
                    <w:tr2bl w:val="nil"/>
                  </w:tcBorders>
                  <w:noWrap w:val="0"/>
                  <w:vAlign w:val="center"/>
                </w:tcPr>
                <w:p w14:paraId="7F21441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792" w:type="dxa"/>
                  <w:tcBorders>
                    <w:tl2br w:val="nil"/>
                    <w:tr2bl w:val="nil"/>
                  </w:tcBorders>
                  <w:noWrap w:val="0"/>
                  <w:vAlign w:val="center"/>
                </w:tcPr>
                <w:p w14:paraId="15138A0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截排水工程</w:t>
                  </w:r>
                </w:p>
              </w:tc>
              <w:tc>
                <w:tcPr>
                  <w:tcW w:w="1310" w:type="dxa"/>
                  <w:tcBorders>
                    <w:tl2br w:val="nil"/>
                    <w:tr2bl w:val="nil"/>
                  </w:tcBorders>
                  <w:noWrap w:val="0"/>
                  <w:vAlign w:val="center"/>
                </w:tcPr>
                <w:p w14:paraId="1BA30F0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5.25</w:t>
                  </w:r>
                </w:p>
              </w:tc>
              <w:tc>
                <w:tcPr>
                  <w:tcW w:w="760" w:type="dxa"/>
                  <w:tcBorders>
                    <w:tl2br w:val="nil"/>
                    <w:tr2bl w:val="nil"/>
                  </w:tcBorders>
                  <w:noWrap w:val="0"/>
                  <w:vAlign w:val="center"/>
                </w:tcPr>
                <w:p w14:paraId="0EAB54E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1.97</w:t>
                  </w:r>
                </w:p>
              </w:tc>
            </w:tr>
            <w:tr w14:paraId="4159D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3F44ED2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vMerge w:val="continue"/>
                  <w:tcBorders>
                    <w:tl2br w:val="nil"/>
                    <w:tr2bl w:val="nil"/>
                  </w:tcBorders>
                  <w:noWrap w:val="0"/>
                  <w:vAlign w:val="center"/>
                </w:tcPr>
                <w:p w14:paraId="052B53A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792" w:type="dxa"/>
                  <w:tcBorders>
                    <w:tl2br w:val="nil"/>
                    <w:tr2bl w:val="nil"/>
                  </w:tcBorders>
                  <w:noWrap w:val="0"/>
                  <w:vAlign w:val="center"/>
                </w:tcPr>
                <w:p w14:paraId="23019B3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生态植被恢复工程</w:t>
                  </w:r>
                </w:p>
              </w:tc>
              <w:tc>
                <w:tcPr>
                  <w:tcW w:w="1310" w:type="dxa"/>
                  <w:tcBorders>
                    <w:tl2br w:val="nil"/>
                    <w:tr2bl w:val="nil"/>
                  </w:tcBorders>
                  <w:noWrap w:val="0"/>
                  <w:vAlign w:val="center"/>
                </w:tcPr>
                <w:p w14:paraId="61D9DB3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181.34</w:t>
                  </w:r>
                </w:p>
              </w:tc>
              <w:tc>
                <w:tcPr>
                  <w:tcW w:w="760" w:type="dxa"/>
                  <w:tcBorders>
                    <w:tl2br w:val="nil"/>
                    <w:tr2bl w:val="nil"/>
                  </w:tcBorders>
                  <w:noWrap w:val="0"/>
                  <w:vAlign w:val="center"/>
                </w:tcPr>
                <w:p w14:paraId="6DC729C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68.01</w:t>
                  </w:r>
                </w:p>
              </w:tc>
            </w:tr>
            <w:tr w14:paraId="79785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1E1021E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tcBorders>
                    <w:tl2br w:val="nil"/>
                    <w:tr2bl w:val="nil"/>
                  </w:tcBorders>
                  <w:noWrap w:val="0"/>
                  <w:vAlign w:val="center"/>
                </w:tcPr>
                <w:p w14:paraId="0692497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大气环境</w:t>
                  </w:r>
                </w:p>
              </w:tc>
              <w:tc>
                <w:tcPr>
                  <w:tcW w:w="3792" w:type="dxa"/>
                  <w:tcBorders>
                    <w:tl2br w:val="nil"/>
                    <w:tr2bl w:val="nil"/>
                  </w:tcBorders>
                  <w:noWrap w:val="0"/>
                  <w:vAlign w:val="center"/>
                </w:tcPr>
                <w:p w14:paraId="7209A4C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根据施工过程的实际情况，</w:t>
                  </w:r>
                  <w:r>
                    <w:rPr>
                      <w:rFonts w:hint="eastAsia" w:cs="Times New Roman"/>
                      <w:color w:val="000000" w:themeColor="text1"/>
                      <w:kern w:val="0"/>
                      <w:sz w:val="21"/>
                      <w:szCs w:val="21"/>
                      <w:highlight w:val="none"/>
                      <w:lang w:val="en-US" w:eastAsia="zh-CN" w:bidi="ar-SA"/>
                      <w14:textFill>
                        <w14:solidFill>
                          <w14:schemeClr w14:val="tx1"/>
                        </w14:solidFill>
                      </w14:textFill>
                    </w:rPr>
                    <w:t>施工场地设围栏</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；避免在大风日以及夏季暴雨时节施工，尽可能缩短施工时间；加强施工区的规划管理：如在大风天气，对散料堆场应采用水喷淋法防尘；汽车运输加盖</w:t>
                  </w:r>
                  <w:r>
                    <w:rPr>
                      <w:rFonts w:hint="eastAsia" w:cs="Times New Roman"/>
                      <w:color w:val="000000" w:themeColor="text1"/>
                      <w:kern w:val="0"/>
                      <w:sz w:val="21"/>
                      <w:szCs w:val="21"/>
                      <w:highlight w:val="none"/>
                      <w:lang w:val="en-US" w:eastAsia="zh-CN" w:bidi="ar-SA"/>
                      <w14:textFill>
                        <w14:solidFill>
                          <w14:schemeClr w14:val="tx1"/>
                        </w14:solidFill>
                      </w14:textFill>
                    </w:rPr>
                    <w:t>篷布</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、控制车速；运输车辆进出的主干道应定期洒水清扫；加强对施工机械、车辆的维修保养；对施工废料设置围栏、定期洒水降尘</w:t>
                  </w:r>
                </w:p>
              </w:tc>
              <w:tc>
                <w:tcPr>
                  <w:tcW w:w="1310" w:type="dxa"/>
                  <w:tcBorders>
                    <w:tl2br w:val="nil"/>
                    <w:tr2bl w:val="nil"/>
                  </w:tcBorders>
                  <w:noWrap w:val="0"/>
                  <w:vAlign w:val="center"/>
                </w:tcPr>
                <w:p w14:paraId="59D8FD1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760" w:type="dxa"/>
                  <w:tcBorders>
                    <w:tl2br w:val="nil"/>
                    <w:tr2bl w:val="nil"/>
                  </w:tcBorders>
                  <w:noWrap w:val="0"/>
                  <w:vAlign w:val="center"/>
                </w:tcPr>
                <w:p w14:paraId="670CA92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1.88</w:t>
                  </w:r>
                </w:p>
              </w:tc>
            </w:tr>
            <w:tr w14:paraId="47FD7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7F501E4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tcBorders>
                    <w:tl2br w:val="nil"/>
                    <w:tr2bl w:val="nil"/>
                  </w:tcBorders>
                  <w:noWrap w:val="0"/>
                  <w:vAlign w:val="center"/>
                </w:tcPr>
                <w:p w14:paraId="5AB6FC43">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声环境</w:t>
                  </w:r>
                </w:p>
              </w:tc>
              <w:tc>
                <w:tcPr>
                  <w:tcW w:w="3792" w:type="dxa"/>
                  <w:tcBorders>
                    <w:tl2br w:val="nil"/>
                    <w:tr2bl w:val="nil"/>
                  </w:tcBorders>
                  <w:noWrap w:val="0"/>
                  <w:vAlign w:val="center"/>
                </w:tcPr>
                <w:p w14:paraId="14FE607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合理安排施工时间，优化运输路线，车辆减速慢行、禁止鸣笛</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选用低噪声设备</w:t>
                  </w:r>
                  <w:r>
                    <w:rPr>
                      <w:rFonts w:hint="eastAsia" w:cs="Times New Roman"/>
                      <w:color w:val="000000" w:themeColor="text1"/>
                      <w:highlight w:val="none"/>
                      <w:lang w:eastAsia="zh-CN"/>
                      <w14:textFill>
                        <w14:solidFill>
                          <w14:schemeClr w14:val="tx1"/>
                        </w14:solidFill>
                      </w14:textFill>
                    </w:rPr>
                    <w:t>。</w:t>
                  </w:r>
                </w:p>
              </w:tc>
              <w:tc>
                <w:tcPr>
                  <w:tcW w:w="1310" w:type="dxa"/>
                  <w:tcBorders>
                    <w:tl2br w:val="nil"/>
                    <w:tr2bl w:val="nil"/>
                  </w:tcBorders>
                  <w:noWrap w:val="0"/>
                  <w:vAlign w:val="center"/>
                </w:tcPr>
                <w:p w14:paraId="6AC51F46">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760" w:type="dxa"/>
                  <w:tcBorders>
                    <w:tl2br w:val="nil"/>
                    <w:tr2bl w:val="nil"/>
                  </w:tcBorders>
                  <w:noWrap w:val="0"/>
                  <w:vAlign w:val="center"/>
                </w:tcPr>
                <w:p w14:paraId="09E7760D">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1.88</w:t>
                  </w:r>
                </w:p>
              </w:tc>
            </w:tr>
            <w:tr w14:paraId="24603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451495E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tcBorders>
                    <w:tl2br w:val="nil"/>
                    <w:tr2bl w:val="nil"/>
                  </w:tcBorders>
                  <w:noWrap w:val="0"/>
                  <w:vAlign w:val="center"/>
                </w:tcPr>
                <w:p w14:paraId="011BC38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固体废物</w:t>
                  </w:r>
                </w:p>
              </w:tc>
              <w:tc>
                <w:tcPr>
                  <w:tcW w:w="3792" w:type="dxa"/>
                  <w:tcBorders>
                    <w:tl2br w:val="nil"/>
                    <w:tr2bl w:val="nil"/>
                  </w:tcBorders>
                  <w:noWrap w:val="0"/>
                  <w:vAlign w:val="center"/>
                </w:tcPr>
                <w:p w14:paraId="7A195F4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施工期的固体废弃物主要来源为生活垃圾。生活垃圾集中分类收集后送至邻近村庄生活垃圾收集点，由当地环卫部门统一清运处置</w:t>
                  </w:r>
                </w:p>
              </w:tc>
              <w:tc>
                <w:tcPr>
                  <w:tcW w:w="1310" w:type="dxa"/>
                  <w:tcBorders>
                    <w:tl2br w:val="nil"/>
                    <w:tr2bl w:val="nil"/>
                  </w:tcBorders>
                  <w:noWrap w:val="0"/>
                  <w:vAlign w:val="center"/>
                </w:tcPr>
                <w:p w14:paraId="62F0F27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2.29</w:t>
                  </w:r>
                </w:p>
              </w:tc>
              <w:tc>
                <w:tcPr>
                  <w:tcW w:w="760" w:type="dxa"/>
                  <w:tcBorders>
                    <w:tl2br w:val="nil"/>
                    <w:tr2bl w:val="nil"/>
                  </w:tcBorders>
                  <w:noWrap w:val="0"/>
                  <w:vAlign w:val="center"/>
                </w:tcPr>
                <w:p w14:paraId="0A8DC931">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0.85</w:t>
                  </w:r>
                </w:p>
              </w:tc>
            </w:tr>
            <w:tr w14:paraId="360BE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57D3FA0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tcBorders>
                    <w:tl2br w:val="nil"/>
                    <w:tr2bl w:val="nil"/>
                  </w:tcBorders>
                  <w:noWrap w:val="0"/>
                  <w:vAlign w:val="center"/>
                </w:tcPr>
                <w:p w14:paraId="6D5143B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highlight w:val="none"/>
                      <w14:textFill>
                        <w14:solidFill>
                          <w14:schemeClr w14:val="tx1"/>
                        </w14:solidFill>
                      </w14:textFill>
                    </w:rPr>
                    <w:t>环境管理监测</w:t>
                  </w:r>
                </w:p>
              </w:tc>
              <w:tc>
                <w:tcPr>
                  <w:tcW w:w="3792" w:type="dxa"/>
                  <w:tcBorders>
                    <w:tl2br w:val="nil"/>
                    <w:tr2bl w:val="nil"/>
                  </w:tcBorders>
                  <w:noWrap w:val="0"/>
                  <w:vAlign w:val="center"/>
                </w:tcPr>
                <w:p w14:paraId="25AB99C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highlight w:val="none"/>
                      <w14:textFill>
                        <w14:solidFill>
                          <w14:schemeClr w14:val="tx1"/>
                        </w14:solidFill>
                      </w14:textFill>
                    </w:rPr>
                    <w:t>环境管理及监测</w:t>
                  </w:r>
                </w:p>
              </w:tc>
              <w:tc>
                <w:tcPr>
                  <w:tcW w:w="1310" w:type="dxa"/>
                  <w:tcBorders>
                    <w:tl2br w:val="nil"/>
                    <w:tr2bl w:val="nil"/>
                  </w:tcBorders>
                  <w:noWrap w:val="0"/>
                  <w:vAlign w:val="center"/>
                </w:tcPr>
                <w:p w14:paraId="2B63BE5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760" w:type="dxa"/>
                  <w:tcBorders>
                    <w:tl2br w:val="nil"/>
                    <w:tr2bl w:val="nil"/>
                  </w:tcBorders>
                  <w:noWrap w:val="0"/>
                  <w:vAlign w:val="center"/>
                </w:tcPr>
                <w:p w14:paraId="7D2E969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3.75</w:t>
                  </w:r>
                </w:p>
              </w:tc>
            </w:tr>
            <w:tr w14:paraId="0E225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noWrap w:val="0"/>
                  <w:vAlign w:val="center"/>
                </w:tcPr>
                <w:p w14:paraId="3B47A24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运营期</w:t>
                  </w:r>
                </w:p>
              </w:tc>
              <w:tc>
                <w:tcPr>
                  <w:tcW w:w="1804" w:type="dxa"/>
                  <w:tcBorders>
                    <w:tl2br w:val="nil"/>
                    <w:tr2bl w:val="nil"/>
                  </w:tcBorders>
                  <w:noWrap w:val="0"/>
                  <w:vAlign w:val="center"/>
                </w:tcPr>
                <w:p w14:paraId="2B83446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植被养护</w:t>
                  </w:r>
                </w:p>
              </w:tc>
              <w:tc>
                <w:tcPr>
                  <w:tcW w:w="3792" w:type="dxa"/>
                  <w:tcBorders>
                    <w:tl2br w:val="nil"/>
                    <w:tr2bl w:val="nil"/>
                  </w:tcBorders>
                  <w:noWrap w:val="0"/>
                  <w:vAlign w:val="center"/>
                </w:tcPr>
                <w:p w14:paraId="7C4C4A5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为期3年的植被养护，主要养护方式为洒水</w:t>
                  </w:r>
                </w:p>
              </w:tc>
              <w:tc>
                <w:tcPr>
                  <w:tcW w:w="1310" w:type="dxa"/>
                  <w:tcBorders>
                    <w:tl2br w:val="nil"/>
                    <w:tr2bl w:val="nil"/>
                  </w:tcBorders>
                  <w:noWrap w:val="0"/>
                  <w:vAlign w:val="center"/>
                </w:tcPr>
                <w:p w14:paraId="3720F028">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760" w:type="dxa"/>
                  <w:tcBorders>
                    <w:tl2br w:val="nil"/>
                    <w:tr2bl w:val="nil"/>
                  </w:tcBorders>
                  <w:noWrap w:val="0"/>
                  <w:vAlign w:val="center"/>
                </w:tcPr>
                <w:p w14:paraId="40F43D7E">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7.50</w:t>
                  </w:r>
                </w:p>
              </w:tc>
            </w:tr>
            <w:tr w14:paraId="0C49B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37CA2E3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1804" w:type="dxa"/>
                  <w:tcBorders>
                    <w:tl2br w:val="nil"/>
                    <w:tr2bl w:val="nil"/>
                  </w:tcBorders>
                  <w:noWrap w:val="0"/>
                  <w:vAlign w:val="center"/>
                </w:tcPr>
                <w:p w14:paraId="14ED6C81">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环境管理监测</w:t>
                  </w:r>
                </w:p>
              </w:tc>
              <w:tc>
                <w:tcPr>
                  <w:tcW w:w="3792" w:type="dxa"/>
                  <w:tcBorders>
                    <w:tl2br w:val="nil"/>
                    <w:tr2bl w:val="nil"/>
                  </w:tcBorders>
                  <w:noWrap w:val="0"/>
                  <w:vAlign w:val="center"/>
                </w:tcPr>
                <w:p w14:paraId="3C08F58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环境管理及监测</w:t>
                  </w:r>
                </w:p>
              </w:tc>
              <w:tc>
                <w:tcPr>
                  <w:tcW w:w="1310" w:type="dxa"/>
                  <w:tcBorders>
                    <w:tl2br w:val="nil"/>
                    <w:tr2bl w:val="nil"/>
                  </w:tcBorders>
                  <w:noWrap w:val="0"/>
                  <w:vAlign w:val="center"/>
                </w:tcPr>
                <w:p w14:paraId="2A733CD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760" w:type="dxa"/>
                  <w:tcBorders>
                    <w:tl2br w:val="nil"/>
                    <w:tr2bl w:val="nil"/>
                  </w:tcBorders>
                  <w:noWrap w:val="0"/>
                  <w:vAlign w:val="center"/>
                </w:tcPr>
                <w:p w14:paraId="6C9F48F4">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2.25</w:t>
                  </w:r>
                </w:p>
              </w:tc>
            </w:tr>
            <w:tr w14:paraId="70900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dxa"/>
                  <w:tcBorders>
                    <w:tl2br w:val="nil"/>
                    <w:tr2bl w:val="nil"/>
                  </w:tcBorders>
                  <w:noWrap w:val="0"/>
                  <w:vAlign w:val="center"/>
                </w:tcPr>
                <w:p w14:paraId="1B0800C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合计</w:t>
                  </w:r>
                </w:p>
              </w:tc>
              <w:tc>
                <w:tcPr>
                  <w:tcW w:w="1804" w:type="dxa"/>
                  <w:tcBorders>
                    <w:tl2br w:val="nil"/>
                    <w:tr2bl w:val="nil"/>
                  </w:tcBorders>
                  <w:noWrap w:val="0"/>
                  <w:vAlign w:val="center"/>
                </w:tcPr>
                <w:p w14:paraId="0627B97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3792" w:type="dxa"/>
                  <w:tcBorders>
                    <w:tl2br w:val="nil"/>
                    <w:tr2bl w:val="nil"/>
                  </w:tcBorders>
                  <w:noWrap w:val="0"/>
                  <w:vAlign w:val="center"/>
                </w:tcPr>
                <w:p w14:paraId="6C443BC8">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310" w:type="dxa"/>
                  <w:tcBorders>
                    <w:tl2br w:val="nil"/>
                    <w:tr2bl w:val="nil"/>
                  </w:tcBorders>
                  <w:noWrap w:val="0"/>
                  <w:vAlign w:val="center"/>
                </w:tcPr>
                <w:p w14:paraId="43D330F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266.64</w:t>
                  </w:r>
                </w:p>
              </w:tc>
              <w:tc>
                <w:tcPr>
                  <w:tcW w:w="760" w:type="dxa"/>
                  <w:tcBorders>
                    <w:tl2br w:val="nil"/>
                    <w:tr2bl w:val="nil"/>
                  </w:tcBorders>
                  <w:noWrap w:val="0"/>
                  <w:vAlign w:val="center"/>
                </w:tcPr>
                <w:p w14:paraId="5E7F14A2">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100</w:t>
                  </w:r>
                </w:p>
              </w:tc>
            </w:tr>
          </w:tbl>
          <w:p w14:paraId="29D55830">
            <w:pPr>
              <w:pStyle w:val="9"/>
              <w:rPr>
                <w:rFonts w:hint="default"/>
                <w:color w:val="000000" w:themeColor="text1"/>
                <w:highlight w:val="none"/>
                <w14:textFill>
                  <w14:solidFill>
                    <w14:schemeClr w14:val="tx1"/>
                  </w14:solidFill>
                </w14:textFill>
              </w:rPr>
            </w:pPr>
          </w:p>
          <w:p w14:paraId="4CE6B28F">
            <w:pPr>
              <w:rPr>
                <w:rFonts w:hint="default"/>
                <w:color w:val="000000" w:themeColor="text1"/>
                <w:highlight w:val="none"/>
                <w14:textFill>
                  <w14:solidFill>
                    <w14:schemeClr w14:val="tx1"/>
                  </w14:solidFill>
                </w14:textFill>
              </w:rPr>
            </w:pPr>
          </w:p>
          <w:p w14:paraId="1D907E07">
            <w:pPr>
              <w:rPr>
                <w:rFonts w:hint="default"/>
                <w:color w:val="000000" w:themeColor="text1"/>
                <w:highlight w:val="none"/>
                <w14:textFill>
                  <w14:solidFill>
                    <w14:schemeClr w14:val="tx1"/>
                  </w14:solidFill>
                </w14:textFill>
              </w:rPr>
            </w:pPr>
          </w:p>
          <w:p w14:paraId="04FE63B4">
            <w:pPr>
              <w:rPr>
                <w:rFonts w:hint="default"/>
                <w:color w:val="000000" w:themeColor="text1"/>
                <w:highlight w:val="none"/>
                <w14:textFill>
                  <w14:solidFill>
                    <w14:schemeClr w14:val="tx1"/>
                  </w14:solidFill>
                </w14:textFill>
              </w:rPr>
            </w:pPr>
          </w:p>
          <w:p w14:paraId="0D684886">
            <w:pPr>
              <w:rPr>
                <w:rFonts w:hint="default"/>
                <w:color w:val="000000" w:themeColor="text1"/>
                <w:highlight w:val="none"/>
                <w14:textFill>
                  <w14:solidFill>
                    <w14:schemeClr w14:val="tx1"/>
                  </w14:solidFill>
                </w14:textFill>
              </w:rPr>
            </w:pPr>
          </w:p>
          <w:p w14:paraId="31C8FA16">
            <w:pPr>
              <w:rPr>
                <w:rFonts w:hint="default"/>
                <w:color w:val="000000" w:themeColor="text1"/>
                <w:highlight w:val="none"/>
                <w14:textFill>
                  <w14:solidFill>
                    <w14:schemeClr w14:val="tx1"/>
                  </w14:solidFill>
                </w14:textFill>
              </w:rPr>
            </w:pPr>
          </w:p>
          <w:p w14:paraId="47DA2D39">
            <w:pPr>
              <w:rPr>
                <w:rFonts w:hint="default"/>
                <w:color w:val="000000" w:themeColor="text1"/>
                <w:highlight w:val="none"/>
                <w14:textFill>
                  <w14:solidFill>
                    <w14:schemeClr w14:val="tx1"/>
                  </w14:solidFill>
                </w14:textFill>
              </w:rPr>
            </w:pPr>
          </w:p>
          <w:p w14:paraId="415FA0AC">
            <w:pPr>
              <w:rPr>
                <w:rFonts w:hint="default"/>
                <w:color w:val="000000" w:themeColor="text1"/>
                <w:highlight w:val="none"/>
                <w14:textFill>
                  <w14:solidFill>
                    <w14:schemeClr w14:val="tx1"/>
                  </w14:solidFill>
                </w14:textFill>
              </w:rPr>
            </w:pPr>
          </w:p>
          <w:p w14:paraId="39B5F359">
            <w:pPr>
              <w:rPr>
                <w:rFonts w:hint="default"/>
                <w:color w:val="000000" w:themeColor="text1"/>
                <w:highlight w:val="none"/>
                <w14:textFill>
                  <w14:solidFill>
                    <w14:schemeClr w14:val="tx1"/>
                  </w14:solidFill>
                </w14:textFill>
              </w:rPr>
            </w:pPr>
          </w:p>
          <w:p w14:paraId="4C5C45AF">
            <w:pPr>
              <w:rPr>
                <w:rFonts w:hint="default"/>
                <w:color w:val="000000" w:themeColor="text1"/>
                <w:highlight w:val="none"/>
                <w14:textFill>
                  <w14:solidFill>
                    <w14:schemeClr w14:val="tx1"/>
                  </w14:solidFill>
                </w14:textFill>
              </w:rPr>
            </w:pPr>
          </w:p>
          <w:p w14:paraId="40FB08E3">
            <w:pPr>
              <w:rPr>
                <w:rFonts w:hint="default"/>
                <w:color w:val="000000" w:themeColor="text1"/>
                <w:highlight w:val="none"/>
                <w14:textFill>
                  <w14:solidFill>
                    <w14:schemeClr w14:val="tx1"/>
                  </w14:solidFill>
                </w14:textFill>
              </w:rPr>
            </w:pPr>
          </w:p>
          <w:p w14:paraId="74F74A5E">
            <w:pPr>
              <w:rPr>
                <w:rFonts w:hint="default"/>
                <w:color w:val="000000" w:themeColor="text1"/>
                <w:highlight w:val="none"/>
                <w14:textFill>
                  <w14:solidFill>
                    <w14:schemeClr w14:val="tx1"/>
                  </w14:solidFill>
                </w14:textFill>
              </w:rPr>
            </w:pPr>
          </w:p>
          <w:p w14:paraId="7343B0C9">
            <w:pPr>
              <w:rPr>
                <w:rFonts w:hint="default"/>
                <w:color w:val="000000" w:themeColor="text1"/>
                <w:highlight w:val="none"/>
                <w14:textFill>
                  <w14:solidFill>
                    <w14:schemeClr w14:val="tx1"/>
                  </w14:solidFill>
                </w14:textFill>
              </w:rPr>
            </w:pPr>
          </w:p>
          <w:p w14:paraId="29ABDD13">
            <w:pPr>
              <w:rPr>
                <w:rFonts w:hint="default"/>
                <w:color w:val="000000" w:themeColor="text1"/>
                <w:highlight w:val="none"/>
                <w14:textFill>
                  <w14:solidFill>
                    <w14:schemeClr w14:val="tx1"/>
                  </w14:solidFill>
                </w14:textFill>
              </w:rPr>
            </w:pPr>
          </w:p>
          <w:p w14:paraId="6C54C6B2">
            <w:pPr>
              <w:rPr>
                <w:rFonts w:hint="default"/>
                <w:color w:val="000000" w:themeColor="text1"/>
                <w:highlight w:val="none"/>
                <w14:textFill>
                  <w14:solidFill>
                    <w14:schemeClr w14:val="tx1"/>
                  </w14:solidFill>
                </w14:textFill>
              </w:rPr>
            </w:pPr>
          </w:p>
          <w:p w14:paraId="34E25A5E">
            <w:pPr>
              <w:rPr>
                <w:rFonts w:hint="default"/>
                <w:color w:val="000000" w:themeColor="text1"/>
                <w:highlight w:val="none"/>
                <w14:textFill>
                  <w14:solidFill>
                    <w14:schemeClr w14:val="tx1"/>
                  </w14:solidFill>
                </w14:textFill>
              </w:rPr>
            </w:pPr>
          </w:p>
          <w:p w14:paraId="5AF3EB76">
            <w:pPr>
              <w:rPr>
                <w:rFonts w:hint="default"/>
                <w:color w:val="000000" w:themeColor="text1"/>
                <w:highlight w:val="none"/>
                <w14:textFill>
                  <w14:solidFill>
                    <w14:schemeClr w14:val="tx1"/>
                  </w14:solidFill>
                </w14:textFill>
              </w:rPr>
            </w:pPr>
          </w:p>
          <w:p w14:paraId="6CD1AFBE">
            <w:pPr>
              <w:rPr>
                <w:rFonts w:hint="default"/>
                <w:color w:val="000000" w:themeColor="text1"/>
                <w:highlight w:val="none"/>
                <w14:textFill>
                  <w14:solidFill>
                    <w14:schemeClr w14:val="tx1"/>
                  </w14:solidFill>
                </w14:textFill>
              </w:rPr>
            </w:pPr>
          </w:p>
          <w:p w14:paraId="61FD5BBE">
            <w:pPr>
              <w:rPr>
                <w:rFonts w:hint="default"/>
                <w:color w:val="000000" w:themeColor="text1"/>
                <w:highlight w:val="none"/>
                <w14:textFill>
                  <w14:solidFill>
                    <w14:schemeClr w14:val="tx1"/>
                  </w14:solidFill>
                </w14:textFill>
              </w:rPr>
            </w:pPr>
          </w:p>
          <w:p w14:paraId="6B8A4B65">
            <w:pPr>
              <w:rPr>
                <w:rFonts w:hint="default"/>
                <w:color w:val="000000" w:themeColor="text1"/>
                <w:highlight w:val="none"/>
                <w14:textFill>
                  <w14:solidFill>
                    <w14:schemeClr w14:val="tx1"/>
                  </w14:solidFill>
                </w14:textFill>
              </w:rPr>
            </w:pPr>
          </w:p>
          <w:p w14:paraId="255C9520">
            <w:pPr>
              <w:rPr>
                <w:rFonts w:hint="default"/>
                <w:color w:val="000000" w:themeColor="text1"/>
                <w:highlight w:val="none"/>
                <w14:textFill>
                  <w14:solidFill>
                    <w14:schemeClr w14:val="tx1"/>
                  </w14:solidFill>
                </w14:textFill>
              </w:rPr>
            </w:pPr>
          </w:p>
          <w:p w14:paraId="07A9333E">
            <w:pPr>
              <w:rPr>
                <w:rFonts w:hint="default"/>
                <w:color w:val="000000" w:themeColor="text1"/>
                <w:highlight w:val="none"/>
                <w14:textFill>
                  <w14:solidFill>
                    <w14:schemeClr w14:val="tx1"/>
                  </w14:solidFill>
                </w14:textFill>
              </w:rPr>
            </w:pPr>
          </w:p>
        </w:tc>
      </w:tr>
    </w:tbl>
    <w:p w14:paraId="7245E218">
      <w:pPr>
        <w:pStyle w:val="4"/>
        <w:bidi w:val="0"/>
        <w:rPr>
          <w:color w:val="000000" w:themeColor="text1"/>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1ADC6CA4">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六、生态环境保护措施监督检查清单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2955"/>
        <w:gridCol w:w="1732"/>
        <w:gridCol w:w="1864"/>
        <w:gridCol w:w="1182"/>
      </w:tblGrid>
      <w:tr w14:paraId="67FE0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restart"/>
            <w:tcBorders>
              <w:tl2br w:val="single" w:color="auto" w:sz="12" w:space="0"/>
            </w:tcBorders>
            <w:noWrap w:val="0"/>
            <w:vAlign w:val="center"/>
          </w:tcPr>
          <w:p w14:paraId="341C5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内容</w:t>
            </w:r>
          </w:p>
          <w:p w14:paraId="05285F6D">
            <w:pPr>
              <w:pStyle w:val="55"/>
              <w:keepNext w:val="0"/>
              <w:keepLines w:val="0"/>
              <w:suppressLineNumbers w:val="0"/>
              <w:spacing w:before="0" w:beforeAutospacing="0" w:after="0" w:afterAutospacing="0"/>
              <w:ind w:left="0" w:right="0"/>
              <w:rPr>
                <w:rFonts w:hint="default" w:cs="Times New Roman"/>
                <w:b/>
                <w:bCs/>
                <w:color w:val="000000" w:themeColor="text1"/>
                <w:highlight w:val="none"/>
                <w:lang w:val="en-US" w:eastAsia="zh-CN"/>
                <w14:textFill>
                  <w14:solidFill>
                    <w14:schemeClr w14:val="tx1"/>
                  </w14:solidFill>
                </w14:textFill>
              </w:rPr>
            </w:pPr>
          </w:p>
          <w:p w14:paraId="59BD0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要素</w:t>
            </w:r>
          </w:p>
        </w:tc>
        <w:tc>
          <w:tcPr>
            <w:tcW w:w="2522" w:type="pct"/>
            <w:gridSpan w:val="2"/>
            <w:tcBorders>
              <w:tl2br w:val="nil"/>
              <w:tr2bl w:val="nil"/>
            </w:tcBorders>
            <w:noWrap w:val="0"/>
            <w:vAlign w:val="center"/>
          </w:tcPr>
          <w:p w14:paraId="2CC1D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施工期</w:t>
            </w:r>
          </w:p>
        </w:tc>
        <w:tc>
          <w:tcPr>
            <w:tcW w:w="1639" w:type="pct"/>
            <w:gridSpan w:val="2"/>
            <w:tcBorders>
              <w:tl2br w:val="nil"/>
              <w:tr2bl w:val="nil"/>
            </w:tcBorders>
            <w:noWrap w:val="0"/>
            <w:vAlign w:val="center"/>
          </w:tcPr>
          <w:p w14:paraId="4EC22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运营期</w:t>
            </w:r>
          </w:p>
        </w:tc>
      </w:tr>
      <w:tr w14:paraId="7C1AD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continue"/>
            <w:tcBorders>
              <w:tl2br w:val="nil"/>
              <w:tr2bl w:val="nil"/>
            </w:tcBorders>
            <w:noWrap w:val="0"/>
            <w:vAlign w:val="center"/>
          </w:tcPr>
          <w:p w14:paraId="3E4F1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p>
        </w:tc>
        <w:tc>
          <w:tcPr>
            <w:tcW w:w="1590" w:type="pct"/>
            <w:tcBorders>
              <w:tl2br w:val="nil"/>
              <w:tr2bl w:val="nil"/>
            </w:tcBorders>
            <w:noWrap w:val="0"/>
            <w:vAlign w:val="center"/>
          </w:tcPr>
          <w:p w14:paraId="00D04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环境保护措施</w:t>
            </w:r>
          </w:p>
        </w:tc>
        <w:tc>
          <w:tcPr>
            <w:tcW w:w="931" w:type="pct"/>
            <w:tcBorders>
              <w:tl2br w:val="nil"/>
              <w:tr2bl w:val="nil"/>
            </w:tcBorders>
            <w:noWrap w:val="0"/>
            <w:vAlign w:val="center"/>
          </w:tcPr>
          <w:p w14:paraId="6D50F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验收要求</w:t>
            </w:r>
          </w:p>
        </w:tc>
        <w:tc>
          <w:tcPr>
            <w:tcW w:w="1003" w:type="pct"/>
            <w:tcBorders>
              <w:tl2br w:val="nil"/>
              <w:tr2bl w:val="nil"/>
            </w:tcBorders>
            <w:noWrap w:val="0"/>
            <w:vAlign w:val="center"/>
          </w:tcPr>
          <w:p w14:paraId="69CBE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环境保</w:t>
            </w:r>
          </w:p>
          <w:p w14:paraId="3E90B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护措施</w:t>
            </w:r>
          </w:p>
        </w:tc>
        <w:tc>
          <w:tcPr>
            <w:tcW w:w="636" w:type="pct"/>
            <w:tcBorders>
              <w:tl2br w:val="nil"/>
              <w:tr2bl w:val="nil"/>
            </w:tcBorders>
            <w:noWrap w:val="0"/>
            <w:vAlign w:val="center"/>
          </w:tcPr>
          <w:p w14:paraId="4F4A5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验收</w:t>
            </w:r>
          </w:p>
          <w:p w14:paraId="17A51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要求</w:t>
            </w:r>
          </w:p>
        </w:tc>
      </w:tr>
      <w:tr w14:paraId="7CB27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6DF39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陆生生态</w:t>
            </w:r>
          </w:p>
        </w:tc>
        <w:tc>
          <w:tcPr>
            <w:tcW w:w="1590" w:type="pct"/>
            <w:tcBorders>
              <w:tl2br w:val="nil"/>
              <w:tr2bl w:val="nil"/>
            </w:tcBorders>
            <w:noWrap w:val="0"/>
            <w:vAlign w:val="center"/>
          </w:tcPr>
          <w:p w14:paraId="0F0C0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严格控制施工范围，施工范围控制在占地范围内，做好避让和减缓措施，加大宣传教育，提高工人的生态保护意识，建立生态破坏惩罚制度，严禁施工人员非法猎捕野生动物</w:t>
            </w:r>
          </w:p>
        </w:tc>
        <w:tc>
          <w:tcPr>
            <w:tcW w:w="931" w:type="pct"/>
            <w:tcBorders>
              <w:tl2br w:val="nil"/>
              <w:tr2bl w:val="nil"/>
            </w:tcBorders>
            <w:noWrap w:val="0"/>
            <w:vAlign w:val="center"/>
          </w:tcPr>
          <w:p w14:paraId="3756D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各项生态环境保护措施落实到位</w:t>
            </w:r>
          </w:p>
        </w:tc>
        <w:tc>
          <w:tcPr>
            <w:tcW w:w="1003" w:type="pct"/>
            <w:tcBorders>
              <w:tl2br w:val="nil"/>
              <w:tr2bl w:val="nil"/>
            </w:tcBorders>
            <w:noWrap w:val="0"/>
            <w:vAlign w:val="center"/>
          </w:tcPr>
          <w:p w14:paraId="6B6E7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为期3年的植被养护，主要养护方式为洒水</w:t>
            </w:r>
          </w:p>
        </w:tc>
        <w:tc>
          <w:tcPr>
            <w:tcW w:w="636" w:type="pct"/>
            <w:tcBorders>
              <w:tl2br w:val="nil"/>
              <w:tr2bl w:val="nil"/>
            </w:tcBorders>
            <w:noWrap w:val="0"/>
            <w:vAlign w:val="center"/>
          </w:tcPr>
          <w:p w14:paraId="4BCC5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各项草地养护措施落实到位</w:t>
            </w:r>
          </w:p>
        </w:tc>
      </w:tr>
      <w:tr w14:paraId="6A240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37" w:type="pct"/>
            <w:tcBorders>
              <w:tl2br w:val="nil"/>
              <w:tr2bl w:val="nil"/>
            </w:tcBorders>
            <w:noWrap w:val="0"/>
            <w:vAlign w:val="center"/>
          </w:tcPr>
          <w:p w14:paraId="443A6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水生生态</w:t>
            </w:r>
          </w:p>
        </w:tc>
        <w:tc>
          <w:tcPr>
            <w:tcW w:w="1590" w:type="pct"/>
            <w:tcBorders>
              <w:tl2br w:val="nil"/>
              <w:tr2bl w:val="nil"/>
            </w:tcBorders>
            <w:noWrap w:val="0"/>
            <w:vAlign w:val="center"/>
          </w:tcPr>
          <w:p w14:paraId="4213A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57B19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1A099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6D50B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035AF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37" w:type="pct"/>
            <w:tcBorders>
              <w:tl2br w:val="nil"/>
              <w:tr2bl w:val="nil"/>
            </w:tcBorders>
            <w:noWrap w:val="0"/>
            <w:vAlign w:val="center"/>
          </w:tcPr>
          <w:p w14:paraId="7156C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地表水环境</w:t>
            </w:r>
          </w:p>
        </w:tc>
        <w:tc>
          <w:tcPr>
            <w:tcW w:w="1590" w:type="pct"/>
            <w:tcBorders>
              <w:tl2br w:val="nil"/>
              <w:tr2bl w:val="nil"/>
            </w:tcBorders>
            <w:noWrap w:val="0"/>
            <w:vAlign w:val="center"/>
          </w:tcPr>
          <w:p w14:paraId="740F8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生活污水依托周边村庄旱厕处理，项目区无废水排放，项目区无生活污水</w:t>
            </w:r>
            <w:r>
              <w:rPr>
                <w:rFonts w:hint="eastAsia" w:cs="Times New Roman"/>
                <w:color w:val="000000" w:themeColor="text1"/>
                <w:highlight w:val="none"/>
                <w:lang w:val="en-US" w:eastAsia="zh-CN"/>
                <w14:textFill>
                  <w14:solidFill>
                    <w14:schemeClr w14:val="tx1"/>
                  </w14:solidFill>
                </w14:textFill>
              </w:rPr>
              <w:t>排</w:t>
            </w:r>
            <w:r>
              <w:rPr>
                <w:rFonts w:hint="default" w:cs="Times New Roman"/>
                <w:color w:val="000000" w:themeColor="text1"/>
                <w:highlight w:val="none"/>
                <w:lang w:val="en-US" w:eastAsia="zh-CN"/>
                <w14:textFill>
                  <w14:solidFill>
                    <w14:schemeClr w14:val="tx1"/>
                  </w14:solidFill>
                </w14:textFill>
              </w:rPr>
              <w:t>放</w:t>
            </w:r>
          </w:p>
        </w:tc>
        <w:tc>
          <w:tcPr>
            <w:tcW w:w="931" w:type="pct"/>
            <w:tcBorders>
              <w:tl2br w:val="nil"/>
              <w:tr2bl w:val="nil"/>
            </w:tcBorders>
            <w:noWrap w:val="0"/>
            <w:vAlign w:val="center"/>
          </w:tcPr>
          <w:p w14:paraId="15AD9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无废水外排</w:t>
            </w:r>
          </w:p>
        </w:tc>
        <w:tc>
          <w:tcPr>
            <w:tcW w:w="1003" w:type="pct"/>
            <w:tcBorders>
              <w:tl2br w:val="nil"/>
              <w:tr2bl w:val="nil"/>
            </w:tcBorders>
            <w:noWrap w:val="0"/>
            <w:vAlign w:val="center"/>
          </w:tcPr>
          <w:p w14:paraId="4B6E5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14144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74A88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noWrap w:val="0"/>
            <w:vAlign w:val="center"/>
          </w:tcPr>
          <w:p w14:paraId="35957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地下水及土壤环境</w:t>
            </w:r>
          </w:p>
        </w:tc>
        <w:tc>
          <w:tcPr>
            <w:tcW w:w="1590" w:type="pct"/>
            <w:tcBorders>
              <w:tl2br w:val="nil"/>
              <w:tr2bl w:val="nil"/>
            </w:tcBorders>
            <w:noWrap w:val="0"/>
            <w:vAlign w:val="center"/>
          </w:tcPr>
          <w:p w14:paraId="25A0D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7417E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68FC7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6E7B3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1419D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05339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声环境</w:t>
            </w:r>
          </w:p>
        </w:tc>
        <w:tc>
          <w:tcPr>
            <w:tcW w:w="1590" w:type="pct"/>
            <w:tcBorders>
              <w:tl2br w:val="nil"/>
              <w:tr2bl w:val="nil"/>
            </w:tcBorders>
            <w:noWrap w:val="0"/>
            <w:vAlign w:val="center"/>
          </w:tcPr>
          <w:p w14:paraId="55148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合理安排施工时间，优化运输路线，车辆减速慢行、禁止鸣笛，选用低噪声设备</w:t>
            </w:r>
          </w:p>
        </w:tc>
        <w:tc>
          <w:tcPr>
            <w:tcW w:w="931" w:type="pct"/>
            <w:tcBorders>
              <w:tl2br w:val="nil"/>
              <w:tr2bl w:val="nil"/>
            </w:tcBorders>
            <w:noWrap w:val="0"/>
            <w:vAlign w:val="center"/>
          </w:tcPr>
          <w:p w14:paraId="6D26BA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施工场界噪声满足《建筑施工场界环境噪声排放标准》（</w:t>
            </w:r>
            <w:r>
              <w:rPr>
                <w:rFonts w:hint="default" w:cs="Times New Roman"/>
                <w:color w:val="000000" w:themeColor="text1"/>
                <w:highlight w:val="none"/>
                <w:lang w:val="en-US" w:eastAsia="zh-CN"/>
                <w14:textFill>
                  <w14:solidFill>
                    <w14:schemeClr w14:val="tx1"/>
                  </w14:solidFill>
                </w14:textFill>
              </w:rPr>
              <w:t>GB12523-2011</w:t>
            </w:r>
            <w:r>
              <w:rPr>
                <w:rFonts w:hint="eastAsia" w:cs="Times New Roman"/>
                <w:color w:val="000000" w:themeColor="text1"/>
                <w:highlight w:val="none"/>
                <w:lang w:val="en-US" w:eastAsia="zh-CN"/>
                <w14:textFill>
                  <w14:solidFill>
                    <w14:schemeClr w14:val="tx1"/>
                  </w14:solidFill>
                </w14:textFill>
              </w:rPr>
              <w:t>）标准限值要求</w:t>
            </w:r>
          </w:p>
        </w:tc>
        <w:tc>
          <w:tcPr>
            <w:tcW w:w="1003" w:type="pct"/>
            <w:tcBorders>
              <w:tl2br w:val="nil"/>
              <w:tr2bl w:val="nil"/>
            </w:tcBorders>
            <w:noWrap w:val="0"/>
            <w:vAlign w:val="center"/>
          </w:tcPr>
          <w:p w14:paraId="68F3A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5D845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217C9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noWrap w:val="0"/>
            <w:vAlign w:val="center"/>
          </w:tcPr>
          <w:p w14:paraId="6DDD6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振动</w:t>
            </w:r>
          </w:p>
        </w:tc>
        <w:tc>
          <w:tcPr>
            <w:tcW w:w="1590" w:type="pct"/>
            <w:tcBorders>
              <w:tl2br w:val="nil"/>
              <w:tr2bl w:val="nil"/>
            </w:tcBorders>
            <w:noWrap w:val="0"/>
            <w:vAlign w:val="center"/>
          </w:tcPr>
          <w:p w14:paraId="3E971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4946C4D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7BF8F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0A56A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70DD5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73790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大气环境</w:t>
            </w:r>
          </w:p>
        </w:tc>
        <w:tc>
          <w:tcPr>
            <w:tcW w:w="1590" w:type="pct"/>
            <w:tcBorders>
              <w:tl2br w:val="nil"/>
              <w:tr2bl w:val="nil"/>
            </w:tcBorders>
            <w:noWrap w:val="0"/>
            <w:vAlign w:val="center"/>
          </w:tcPr>
          <w:p w14:paraId="62E12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根据施工过程的实际情况，</w:t>
            </w:r>
            <w:r>
              <w:rPr>
                <w:rFonts w:hint="eastAsia" w:cs="Times New Roman"/>
                <w:color w:val="000000" w:themeColor="text1"/>
                <w:highlight w:val="none"/>
                <w:lang w:val="en-US" w:eastAsia="zh-CN"/>
                <w14:textFill>
                  <w14:solidFill>
                    <w14:schemeClr w14:val="tx1"/>
                  </w14:solidFill>
                </w14:textFill>
              </w:rPr>
              <w:t>施工场地设围栏</w:t>
            </w:r>
            <w:r>
              <w:rPr>
                <w:rFonts w:hint="default" w:cs="Times New Roman"/>
                <w:color w:val="000000" w:themeColor="text1"/>
                <w:highlight w:val="none"/>
                <w:lang w:val="en-US" w:eastAsia="zh-CN"/>
                <w14:textFill>
                  <w14:solidFill>
                    <w14:schemeClr w14:val="tx1"/>
                  </w14:solidFill>
                </w14:textFill>
              </w:rPr>
              <w:t>；尽可能缩短施工时间；加强施工区的规划管理：如在大风天气，对散料堆场应采用水喷淋法防尘；汽车运输加盖</w:t>
            </w:r>
            <w:r>
              <w:rPr>
                <w:rFonts w:hint="eastAsia" w:cs="Times New Roman"/>
                <w:color w:val="000000" w:themeColor="text1"/>
                <w:highlight w:val="none"/>
                <w:lang w:val="en-US" w:eastAsia="zh-CN"/>
                <w14:textFill>
                  <w14:solidFill>
                    <w14:schemeClr w14:val="tx1"/>
                  </w14:solidFill>
                </w14:textFill>
              </w:rPr>
              <w:t>篷布</w:t>
            </w:r>
            <w:r>
              <w:rPr>
                <w:rFonts w:hint="default" w:cs="Times New Roman"/>
                <w:color w:val="000000" w:themeColor="text1"/>
                <w:highlight w:val="none"/>
                <w:lang w:val="en-US" w:eastAsia="zh-CN"/>
                <w14:textFill>
                  <w14:solidFill>
                    <w14:schemeClr w14:val="tx1"/>
                  </w14:solidFill>
                </w14:textFill>
              </w:rPr>
              <w:t>、控制车速；加强对施工机械、车辆的维修保养、定期洒水降尘</w:t>
            </w:r>
          </w:p>
        </w:tc>
        <w:tc>
          <w:tcPr>
            <w:tcW w:w="931" w:type="pct"/>
            <w:tcBorders>
              <w:tl2br w:val="nil"/>
              <w:tr2bl w:val="nil"/>
            </w:tcBorders>
            <w:noWrap w:val="0"/>
            <w:vAlign w:val="center"/>
          </w:tcPr>
          <w:p w14:paraId="7795F70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施工期扬尘执行《大气污染物综合排放标准》（</w:t>
            </w:r>
            <w:r>
              <w:rPr>
                <w:rFonts w:hint="default" w:cs="Times New Roman"/>
                <w:color w:val="000000" w:themeColor="text1"/>
                <w:highlight w:val="none"/>
                <w:lang w:val="en-US" w:eastAsia="zh-CN"/>
                <w14:textFill>
                  <w14:solidFill>
                    <w14:schemeClr w14:val="tx1"/>
                  </w14:solidFill>
                </w14:textFill>
              </w:rPr>
              <w:t>GB16297-1996</w:t>
            </w:r>
            <w:r>
              <w:rPr>
                <w:rFonts w:hint="eastAsia" w:cs="Times New Roman"/>
                <w:color w:val="000000" w:themeColor="text1"/>
                <w:highlight w:val="none"/>
                <w:lang w:val="en-US" w:eastAsia="zh-CN"/>
                <w14:textFill>
                  <w14:solidFill>
                    <w14:schemeClr w14:val="tx1"/>
                  </w14:solidFill>
                </w14:textFill>
              </w:rPr>
              <w:t>）表</w:t>
            </w:r>
            <w:r>
              <w:rPr>
                <w:rFonts w:hint="default"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无组织排放监控浓度限值标准</w:t>
            </w:r>
          </w:p>
        </w:tc>
        <w:tc>
          <w:tcPr>
            <w:tcW w:w="1003" w:type="pct"/>
            <w:tcBorders>
              <w:tl2br w:val="nil"/>
              <w:tr2bl w:val="nil"/>
            </w:tcBorders>
            <w:noWrap w:val="0"/>
            <w:vAlign w:val="center"/>
          </w:tcPr>
          <w:p w14:paraId="1BFB4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7C829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1BCF8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2C3C8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固体废物</w:t>
            </w:r>
          </w:p>
        </w:tc>
        <w:tc>
          <w:tcPr>
            <w:tcW w:w="1590" w:type="pct"/>
            <w:tcBorders>
              <w:tl2br w:val="nil"/>
              <w:tr2bl w:val="nil"/>
            </w:tcBorders>
            <w:noWrap w:val="0"/>
            <w:vAlign w:val="center"/>
          </w:tcPr>
          <w:p w14:paraId="79328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生活垃圾集中分类收集后送至邻近村庄生活垃圾收集点，由当地环卫部门统一清运处置</w:t>
            </w:r>
          </w:p>
        </w:tc>
        <w:tc>
          <w:tcPr>
            <w:tcW w:w="931" w:type="pct"/>
            <w:tcBorders>
              <w:tl2br w:val="nil"/>
              <w:tr2bl w:val="nil"/>
            </w:tcBorders>
            <w:noWrap w:val="0"/>
            <w:vAlign w:val="center"/>
          </w:tcPr>
          <w:p w14:paraId="385513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妥善处置</w:t>
            </w:r>
          </w:p>
        </w:tc>
        <w:tc>
          <w:tcPr>
            <w:tcW w:w="1003" w:type="pct"/>
            <w:tcBorders>
              <w:tl2br w:val="nil"/>
              <w:tr2bl w:val="nil"/>
            </w:tcBorders>
            <w:noWrap w:val="0"/>
            <w:vAlign w:val="center"/>
          </w:tcPr>
          <w:p w14:paraId="0B5CC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30F8A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05C94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7" w:type="pct"/>
            <w:tcBorders>
              <w:tl2br w:val="nil"/>
              <w:tr2bl w:val="nil"/>
            </w:tcBorders>
            <w:noWrap w:val="0"/>
            <w:vAlign w:val="center"/>
          </w:tcPr>
          <w:p w14:paraId="07348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电磁环境</w:t>
            </w:r>
          </w:p>
        </w:tc>
        <w:tc>
          <w:tcPr>
            <w:tcW w:w="1590" w:type="pct"/>
            <w:tcBorders>
              <w:tl2br w:val="nil"/>
              <w:tr2bl w:val="nil"/>
            </w:tcBorders>
            <w:noWrap w:val="0"/>
            <w:vAlign w:val="center"/>
          </w:tcPr>
          <w:p w14:paraId="25BA5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0D6FFC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1B291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37F77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159AE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7" w:type="pct"/>
            <w:tcBorders>
              <w:tl2br w:val="nil"/>
              <w:tr2bl w:val="nil"/>
            </w:tcBorders>
            <w:noWrap w:val="0"/>
            <w:vAlign w:val="center"/>
          </w:tcPr>
          <w:p w14:paraId="35410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环境风险</w:t>
            </w:r>
          </w:p>
        </w:tc>
        <w:tc>
          <w:tcPr>
            <w:tcW w:w="1590" w:type="pct"/>
            <w:tcBorders>
              <w:tl2br w:val="nil"/>
              <w:tr2bl w:val="nil"/>
            </w:tcBorders>
            <w:noWrap w:val="0"/>
            <w:vAlign w:val="center"/>
          </w:tcPr>
          <w:p w14:paraId="2BCB1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44DB5BD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5A57E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32F83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2FD4D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837" w:type="pct"/>
            <w:tcBorders>
              <w:tl2br w:val="nil"/>
              <w:tr2bl w:val="nil"/>
            </w:tcBorders>
            <w:noWrap w:val="0"/>
            <w:vAlign w:val="center"/>
          </w:tcPr>
          <w:p w14:paraId="19DFF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环境监测</w:t>
            </w:r>
          </w:p>
        </w:tc>
        <w:tc>
          <w:tcPr>
            <w:tcW w:w="1590" w:type="pct"/>
            <w:tcBorders>
              <w:tl2br w:val="nil"/>
              <w:tr2bl w:val="nil"/>
            </w:tcBorders>
            <w:noWrap w:val="0"/>
            <w:vAlign w:val="center"/>
          </w:tcPr>
          <w:p w14:paraId="4991D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监测TSP、噪声、生态</w:t>
            </w:r>
          </w:p>
        </w:tc>
        <w:tc>
          <w:tcPr>
            <w:tcW w:w="931" w:type="pct"/>
            <w:tcBorders>
              <w:tl2br w:val="nil"/>
              <w:tr2bl w:val="nil"/>
            </w:tcBorders>
            <w:noWrap w:val="0"/>
            <w:vAlign w:val="center"/>
          </w:tcPr>
          <w:p w14:paraId="7060CA4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施工场界噪声满足《建筑施工场界环境噪声排放标准》（GB12523-2011）标准限值要求</w:t>
            </w:r>
          </w:p>
          <w:p w14:paraId="7A6F32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施工期扬尘执行《大气污染物综合排放标准》（GB16297-1996）表2无组织排放监控浓度限值标准</w:t>
            </w:r>
          </w:p>
        </w:tc>
        <w:tc>
          <w:tcPr>
            <w:tcW w:w="1003" w:type="pct"/>
            <w:tcBorders>
              <w:tl2br w:val="nil"/>
              <w:tr2bl w:val="nil"/>
            </w:tcBorders>
            <w:noWrap w:val="0"/>
            <w:vAlign w:val="center"/>
          </w:tcPr>
          <w:p w14:paraId="17710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636" w:type="pct"/>
            <w:tcBorders>
              <w:tl2br w:val="nil"/>
              <w:tr2bl w:val="nil"/>
            </w:tcBorders>
            <w:noWrap w:val="0"/>
            <w:vAlign w:val="center"/>
          </w:tcPr>
          <w:p w14:paraId="5A764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植被成活率、植被覆盖度</w:t>
            </w:r>
            <w:r>
              <w:rPr>
                <w:rFonts w:hint="eastAsia"/>
                <w:color w:val="000000" w:themeColor="text1"/>
                <w:highlight w:val="none"/>
                <w:lang w:val="en-US" w:eastAsia="zh-CN"/>
                <w14:textFill>
                  <w14:solidFill>
                    <w14:schemeClr w14:val="tx1"/>
                  </w14:solidFill>
                </w14:textFill>
              </w:rPr>
              <w:t>满足设计要求</w:t>
            </w:r>
          </w:p>
        </w:tc>
      </w:tr>
      <w:tr w14:paraId="378D2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837" w:type="pct"/>
            <w:tcBorders>
              <w:tl2br w:val="nil"/>
              <w:tr2bl w:val="nil"/>
            </w:tcBorders>
            <w:noWrap w:val="0"/>
            <w:vAlign w:val="center"/>
          </w:tcPr>
          <w:p w14:paraId="56872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其他</w:t>
            </w:r>
          </w:p>
        </w:tc>
        <w:tc>
          <w:tcPr>
            <w:tcW w:w="1590" w:type="pct"/>
            <w:tcBorders>
              <w:tl2br w:val="nil"/>
              <w:tr2bl w:val="nil"/>
            </w:tcBorders>
            <w:noWrap w:val="0"/>
            <w:vAlign w:val="center"/>
          </w:tcPr>
          <w:p w14:paraId="4ADA2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0B37E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3C75A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1209F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bl>
    <w:p w14:paraId="5257C3A9">
      <w:pPr>
        <w:pStyle w:val="23"/>
        <w:spacing w:before="372" w:beforeLines="80" w:before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551934CE">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七、结论</w:t>
      </w:r>
    </w:p>
    <w:tbl>
      <w:tblPr>
        <w:tblStyle w:val="27"/>
        <w:tblW w:w="94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18A56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30" w:hRule="atLeast"/>
          <w:jc w:val="center"/>
        </w:trPr>
        <w:tc>
          <w:tcPr>
            <w:tcW w:w="9400" w:type="dxa"/>
            <w:noWrap w:val="0"/>
            <w:vAlign w:val="top"/>
          </w:tcPr>
          <w:p w14:paraId="3B2DEB95">
            <w:pPr>
              <w:keepNext w:val="0"/>
              <w:keepLines w:val="0"/>
              <w:suppressLineNumbers w:val="0"/>
              <w:adjustRightInd w:val="0"/>
              <w:snapToGrid w:val="0"/>
              <w:spacing w:before="0" w:beforeAutospacing="0" w:after="0" w:afterAutospacing="0" w:line="360" w:lineRule="auto"/>
              <w:ind w:left="0" w:right="0" w:firstLine="454" w:firstLineChars="200"/>
              <w:rPr>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通过地形地貌恢复工程、截排水工程和生态恢复工程对天景山天主峰矿山进行生态修复治理，符合国家、地方的相关政策要求。在设计、施工阶段均采取了一系列的环境保护措施，确保施工期各项污染物达标排放。在严格执行“三同时”制度，落实本环境影响报告表提出的各项污染防治措施和生态保护措施的前提下，从环境保护的角度分析，本项目在该区域的建设是可行的。</w:t>
            </w:r>
          </w:p>
        </w:tc>
      </w:tr>
    </w:tbl>
    <w:p w14:paraId="1D51AF98">
      <w:pPr>
        <w:widowControl/>
        <w:adjustRightInd w:val="0"/>
        <w:snapToGrid w:val="0"/>
        <w:spacing w:before="372" w:beforeLines="80"/>
        <w:ind w:left="0" w:leftChars="0" w:firstLine="0" w:firstLineChars="0"/>
        <w:jc w:val="left"/>
        <w:rPr>
          <w:color w:val="000000" w:themeColor="text1"/>
          <w14:textFill>
            <w14:solidFill>
              <w14:schemeClr w14:val="tx1"/>
            </w14:solidFill>
          </w14:textFill>
        </w:rPr>
      </w:pPr>
    </w:p>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54"/>
      </w:pPr>
      <w:r>
        <w:separator/>
      </w:r>
    </w:p>
  </w:endnote>
  <w:endnote w:type="continuationSeparator" w:id="1">
    <w:p>
      <w:pPr>
        <w:ind w:firstLine="4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5CD8">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8014">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E3418">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Cl2csBAACc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deUOG5x4Ocf388/f59/fSPL&#10;6vWb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hgpdnLAQAAnAMAAA4AAAAAAAAAAQAgAAAAHgEAAGRycy9lMm9E&#10;b2MueG1sUEsFBgAAAAAGAAYAWQEAAFsFAAAAAA==&#10;">
              <v:fill on="f" focussize="0,0"/>
              <v:stroke on="f"/>
              <v:imagedata o:title=""/>
              <o:lock v:ext="edit" aspectratio="f"/>
              <v:textbox inset="0mm,0mm,0mm,0mm" style="mso-fit-shape-to-text:t;">
                <w:txbxContent>
                  <w:p w14:paraId="45DE341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54"/>
      </w:pPr>
      <w:r>
        <w:separator/>
      </w:r>
    </w:p>
  </w:footnote>
  <w:footnote w:type="continuationSeparator" w:id="1">
    <w:p>
      <w:pPr>
        <w:ind w:firstLine="45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C5F22E"/>
    <w:multiLevelType w:val="singleLevel"/>
    <w:tmpl w:val="CFC5F22E"/>
    <w:lvl w:ilvl="0" w:tentative="0">
      <w:start w:val="1"/>
      <w:numFmt w:val="decimal"/>
      <w:suff w:val="nothing"/>
      <w:lvlText w:val="%1、"/>
      <w:lvlJc w:val="left"/>
    </w:lvl>
  </w:abstractNum>
  <w:abstractNum w:abstractNumId="1">
    <w:nsid w:val="EAFFB6B1"/>
    <w:multiLevelType w:val="singleLevel"/>
    <w:tmpl w:val="EAFFB6B1"/>
    <w:lvl w:ilvl="0" w:tentative="0">
      <w:start w:val="2"/>
      <w:numFmt w:val="decimal"/>
      <w:suff w:val="nothing"/>
      <w:lvlText w:val="%1、"/>
      <w:lvlJc w:val="left"/>
    </w:lvl>
  </w:abstractNum>
  <w:abstractNum w:abstractNumId="2">
    <w:nsid w:val="4414EB11"/>
    <w:multiLevelType w:val="singleLevel"/>
    <w:tmpl w:val="4414EB11"/>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13"/>
  <w:drawingGridVerticalSpacing w:val="233"/>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OTY3ZmU2OTZjZmRlOGIyMjcyYTg4YWQyY2Y1NDA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0B7B"/>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475DC"/>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8CF"/>
    <w:rsid w:val="002E298A"/>
    <w:rsid w:val="002F02A4"/>
    <w:rsid w:val="002F272B"/>
    <w:rsid w:val="002F7077"/>
    <w:rsid w:val="002F7C6D"/>
    <w:rsid w:val="003027E4"/>
    <w:rsid w:val="0030332C"/>
    <w:rsid w:val="00312296"/>
    <w:rsid w:val="0031340E"/>
    <w:rsid w:val="00316464"/>
    <w:rsid w:val="0032073A"/>
    <w:rsid w:val="00321474"/>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C5BFA"/>
    <w:rsid w:val="003D3EE9"/>
    <w:rsid w:val="003E7681"/>
    <w:rsid w:val="003F0228"/>
    <w:rsid w:val="003F0809"/>
    <w:rsid w:val="003F5E57"/>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676E1"/>
    <w:rsid w:val="004727B0"/>
    <w:rsid w:val="004763B8"/>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487"/>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77EF3"/>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121"/>
    <w:rsid w:val="006343AF"/>
    <w:rsid w:val="0063634A"/>
    <w:rsid w:val="0064250D"/>
    <w:rsid w:val="00646655"/>
    <w:rsid w:val="006535EB"/>
    <w:rsid w:val="00663016"/>
    <w:rsid w:val="00674605"/>
    <w:rsid w:val="006748B8"/>
    <w:rsid w:val="0068535B"/>
    <w:rsid w:val="0068736E"/>
    <w:rsid w:val="0069290A"/>
    <w:rsid w:val="00697032"/>
    <w:rsid w:val="006975AC"/>
    <w:rsid w:val="006A15FB"/>
    <w:rsid w:val="006A72BF"/>
    <w:rsid w:val="006B332A"/>
    <w:rsid w:val="006B33BD"/>
    <w:rsid w:val="006C2EDD"/>
    <w:rsid w:val="006C3F75"/>
    <w:rsid w:val="006D170E"/>
    <w:rsid w:val="006D2EDF"/>
    <w:rsid w:val="006D4E55"/>
    <w:rsid w:val="006E06AF"/>
    <w:rsid w:val="006F098D"/>
    <w:rsid w:val="006F1789"/>
    <w:rsid w:val="007013AE"/>
    <w:rsid w:val="00706C5D"/>
    <w:rsid w:val="007118E6"/>
    <w:rsid w:val="007225C9"/>
    <w:rsid w:val="00735CD7"/>
    <w:rsid w:val="00754034"/>
    <w:rsid w:val="007541B7"/>
    <w:rsid w:val="00754BF1"/>
    <w:rsid w:val="00755A30"/>
    <w:rsid w:val="00755E1C"/>
    <w:rsid w:val="00756556"/>
    <w:rsid w:val="0076132B"/>
    <w:rsid w:val="007623AE"/>
    <w:rsid w:val="00770B19"/>
    <w:rsid w:val="00774FA0"/>
    <w:rsid w:val="00776620"/>
    <w:rsid w:val="00777B6D"/>
    <w:rsid w:val="00781B71"/>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5558F"/>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6B9F"/>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0C46"/>
    <w:rsid w:val="0091736D"/>
    <w:rsid w:val="00931001"/>
    <w:rsid w:val="00931863"/>
    <w:rsid w:val="00933524"/>
    <w:rsid w:val="0094278D"/>
    <w:rsid w:val="00943E8B"/>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10E4"/>
    <w:rsid w:val="00A23DC5"/>
    <w:rsid w:val="00A34028"/>
    <w:rsid w:val="00A35568"/>
    <w:rsid w:val="00A37056"/>
    <w:rsid w:val="00A4358F"/>
    <w:rsid w:val="00A46F67"/>
    <w:rsid w:val="00A51A1E"/>
    <w:rsid w:val="00A54AA1"/>
    <w:rsid w:val="00A568FF"/>
    <w:rsid w:val="00A61496"/>
    <w:rsid w:val="00A61833"/>
    <w:rsid w:val="00A624C6"/>
    <w:rsid w:val="00A63CEC"/>
    <w:rsid w:val="00A7031E"/>
    <w:rsid w:val="00A728B1"/>
    <w:rsid w:val="00A72EC7"/>
    <w:rsid w:val="00A763DE"/>
    <w:rsid w:val="00A803D6"/>
    <w:rsid w:val="00A81282"/>
    <w:rsid w:val="00A8713F"/>
    <w:rsid w:val="00A91167"/>
    <w:rsid w:val="00A9171C"/>
    <w:rsid w:val="00A92FFD"/>
    <w:rsid w:val="00A95975"/>
    <w:rsid w:val="00A9708D"/>
    <w:rsid w:val="00AA2C17"/>
    <w:rsid w:val="00AA4172"/>
    <w:rsid w:val="00AB0552"/>
    <w:rsid w:val="00AB1914"/>
    <w:rsid w:val="00AB5330"/>
    <w:rsid w:val="00AB7747"/>
    <w:rsid w:val="00AC2532"/>
    <w:rsid w:val="00AD1507"/>
    <w:rsid w:val="00AD5A70"/>
    <w:rsid w:val="00AD738B"/>
    <w:rsid w:val="00AE1BF4"/>
    <w:rsid w:val="00AE5D97"/>
    <w:rsid w:val="00AE627F"/>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B3DDF"/>
    <w:rsid w:val="00BC0C9E"/>
    <w:rsid w:val="00BC32DC"/>
    <w:rsid w:val="00BD1B51"/>
    <w:rsid w:val="00BD47F6"/>
    <w:rsid w:val="00BD55CC"/>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0F85"/>
    <w:rsid w:val="00CD2BCD"/>
    <w:rsid w:val="00CD36AA"/>
    <w:rsid w:val="00CD3791"/>
    <w:rsid w:val="00CD65B0"/>
    <w:rsid w:val="00CE02CD"/>
    <w:rsid w:val="00CE047C"/>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67D30"/>
    <w:rsid w:val="00F74345"/>
    <w:rsid w:val="00F74441"/>
    <w:rsid w:val="00F77F30"/>
    <w:rsid w:val="00F82589"/>
    <w:rsid w:val="00F82B19"/>
    <w:rsid w:val="00F90AA7"/>
    <w:rsid w:val="00F9212D"/>
    <w:rsid w:val="00FA301A"/>
    <w:rsid w:val="00FA406A"/>
    <w:rsid w:val="00FA5CB6"/>
    <w:rsid w:val="00FB4C69"/>
    <w:rsid w:val="00FC66AC"/>
    <w:rsid w:val="00FD18F4"/>
    <w:rsid w:val="00FD74B4"/>
    <w:rsid w:val="00FF6FCE"/>
    <w:rsid w:val="00FF7518"/>
    <w:rsid w:val="00FF7FD8"/>
    <w:rsid w:val="01494A1D"/>
    <w:rsid w:val="0153632E"/>
    <w:rsid w:val="016025FC"/>
    <w:rsid w:val="016A6FD7"/>
    <w:rsid w:val="01882B8E"/>
    <w:rsid w:val="020B3FD7"/>
    <w:rsid w:val="021104AD"/>
    <w:rsid w:val="021B2558"/>
    <w:rsid w:val="023A109F"/>
    <w:rsid w:val="02846585"/>
    <w:rsid w:val="028B33E3"/>
    <w:rsid w:val="02991F49"/>
    <w:rsid w:val="02AB7B5B"/>
    <w:rsid w:val="0310205E"/>
    <w:rsid w:val="03355597"/>
    <w:rsid w:val="03A72764"/>
    <w:rsid w:val="03C33BAD"/>
    <w:rsid w:val="03D25A81"/>
    <w:rsid w:val="041E69E5"/>
    <w:rsid w:val="04476E46"/>
    <w:rsid w:val="04806B11"/>
    <w:rsid w:val="04A03DAD"/>
    <w:rsid w:val="050D487A"/>
    <w:rsid w:val="0515617D"/>
    <w:rsid w:val="052A7D48"/>
    <w:rsid w:val="05742AC8"/>
    <w:rsid w:val="05B44B60"/>
    <w:rsid w:val="05D07A24"/>
    <w:rsid w:val="06352F05"/>
    <w:rsid w:val="063E7D85"/>
    <w:rsid w:val="06616A9A"/>
    <w:rsid w:val="06787590"/>
    <w:rsid w:val="069B0BE3"/>
    <w:rsid w:val="06AA0980"/>
    <w:rsid w:val="06CB0A74"/>
    <w:rsid w:val="06E03AA2"/>
    <w:rsid w:val="06E97932"/>
    <w:rsid w:val="070875E0"/>
    <w:rsid w:val="07293586"/>
    <w:rsid w:val="07295285"/>
    <w:rsid w:val="076C1EA1"/>
    <w:rsid w:val="07770C56"/>
    <w:rsid w:val="07B0538A"/>
    <w:rsid w:val="08061091"/>
    <w:rsid w:val="08337741"/>
    <w:rsid w:val="08646E76"/>
    <w:rsid w:val="08782AD4"/>
    <w:rsid w:val="08803584"/>
    <w:rsid w:val="08C8467C"/>
    <w:rsid w:val="08CE2541"/>
    <w:rsid w:val="08DF66BD"/>
    <w:rsid w:val="08E33DA2"/>
    <w:rsid w:val="09042BC9"/>
    <w:rsid w:val="09162C5D"/>
    <w:rsid w:val="092217DD"/>
    <w:rsid w:val="093A7294"/>
    <w:rsid w:val="093C74AB"/>
    <w:rsid w:val="098552F6"/>
    <w:rsid w:val="09A53E22"/>
    <w:rsid w:val="09D06565"/>
    <w:rsid w:val="09F16752"/>
    <w:rsid w:val="0A1F30FA"/>
    <w:rsid w:val="0A5A19EB"/>
    <w:rsid w:val="0A6023AD"/>
    <w:rsid w:val="0A7E14F7"/>
    <w:rsid w:val="0A854E82"/>
    <w:rsid w:val="0AA84C3E"/>
    <w:rsid w:val="0AE749E0"/>
    <w:rsid w:val="0B231F9E"/>
    <w:rsid w:val="0B2526F2"/>
    <w:rsid w:val="0B330D82"/>
    <w:rsid w:val="0B4D7C96"/>
    <w:rsid w:val="0BD06598"/>
    <w:rsid w:val="0BD27BF6"/>
    <w:rsid w:val="0C234952"/>
    <w:rsid w:val="0C931DE2"/>
    <w:rsid w:val="0CA973AD"/>
    <w:rsid w:val="0CC72906"/>
    <w:rsid w:val="0CD345CA"/>
    <w:rsid w:val="0CE95576"/>
    <w:rsid w:val="0D19521E"/>
    <w:rsid w:val="0D3C64A6"/>
    <w:rsid w:val="0D540B77"/>
    <w:rsid w:val="0D6B5D34"/>
    <w:rsid w:val="0D6E0C30"/>
    <w:rsid w:val="0D8B22D1"/>
    <w:rsid w:val="0DD6777B"/>
    <w:rsid w:val="0DD95C10"/>
    <w:rsid w:val="0DDF0D4D"/>
    <w:rsid w:val="0DED6FC6"/>
    <w:rsid w:val="0E110D06"/>
    <w:rsid w:val="0E453D70"/>
    <w:rsid w:val="0E7532CC"/>
    <w:rsid w:val="0E8B3395"/>
    <w:rsid w:val="0EA7676E"/>
    <w:rsid w:val="0EB9507E"/>
    <w:rsid w:val="0EC553FF"/>
    <w:rsid w:val="0F13775A"/>
    <w:rsid w:val="0F225395"/>
    <w:rsid w:val="0F2E3DC8"/>
    <w:rsid w:val="0F9A112B"/>
    <w:rsid w:val="0FC63F72"/>
    <w:rsid w:val="0FC71A98"/>
    <w:rsid w:val="0FED502C"/>
    <w:rsid w:val="0FF52D05"/>
    <w:rsid w:val="0FF623CC"/>
    <w:rsid w:val="0FF90F99"/>
    <w:rsid w:val="10622ECE"/>
    <w:rsid w:val="106D2F64"/>
    <w:rsid w:val="10A91D5D"/>
    <w:rsid w:val="10B63710"/>
    <w:rsid w:val="10BE10ED"/>
    <w:rsid w:val="10D17157"/>
    <w:rsid w:val="10ED30D4"/>
    <w:rsid w:val="11182893"/>
    <w:rsid w:val="111C2F7A"/>
    <w:rsid w:val="111C5B5C"/>
    <w:rsid w:val="1122167C"/>
    <w:rsid w:val="113013DE"/>
    <w:rsid w:val="11651569"/>
    <w:rsid w:val="11755C50"/>
    <w:rsid w:val="11AF5257"/>
    <w:rsid w:val="11B762D9"/>
    <w:rsid w:val="11CE5360"/>
    <w:rsid w:val="122B06C2"/>
    <w:rsid w:val="12340EE0"/>
    <w:rsid w:val="12555A81"/>
    <w:rsid w:val="1263699C"/>
    <w:rsid w:val="12945E0A"/>
    <w:rsid w:val="12C02E2D"/>
    <w:rsid w:val="12C549B5"/>
    <w:rsid w:val="12FA5655"/>
    <w:rsid w:val="12FA7900"/>
    <w:rsid w:val="13206088"/>
    <w:rsid w:val="13724402"/>
    <w:rsid w:val="137E6912"/>
    <w:rsid w:val="13951726"/>
    <w:rsid w:val="142E323C"/>
    <w:rsid w:val="142F374B"/>
    <w:rsid w:val="142F4684"/>
    <w:rsid w:val="14396509"/>
    <w:rsid w:val="1447165C"/>
    <w:rsid w:val="14720225"/>
    <w:rsid w:val="14915106"/>
    <w:rsid w:val="14E552B7"/>
    <w:rsid w:val="14FA7A90"/>
    <w:rsid w:val="159521EE"/>
    <w:rsid w:val="16341CDF"/>
    <w:rsid w:val="163F70F9"/>
    <w:rsid w:val="169D6513"/>
    <w:rsid w:val="16AA639C"/>
    <w:rsid w:val="16CE44C0"/>
    <w:rsid w:val="16DC6C5E"/>
    <w:rsid w:val="17056B88"/>
    <w:rsid w:val="17300169"/>
    <w:rsid w:val="17735226"/>
    <w:rsid w:val="177E3384"/>
    <w:rsid w:val="17962A8E"/>
    <w:rsid w:val="17EE22B8"/>
    <w:rsid w:val="18025D64"/>
    <w:rsid w:val="180D7807"/>
    <w:rsid w:val="180E011D"/>
    <w:rsid w:val="185D11EC"/>
    <w:rsid w:val="18710A3C"/>
    <w:rsid w:val="18A20849"/>
    <w:rsid w:val="18AF4505"/>
    <w:rsid w:val="18C012DF"/>
    <w:rsid w:val="18C86033"/>
    <w:rsid w:val="18DC2CC2"/>
    <w:rsid w:val="18F334E0"/>
    <w:rsid w:val="1972483F"/>
    <w:rsid w:val="19744A3F"/>
    <w:rsid w:val="19A319F9"/>
    <w:rsid w:val="19F8741E"/>
    <w:rsid w:val="1A09723D"/>
    <w:rsid w:val="1A0D1240"/>
    <w:rsid w:val="1A1C66C0"/>
    <w:rsid w:val="1A370B9F"/>
    <w:rsid w:val="1A42393B"/>
    <w:rsid w:val="1A6709D9"/>
    <w:rsid w:val="1A9E04C6"/>
    <w:rsid w:val="1AA52CB1"/>
    <w:rsid w:val="1B046F80"/>
    <w:rsid w:val="1B124510"/>
    <w:rsid w:val="1B3267B5"/>
    <w:rsid w:val="1B817081"/>
    <w:rsid w:val="1BC25DC8"/>
    <w:rsid w:val="1C162457"/>
    <w:rsid w:val="1C2303C8"/>
    <w:rsid w:val="1C2F586E"/>
    <w:rsid w:val="1C3256B4"/>
    <w:rsid w:val="1C380BB7"/>
    <w:rsid w:val="1C5E7925"/>
    <w:rsid w:val="1C8507BC"/>
    <w:rsid w:val="1C887FC8"/>
    <w:rsid w:val="1C937881"/>
    <w:rsid w:val="1C955AB8"/>
    <w:rsid w:val="1CC932F4"/>
    <w:rsid w:val="1D095BC4"/>
    <w:rsid w:val="1D5F6196"/>
    <w:rsid w:val="1D6132A5"/>
    <w:rsid w:val="1D8D6AB9"/>
    <w:rsid w:val="1D8E56D5"/>
    <w:rsid w:val="1DB418AE"/>
    <w:rsid w:val="1DDF76FE"/>
    <w:rsid w:val="1E440899"/>
    <w:rsid w:val="1E6244F9"/>
    <w:rsid w:val="1E7A43DA"/>
    <w:rsid w:val="1EB277FE"/>
    <w:rsid w:val="1EBB6C6C"/>
    <w:rsid w:val="1ED46BF8"/>
    <w:rsid w:val="1F2E64D5"/>
    <w:rsid w:val="1F494BDF"/>
    <w:rsid w:val="1F672AC7"/>
    <w:rsid w:val="1FB2006F"/>
    <w:rsid w:val="1FD955FC"/>
    <w:rsid w:val="1FE32388"/>
    <w:rsid w:val="1FE7539E"/>
    <w:rsid w:val="1FEF669A"/>
    <w:rsid w:val="20805009"/>
    <w:rsid w:val="20963CB8"/>
    <w:rsid w:val="20A83488"/>
    <w:rsid w:val="20B07FB6"/>
    <w:rsid w:val="20C560E6"/>
    <w:rsid w:val="20C91F2E"/>
    <w:rsid w:val="210B5C89"/>
    <w:rsid w:val="213B74B1"/>
    <w:rsid w:val="213F171D"/>
    <w:rsid w:val="214B077B"/>
    <w:rsid w:val="21556A21"/>
    <w:rsid w:val="215A2310"/>
    <w:rsid w:val="21843C8D"/>
    <w:rsid w:val="21C916A0"/>
    <w:rsid w:val="21CC2FB1"/>
    <w:rsid w:val="21DE318A"/>
    <w:rsid w:val="21EF5B80"/>
    <w:rsid w:val="22351DE9"/>
    <w:rsid w:val="22371180"/>
    <w:rsid w:val="22403E68"/>
    <w:rsid w:val="22576990"/>
    <w:rsid w:val="22744244"/>
    <w:rsid w:val="229C4EAB"/>
    <w:rsid w:val="22D54ABD"/>
    <w:rsid w:val="22E52C76"/>
    <w:rsid w:val="23A93D79"/>
    <w:rsid w:val="23E67D1E"/>
    <w:rsid w:val="24050D33"/>
    <w:rsid w:val="242624F6"/>
    <w:rsid w:val="242C50FE"/>
    <w:rsid w:val="24A64E3C"/>
    <w:rsid w:val="24B21AE5"/>
    <w:rsid w:val="24B2466D"/>
    <w:rsid w:val="24BC4DFD"/>
    <w:rsid w:val="24FD3B3B"/>
    <w:rsid w:val="252D53FE"/>
    <w:rsid w:val="25364E98"/>
    <w:rsid w:val="25500262"/>
    <w:rsid w:val="2551057C"/>
    <w:rsid w:val="258B7138"/>
    <w:rsid w:val="25B3069D"/>
    <w:rsid w:val="25CE3729"/>
    <w:rsid w:val="25EC2D81"/>
    <w:rsid w:val="264528BD"/>
    <w:rsid w:val="264A2E70"/>
    <w:rsid w:val="267A11D3"/>
    <w:rsid w:val="26AA61AC"/>
    <w:rsid w:val="26D27E26"/>
    <w:rsid w:val="27761936"/>
    <w:rsid w:val="27C6148F"/>
    <w:rsid w:val="27D15DD1"/>
    <w:rsid w:val="27DC79BB"/>
    <w:rsid w:val="27DD40F7"/>
    <w:rsid w:val="28535AF0"/>
    <w:rsid w:val="28A76295"/>
    <w:rsid w:val="28DA468F"/>
    <w:rsid w:val="29206EB8"/>
    <w:rsid w:val="292469E8"/>
    <w:rsid w:val="292673D8"/>
    <w:rsid w:val="29437BF5"/>
    <w:rsid w:val="298D2A44"/>
    <w:rsid w:val="299B7DC6"/>
    <w:rsid w:val="299E3412"/>
    <w:rsid w:val="29AE3346"/>
    <w:rsid w:val="29AF248E"/>
    <w:rsid w:val="29E325E0"/>
    <w:rsid w:val="2A2773C7"/>
    <w:rsid w:val="2A3E4D11"/>
    <w:rsid w:val="2A452503"/>
    <w:rsid w:val="2A530258"/>
    <w:rsid w:val="2B020EA3"/>
    <w:rsid w:val="2B0C2313"/>
    <w:rsid w:val="2B820658"/>
    <w:rsid w:val="2B9B1B37"/>
    <w:rsid w:val="2BA936A8"/>
    <w:rsid w:val="2C163734"/>
    <w:rsid w:val="2C2D408B"/>
    <w:rsid w:val="2C315A5A"/>
    <w:rsid w:val="2CDC7ADD"/>
    <w:rsid w:val="2CFD09F5"/>
    <w:rsid w:val="2D1219CB"/>
    <w:rsid w:val="2D3E28D1"/>
    <w:rsid w:val="2D4526E2"/>
    <w:rsid w:val="2D4D5CC5"/>
    <w:rsid w:val="2D5201C0"/>
    <w:rsid w:val="2D576D64"/>
    <w:rsid w:val="2D9E56F5"/>
    <w:rsid w:val="2DCC2C44"/>
    <w:rsid w:val="2E140EBA"/>
    <w:rsid w:val="2E16639D"/>
    <w:rsid w:val="2E4216A4"/>
    <w:rsid w:val="2E667F96"/>
    <w:rsid w:val="2E8226AB"/>
    <w:rsid w:val="2E89343E"/>
    <w:rsid w:val="2E972E97"/>
    <w:rsid w:val="2EA40620"/>
    <w:rsid w:val="2EC46F9A"/>
    <w:rsid w:val="2EFE0305"/>
    <w:rsid w:val="2F337EDA"/>
    <w:rsid w:val="2F3A3BDD"/>
    <w:rsid w:val="2F4A1308"/>
    <w:rsid w:val="2F706A2A"/>
    <w:rsid w:val="2F832C79"/>
    <w:rsid w:val="2F9E65A4"/>
    <w:rsid w:val="2FAB602E"/>
    <w:rsid w:val="2FB85B7F"/>
    <w:rsid w:val="2FEF2D58"/>
    <w:rsid w:val="30580BC9"/>
    <w:rsid w:val="30603568"/>
    <w:rsid w:val="30B71989"/>
    <w:rsid w:val="30E266CD"/>
    <w:rsid w:val="311E2ED7"/>
    <w:rsid w:val="315C449C"/>
    <w:rsid w:val="316D5E64"/>
    <w:rsid w:val="319D2F4A"/>
    <w:rsid w:val="31A61558"/>
    <w:rsid w:val="31B82709"/>
    <w:rsid w:val="31E725CA"/>
    <w:rsid w:val="32284588"/>
    <w:rsid w:val="32400B34"/>
    <w:rsid w:val="329E6876"/>
    <w:rsid w:val="32D16D3C"/>
    <w:rsid w:val="32D537D9"/>
    <w:rsid w:val="331D36BE"/>
    <w:rsid w:val="33684435"/>
    <w:rsid w:val="338402FD"/>
    <w:rsid w:val="338F369F"/>
    <w:rsid w:val="33AE06F6"/>
    <w:rsid w:val="33B45D12"/>
    <w:rsid w:val="33D934D4"/>
    <w:rsid w:val="33E35BA8"/>
    <w:rsid w:val="33FE2F6A"/>
    <w:rsid w:val="342C7F98"/>
    <w:rsid w:val="34550F6E"/>
    <w:rsid w:val="34866582"/>
    <w:rsid w:val="34876D78"/>
    <w:rsid w:val="34E507A3"/>
    <w:rsid w:val="351D1FD7"/>
    <w:rsid w:val="351F701B"/>
    <w:rsid w:val="35EF11B8"/>
    <w:rsid w:val="35F363F2"/>
    <w:rsid w:val="36074A7F"/>
    <w:rsid w:val="363B2715"/>
    <w:rsid w:val="36751FFF"/>
    <w:rsid w:val="368D6CE8"/>
    <w:rsid w:val="36923549"/>
    <w:rsid w:val="36B27E7B"/>
    <w:rsid w:val="36B75FBF"/>
    <w:rsid w:val="36BA6A1E"/>
    <w:rsid w:val="36FB4891"/>
    <w:rsid w:val="37127EAC"/>
    <w:rsid w:val="372C6501"/>
    <w:rsid w:val="372E3D52"/>
    <w:rsid w:val="3734296E"/>
    <w:rsid w:val="374B3616"/>
    <w:rsid w:val="375717D0"/>
    <w:rsid w:val="37982A35"/>
    <w:rsid w:val="37A5626C"/>
    <w:rsid w:val="37C36C7B"/>
    <w:rsid w:val="37D722CE"/>
    <w:rsid w:val="386A0A0E"/>
    <w:rsid w:val="386A72E1"/>
    <w:rsid w:val="38B642D4"/>
    <w:rsid w:val="38F12CD3"/>
    <w:rsid w:val="38F94775"/>
    <w:rsid w:val="39261FAF"/>
    <w:rsid w:val="392971ED"/>
    <w:rsid w:val="39B74034"/>
    <w:rsid w:val="39E430C3"/>
    <w:rsid w:val="39F552D0"/>
    <w:rsid w:val="3A5B5233"/>
    <w:rsid w:val="3A970136"/>
    <w:rsid w:val="3B3763D1"/>
    <w:rsid w:val="3B5E605B"/>
    <w:rsid w:val="3B611246"/>
    <w:rsid w:val="3BC742F4"/>
    <w:rsid w:val="3C2319A5"/>
    <w:rsid w:val="3C3F3C09"/>
    <w:rsid w:val="3C5A43F8"/>
    <w:rsid w:val="3C7E7563"/>
    <w:rsid w:val="3C80359C"/>
    <w:rsid w:val="3C9F7B5D"/>
    <w:rsid w:val="3CAD6FC8"/>
    <w:rsid w:val="3CDA245A"/>
    <w:rsid w:val="3CED6733"/>
    <w:rsid w:val="3CEE0A37"/>
    <w:rsid w:val="3D9B37A2"/>
    <w:rsid w:val="3DA76316"/>
    <w:rsid w:val="3DBD46AD"/>
    <w:rsid w:val="3DD663EC"/>
    <w:rsid w:val="3DF064DB"/>
    <w:rsid w:val="3E3E7246"/>
    <w:rsid w:val="3E6D5563"/>
    <w:rsid w:val="3E7F5C3D"/>
    <w:rsid w:val="3EFA7D28"/>
    <w:rsid w:val="3F1104B7"/>
    <w:rsid w:val="3F660E74"/>
    <w:rsid w:val="3F6F27ED"/>
    <w:rsid w:val="3F7A2EE6"/>
    <w:rsid w:val="3F7F6FEF"/>
    <w:rsid w:val="3FCB524E"/>
    <w:rsid w:val="3FCD54F0"/>
    <w:rsid w:val="3FCF649D"/>
    <w:rsid w:val="3FFD6C8D"/>
    <w:rsid w:val="400C0C7E"/>
    <w:rsid w:val="403F16C6"/>
    <w:rsid w:val="407A6407"/>
    <w:rsid w:val="408E5B37"/>
    <w:rsid w:val="40915C78"/>
    <w:rsid w:val="40F13762"/>
    <w:rsid w:val="412D4653"/>
    <w:rsid w:val="41396558"/>
    <w:rsid w:val="413C37E5"/>
    <w:rsid w:val="41744D2D"/>
    <w:rsid w:val="42213C39"/>
    <w:rsid w:val="42396B05"/>
    <w:rsid w:val="423A3BCC"/>
    <w:rsid w:val="424526EE"/>
    <w:rsid w:val="425A6680"/>
    <w:rsid w:val="42714E59"/>
    <w:rsid w:val="42735CEC"/>
    <w:rsid w:val="428D254A"/>
    <w:rsid w:val="42941061"/>
    <w:rsid w:val="42DE4B54"/>
    <w:rsid w:val="43127158"/>
    <w:rsid w:val="431F6F1A"/>
    <w:rsid w:val="433A6FE6"/>
    <w:rsid w:val="433E1A96"/>
    <w:rsid w:val="4350713C"/>
    <w:rsid w:val="436653E0"/>
    <w:rsid w:val="439912A3"/>
    <w:rsid w:val="43A40200"/>
    <w:rsid w:val="43B753A5"/>
    <w:rsid w:val="43C468A3"/>
    <w:rsid w:val="43EE526A"/>
    <w:rsid w:val="440920A4"/>
    <w:rsid w:val="443C7B3C"/>
    <w:rsid w:val="449D417E"/>
    <w:rsid w:val="449D459A"/>
    <w:rsid w:val="44B97144"/>
    <w:rsid w:val="44C821E0"/>
    <w:rsid w:val="44CD14E0"/>
    <w:rsid w:val="44EE46AF"/>
    <w:rsid w:val="4504286C"/>
    <w:rsid w:val="45196317"/>
    <w:rsid w:val="453677E1"/>
    <w:rsid w:val="4584178D"/>
    <w:rsid w:val="45857508"/>
    <w:rsid w:val="458946E9"/>
    <w:rsid w:val="46296FA0"/>
    <w:rsid w:val="463C4FC9"/>
    <w:rsid w:val="466C206D"/>
    <w:rsid w:val="468D7A21"/>
    <w:rsid w:val="46CA0304"/>
    <w:rsid w:val="46D955A7"/>
    <w:rsid w:val="47133957"/>
    <w:rsid w:val="472E2E7C"/>
    <w:rsid w:val="4779329E"/>
    <w:rsid w:val="479E69E5"/>
    <w:rsid w:val="47A07E0C"/>
    <w:rsid w:val="47C36A0E"/>
    <w:rsid w:val="480C46E8"/>
    <w:rsid w:val="483E6E0C"/>
    <w:rsid w:val="4870272E"/>
    <w:rsid w:val="48CB12DB"/>
    <w:rsid w:val="48F47AA5"/>
    <w:rsid w:val="491C1900"/>
    <w:rsid w:val="49446510"/>
    <w:rsid w:val="496334E4"/>
    <w:rsid w:val="497712D5"/>
    <w:rsid w:val="499D6B57"/>
    <w:rsid w:val="49DC7715"/>
    <w:rsid w:val="49EC4E5D"/>
    <w:rsid w:val="49FE3E1C"/>
    <w:rsid w:val="4A023139"/>
    <w:rsid w:val="4A7B576F"/>
    <w:rsid w:val="4AB3134A"/>
    <w:rsid w:val="4B0A1686"/>
    <w:rsid w:val="4B180E1F"/>
    <w:rsid w:val="4B6202EC"/>
    <w:rsid w:val="4B9B21F0"/>
    <w:rsid w:val="4B9F6E4A"/>
    <w:rsid w:val="4BAB57EF"/>
    <w:rsid w:val="4BAC5E94"/>
    <w:rsid w:val="4BE24B9F"/>
    <w:rsid w:val="4BE87A0B"/>
    <w:rsid w:val="4C4243A5"/>
    <w:rsid w:val="4C4A0649"/>
    <w:rsid w:val="4C52103F"/>
    <w:rsid w:val="4CC17237"/>
    <w:rsid w:val="4CC306E7"/>
    <w:rsid w:val="4CE470D3"/>
    <w:rsid w:val="4CE90CC5"/>
    <w:rsid w:val="4D000825"/>
    <w:rsid w:val="4D050765"/>
    <w:rsid w:val="4D0553D3"/>
    <w:rsid w:val="4D2673A8"/>
    <w:rsid w:val="4D6D0D6D"/>
    <w:rsid w:val="4D8900BB"/>
    <w:rsid w:val="4D9724CF"/>
    <w:rsid w:val="4DA40E78"/>
    <w:rsid w:val="4DAA7A5F"/>
    <w:rsid w:val="4DB27309"/>
    <w:rsid w:val="4DC332C4"/>
    <w:rsid w:val="4DD90358"/>
    <w:rsid w:val="4DEC4FB0"/>
    <w:rsid w:val="4E013D57"/>
    <w:rsid w:val="4E075D8A"/>
    <w:rsid w:val="4E855B50"/>
    <w:rsid w:val="4E9A046D"/>
    <w:rsid w:val="4EA348E9"/>
    <w:rsid w:val="4EA5674F"/>
    <w:rsid w:val="4EB250E6"/>
    <w:rsid w:val="4EC015B1"/>
    <w:rsid w:val="4EC65E74"/>
    <w:rsid w:val="4EE14A94"/>
    <w:rsid w:val="4EEA0D24"/>
    <w:rsid w:val="4EEE2C73"/>
    <w:rsid w:val="4F2616C5"/>
    <w:rsid w:val="4F360DA8"/>
    <w:rsid w:val="4F7D7DED"/>
    <w:rsid w:val="4F8471CD"/>
    <w:rsid w:val="4F90683E"/>
    <w:rsid w:val="4FC62A8C"/>
    <w:rsid w:val="4FE20F0D"/>
    <w:rsid w:val="50306C0B"/>
    <w:rsid w:val="50327BA3"/>
    <w:rsid w:val="50504C4B"/>
    <w:rsid w:val="509776AD"/>
    <w:rsid w:val="509B22D6"/>
    <w:rsid w:val="509C6E7C"/>
    <w:rsid w:val="509F2BD7"/>
    <w:rsid w:val="50C730CB"/>
    <w:rsid w:val="50D72716"/>
    <w:rsid w:val="50EB02B6"/>
    <w:rsid w:val="51422751"/>
    <w:rsid w:val="515656E0"/>
    <w:rsid w:val="5162104E"/>
    <w:rsid w:val="51735B92"/>
    <w:rsid w:val="521A36CE"/>
    <w:rsid w:val="525A6978"/>
    <w:rsid w:val="529E034E"/>
    <w:rsid w:val="52AE78B1"/>
    <w:rsid w:val="52CB3708"/>
    <w:rsid w:val="52CE6B1A"/>
    <w:rsid w:val="52D55408"/>
    <w:rsid w:val="52D7336D"/>
    <w:rsid w:val="532000DC"/>
    <w:rsid w:val="538128BD"/>
    <w:rsid w:val="53832F3F"/>
    <w:rsid w:val="53A039CC"/>
    <w:rsid w:val="53A1505A"/>
    <w:rsid w:val="54063E08"/>
    <w:rsid w:val="543437E8"/>
    <w:rsid w:val="54FC1B62"/>
    <w:rsid w:val="54FE3F62"/>
    <w:rsid w:val="550A6B45"/>
    <w:rsid w:val="55683A1E"/>
    <w:rsid w:val="55693829"/>
    <w:rsid w:val="55763D8B"/>
    <w:rsid w:val="559B174B"/>
    <w:rsid w:val="55CD58B3"/>
    <w:rsid w:val="55CE0CF4"/>
    <w:rsid w:val="55EF63CB"/>
    <w:rsid w:val="561B61E3"/>
    <w:rsid w:val="563F2CD3"/>
    <w:rsid w:val="56A43DD2"/>
    <w:rsid w:val="56B22A9C"/>
    <w:rsid w:val="56B460F0"/>
    <w:rsid w:val="56D84E09"/>
    <w:rsid w:val="57014E5D"/>
    <w:rsid w:val="572D0332"/>
    <w:rsid w:val="57397C3B"/>
    <w:rsid w:val="57566F57"/>
    <w:rsid w:val="57713D91"/>
    <w:rsid w:val="57827D4C"/>
    <w:rsid w:val="57997DB1"/>
    <w:rsid w:val="57A75A1C"/>
    <w:rsid w:val="57AC591D"/>
    <w:rsid w:val="57B72A76"/>
    <w:rsid w:val="57DF28A1"/>
    <w:rsid w:val="57E13056"/>
    <w:rsid w:val="58083E1F"/>
    <w:rsid w:val="582F5A02"/>
    <w:rsid w:val="583F5035"/>
    <w:rsid w:val="587C0C3F"/>
    <w:rsid w:val="58841312"/>
    <w:rsid w:val="58C3061C"/>
    <w:rsid w:val="58E82F9E"/>
    <w:rsid w:val="591C57A3"/>
    <w:rsid w:val="59382F8F"/>
    <w:rsid w:val="593E1362"/>
    <w:rsid w:val="59411FDD"/>
    <w:rsid w:val="59776E01"/>
    <w:rsid w:val="59BD150F"/>
    <w:rsid w:val="59C92994"/>
    <w:rsid w:val="59CF0DF7"/>
    <w:rsid w:val="59EC64B5"/>
    <w:rsid w:val="59F22242"/>
    <w:rsid w:val="5A3C747D"/>
    <w:rsid w:val="5A9C5AE3"/>
    <w:rsid w:val="5AB85045"/>
    <w:rsid w:val="5ABE2233"/>
    <w:rsid w:val="5AC91D2F"/>
    <w:rsid w:val="5AE146F8"/>
    <w:rsid w:val="5B276D18"/>
    <w:rsid w:val="5B330BD1"/>
    <w:rsid w:val="5B616B4D"/>
    <w:rsid w:val="5B882AA2"/>
    <w:rsid w:val="5BA53CC0"/>
    <w:rsid w:val="5BB4249E"/>
    <w:rsid w:val="5BDF5D95"/>
    <w:rsid w:val="5C355073"/>
    <w:rsid w:val="5C5972E6"/>
    <w:rsid w:val="5C900568"/>
    <w:rsid w:val="5C932301"/>
    <w:rsid w:val="5CA05E7F"/>
    <w:rsid w:val="5CFC40FC"/>
    <w:rsid w:val="5D3752D3"/>
    <w:rsid w:val="5D500679"/>
    <w:rsid w:val="5D645B3A"/>
    <w:rsid w:val="5D647EF4"/>
    <w:rsid w:val="5D916F3A"/>
    <w:rsid w:val="5D987D87"/>
    <w:rsid w:val="5DAB3B72"/>
    <w:rsid w:val="5DB1402C"/>
    <w:rsid w:val="5DCB1D21"/>
    <w:rsid w:val="5DEC37F3"/>
    <w:rsid w:val="5DF87A0F"/>
    <w:rsid w:val="5E123B81"/>
    <w:rsid w:val="5E227B93"/>
    <w:rsid w:val="5E3B0C54"/>
    <w:rsid w:val="5F1A2B43"/>
    <w:rsid w:val="5F8B4188"/>
    <w:rsid w:val="5F984189"/>
    <w:rsid w:val="5FB837BB"/>
    <w:rsid w:val="5FC11974"/>
    <w:rsid w:val="5FFA55EB"/>
    <w:rsid w:val="6034058F"/>
    <w:rsid w:val="603A7A0C"/>
    <w:rsid w:val="6063347E"/>
    <w:rsid w:val="606F72DB"/>
    <w:rsid w:val="60A5633D"/>
    <w:rsid w:val="60D663C8"/>
    <w:rsid w:val="60F95D0E"/>
    <w:rsid w:val="61046171"/>
    <w:rsid w:val="612A3FC1"/>
    <w:rsid w:val="61927700"/>
    <w:rsid w:val="6196781D"/>
    <w:rsid w:val="619A16DC"/>
    <w:rsid w:val="61E427AF"/>
    <w:rsid w:val="61EF601F"/>
    <w:rsid w:val="621511BF"/>
    <w:rsid w:val="622A6076"/>
    <w:rsid w:val="62364782"/>
    <w:rsid w:val="625727CE"/>
    <w:rsid w:val="62B20226"/>
    <w:rsid w:val="62BA67B8"/>
    <w:rsid w:val="62E93C35"/>
    <w:rsid w:val="6398337B"/>
    <w:rsid w:val="63C87E04"/>
    <w:rsid w:val="63CC6BCE"/>
    <w:rsid w:val="63D40BE9"/>
    <w:rsid w:val="63E0211F"/>
    <w:rsid w:val="645372AF"/>
    <w:rsid w:val="64542204"/>
    <w:rsid w:val="64943EE2"/>
    <w:rsid w:val="64BA2A97"/>
    <w:rsid w:val="64DB0EF3"/>
    <w:rsid w:val="65010BA0"/>
    <w:rsid w:val="65373578"/>
    <w:rsid w:val="657333CA"/>
    <w:rsid w:val="65B26C48"/>
    <w:rsid w:val="65CD2940"/>
    <w:rsid w:val="65D976D1"/>
    <w:rsid w:val="66034637"/>
    <w:rsid w:val="66A03588"/>
    <w:rsid w:val="66CD3A36"/>
    <w:rsid w:val="673F2C7A"/>
    <w:rsid w:val="67501A0D"/>
    <w:rsid w:val="67DE3038"/>
    <w:rsid w:val="67E31626"/>
    <w:rsid w:val="67FD51CC"/>
    <w:rsid w:val="681F6961"/>
    <w:rsid w:val="68610A2F"/>
    <w:rsid w:val="68705FEE"/>
    <w:rsid w:val="6879333B"/>
    <w:rsid w:val="68805514"/>
    <w:rsid w:val="68D2424A"/>
    <w:rsid w:val="6915134E"/>
    <w:rsid w:val="69345F0F"/>
    <w:rsid w:val="693F6B2D"/>
    <w:rsid w:val="694E2071"/>
    <w:rsid w:val="697A3B33"/>
    <w:rsid w:val="699E2456"/>
    <w:rsid w:val="69AE677E"/>
    <w:rsid w:val="69B25E89"/>
    <w:rsid w:val="69B30239"/>
    <w:rsid w:val="69C57FA5"/>
    <w:rsid w:val="6A2014B1"/>
    <w:rsid w:val="6A3A44B6"/>
    <w:rsid w:val="6A7E60D4"/>
    <w:rsid w:val="6ACE66D6"/>
    <w:rsid w:val="6B1978BB"/>
    <w:rsid w:val="6B322639"/>
    <w:rsid w:val="6B407EF5"/>
    <w:rsid w:val="6B792DBC"/>
    <w:rsid w:val="6BA93342"/>
    <w:rsid w:val="6BC5689C"/>
    <w:rsid w:val="6BE566A3"/>
    <w:rsid w:val="6C636C38"/>
    <w:rsid w:val="6CC30703"/>
    <w:rsid w:val="6CCE0C98"/>
    <w:rsid w:val="6CF43042"/>
    <w:rsid w:val="6D065CA1"/>
    <w:rsid w:val="6D4573FA"/>
    <w:rsid w:val="6D4E08B0"/>
    <w:rsid w:val="6D785A21"/>
    <w:rsid w:val="6D8F2D6B"/>
    <w:rsid w:val="6DA93E2C"/>
    <w:rsid w:val="6DAC1038"/>
    <w:rsid w:val="6DB34098"/>
    <w:rsid w:val="6DB545B6"/>
    <w:rsid w:val="6E115415"/>
    <w:rsid w:val="6E3D468C"/>
    <w:rsid w:val="6E4375A0"/>
    <w:rsid w:val="6E514CED"/>
    <w:rsid w:val="6E79491A"/>
    <w:rsid w:val="6E934195"/>
    <w:rsid w:val="6EA51167"/>
    <w:rsid w:val="6EB563D5"/>
    <w:rsid w:val="6EC247BC"/>
    <w:rsid w:val="6F0C2B8F"/>
    <w:rsid w:val="6F225983"/>
    <w:rsid w:val="6F23376B"/>
    <w:rsid w:val="6F26520C"/>
    <w:rsid w:val="6F2B6694"/>
    <w:rsid w:val="6F3A0AB4"/>
    <w:rsid w:val="6F5E6AA9"/>
    <w:rsid w:val="6F8C57B4"/>
    <w:rsid w:val="6FB1521A"/>
    <w:rsid w:val="6FE4084F"/>
    <w:rsid w:val="6FFC5590"/>
    <w:rsid w:val="70301DA3"/>
    <w:rsid w:val="703D0C4F"/>
    <w:rsid w:val="704B4FCA"/>
    <w:rsid w:val="706D1DD0"/>
    <w:rsid w:val="707A6D80"/>
    <w:rsid w:val="70856B87"/>
    <w:rsid w:val="70D527EE"/>
    <w:rsid w:val="70EB475C"/>
    <w:rsid w:val="71060A5A"/>
    <w:rsid w:val="715B5300"/>
    <w:rsid w:val="715F4BD7"/>
    <w:rsid w:val="716D1530"/>
    <w:rsid w:val="71893EC5"/>
    <w:rsid w:val="71B43D1F"/>
    <w:rsid w:val="71D27F8A"/>
    <w:rsid w:val="71E35433"/>
    <w:rsid w:val="71EF5B86"/>
    <w:rsid w:val="71F744C6"/>
    <w:rsid w:val="71F960CF"/>
    <w:rsid w:val="72294F32"/>
    <w:rsid w:val="725965C8"/>
    <w:rsid w:val="726A345E"/>
    <w:rsid w:val="727427F4"/>
    <w:rsid w:val="72905D6F"/>
    <w:rsid w:val="731A30D6"/>
    <w:rsid w:val="731F5D5E"/>
    <w:rsid w:val="73691A00"/>
    <w:rsid w:val="73761946"/>
    <w:rsid w:val="738C03D2"/>
    <w:rsid w:val="73CD0149"/>
    <w:rsid w:val="73E13BF4"/>
    <w:rsid w:val="73E13EE4"/>
    <w:rsid w:val="740D6797"/>
    <w:rsid w:val="741E793C"/>
    <w:rsid w:val="74376DFD"/>
    <w:rsid w:val="753F1FDD"/>
    <w:rsid w:val="75511BF2"/>
    <w:rsid w:val="75774810"/>
    <w:rsid w:val="758D75E2"/>
    <w:rsid w:val="75B734CB"/>
    <w:rsid w:val="75E33C54"/>
    <w:rsid w:val="75F55855"/>
    <w:rsid w:val="760A34A2"/>
    <w:rsid w:val="7634158F"/>
    <w:rsid w:val="763D210E"/>
    <w:rsid w:val="764352FA"/>
    <w:rsid w:val="765762AE"/>
    <w:rsid w:val="76736459"/>
    <w:rsid w:val="768D6ACD"/>
    <w:rsid w:val="772D318D"/>
    <w:rsid w:val="77762421"/>
    <w:rsid w:val="779D739E"/>
    <w:rsid w:val="77D51FC6"/>
    <w:rsid w:val="77D8265E"/>
    <w:rsid w:val="77E912C9"/>
    <w:rsid w:val="77FB7DBA"/>
    <w:rsid w:val="780F09F4"/>
    <w:rsid w:val="7814332A"/>
    <w:rsid w:val="7824602F"/>
    <w:rsid w:val="782A7918"/>
    <w:rsid w:val="789C4F47"/>
    <w:rsid w:val="78A11F10"/>
    <w:rsid w:val="78A90480"/>
    <w:rsid w:val="78EE6B97"/>
    <w:rsid w:val="78F30652"/>
    <w:rsid w:val="792103E3"/>
    <w:rsid w:val="79246A5D"/>
    <w:rsid w:val="792720A9"/>
    <w:rsid w:val="79375293"/>
    <w:rsid w:val="7948501B"/>
    <w:rsid w:val="79811327"/>
    <w:rsid w:val="79921F90"/>
    <w:rsid w:val="799A287B"/>
    <w:rsid w:val="79D456AC"/>
    <w:rsid w:val="79DE4809"/>
    <w:rsid w:val="7A100D8F"/>
    <w:rsid w:val="7A347E17"/>
    <w:rsid w:val="7A364017"/>
    <w:rsid w:val="7A3C795A"/>
    <w:rsid w:val="7A8265E1"/>
    <w:rsid w:val="7A8377B3"/>
    <w:rsid w:val="7B0C77A9"/>
    <w:rsid w:val="7B3A2568"/>
    <w:rsid w:val="7B3D5BB4"/>
    <w:rsid w:val="7B686D42"/>
    <w:rsid w:val="7B841746"/>
    <w:rsid w:val="7BE1682B"/>
    <w:rsid w:val="7BE81FC4"/>
    <w:rsid w:val="7C094E31"/>
    <w:rsid w:val="7D0239FF"/>
    <w:rsid w:val="7D03040F"/>
    <w:rsid w:val="7D28320C"/>
    <w:rsid w:val="7D464325"/>
    <w:rsid w:val="7D5E40CD"/>
    <w:rsid w:val="7D693BED"/>
    <w:rsid w:val="7D7632BB"/>
    <w:rsid w:val="7D8D630E"/>
    <w:rsid w:val="7DB85588"/>
    <w:rsid w:val="7DC975CB"/>
    <w:rsid w:val="7E096221"/>
    <w:rsid w:val="7E1A4D7A"/>
    <w:rsid w:val="7E1F3F6C"/>
    <w:rsid w:val="7E72519D"/>
    <w:rsid w:val="7F0D1FD5"/>
    <w:rsid w:val="7F37727D"/>
    <w:rsid w:val="7FCC5758"/>
    <w:rsid w:val="7FD62EB5"/>
    <w:rsid w:val="7FE47E50"/>
    <w:rsid w:val="7FF626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iPriority="0" w:semiHidden="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47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0"/>
    <w:qFormat/>
    <w:uiPriority w:val="0"/>
    <w:pPr>
      <w:keepNext/>
      <w:overflowPunct w:val="0"/>
      <w:adjustRightInd/>
      <w:snapToGrid/>
      <w:spacing w:before="240" w:after="60"/>
      <w:ind w:firstLine="0" w:firstLineChars="0"/>
      <w:outlineLvl w:val="0"/>
    </w:pPr>
    <w:rPr>
      <w:rFonts w:ascii="Times New Roman" w:hAnsi="Times New Roman" w:eastAsia="黑体"/>
      <w:bCs/>
      <w:color w:val="000000"/>
      <w:kern w:val="44"/>
      <w:szCs w:val="30"/>
    </w:rPr>
  </w:style>
  <w:style w:type="paragraph" w:styleId="3">
    <w:name w:val="heading 2"/>
    <w:basedOn w:val="1"/>
    <w:next w:val="1"/>
    <w:qFormat/>
    <w:locked/>
    <w:uiPriority w:val="1"/>
    <w:pPr>
      <w:adjustRightInd w:val="0"/>
      <w:snapToGrid w:val="0"/>
      <w:ind w:left="0" w:firstLine="0" w:firstLineChars="0"/>
      <w:jc w:val="center"/>
      <w:outlineLvl w:val="1"/>
    </w:pPr>
    <w:rPr>
      <w:rFonts w:ascii="Times New Roman" w:hAnsi="Times New Roman" w:eastAsia="黑体" w:cs="宋体"/>
      <w:bCs/>
      <w:szCs w:val="30"/>
    </w:rPr>
  </w:style>
  <w:style w:type="paragraph" w:styleId="4">
    <w:name w:val="heading 3"/>
    <w:basedOn w:val="1"/>
    <w:next w:val="1"/>
    <w:link w:val="41"/>
    <w:qFormat/>
    <w:locked/>
    <w:uiPriority w:val="1"/>
    <w:pPr>
      <w:adjustRightInd w:val="0"/>
      <w:snapToGrid w:val="0"/>
      <w:spacing w:before="240" w:after="60"/>
      <w:ind w:firstLine="0" w:firstLineChars="0"/>
      <w:jc w:val="center"/>
      <w:outlineLvl w:val="2"/>
    </w:pPr>
    <w:rPr>
      <w:rFonts w:eastAsia="黑体" w:cs="宋体"/>
      <w:bCs/>
      <w:sz w:val="30"/>
      <w:szCs w:val="28"/>
    </w:rPr>
  </w:style>
  <w:style w:type="paragraph" w:styleId="5">
    <w:name w:val="heading 4"/>
    <w:basedOn w:val="1"/>
    <w:next w:val="1"/>
    <w:link w:val="42"/>
    <w:qFormat/>
    <w:locked/>
    <w:uiPriority w:val="1"/>
    <w:pPr>
      <w:ind w:left="783"/>
      <w:outlineLvl w:val="3"/>
    </w:pPr>
    <w:rPr>
      <w:rFonts w:ascii="Times New Roman" w:hAnsi="Times New Roman" w:eastAsia="Times New Roman" w:cs="Times New Roman"/>
      <w:b/>
      <w:bCs/>
      <w:sz w:val="28"/>
      <w:szCs w:val="28"/>
    </w:rPr>
  </w:style>
  <w:style w:type="paragraph" w:styleId="6">
    <w:name w:val="heading 5"/>
    <w:basedOn w:val="1"/>
    <w:next w:val="1"/>
    <w:link w:val="85"/>
    <w:unhideWhenUsed/>
    <w:qFormat/>
    <w:locked/>
    <w:uiPriority w:val="0"/>
    <w:pPr>
      <w:keepNext/>
      <w:keepLines/>
      <w:adjustRightInd w:val="0"/>
      <w:snapToGrid w:val="0"/>
      <w:spacing w:beforeLines="0" w:beforeAutospacing="0" w:afterLines="0" w:afterAutospacing="0" w:line="240" w:lineRule="auto"/>
      <w:ind w:firstLine="0" w:firstLineChars="0"/>
      <w:jc w:val="center"/>
      <w:outlineLvl w:val="4"/>
    </w:pPr>
    <w:rPr>
      <w:rFonts w:ascii="Times New Roman" w:hAnsi="Times New Roman" w:eastAsia="黑体"/>
    </w:rPr>
  </w:style>
  <w:style w:type="paragraph" w:styleId="7">
    <w:name w:val="heading 7"/>
    <w:basedOn w:val="1"/>
    <w:next w:val="1"/>
    <w:unhideWhenUsed/>
    <w:qFormat/>
    <w:locked/>
    <w:uiPriority w:val="0"/>
    <w:pPr>
      <w:keepNext/>
      <w:keepLines/>
      <w:spacing w:line="360" w:lineRule="auto"/>
      <w:outlineLvl w:val="6"/>
    </w:pPr>
    <w:rPr>
      <w:rFonts w:ascii="Times New Roman" w:hAnsi="Times New Roman" w:eastAsia="宋体"/>
      <w:b/>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8">
    <w:name w:val="Normal Indent"/>
    <w:basedOn w:val="1"/>
    <w:next w:val="9"/>
    <w:qFormat/>
    <w:uiPriority w:val="0"/>
    <w:pPr>
      <w:ind w:firstLine="420"/>
    </w:pPr>
    <w:rPr>
      <w:szCs w:val="20"/>
    </w:rPr>
  </w:style>
  <w:style w:type="paragraph" w:styleId="9">
    <w:name w:val="Body Text First Indent 2"/>
    <w:basedOn w:val="10"/>
    <w:next w:val="1"/>
    <w:qFormat/>
    <w:uiPriority w:val="0"/>
    <w:pPr>
      <w:ind w:firstLine="420" w:firstLineChars="200"/>
    </w:pPr>
  </w:style>
  <w:style w:type="paragraph" w:styleId="10">
    <w:name w:val="Body Text Indent"/>
    <w:basedOn w:val="1"/>
    <w:link w:val="45"/>
    <w:semiHidden/>
    <w:qFormat/>
    <w:uiPriority w:val="0"/>
    <w:pPr>
      <w:spacing w:after="120"/>
      <w:ind w:left="420" w:leftChars="200"/>
    </w:pPr>
  </w:style>
  <w:style w:type="paragraph" w:styleId="11">
    <w:name w:val="annotation text"/>
    <w:basedOn w:val="1"/>
    <w:link w:val="43"/>
    <w:semiHidden/>
    <w:qFormat/>
    <w:uiPriority w:val="0"/>
    <w:pPr>
      <w:jc w:val="left"/>
    </w:pPr>
    <w:rPr>
      <w:kern w:val="0"/>
      <w:sz w:val="20"/>
    </w:rPr>
  </w:style>
  <w:style w:type="paragraph" w:styleId="12">
    <w:name w:val="Body Text"/>
    <w:basedOn w:val="1"/>
    <w:next w:val="1"/>
    <w:link w:val="44"/>
    <w:qFormat/>
    <w:uiPriority w:val="0"/>
    <w:pPr>
      <w:widowControl/>
      <w:snapToGrid w:val="0"/>
      <w:spacing w:before="60" w:after="160" w:line="259" w:lineRule="auto"/>
      <w:ind w:right="113"/>
    </w:pPr>
    <w:rPr>
      <w:kern w:val="0"/>
      <w:sz w:val="18"/>
      <w:szCs w:val="18"/>
    </w:rPr>
  </w:style>
  <w:style w:type="paragraph" w:styleId="13">
    <w:name w:val="Plain Text"/>
    <w:basedOn w:val="1"/>
    <w:next w:val="14"/>
    <w:qFormat/>
    <w:uiPriority w:val="0"/>
    <w:rPr>
      <w:rFonts w:ascii="宋体" w:hAnsi="Courier New"/>
    </w:rPr>
  </w:style>
  <w:style w:type="paragraph" w:styleId="14">
    <w:name w:val="toc 1"/>
    <w:basedOn w:val="1"/>
    <w:next w:val="1"/>
    <w:qFormat/>
    <w:locked/>
    <w:uiPriority w:val="39"/>
    <w:pPr>
      <w:tabs>
        <w:tab w:val="right" w:leader="dot" w:pos="8296"/>
      </w:tabs>
      <w:spacing w:beforeLines="100" w:line="360" w:lineRule="auto"/>
    </w:pPr>
    <w:rPr>
      <w:snapToGrid w:val="0"/>
      <w:kern w:val="0"/>
      <w:sz w:val="24"/>
    </w:rPr>
  </w:style>
  <w:style w:type="paragraph" w:styleId="15">
    <w:name w:val="Date"/>
    <w:basedOn w:val="1"/>
    <w:next w:val="1"/>
    <w:link w:val="47"/>
    <w:qFormat/>
    <w:uiPriority w:val="0"/>
    <w:pPr>
      <w:ind w:left="100" w:leftChars="2500"/>
    </w:pPr>
    <w:rPr>
      <w:kern w:val="0"/>
      <w:sz w:val="20"/>
    </w:rPr>
  </w:style>
  <w:style w:type="paragraph" w:styleId="16">
    <w:name w:val="Balloon Text"/>
    <w:basedOn w:val="1"/>
    <w:link w:val="48"/>
    <w:semiHidden/>
    <w:qFormat/>
    <w:uiPriority w:val="0"/>
    <w:rPr>
      <w:sz w:val="18"/>
      <w:szCs w:val="18"/>
    </w:rPr>
  </w:style>
  <w:style w:type="paragraph" w:styleId="17">
    <w:name w:val="footer"/>
    <w:basedOn w:val="1"/>
    <w:link w:val="49"/>
    <w:qFormat/>
    <w:uiPriority w:val="99"/>
    <w:pPr>
      <w:tabs>
        <w:tab w:val="center" w:pos="4153"/>
        <w:tab w:val="right" w:pos="8306"/>
      </w:tabs>
      <w:snapToGrid w:val="0"/>
      <w:jc w:val="left"/>
    </w:pPr>
    <w:rPr>
      <w:sz w:val="18"/>
      <w:szCs w:val="18"/>
    </w:rPr>
  </w:style>
  <w:style w:type="paragraph" w:styleId="18">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19">
    <w:name w:val="index heading"/>
    <w:basedOn w:val="1"/>
    <w:next w:val="20"/>
    <w:qFormat/>
    <w:uiPriority w:val="99"/>
    <w:rPr>
      <w:rFonts w:ascii="Arial" w:hAnsi="Arial"/>
      <w:b/>
    </w:rPr>
  </w:style>
  <w:style w:type="paragraph" w:styleId="20">
    <w:name w:val="index 1"/>
    <w:basedOn w:val="1"/>
    <w:next w:val="1"/>
    <w:qFormat/>
    <w:uiPriority w:val="0"/>
  </w:style>
  <w:style w:type="paragraph" w:styleId="21">
    <w:name w:val="List"/>
    <w:basedOn w:val="1"/>
    <w:qFormat/>
    <w:uiPriority w:val="0"/>
    <w:pPr>
      <w:spacing w:line="320" w:lineRule="exact"/>
      <w:ind w:firstLine="0" w:firstLineChars="0"/>
      <w:jc w:val="center"/>
    </w:pPr>
    <w:rPr>
      <w:sz w:val="22"/>
    </w:rPr>
  </w:style>
  <w:style w:type="paragraph" w:styleId="22">
    <w:name w:val="table of figures"/>
    <w:basedOn w:val="1"/>
    <w:next w:val="1"/>
    <w:qFormat/>
    <w:uiPriority w:val="0"/>
    <w:pPr>
      <w:ind w:left="200" w:leftChars="200" w:hanging="200" w:hangingChars="200"/>
    </w:pPr>
    <w:rPr>
      <w:rFonts w:ascii="Calibri" w:hAnsi="Calibri" w:eastAsia="宋体" w:cs="Times New Roman"/>
    </w:rPr>
  </w:style>
  <w:style w:type="paragraph" w:styleId="23">
    <w:name w:val="Normal (Web)"/>
    <w:basedOn w:val="1"/>
    <w:link w:val="51"/>
    <w:qFormat/>
    <w:uiPriority w:val="0"/>
    <w:pPr>
      <w:widowControl/>
      <w:spacing w:before="100" w:beforeAutospacing="1" w:after="100" w:afterAutospacing="1"/>
      <w:jc w:val="left"/>
    </w:pPr>
    <w:rPr>
      <w:rFonts w:ascii="宋体" w:hAnsi="宋体"/>
      <w:kern w:val="0"/>
      <w:sz w:val="24"/>
    </w:rPr>
  </w:style>
  <w:style w:type="paragraph" w:styleId="24">
    <w:name w:val="Title"/>
    <w:basedOn w:val="1"/>
    <w:next w:val="1"/>
    <w:qFormat/>
    <w:locked/>
    <w:uiPriority w:val="10"/>
    <w:pPr>
      <w:adjustRightInd w:val="0"/>
      <w:snapToGrid w:val="0"/>
      <w:jc w:val="center"/>
      <w:outlineLvl w:val="0"/>
    </w:pPr>
    <w:rPr>
      <w:rFonts w:cs="Times New Roman"/>
      <w:b/>
      <w:bCs/>
      <w:sz w:val="24"/>
      <w:szCs w:val="32"/>
    </w:rPr>
  </w:style>
  <w:style w:type="paragraph" w:styleId="25">
    <w:name w:val="annotation subject"/>
    <w:basedOn w:val="11"/>
    <w:next w:val="11"/>
    <w:link w:val="52"/>
    <w:semiHidden/>
    <w:qFormat/>
    <w:uiPriority w:val="0"/>
    <w:rPr>
      <w:b/>
      <w:bCs/>
    </w:rPr>
  </w:style>
  <w:style w:type="paragraph" w:styleId="26">
    <w:name w:val="Body Text First Indent"/>
    <w:basedOn w:val="12"/>
    <w:next w:val="1"/>
    <w:qFormat/>
    <w:uiPriority w:val="0"/>
    <w:pPr>
      <w:spacing w:after="120"/>
      <w:ind w:firstLine="420" w:firstLineChars="100"/>
    </w:pPr>
    <w:rPr>
      <w:rFonts w:eastAsia="宋体"/>
      <w:sz w:val="21"/>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Emphasis"/>
    <w:basedOn w:val="29"/>
    <w:qFormat/>
    <w:locked/>
    <w:uiPriority w:val="0"/>
    <w:rPr>
      <w:i/>
    </w:rPr>
  </w:style>
  <w:style w:type="character" w:styleId="32">
    <w:name w:val="Hyperlink"/>
    <w:qFormat/>
    <w:uiPriority w:val="0"/>
    <w:rPr>
      <w:color w:val="0000FF"/>
      <w:u w:val="single"/>
    </w:rPr>
  </w:style>
  <w:style w:type="character" w:styleId="33">
    <w:name w:val="annotation reference"/>
    <w:basedOn w:val="29"/>
    <w:semiHidden/>
    <w:qFormat/>
    <w:uiPriority w:val="0"/>
    <w:rPr>
      <w:sz w:val="21"/>
    </w:rPr>
  </w:style>
  <w:style w:type="paragraph" w:customStyle="1" w:styleId="34">
    <w:name w:val="Date1"/>
    <w:basedOn w:val="1"/>
    <w:next w:val="1"/>
    <w:qFormat/>
    <w:uiPriority w:val="0"/>
    <w:pPr>
      <w:adjustRightInd w:val="0"/>
      <w:jc w:val="left"/>
      <w:textAlignment w:val="baseline"/>
    </w:pPr>
    <w:rPr>
      <w:rFonts w:ascii="宋体" w:hAnsi="宋体"/>
      <w:sz w:val="28"/>
      <w:szCs w:val="20"/>
    </w:rPr>
  </w:style>
  <w:style w:type="paragraph" w:customStyle="1" w:styleId="35">
    <w:name w:val="Default"/>
    <w:basedOn w:val="36"/>
    <w:next w:val="19"/>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6">
    <w:name w:val="纯文本1"/>
    <w:basedOn w:val="1"/>
    <w:qFormat/>
    <w:uiPriority w:val="0"/>
    <w:rPr>
      <w:rFonts w:hint="eastAsia" w:ascii="宋体" w:hAnsi="Courier New"/>
      <w:szCs w:val="22"/>
    </w:rPr>
  </w:style>
  <w:style w:type="paragraph" w:customStyle="1" w:styleId="37">
    <w:name w:val="图片"/>
    <w:basedOn w:val="1"/>
    <w:next w:val="7"/>
    <w:qFormat/>
    <w:uiPriority w:val="0"/>
    <w:pPr>
      <w:spacing w:line="240" w:lineRule="auto"/>
      <w:ind w:firstLine="0" w:firstLineChars="0"/>
      <w:jc w:val="center"/>
    </w:pPr>
    <w:rPr>
      <w:rFonts w:ascii="Times New Roman" w:hAnsi="Times New Roman" w:eastAsia="宋体"/>
      <w:position w:val="-82"/>
    </w:rPr>
  </w:style>
  <w:style w:type="paragraph" w:customStyle="1" w:styleId="38">
    <w:name w:val="表格"/>
    <w:basedOn w:val="8"/>
    <w:next w:val="1"/>
    <w:link w:val="39"/>
    <w:qFormat/>
    <w:uiPriority w:val="0"/>
    <w:pPr>
      <w:wordWrap w:val="0"/>
      <w:adjustRightInd w:val="0"/>
      <w:snapToGrid w:val="0"/>
      <w:spacing w:line="240" w:lineRule="auto"/>
      <w:ind w:firstLine="0" w:firstLineChars="0"/>
      <w:jc w:val="center"/>
    </w:pPr>
    <w:rPr>
      <w:rFonts w:ascii="Times New Roman" w:hAnsi="Times New Roman" w:eastAsia="宋体"/>
      <w:kern w:val="0"/>
      <w:sz w:val="21"/>
      <w:szCs w:val="21"/>
    </w:rPr>
  </w:style>
  <w:style w:type="character" w:customStyle="1" w:styleId="39">
    <w:name w:val="表格 Char"/>
    <w:link w:val="38"/>
    <w:qFormat/>
    <w:locked/>
    <w:uiPriority w:val="0"/>
    <w:rPr>
      <w:rFonts w:ascii="Times New Roman" w:hAnsi="Times New Roman" w:eastAsia="宋体"/>
      <w:sz w:val="21"/>
    </w:rPr>
  </w:style>
  <w:style w:type="character" w:customStyle="1" w:styleId="40">
    <w:name w:val="标题 1 Char"/>
    <w:link w:val="2"/>
    <w:qFormat/>
    <w:uiPriority w:val="0"/>
    <w:rPr>
      <w:rFonts w:ascii="Times New Roman" w:hAnsi="Times New Roman" w:eastAsia="黑体" w:cs="Times New Roman"/>
      <w:bCs/>
      <w:color w:val="000000"/>
      <w:kern w:val="44"/>
      <w:sz w:val="24"/>
      <w:szCs w:val="30"/>
      <w:lang w:val="en-US" w:eastAsia="zh-CN" w:bidi="ar-SA"/>
    </w:rPr>
  </w:style>
  <w:style w:type="character" w:customStyle="1" w:styleId="41">
    <w:name w:val="标题 3 Char"/>
    <w:link w:val="4"/>
    <w:qFormat/>
    <w:uiPriority w:val="1"/>
    <w:rPr>
      <w:rFonts w:ascii="Times New Roman" w:hAnsi="Times New Roman" w:eastAsia="黑体" w:cs="宋体"/>
      <w:bCs/>
      <w:kern w:val="2"/>
      <w:sz w:val="30"/>
      <w:szCs w:val="28"/>
      <w:lang w:val="en-US" w:eastAsia="zh-CN" w:bidi="ar-SA"/>
    </w:rPr>
  </w:style>
  <w:style w:type="character" w:customStyle="1" w:styleId="42">
    <w:name w:val="标题 4 Char"/>
    <w:link w:val="5"/>
    <w:qFormat/>
    <w:uiPriority w:val="1"/>
    <w:rPr>
      <w:rFonts w:ascii="Times New Roman" w:hAnsi="Times New Roman" w:eastAsia="Times New Roman" w:cs="Times New Roman"/>
      <w:b/>
      <w:bCs/>
      <w:sz w:val="28"/>
      <w:szCs w:val="28"/>
    </w:rPr>
  </w:style>
  <w:style w:type="character" w:customStyle="1" w:styleId="43">
    <w:name w:val="批注文字 字符"/>
    <w:link w:val="11"/>
    <w:qFormat/>
    <w:locked/>
    <w:uiPriority w:val="0"/>
    <w:rPr>
      <w:rFonts w:ascii="Times New Roman" w:hAnsi="Times New Roman" w:eastAsia="宋体"/>
      <w:sz w:val="24"/>
    </w:rPr>
  </w:style>
  <w:style w:type="character" w:customStyle="1" w:styleId="44">
    <w:name w:val="正文文本 字符"/>
    <w:link w:val="12"/>
    <w:qFormat/>
    <w:locked/>
    <w:uiPriority w:val="0"/>
    <w:rPr>
      <w:sz w:val="18"/>
    </w:rPr>
  </w:style>
  <w:style w:type="character" w:customStyle="1" w:styleId="45">
    <w:name w:val="正文文本缩进 字符"/>
    <w:link w:val="10"/>
    <w:semiHidden/>
    <w:qFormat/>
    <w:locked/>
    <w:uiPriority w:val="0"/>
    <w:rPr>
      <w:rFonts w:ascii="Times New Roman" w:hAnsi="Times New Roman" w:eastAsia="宋体" w:cs="Times New Roman"/>
      <w:sz w:val="24"/>
      <w:szCs w:val="24"/>
    </w:rPr>
  </w:style>
  <w:style w:type="paragraph" w:customStyle="1" w:styleId="46">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47">
    <w:name w:val="日期 字符1"/>
    <w:link w:val="15"/>
    <w:qFormat/>
    <w:locked/>
    <w:uiPriority w:val="0"/>
    <w:rPr>
      <w:rFonts w:ascii="Times New Roman" w:hAnsi="Times New Roman" w:eastAsia="宋体"/>
      <w:sz w:val="24"/>
    </w:rPr>
  </w:style>
  <w:style w:type="character" w:customStyle="1" w:styleId="48">
    <w:name w:val="批注框文本 字符"/>
    <w:link w:val="16"/>
    <w:semiHidden/>
    <w:qFormat/>
    <w:locked/>
    <w:uiPriority w:val="0"/>
    <w:rPr>
      <w:rFonts w:ascii="Times New Roman" w:hAnsi="Times New Roman" w:eastAsia="宋体" w:cs="Times New Roman"/>
      <w:sz w:val="18"/>
      <w:szCs w:val="18"/>
    </w:rPr>
  </w:style>
  <w:style w:type="character" w:customStyle="1" w:styleId="49">
    <w:name w:val="页脚 字符"/>
    <w:link w:val="17"/>
    <w:qFormat/>
    <w:locked/>
    <w:uiPriority w:val="99"/>
    <w:rPr>
      <w:rFonts w:cs="Times New Roman"/>
      <w:sz w:val="18"/>
      <w:szCs w:val="18"/>
    </w:rPr>
  </w:style>
  <w:style w:type="character" w:customStyle="1" w:styleId="50">
    <w:name w:val="页眉 字符"/>
    <w:link w:val="18"/>
    <w:qFormat/>
    <w:locked/>
    <w:uiPriority w:val="0"/>
    <w:rPr>
      <w:rFonts w:cs="Times New Roman"/>
      <w:sz w:val="18"/>
      <w:szCs w:val="18"/>
    </w:rPr>
  </w:style>
  <w:style w:type="character" w:customStyle="1" w:styleId="51">
    <w:name w:val="普通(网站) 字符"/>
    <w:link w:val="23"/>
    <w:qFormat/>
    <w:locked/>
    <w:uiPriority w:val="0"/>
    <w:rPr>
      <w:rFonts w:ascii="宋体" w:hAnsi="宋体" w:eastAsia="宋体"/>
      <w:sz w:val="24"/>
    </w:rPr>
  </w:style>
  <w:style w:type="character" w:customStyle="1" w:styleId="52">
    <w:name w:val="批注主题 字符"/>
    <w:link w:val="25"/>
    <w:semiHidden/>
    <w:qFormat/>
    <w:locked/>
    <w:uiPriority w:val="0"/>
    <w:rPr>
      <w:rFonts w:cs="Times New Roman"/>
      <w:b/>
      <w:bCs/>
      <w:kern w:val="2"/>
      <w:szCs w:val="24"/>
    </w:rPr>
  </w:style>
  <w:style w:type="paragraph" w:customStyle="1" w:styleId="53">
    <w:name w:val="Normal Indent1"/>
    <w:basedOn w:val="1"/>
    <w:qFormat/>
    <w:uiPriority w:val="0"/>
    <w:pPr>
      <w:spacing w:line="600" w:lineRule="exact"/>
      <w:ind w:firstLine="420"/>
    </w:pPr>
    <w:rPr>
      <w:rFonts w:ascii="宋体"/>
      <w:sz w:val="32"/>
      <w:szCs w:val="20"/>
    </w:rPr>
  </w:style>
  <w:style w:type="paragraph" w:customStyle="1" w:styleId="54">
    <w:name w:val="表头"/>
    <w:basedOn w:val="21"/>
    <w:next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55">
    <w:name w:val="正文."/>
    <w:basedOn w:val="1"/>
    <w:qFormat/>
    <w:uiPriority w:val="0"/>
  </w:style>
  <w:style w:type="paragraph" w:customStyle="1" w:styleId="56">
    <w:name w:val="正文（首行缩进两字）"/>
    <w:basedOn w:val="1"/>
    <w:qFormat/>
    <w:uiPriority w:val="0"/>
    <w:pPr>
      <w:ind w:firstLine="420"/>
    </w:pPr>
    <w:rPr>
      <w:sz w:val="28"/>
      <w:szCs w:val="21"/>
    </w:rPr>
  </w:style>
  <w:style w:type="character" w:customStyle="1" w:styleId="57">
    <w:name w:val="正文文本 字符1"/>
    <w:semiHidden/>
    <w:qFormat/>
    <w:uiPriority w:val="0"/>
    <w:rPr>
      <w:rFonts w:ascii="Times New Roman" w:hAnsi="Times New Roman" w:eastAsia="宋体" w:cs="Times New Roman"/>
      <w:sz w:val="24"/>
      <w:szCs w:val="24"/>
    </w:rPr>
  </w:style>
  <w:style w:type="character" w:customStyle="1" w:styleId="58">
    <w:name w:val="日期 字符"/>
    <w:semiHidden/>
    <w:qFormat/>
    <w:uiPriority w:val="0"/>
    <w:rPr>
      <w:rFonts w:ascii="Times New Roman" w:hAnsi="Times New Roman" w:eastAsia="宋体" w:cs="Times New Roman"/>
      <w:sz w:val="24"/>
      <w:szCs w:val="24"/>
    </w:rPr>
  </w:style>
  <w:style w:type="character" w:customStyle="1" w:styleId="59">
    <w:name w:val="普通(网站) Char"/>
    <w:qFormat/>
    <w:locked/>
    <w:uiPriority w:val="0"/>
    <w:rPr>
      <w:rFonts w:ascii="宋体" w:hAnsi="宋体" w:eastAsia="宋体"/>
      <w:sz w:val="24"/>
    </w:rPr>
  </w:style>
  <w:style w:type="character" w:customStyle="1" w:styleId="60">
    <w:name w:val="批注文字 字符1"/>
    <w:semiHidden/>
    <w:qFormat/>
    <w:uiPriority w:val="0"/>
    <w:rPr>
      <w:rFonts w:ascii="Times New Roman" w:hAnsi="Times New Roman" w:eastAsia="宋体" w:cs="Times New Roman"/>
      <w:sz w:val="24"/>
      <w:szCs w:val="24"/>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报告表标题1"/>
    <w:basedOn w:val="1"/>
    <w:qFormat/>
    <w:uiPriority w:val="0"/>
    <w:pPr>
      <w:adjustRightInd w:val="0"/>
    </w:pPr>
    <w:rPr>
      <w:rFonts w:ascii="Calibri" w:hAnsi="Calibri" w:eastAsia="黑体"/>
    </w:rPr>
  </w:style>
  <w:style w:type="paragraph" w:customStyle="1" w:styleId="63">
    <w:name w:val="Table Paragraph"/>
    <w:basedOn w:val="1"/>
    <w:qFormat/>
    <w:uiPriority w:val="1"/>
    <w:pPr>
      <w:jc w:val="center"/>
    </w:pPr>
    <w:rPr>
      <w:rFonts w:ascii="Times New Roman" w:hAnsi="Times New Roman" w:eastAsia="Times New Roman" w:cs="Times New Roman"/>
    </w:rPr>
  </w:style>
  <w:style w:type="paragraph" w:styleId="64">
    <w:name w:val="List Paragraph"/>
    <w:basedOn w:val="1"/>
    <w:qFormat/>
    <w:uiPriority w:val="1"/>
    <w:pPr>
      <w:ind w:left="956" w:hanging="197"/>
    </w:pPr>
    <w:rPr>
      <w:rFonts w:ascii="宋体" w:hAnsi="宋体" w:eastAsia="宋体" w:cs="宋体"/>
    </w:rPr>
  </w:style>
  <w:style w:type="paragraph" w:customStyle="1" w:styleId="65">
    <w:name w:val="环评送审"/>
    <w:basedOn w:val="1"/>
    <w:qFormat/>
    <w:uiPriority w:val="0"/>
    <w:pPr>
      <w:spacing w:line="360" w:lineRule="auto"/>
      <w:ind w:firstLine="480" w:firstLineChars="200"/>
      <w:jc w:val="left"/>
    </w:pPr>
    <w:rPr>
      <w:rFonts w:ascii="仿宋_GB2312" w:eastAsia="仿宋_GB2312"/>
      <w:sz w:val="24"/>
      <w:szCs w:val="20"/>
    </w:rPr>
  </w:style>
  <w:style w:type="paragraph" w:customStyle="1" w:styleId="66">
    <w:name w:val="【正文】"/>
    <w:basedOn w:val="1"/>
    <w:qFormat/>
    <w:uiPriority w:val="0"/>
    <w:pPr>
      <w:spacing w:line="440" w:lineRule="exact"/>
      <w:ind w:firstLine="544"/>
    </w:pPr>
    <w:rPr>
      <w:rFonts w:cs="宋体"/>
      <w:sz w:val="24"/>
      <w:szCs w:val="20"/>
    </w:rPr>
  </w:style>
  <w:style w:type="paragraph" w:customStyle="1" w:styleId="67">
    <w:name w:val="正文120"/>
    <w:basedOn w:val="1"/>
    <w:qFormat/>
    <w:uiPriority w:val="0"/>
    <w:pPr>
      <w:spacing w:line="360" w:lineRule="auto"/>
      <w:ind w:firstLine="720" w:firstLineChars="200"/>
    </w:pPr>
    <w:rPr>
      <w:rFonts w:ascii="Times New Roman" w:hAnsi="Times New Roman" w:eastAsia="宋体"/>
      <w:sz w:val="24"/>
      <w:szCs w:val="24"/>
    </w:rPr>
  </w:style>
  <w:style w:type="paragraph" w:customStyle="1" w:styleId="68">
    <w:name w:val="p15"/>
    <w:basedOn w:val="1"/>
    <w:qFormat/>
    <w:uiPriority w:val="0"/>
    <w:pPr>
      <w:widowControl/>
      <w:snapToGrid w:val="0"/>
      <w:jc w:val="left"/>
    </w:pPr>
    <w:rPr>
      <w:color w:val="000000"/>
      <w:kern w:val="0"/>
      <w:sz w:val="24"/>
    </w:rPr>
  </w:style>
  <w:style w:type="character" w:customStyle="1" w:styleId="69">
    <w:name w:val="font11"/>
    <w:qFormat/>
    <w:uiPriority w:val="0"/>
    <w:rPr>
      <w:rFonts w:ascii="宋体" w:hAnsi="宋体" w:eastAsia="宋体" w:cs="宋体"/>
      <w:b/>
      <w:bCs/>
      <w:color w:val="000000"/>
      <w:sz w:val="22"/>
      <w:szCs w:val="22"/>
      <w:u w:val="none"/>
    </w:rPr>
  </w:style>
  <w:style w:type="character" w:customStyle="1" w:styleId="70">
    <w:name w:val="font51"/>
    <w:qFormat/>
    <w:uiPriority w:val="0"/>
    <w:rPr>
      <w:rFonts w:ascii="宋体" w:hAnsi="宋体" w:eastAsia="宋体" w:cs="宋体"/>
      <w:color w:val="000000"/>
      <w:sz w:val="22"/>
      <w:szCs w:val="22"/>
      <w:u w:val="none"/>
    </w:rPr>
  </w:style>
  <w:style w:type="character" w:customStyle="1" w:styleId="71">
    <w:name w:val="font41"/>
    <w:qFormat/>
    <w:uiPriority w:val="0"/>
    <w:rPr>
      <w:rFonts w:hint="default" w:ascii="Times New Roman" w:hAnsi="Times New Roman" w:cs="Times New Roman"/>
      <w:color w:val="000000"/>
      <w:sz w:val="22"/>
      <w:szCs w:val="22"/>
      <w:u w:val="none"/>
    </w:rPr>
  </w:style>
  <w:style w:type="character" w:customStyle="1" w:styleId="72">
    <w:name w:val="font91"/>
    <w:qFormat/>
    <w:uiPriority w:val="0"/>
    <w:rPr>
      <w:rFonts w:hint="default" w:ascii="Times New Roman" w:hAnsi="Times New Roman" w:cs="Times New Roman"/>
      <w:color w:val="000000"/>
      <w:sz w:val="22"/>
      <w:szCs w:val="22"/>
      <w:u w:val="none"/>
      <w:vertAlign w:val="superscript"/>
    </w:rPr>
  </w:style>
  <w:style w:type="character" w:customStyle="1" w:styleId="73">
    <w:name w:val="font101"/>
    <w:qFormat/>
    <w:uiPriority w:val="0"/>
    <w:rPr>
      <w:rFonts w:hint="default" w:ascii="Times New Roman" w:hAnsi="Times New Roman" w:cs="Times New Roman"/>
      <w:color w:val="000000"/>
      <w:sz w:val="22"/>
      <w:szCs w:val="22"/>
      <w:u w:val="none"/>
    </w:rPr>
  </w:style>
  <w:style w:type="character" w:customStyle="1" w:styleId="74">
    <w:name w:val="font112"/>
    <w:qFormat/>
    <w:uiPriority w:val="0"/>
    <w:rPr>
      <w:rFonts w:hint="default" w:ascii="Times New Roman" w:hAnsi="Times New Roman" w:cs="Times New Roman"/>
      <w:color w:val="000000"/>
      <w:sz w:val="22"/>
      <w:szCs w:val="22"/>
      <w:u w:val="none"/>
      <w:vertAlign w:val="superscript"/>
    </w:rPr>
  </w:style>
  <w:style w:type="character" w:customStyle="1" w:styleId="75">
    <w:name w:val="font121"/>
    <w:qFormat/>
    <w:uiPriority w:val="0"/>
    <w:rPr>
      <w:rFonts w:hint="default" w:ascii="Times New Roman" w:hAnsi="Times New Roman" w:cs="Times New Roman"/>
      <w:color w:val="FF0000"/>
      <w:sz w:val="22"/>
      <w:szCs w:val="22"/>
      <w:u w:val="none"/>
      <w:vertAlign w:val="superscript"/>
    </w:rPr>
  </w:style>
  <w:style w:type="character" w:customStyle="1" w:styleId="76">
    <w:name w:val="font01"/>
    <w:qFormat/>
    <w:uiPriority w:val="0"/>
    <w:rPr>
      <w:rFonts w:hint="eastAsia" w:ascii="宋体" w:hAnsi="宋体" w:eastAsia="宋体" w:cs="宋体"/>
      <w:color w:val="FF0000"/>
      <w:sz w:val="22"/>
      <w:szCs w:val="22"/>
      <w:u w:val="none"/>
    </w:rPr>
  </w:style>
  <w:style w:type="character" w:customStyle="1" w:styleId="77">
    <w:name w:val="font21"/>
    <w:qFormat/>
    <w:uiPriority w:val="0"/>
    <w:rPr>
      <w:rFonts w:hint="eastAsia" w:ascii="宋体" w:hAnsi="宋体" w:eastAsia="宋体" w:cs="宋体"/>
      <w:b/>
      <w:bCs/>
      <w:color w:val="000000"/>
      <w:sz w:val="21"/>
      <w:szCs w:val="21"/>
      <w:u w:val="none"/>
    </w:rPr>
  </w:style>
  <w:style w:type="character" w:customStyle="1" w:styleId="78">
    <w:name w:val="font71"/>
    <w:qFormat/>
    <w:uiPriority w:val="0"/>
    <w:rPr>
      <w:rFonts w:hint="default" w:ascii="Times New Roman" w:hAnsi="Times New Roman" w:cs="Times New Roman"/>
      <w:color w:val="000000"/>
      <w:sz w:val="21"/>
      <w:szCs w:val="21"/>
      <w:u w:val="none"/>
      <w:vertAlign w:val="subscript"/>
    </w:rPr>
  </w:style>
  <w:style w:type="character" w:customStyle="1" w:styleId="79">
    <w:name w:val="font61"/>
    <w:qFormat/>
    <w:uiPriority w:val="0"/>
    <w:rPr>
      <w:rFonts w:hint="default" w:ascii="Times New Roman" w:hAnsi="Times New Roman" w:cs="Times New Roman"/>
      <w:color w:val="000000"/>
      <w:sz w:val="21"/>
      <w:szCs w:val="21"/>
      <w:u w:val="none"/>
      <w:vertAlign w:val="superscript"/>
    </w:rPr>
  </w:style>
  <w:style w:type="character" w:customStyle="1" w:styleId="80">
    <w:name w:val="font31"/>
    <w:qFormat/>
    <w:uiPriority w:val="0"/>
    <w:rPr>
      <w:rFonts w:hint="default" w:ascii="Times New Roman" w:hAnsi="Times New Roman" w:cs="Times New Roman"/>
      <w:color w:val="000000"/>
      <w:sz w:val="20"/>
      <w:szCs w:val="20"/>
      <w:u w:val="none"/>
    </w:rPr>
  </w:style>
  <w:style w:type="paragraph" w:customStyle="1" w:styleId="81">
    <w:name w:val="_Style 78"/>
    <w:unhideWhenUsed/>
    <w:qFormat/>
    <w:uiPriority w:val="99"/>
    <w:rPr>
      <w:rFonts w:ascii="Times New Roman" w:hAnsi="Times New Roman" w:eastAsia="宋体" w:cs="Times New Roman"/>
      <w:kern w:val="2"/>
      <w:sz w:val="21"/>
      <w:szCs w:val="24"/>
      <w:lang w:val="en-US" w:eastAsia="zh-CN" w:bidi="ar-SA"/>
    </w:rPr>
  </w:style>
  <w:style w:type="table" w:customStyle="1" w:styleId="82">
    <w:name w:val="Table Normal"/>
    <w:unhideWhenUsed/>
    <w:qFormat/>
    <w:uiPriority w:val="0"/>
    <w:tblPr>
      <w:tblCellMar>
        <w:top w:w="0" w:type="dxa"/>
        <w:left w:w="0" w:type="dxa"/>
        <w:bottom w:w="0" w:type="dxa"/>
        <w:right w:w="0" w:type="dxa"/>
      </w:tblCellMar>
    </w:tblPr>
  </w:style>
  <w:style w:type="paragraph" w:customStyle="1" w:styleId="83">
    <w:name w:val="表格001"/>
    <w:basedOn w:val="1"/>
    <w:next w:val="1"/>
    <w:qFormat/>
    <w:uiPriority w:val="0"/>
    <w:pPr>
      <w:adjustRightInd w:val="0"/>
      <w:snapToGrid w:val="0"/>
      <w:jc w:val="center"/>
    </w:pPr>
    <w:rPr>
      <w:rFonts w:ascii="Calibri" w:hAnsi="Calibri" w:eastAsia="宋体" w:cs="Times New Roman"/>
      <w:szCs w:val="21"/>
    </w:rPr>
  </w:style>
  <w:style w:type="paragraph" w:customStyle="1" w:styleId="84">
    <w:name w:val="Table Text"/>
    <w:basedOn w:val="1"/>
    <w:semiHidden/>
    <w:qFormat/>
    <w:uiPriority w:val="0"/>
    <w:rPr>
      <w:rFonts w:ascii="宋体" w:hAnsi="宋体" w:eastAsia="宋体" w:cs="宋体"/>
      <w:sz w:val="20"/>
      <w:szCs w:val="20"/>
      <w:lang w:val="en-US" w:eastAsia="en-US" w:bidi="ar-SA"/>
    </w:rPr>
  </w:style>
  <w:style w:type="character" w:customStyle="1" w:styleId="85">
    <w:name w:val="标题 5 Char"/>
    <w:link w:val="6"/>
    <w:qFormat/>
    <w:uiPriority w:val="0"/>
    <w:rPr>
      <w:rFonts w:ascii="Times New Roman" w:hAnsi="Times New Roman" w:eastAsia="黑体"/>
    </w:rPr>
  </w:style>
  <w:style w:type="paragraph" w:customStyle="1" w:styleId="86">
    <w:name w:val="图表标题"/>
    <w:basedOn w:val="1"/>
    <w:qFormat/>
    <w:uiPriority w:val="0"/>
    <w:pPr>
      <w:spacing w:line="360" w:lineRule="auto"/>
      <w:ind w:left="0" w:firstLine="0" w:firstLineChars="0"/>
      <w:jc w:val="center"/>
    </w:pPr>
    <w:rPr>
      <w:rFonts w:ascii="Times New Roman" w:hAnsi="Times New Roman" w:eastAsia="黑体" w:cs="Times New Roman"/>
      <w:bCs/>
      <w:sz w:val="24"/>
      <w:szCs w:val="24"/>
    </w:rPr>
  </w:style>
  <w:style w:type="paragraph" w:customStyle="1" w:styleId="87">
    <w:name w:val="正文（resuli）"/>
    <w:basedOn w:val="1"/>
    <w:qFormat/>
    <w:uiPriority w:val="0"/>
    <w:pPr>
      <w:spacing w:line="360" w:lineRule="auto"/>
      <w:ind w:firstLine="720" w:firstLineChars="200"/>
    </w:pPr>
    <w:rPr>
      <w:rFonts w:ascii="Times New Roman" w:hAnsi="Times New Roman" w:eastAsia="宋体" w:cs="Times New Roman"/>
      <w:sz w:val="24"/>
    </w:rPr>
  </w:style>
  <w:style w:type="paragraph" w:customStyle="1" w:styleId="88">
    <w:name w:val="表格文本（resuli）"/>
    <w:basedOn w:val="1"/>
    <w:qFormat/>
    <w:uiPriority w:val="0"/>
    <w:pPr>
      <w:snapToGrid w:val="0"/>
      <w:spacing w:line="240" w:lineRule="auto"/>
      <w:ind w:firstLine="0" w:firstLineChars="0"/>
      <w:jc w:val="center"/>
    </w:pPr>
    <w:rPr>
      <w:rFonts w:hint="default" w:ascii="Times New Roman" w:hAnsi="Times New Roman"/>
      <w:sz w:val="21"/>
    </w:rPr>
  </w:style>
  <w:style w:type="paragraph" w:customStyle="1" w:styleId="89">
    <w:name w:val="环评正文"/>
    <w:basedOn w:val="1"/>
    <w:next w:val="1"/>
    <w:qFormat/>
    <w:uiPriority w:val="0"/>
    <w:pPr>
      <w:widowControl/>
      <w:adjustRightInd w:val="0"/>
      <w:spacing w:line="360" w:lineRule="auto"/>
      <w:ind w:firstLine="200" w:firstLineChars="200"/>
      <w:jc w:val="left"/>
    </w:pPr>
    <w:rPr>
      <w:rFonts w:ascii="仿宋_GB2312" w:eastAsia="仿宋_GB2312"/>
      <w:bCs/>
      <w:sz w:val="24"/>
    </w:rPr>
  </w:style>
  <w:style w:type="paragraph" w:customStyle="1" w:styleId="90">
    <w:name w:val="Body Text First Indent 21"/>
    <w:basedOn w:val="10"/>
    <w:qFormat/>
    <w:uiPriority w:val="0"/>
    <w:pPr>
      <w:ind w:firstLine="420" w:firstLineChars="200"/>
    </w:pPr>
  </w:style>
  <w:style w:type="paragraph" w:customStyle="1" w:styleId="91">
    <w:name w:val="表题"/>
    <w:basedOn w:val="1"/>
    <w:qFormat/>
    <w:uiPriority w:val="0"/>
    <w:pPr>
      <w:spacing w:line="0" w:lineRule="atLeast"/>
      <w:jc w:val="center"/>
    </w:pPr>
    <w:rPr>
      <w:rFonts w:hint="eastAsia" w:ascii="Times New Roman" w:hAnsi="Times New Roman" w:eastAsia="黑体"/>
      <w:kern w:val="0"/>
    </w:rPr>
  </w:style>
  <w:style w:type="paragraph" w:customStyle="1" w:styleId="92">
    <w:name w:val="【LY表格】"/>
    <w:basedOn w:val="1"/>
    <w:qFormat/>
    <w:uiPriority w:val="0"/>
    <w:pPr>
      <w:adjustRightInd w:val="0"/>
      <w:snapToGrid w:val="0"/>
      <w:spacing w:line="0" w:lineRule="atLeast"/>
      <w:ind w:firstLine="0" w:firstLineChars="0"/>
      <w:jc w:val="both"/>
    </w:pPr>
    <w:rPr>
      <w:sz w:val="21"/>
      <w:szCs w:val="21"/>
    </w:rPr>
  </w:style>
  <w:style w:type="paragraph" w:customStyle="1" w:styleId="93">
    <w:name w:val="表格表头（resuli）"/>
    <w:basedOn w:val="1"/>
    <w:qFormat/>
    <w:uiPriority w:val="0"/>
    <w:pPr>
      <w:snapToGrid w:val="0"/>
      <w:spacing w:line="240" w:lineRule="auto"/>
      <w:ind w:firstLine="0" w:firstLineChars="0"/>
      <w:jc w:val="center"/>
    </w:pPr>
    <w:rPr>
      <w:rFonts w:hint="eastAsia" w:ascii="Times New Roman" w:hAnsi="Times New Roman" w:eastAsia="宋体"/>
      <w:b/>
      <w:sz w:val="24"/>
    </w:rPr>
  </w:style>
  <w:style w:type="character" w:customStyle="1" w:styleId="94">
    <w:name w:val="fontstyle01"/>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2cb98d87-8673-48b6-bc68-67406cd0d7ec</errorID>
      <errorWord>(</errorWord>
      <group>L1_Format</group>
      <groupName>格式问题</groupName>
      <ability>L2_HalfPunc</ability>
      <abilityName>全半角检查</abilityName>
      <candidateList>
        <item>（</item>
      </candidateList>
      <explain>文本全半角错误。</explain>
      <paraID>51C07A69</paraID>
      <start>19</start>
      <end>20</end>
      <status>unmodified</status>
      <modifiedWord/>
      <trackRevisions>false</trackRevisions>
    </reviewItem>
    <reviewItem>
      <errorID>1ada64ed-f50e-45ba-b00d-340b3423e6e7</errorID>
      <errorWord>)</errorWord>
      <group>L1_Format</group>
      <groupName>格式问题</groupName>
      <ability>L2_HalfPunc</ability>
      <abilityName>全半角检查</abilityName>
      <candidateList>
        <item>）</item>
      </candidateList>
      <explain>文本全半角错误。</explain>
      <paraID>51C07A69</paraID>
      <start>28</start>
      <end>29</end>
      <status>unmodified</status>
      <modifiedWord/>
      <trackRevisions>false</trackRevisions>
    </reviewItem>
    <reviewItem>
      <errorID>d6ebcd47-1646-4d8a-afc6-5e26ab2f813e</errorID>
      <errorWord>(</errorWord>
      <group>L1_Format</group>
      <groupName>格式问题</groupName>
      <ability>L2_HalfPunc</ability>
      <abilityName>全半角检查</abilityName>
      <candidateList>
        <item>（</item>
      </candidateList>
      <explain>文本全半角错误。</explain>
      <paraID>5F1921EB</paraID>
      <start>4</start>
      <end>5</end>
      <status>unmodified</status>
      <modifiedWord/>
      <trackRevisions>false</trackRevisions>
    </reviewItem>
    <reviewItem>
      <errorID>9e68b191-388e-42df-8a2a-35152a45f0fb</errorID>
      <errorWord>)</errorWord>
      <group>L1_Format</group>
      <groupName>格式问题</groupName>
      <ability>L2_HalfPunc</ability>
      <abilityName>全半角检查</abilityName>
      <candidateList>
        <item>）</item>
      </candidateList>
      <explain>文本全半角错误。</explain>
      <paraID>5F1921EB</paraID>
      <start>7</start>
      <end>8</end>
      <status>unmodified</status>
      <modifiedWord/>
      <trackRevisions>false</trackRevisions>
    </reviewItem>
    <reviewItem>
      <errorID>e85909c7-a09e-422d-9be3-8a7fecdb58d6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435A386F</paraID>
      <start>0</start>
      <end>2</end>
      <status>unmodified</status>
      <modifiedWord/>
      <trackRevisions>false</trackRevisions>
    </reviewItem>
    <reviewItem>
      <errorID>cc75c34d-828c-4145-9fff-fdaffc4d483c</errorID>
      <errorWord>(</errorWord>
      <group>L1_Format</group>
      <groupName>格式问题</groupName>
      <ability>L2_HalfPunc</ability>
      <abilityName>全半角检查</abilityName>
      <candidateList>
        <item>（</item>
      </candidateList>
      <explain>文本全半角错误。</explain>
      <paraID>435A386F</paraID>
      <start>19</start>
      <end>20</end>
      <status>unmodified</status>
      <modifiedWord/>
      <trackRevisions>false</trackRevisions>
    </reviewItem>
    <reviewItem>
      <errorID>cd487f5f-2f59-4abc-9ae8-d7423fa61a74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435A386F</paraID>
      <start>24</start>
      <end>25</end>
      <status>unmodified</status>
      <modifiedWord/>
      <trackRevisions>false</trackRevisions>
    </reviewItem>
    <reviewItem>
      <errorID>450b6a42-9def-4c53-a844-584456b86c53</errorID>
      <errorWord>)</errorWord>
      <group>L1_Format</group>
      <groupName>格式问题</groupName>
      <ability>L2_HalfPunc</ability>
      <abilityName>全半角检查</abilityName>
      <candidateList>
        <item>）</item>
      </candidateList>
      <explain>文本全半角错误。</explain>
      <paraID>435A386F</paraID>
      <start>30</start>
      <end>31</end>
      <status>unmodified</status>
      <modifiedWord/>
      <trackRevisions>false</trackRevisions>
    </reviewItem>
    <reviewItem>
      <errorID>13ed661f-238b-4225-8fa1-3cf15420293f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466451C6</paraID>
      <start>31</start>
      <end>32</end>
      <status>unmodified</status>
      <modifiedWord/>
      <trackRevisions>false</trackRevisions>
    </reviewItem>
    <reviewItem>
      <errorID>2ec4fd63-5a8f-45a5-bbcf-34711d4d8e53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2836178E</paraID>
      <start>0</start>
      <end>2</end>
      <status>unmodified</status>
      <modifiedWord/>
      <trackRevisions>false</trackRevisions>
    </reviewItem>
    <reviewItem>
      <errorID>8409545a-9a03-4dd5-a570-c1f37714a776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2836178E</paraID>
      <start>34</start>
      <end>35</end>
      <status>unmodified</status>
      <modifiedWord/>
      <trackRevisions>false</trackRevisions>
    </reviewItem>
    <reviewItem>
      <errorID>f037a304-64bc-4f88-a178-874520dbbed0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299272EC</paraID>
      <start>53</start>
      <end>54</end>
      <status>unmodified</status>
      <modifiedWord/>
      <trackRevisions>false</trackRevisions>
    </reviewItem>
    <reviewItem>
      <errorID>80f46ddf-143c-4231-9611-4ff3a2116c82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3D027828</paraID>
      <start>26</start>
      <end>27</end>
      <status>unmodified</status>
      <modifiedWord/>
      <trackRevisions>false</trackRevisions>
    </reviewItem>
    <reviewItem>
      <errorID>ed4cc709-bfad-4147-a9bf-1495abadcf65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3FB8F242</paraID>
      <start>34</start>
      <end>35</end>
      <status>unmodified</status>
      <modifiedWord/>
      <trackRevisions>false</trackRevisions>
    </reviewItem>
    <reviewItem>
      <errorID>4f172515-92fa-4184-a0cb-66916f6a2bc7</errorID>
      <errorWord>（</errorWord>
      <group>L1_Punc</group>
      <groupName>标点问题</groupName>
      <ability>L2_Punc</ability>
      <abilityName>标点符号检查</abilityName>
      <candidateList/>
      <explain/>
      <paraID>3FB8F242</paraID>
      <start>55</start>
      <end>56</end>
      <status>unmodified</status>
      <modifiedWord/>
      <trackRevisions>false</trackRevisions>
    </reviewItem>
    <reviewItem>
      <errorID>d7968600-0ff4-44ae-8ca7-87b20017f316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448CD29F</paraID>
      <start>0</start>
      <end>2</end>
      <status>unmodified</status>
      <modifiedWord/>
      <trackRevisions>false</trackRevisions>
    </reviewItem>
    <reviewItem>
      <errorID>a45c5513-545d-49ca-9609-97336c1b26cd</errorID>
      <errorWord>(</errorWord>
      <group>L1_Format</group>
      <groupName>格式问题</groupName>
      <ability>L2_HalfPunc</ability>
      <abilityName>全半角检查</abilityName>
      <candidateList>
        <item>（</item>
      </candidateList>
      <explain>文本全半角错误。</explain>
      <paraID>448CD29F</paraID>
      <start>17</start>
      <end>18</end>
      <status>unmodified</status>
      <modifiedWord/>
      <trackRevisions>false</trackRevisions>
    </reviewItem>
    <reviewItem>
      <errorID>3f197328-d3f9-47d7-b4c6-9371941f67ad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448CD29F</paraID>
      <start>22</start>
      <end>23</end>
      <status>unmodified</status>
      <modifiedWord/>
      <trackRevisions>false</trackRevisions>
    </reviewItem>
    <reviewItem>
      <errorID>e5dad873-2904-4da9-8ad3-3bbabbe0d070</errorID>
      <errorWord>)</errorWord>
      <group>L1_Format</group>
      <groupName>格式问题</groupName>
      <ability>L2_HalfPunc</ability>
      <abilityName>全半角检查</abilityName>
      <candidateList>
        <item>）</item>
      </candidateList>
      <explain>文本全半角错误。</explain>
      <paraID>448CD29F</paraID>
      <start>28</start>
      <end>29</end>
      <status>unmodified</status>
      <modifiedWord/>
      <trackRevisions>false</trackRevisions>
    </reviewItem>
    <reviewItem>
      <errorID>3174d155-14b8-4d0a-935f-5f3940e2b6ee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7EF6F4E3</paraID>
      <start>17</start>
      <end>18</end>
      <status>unmodified</status>
      <modifiedWord/>
      <trackRevisions>false</trackRevisions>
    </reviewItem>
    <reviewItem>
      <errorID>90057376-bed7-442e-8606-d02dbb371690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7EF6F4E3</paraID>
      <start>92</start>
      <end>93</end>
      <status>unmodified</status>
      <modifiedWord/>
      <trackRevisions>false</trackRevisions>
    </reviewItem>
    <reviewItem>
      <errorID>9e0309ad-43a2-4752-ac88-526d9917700f</errorID>
      <errorWord>区</errorWord>
      <group>L1_Word</group>
      <groupName>字词问题</groupName>
      <ability>L2_Typo</ability>
      <abilityName>字词错误</abilityName>
      <candidateList>
        <item>区域</item>
      </candidateList>
      <explain/>
      <paraID>7EF6F4E3</paraID>
      <start>153</start>
      <end>154</end>
      <status>unmodified</status>
      <modifiedWord/>
      <trackRevisions>false</trackRevisions>
    </reviewItem>
    <reviewItem>
      <errorID>fdb8628e-a0fe-40fe-bd7b-a149baf7d536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1AD69448</paraID>
      <start>79</start>
      <end>82</end>
      <status>unmodified</status>
      <modifiedWord/>
      <trackRevisions>false</trackRevisions>
    </reviewItem>
    <reviewItem>
      <errorID>6fd1e44c-00f2-4e32-933a-acc17b73e149</errorID>
      <errorWord>(</errorWord>
      <group>L1_Format</group>
      <groupName>格式问题</groupName>
      <ability>L2_HalfPunc</ability>
      <abilityName>全半角检查</abilityName>
      <candidateList>
        <item>（</item>
      </candidateList>
      <explain>文本全半角错误。</explain>
      <paraID>49890DCE</paraID>
      <start>125</start>
      <end>126</end>
      <status>unmodified</status>
      <modifiedWord/>
      <trackRevisions>false</trackRevisions>
    </reviewItem>
    <reviewItem>
      <errorID>654f8736-ac1f-4d3c-b05d-6685f9af67cb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49890DCE</paraID>
      <start>130</start>
      <end>131</end>
      <status>unmodified</status>
      <modifiedWord/>
      <trackRevisions>false</trackRevisions>
    </reviewItem>
    <reviewItem>
      <errorID>32de53e9-100e-4633-9fad-d909808a669a</errorID>
      <errorWord>)</errorWord>
      <group>L1_Format</group>
      <groupName>格式问题</groupName>
      <ability>L2_HalfPunc</ability>
      <abilityName>全半角检查</abilityName>
      <candidateList>
        <item>）</item>
      </candidateList>
      <explain>文本全半角错误。</explain>
      <paraID>49890DCE</paraID>
      <start>136</start>
      <end>137</end>
      <status>unmodified</status>
      <modifiedWord/>
      <trackRevisions>false</trackRevisions>
    </reviewItem>
    <reviewItem>
      <errorID>7c0c4630-060b-4697-a217-18efcb30f41d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20006AFE</paraID>
      <start>0</start>
      <end>2</end>
      <status>unmodified</status>
      <modifiedWord/>
      <trackRevisions>false</trackRevisions>
    </reviewItem>
    <reviewItem>
      <errorID>1e9d3fff-6b0b-4942-8740-8c49f03eb03b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20006AFE</paraID>
      <start>32</start>
      <end>33</end>
      <status>unmodified</status>
      <modifiedWord/>
      <trackRevisions>false</trackRevisions>
    </reviewItem>
    <reviewItem>
      <errorID>987c86c2-ab10-4b04-85c8-277cac765412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155C5621</paraID>
      <start>27</start>
      <end>28</end>
      <status>unmodified</status>
      <modifiedWord/>
      <trackRevisions>false</trackRevisions>
    </reviewItem>
    <reviewItem>
      <errorID>04153e17-8c01-4084-9a98-3b9c50309540</errorID>
      <errorWord>当前和今后一段时期</errorWord>
      <group>L1_Political</group>
      <groupName>政治性问题</groupName>
      <ability>L2_Keyword</ability>
      <abilityName>固定表述</abilityName>
      <candidateList>
        <item>当前和今后一个时期</item>
      </candidateList>
      <explain>词汇“当前和今后一个时期”在特定场景下为固定表述形式，请确认此处的“当前和今后一段时期”是否存在不当。</explain>
      <paraID>155C5621</paraID>
      <start>142</start>
      <end>151</end>
      <status>unmodified</status>
      <modifiedWord/>
      <trackRevisions>false</trackRevisions>
    </reviewItem>
    <reviewItem>
      <errorID>f1ff82fe-3d8b-4455-8075-2e2613324360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591C0743</paraID>
      <start>102</start>
      <end>103</end>
      <status>unmodified</status>
      <modifiedWord/>
      <trackRevisions>false</trackRevisions>
    </reviewItem>
    <reviewItem>
      <errorID>2be5cf9c-e085-47bb-ac14-021023bb23bc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425141AE</paraID>
      <start>0</start>
      <end>2</end>
      <status>unmodified</status>
      <modifiedWord/>
      <trackRevisions>false</trackRevisions>
    </reviewItem>
    <reviewItem>
      <errorID>e767da0f-b8c2-42a6-9b0f-5ce72261d1b8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425141AE</paraID>
      <start>26</start>
      <end>27</end>
      <status>unmodified</status>
      <modifiedWord/>
      <trackRevisions>false</trackRevisions>
    </reviewItem>
    <reviewItem>
      <errorID>92d4b87f-3f39-4ecf-b32d-85a9f2512e64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3BC0FD02</paraID>
      <start>23</start>
      <end>24</end>
      <status>unmodified</status>
      <modifiedWord/>
      <trackRevisions>false</trackRevisions>
    </reviewItem>
    <reviewItem>
      <errorID>210fa954-2f01-495a-b945-d76b8a96d5f7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3A08CA19</paraID>
      <start>107</start>
      <end>108</end>
      <status>unmodified</status>
      <modifiedWord/>
      <trackRevisions>false</trackRevisions>
    </reviewItem>
    <reviewItem>
      <errorID>04c74a4f-bf2d-4c14-85ef-f3851b221705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719AD72B</paraID>
      <start>21</start>
      <end>22</end>
      <status>unmodified</status>
      <modifiedWord/>
      <trackRevisions>false</trackRevisions>
    </reviewItem>
    <reviewItem>
      <errorID>31e3a37a-f086-4536-a736-1d342ac7fb01</errorID>
      <errorWord>（</errorWord>
      <group>L1_Format</group>
      <groupName>格式问题</groupName>
      <ability>L2_HalfPunc</ability>
      <abilityName>全半角检查</abilityName>
      <candidateList>
        <item>(</item>
      </candidateList>
      <explain>文本全半角错误。</explain>
      <paraID>56BE4CB7</paraID>
      <start>0</start>
      <end>1</end>
      <status>unmodified</status>
      <modifiedWord/>
      <trackRevisions>false</trackRevisions>
    </reviewItem>
    <reviewItem>
      <errorID>79ff2b87-adb1-4514-8ed4-70738a1d256a</errorID>
      <errorWord>）</errorWord>
      <group>L1_Format</group>
      <groupName>格式问题</groupName>
      <ability>L2_HalfPunc</ability>
      <abilityName>全半角检查</abilityName>
      <candidateList>
        <item>)</item>
      </candidateList>
      <explain>文本全半角错误。</explain>
      <paraID>56BE4CB7</paraID>
      <start>2</start>
      <end>3</end>
      <status>unmodified</status>
      <modifiedWord/>
      <trackRevisions>false</trackRevisions>
    </reviewItem>
    <reviewItem>
      <errorID>fea50ff3-fa5a-4e3f-adc6-0f37d2d9ca0d</errorID>
      <errorWord>前是</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10535349</paraID>
      <start>60</start>
      <end>61</end>
      <status>modified</status>
      <modifiedWord>前</modifiedWord>
      <trackRevisions>false</trackRevisions>
    </reviewItem>
    <reviewItem>
      <errorID>6f116ef1-231c-4f99-9181-38b1c21786c7</errorID>
      <errorWord>上线</errorWord>
      <group>L1_Word</group>
      <groupName>字词问题</groupName>
      <ability>L2_Typo</ability>
      <abilityName>字词错误</abilityName>
      <candidateList>
        <item>上限</item>
      </candidateList>
      <explain/>
      <paraID> A04BACD</paraID>
      <start>45</start>
      <end>47</end>
      <status>unmodified</status>
      <modifiedWord/>
      <trackRevisions>false</trackRevisions>
    </reviewItem>
    <reviewItem>
      <errorID>ba4bd336-c0ce-4c17-ad99-b737ed0609cb</errorID>
      <errorWord>上线</errorWord>
      <group>L1_Word</group>
      <groupName>字词问题</groupName>
      <ability>L2_Typo</ability>
      <abilityName>字词错误</abilityName>
      <candidateList>
        <item>上限</item>
      </candidateList>
      <explain/>
      <paraID> A04BACD</paraID>
      <start>230</start>
      <end>232</end>
      <status>unmodified</status>
      <modifiedWord/>
      <trackRevisions>false</trackRevisions>
    </reviewItem>
    <reviewItem>
      <errorID>33e31966-5bdf-48d9-9e5f-e2e3d0387842</errorID>
      <errorWord>（2017）4号</errorWord>
      <group>L1_Knowledge</group>
      <groupName>知识性问题</groupName>
      <ability>L2_Knowledge</ability>
      <abilityName>其他知识</abilityName>
      <candidateList>
        <item>〔2017〕4号</item>
      </candidateList>
      <explain>发文字号格式错误。</explain>
      <paraID>5ED2E0D0</paraID>
      <start>209</start>
      <end>217</end>
      <status>modified</status>
      <modifiedWord>〔2017〕4号</modifiedWord>
      <trackRevisions>false</trackRevisions>
    </reviewItem>
    <reviewItem>
      <errorID>fff5fa64-0f70-4aff-a162-62b676537cb7</errorID>
      <errorWord>前是</errorWord>
      <group>L1_Word</group>
      <groupName>字词问题</groupName>
      <ability>L2_Typo</ability>
      <abilityName>字词错误</abilityName>
      <candidateList>
        <item>前</item>
      </candidateList>
      <explain>❶〈名〉方位词。在正面的（指空间，跟“后”相对）：～门｜村～村后。❷往前走：勇往直～｜畏缩不～。❸〈名〉方位词。次序靠近头里的（跟“后”相对）：～排｜他的成绩在班里总是～三名。❹〈名〉方位词。过去的；较早的（指时间，跟“后”相对）：～天｜从～｜～几年｜～功尽弃｜～所未有｜～无古人，后无来者。❺〈名〉方位词。从前的（指现在改变了名称的机构等）：～政务院。❻〈名〉方位词。指某事物产生之前：～科学（科学产生之前）｜～资本主义（资本主义产生之前）。❼〈名〉方位词。未来的（用于展望）：～程｜～景｜事情要往～看，不要往后看。❽前线；前方：支～。❾（Qián）〈名〉姓。</explain>
      <paraID>1425240A</paraID>
      <start>59</start>
      <end>60</end>
      <status>modified</status>
      <modifiedWord>前</modifiedWord>
      <trackRevisions>false</trackRevisions>
    </reviewItem>
    <reviewItem>
      <errorID>8fe1c2bb-e80a-49be-8a89-75e78e186ecb</errorID>
      <errorWord>（</errorWord>
      <group>L1_Format</group>
      <groupName>格式问题</groupName>
      <ability>L2_HalfPunc</ability>
      <abilityName>全半角检查</abilityName>
      <candidateList>
        <item>(</item>
      </candidateList>
      <explain>文本全半角错误。</explain>
      <paraID>36E58C18</paraID>
      <start>0</start>
      <end>1</end>
      <status>unmodified</status>
      <modifiedWord/>
      <trackRevisions>false</trackRevisions>
    </reviewItem>
    <reviewItem>
      <errorID>bf3528fb-f94b-4a4b-bf20-65fdcc317b81</errorID>
      <errorWord>）</errorWord>
      <group>L1_Format</group>
      <groupName>格式问题</groupName>
      <ability>L2_HalfPunc</ability>
      <abilityName>全半角检查</abilityName>
      <candidateList>
        <item>)</item>
      </candidateList>
      <explain>文本全半角错误。</explain>
      <paraID>36E58C18</paraID>
      <start>2</start>
      <end>3</end>
      <status>unmodified</status>
      <modifiedWord/>
      <trackRevisions>false</trackRevisions>
    </reviewItem>
    <reviewItem>
      <errorID>f7429e38-daf7-4f43-9c78-ab9736ee1cfa</errorID>
      <errorWord>&lt;</errorWord>
      <group>L1_Format</group>
      <groupName>格式问题</groupName>
      <ability>L2_HalfPunc</ability>
      <abilityName>全半角检查</abilityName>
      <candidateList>
        <item>〈</item>
      </candidateList>
      <explain>文本全半角错误。</explain>
      <paraID>75120FB6</paraID>
      <start>3</start>
      <end>4</end>
      <status>unmodified</status>
      <modifiedWord/>
      <trackRevisions>false</trackRevisions>
    </reviewItem>
    <reviewItem>
      <errorID>dd6e2108-93e0-4b32-852a-9be274cbb1ea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75120FB6</paraID>
      <start>24</start>
      <end>25</end>
      <status>unmodified</status>
      <modifiedWord/>
      <trackRevisions>false</trackRevisions>
    </reviewItem>
    <reviewItem>
      <errorID>997adfcf-667d-4153-a196-f28427f3cfeb</errorID>
      <errorWord>&gt;</errorWord>
      <group>L1_Format</group>
      <groupName>格式问题</groupName>
      <ability>L2_HalfPunc</ability>
      <abilityName>全半角检查</abilityName>
      <candidateList>
        <item>〉</item>
      </candidateList>
      <explain>文本全半角错误。</explain>
      <paraID>75120FB6</paraID>
      <start>38</start>
      <end>39</end>
      <status>unmodified</status>
      <modifiedWord/>
      <trackRevisions>false</trackRevisions>
    </reviewItem>
    <reviewItem>
      <errorID>2eea0725-144c-43cb-851e-e31baffaa201</errorID>
      <errorWord>査</errorWord>
      <group>L1_Word</group>
      <groupName>字词问题</groupName>
      <ability>L2_Fanti</ability>
      <abilityName>繁转简</abilityName>
      <candidateList>
        <item>查</item>
      </candidateList>
      <explain>（査）Zhā〈名〉姓。</explain>
      <paraID> C86CB8E</paraID>
      <start>139</start>
      <end>140</end>
      <status>unmodified</status>
      <modifiedWord/>
      <trackRevisions>false</trackRevisions>
    </reviewItem>
    <reviewItem>
      <errorID>22587cb9-8f7e-44db-bc79-4fef9744bd6a</errorID>
      <errorWord>85~90%</errorWord>
      <group>L1_Knowledge</group>
      <groupName>知识性问题</groupName>
      <ability>L2_Knowledge</ability>
      <abilityName>其他知识</abilityName>
      <candidateList>
        <item>85%～90%</item>
      </candidateList>
      <explain>1. “85~90%”中的单位“%”仅出现在后一个数字上，容易引起歧义；根据《现代汉语标点符号数字用法规范手册》，数字表示范围两边需要使用统一的格式。2. 根据标点国标 4.13 中的规则，数字、时间或地域连接符应使用（视觉上更长的）“—”或“～”。</explain>
      <paraID>3C77142C</paraID>
      <start>63</start>
      <end>69</end>
      <status>unmodified</status>
      <modifiedWord/>
      <trackRevisions>false</trackRevisions>
    </reviewItem>
    <reviewItem>
      <errorID>d35b2761-e3bc-4741-aab8-cee2c1b7404f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63D43306</paraID>
      <start>110</start>
      <end>111</end>
      <status>unmodified</status>
      <modifiedWord/>
      <trackRevisions>false</trackRevisions>
    </reviewItem>
    <reviewItem>
      <errorID>b3244e5d-7255-47b9-8a71-348b0740c107</errorID>
      <errorWord>生态环境保护监测</errorWord>
      <group>L1_Political</group>
      <groupName>政治性问题</groupName>
      <ability>L2_Keyword</ability>
      <abilityName>固定表述</abilityName>
      <candidateList>
        <item>生态环境保护督察</item>
      </candidateList>
      <explain>词汇“生态环境保护督察”在特定场景下为固定表述形式，请确认此处的“生态环境保护监测”是否存在不当。</explain>
      <paraID>15C69DBE</paraID>
      <start>5</start>
      <end>13</end>
      <status>unmodified</status>
      <modifiedWord/>
      <trackRevisions>false</trackRevisions>
    </reviewItem>
    <reviewItem>
      <errorID>83996554-bb1c-4bc3-ba1a-7c5b325b2ba4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65DFA80E</paraID>
      <start>0</start>
      <end>2</end>
      <status>unmodified</status>
      <modifiedWord/>
      <trackRevisions>false</trackRevisions>
    </reviewItem>
    <reviewItem>
      <errorID>6f8d491e-d121-4727-bb76-dee6ebae61fc</errorID>
      <errorWord>(</errorWord>
      <group>L1_Format</group>
      <groupName>格式问题</groupName>
      <ability>L2_HalfPunc</ability>
      <abilityName>全半角检查</abilityName>
      <candidateList>
        <item>（</item>
      </candidateList>
      <explain>文本全半角错误。</explain>
      <paraID>659D9062</paraID>
      <start>162</start>
      <end>163</end>
      <status>unmodified</status>
      <modifiedWord/>
      <trackRevisions>false</trackRevisions>
    </reviewItem>
    <reviewItem>
      <errorID>ebfc8697-a613-43ca-a1e7-d653d10586bb</errorID>
      <errorWord>)</errorWord>
      <group>L1_Format</group>
      <groupName>格式问题</groupName>
      <ability>L2_HalfPunc</ability>
      <abilityName>全半角检查</abilityName>
      <candidateList>
        <item>）</item>
      </candidateList>
      <explain>文本全半角错误。</explain>
      <paraID>659D9062</paraID>
      <start>165</start>
      <end>166</end>
      <status>unmodified</status>
      <modifiedWord/>
      <trackRevisions>false</trackRevisions>
    </reviewItem>
    <reviewItem>
      <errorID>4b548dc3-5892-44b5-8a45-e182f498d8d1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55C45AC2</paraID>
      <start>0</start>
      <end>2</end>
      <status>unmodified</status>
      <modifiedWord/>
      <trackRevisions>false</trackRevisions>
    </reviewItem>
    <reviewItem>
      <errorID>db6bbcbd-e42d-4051-bcb3-4486b90e559f</errorID>
      <errorWord>&lt;</errorWord>
      <group>L1_Format</group>
      <groupName>格式问题</groupName>
      <ability>L2_HalfPunc</ability>
      <abilityName>全半角检查</abilityName>
      <candidateList>
        <item>〈</item>
      </candidateList>
      <explain>文本全半角错误。</explain>
      <paraID>14B71354</paraID>
      <start>15</start>
      <end>16</end>
      <status>unmodified</status>
      <modifiedWord/>
      <trackRevisions>false</trackRevisions>
    </reviewItem>
    <reviewItem>
      <errorID>9de38858-fb51-4526-8fe0-91709bbbfde2</errorID>
      <errorWord>&gt;的通知》</errorWord>
      <group>L1_Punc</group>
      <groupName>标点问题</groupName>
      <ability>L2_Punc</ability>
      <abilityName>标点符号检查</abilityName>
      <candidateList>
        <item>〉的通知》</item>
      </candidateList>
      <explain/>
      <paraID>14B71354</paraID>
      <start>33</start>
      <end>38</end>
      <status>unmodified</status>
      <modifiedWord/>
      <trackRevisions>false</trackRevisions>
    </reviewItem>
    <reviewItem>
      <errorID>359b8f01-7cec-43e4-ae0b-c41d7178ec72</errorID>
      <errorWord>&lt;</errorWord>
      <group>L1_Format</group>
      <groupName>格式问题</groupName>
      <ability>L2_HalfPunc</ability>
      <abilityName>全半角检查</abilityName>
      <candidateList>
        <item>〈</item>
      </candidateList>
      <explain>文本全半角错误。</explain>
      <paraID>1AD3E8EA</paraID>
      <start>15</start>
      <end>16</end>
      <status>unmodified</status>
      <modifiedWord/>
      <trackRevisions>false</trackRevisions>
    </reviewItem>
    <reviewItem>
      <errorID>5e2f56f7-8b39-43ab-b5bd-516eb8ec3369</errorID>
      <errorWord>&gt;的通知》</errorWord>
      <group>L1_Punc</group>
      <groupName>标点问题</groupName>
      <ability>L2_Punc</ability>
      <abilityName>标点符号检查</abilityName>
      <candidateList>
        <item>〉的通知》</item>
      </candidateList>
      <explain/>
      <paraID>1AD3E8EA</paraID>
      <start>33</start>
      <end>38</end>
      <status>unmodified</status>
      <modifiedWord/>
      <trackRevisions>false</trackRevisions>
    </reviewItem>
    <reviewItem>
      <errorID>13136b85-8f0d-4161-b0d0-ff0281388d5e</errorID>
      <errorWord>（</errorWord>
      <group>L1_Punc</group>
      <groupName>标点问题</groupName>
      <ability>L2_Punc</ability>
      <abilityName>标点符号检查</abilityName>
      <candidateList/>
      <explain>同一形式括号套用。</explain>
      <paraID>  FED5B2</paraID>
      <start>60</start>
      <end>61</end>
      <status>unmodified</status>
      <modifiedWord/>
      <trackRevisions>false</trackRevisions>
    </reviewItem>
    <reviewItem>
      <errorID>8c013a0c-38be-4d9c-8f70-0e59c03b3fd0</errorID>
      <errorWord>）</errorWord>
      <group>L1_Punc</group>
      <groupName>标点问题</groupName>
      <ability>L2_Punc</ability>
      <abilityName>标点符号检查</abilityName>
      <candidateList/>
      <explain>同一形式括号套用。</explain>
      <paraID>  FED5B2</paraID>
      <start>63</start>
      <end>64</end>
      <status>unmodified</status>
      <modifiedWord/>
      <trackRevisions>false</trackRevisions>
    </reviewItem>
    <reviewItem>
      <errorID>b543b2b0-f913-4c06-8813-3939722c8dd2</errorID>
      <errorWord>&lt;</errorWord>
      <group>L1_Format</group>
      <groupName>格式问题</groupName>
      <ability>L2_HalfPunc</ability>
      <abilityName>全半角检查</abilityName>
      <candidateList>
        <item>〈</item>
      </candidateList>
      <explain>文本全半角错误。</explain>
      <paraID>22494CCD</paraID>
      <start>24</start>
      <end>25</end>
      <status>unmodified</status>
      <modifiedWord/>
      <trackRevisions>false</trackRevisions>
    </reviewItem>
    <reviewItem>
      <errorID>407a0776-fa3e-484c-a71c-33a92852d602</errorID>
      <errorWord>&gt;的通知》</errorWord>
      <group>L1_Punc</group>
      <groupName>标点问题</groupName>
      <ability>L2_Punc</ability>
      <abilityName>标点符号检查</abilityName>
      <candidateList>
        <item>〉的通知》</item>
      </candidateList>
      <explain/>
      <paraID>22494CCD</paraID>
      <start>42</start>
      <end>47</end>
      <status>unmodified</status>
      <modifiedWord/>
      <trackRevisions>false</trackRevisions>
    </reviewItem>
    <reviewItem>
      <errorID>e56a2456-b8f7-461d-8812-e809d3da7892</errorID>
      <errorWord>&lt;</errorWord>
      <group>L1_Format</group>
      <groupName>格式问题</groupName>
      <ability>L2_HalfPunc</ability>
      <abilityName>全半角检查</abilityName>
      <candidateList>
        <item>〈</item>
      </candidateList>
      <explain>文本全半角错误。</explain>
      <paraID> 6A115DD</paraID>
      <start>15</start>
      <end>16</end>
      <status>unmodified</status>
      <modifiedWord/>
      <trackRevisions>false</trackRevisions>
    </reviewItem>
    <reviewItem>
      <errorID>c690d6b1-687b-42e2-8f13-6a78edcbb053</errorID>
      <errorWord>&gt;的通知》</errorWord>
      <group>L1_Punc</group>
      <groupName>标点问题</groupName>
      <ability>L2_Punc</ability>
      <abilityName>标点符号检查</abilityName>
      <candidateList>
        <item>〉的通知》</item>
      </candidateList>
      <explain/>
      <paraID> 6A115DD</paraID>
      <start>33</start>
      <end>38</end>
      <status>unmodified</status>
      <modifiedWord/>
      <trackRevisions>false</trackRevisions>
    </reviewItem>
    <reviewItem>
      <errorID>895ff911-b883-411b-8e0e-b8db50583b5d</errorID>
      <errorWord>大气大气</errorWord>
      <group>L1_Word</group>
      <groupName>字词问题</groupName>
      <ability>L2_Typo</ability>
      <abilityName>字词错误</abilityName>
      <candidateList>
        <item>大气</item>
      </candidateList>
      <explain/>
      <paraID> 6A115DD</paraID>
      <start>200</start>
      <end>202</end>
      <status>modified</status>
      <modifiedWord>大气</modifiedWord>
      <trackRevisions>false</trackRevisions>
    </reviewItem>
    <reviewItem>
      <errorID>1de43d22-3767-4ea8-992d-3a6b3e098b00</errorID>
      <errorWord>基本的</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27CCC4F3</paraID>
      <start>36</start>
      <end>39</end>
      <status>unmodified</status>
      <modifiedWord/>
      <trackRevisions>false</trackRevisions>
    </reviewItem>
    <reviewItem>
      <errorID>bae18ccb-4f2f-4616-a92a-05355853e09f</errorID>
      <errorWord>&lt;</errorWord>
      <group>L1_Format</group>
      <groupName>格式问题</groupName>
      <ability>L2_HalfPunc</ability>
      <abilityName>全半角检查</abilityName>
      <candidateList>
        <item>〈</item>
      </candidateList>
      <explain>文本全半角错误。</explain>
      <paraID>228293BD</paraID>
      <start>23</start>
      <end>24</end>
      <status>unmodified</status>
      <modifiedWord/>
      <trackRevisions>false</trackRevisions>
    </reviewItem>
    <reviewItem>
      <errorID>f58ffc83-f4d0-463a-8a1c-887530715ec6</errorID>
      <errorWord>&gt;的通知》</errorWord>
      <group>L1_Punc</group>
      <groupName>标点问题</groupName>
      <ability>L2_Punc</ability>
      <abilityName>标点符号检查</abilityName>
      <candidateList>
        <item>〉的通知》</item>
      </candidateList>
      <explain/>
      <paraID>228293BD</paraID>
      <start>41</start>
      <end>46</end>
      <status>unmodified</status>
      <modifiedWord/>
      <trackRevisions>false</trackRevisions>
    </reviewItem>
    <reviewItem>
      <errorID>8a18871b-2f0a-4a2c-bb97-fe491aa244ce</errorID>
      <errorWord>&lt;</errorWord>
      <group>L1_Format</group>
      <groupName>格式问题</groupName>
      <ability>L2_HalfPunc</ability>
      <abilityName>全半角检查</abilityName>
      <candidateList>
        <item>〈</item>
      </candidateList>
      <explain>文本全半角错误。</explain>
      <paraID>23E2D434</paraID>
      <start>15</start>
      <end>16</end>
      <status>unmodified</status>
      <modifiedWord/>
      <trackRevisions>false</trackRevisions>
    </reviewItem>
    <reviewItem>
      <errorID>fa3467e8-b6f4-4311-804f-b43c8644a44a</errorID>
      <errorWord>&gt;的通知》</errorWord>
      <group>L1_Punc</group>
      <groupName>标点问题</groupName>
      <ability>L2_Punc</ability>
      <abilityName>标点符号检查</abilityName>
      <candidateList>
        <item>〉的通知》</item>
      </candidateList>
      <explain/>
      <paraID>23E2D434</paraID>
      <start>33</start>
      <end>38</end>
      <status>unmodified</status>
      <modifiedWord/>
      <trackRevisions>false</trackRevisions>
    </reviewItem>
    <reviewItem>
      <errorID>e07b071c-dcab-44bf-90ff-494a452ba224</errorID>
      <errorWord>&lt;</errorWord>
      <group>L1_Format</group>
      <groupName>格式问题</groupName>
      <ability>L2_HalfPunc</ability>
      <abilityName>全半角检查</abilityName>
      <candidateList>
        <item>〈</item>
      </candidateList>
      <explain>文本全半角错误。</explain>
      <paraID>1C6FDABA</paraID>
      <start>24</start>
      <end>25</end>
      <status>unmodified</status>
      <modifiedWord/>
      <trackRevisions>false</trackRevisions>
    </reviewItem>
    <reviewItem>
      <errorID>c28a9bb5-4ff3-4e97-932a-5f053d163aed</errorID>
      <errorWord>&gt;的通知》</errorWord>
      <group>L1_Punc</group>
      <groupName>标点问题</groupName>
      <ability>L2_Punc</ability>
      <abilityName>标点符号检查</abilityName>
      <candidateList>
        <item>〉的通知》</item>
      </candidateList>
      <explain/>
      <paraID>1C6FDABA</paraID>
      <start>42</start>
      <end>47</end>
      <status>unmodified</status>
      <modifiedWord/>
      <trackRevisions>false</trackRevisions>
    </reviewItem>
    <reviewItem>
      <errorID>d08744eb-c9ab-4a52-8e35-2f4e6bc5e6bc</errorID>
      <errorWord>&lt;</errorWord>
      <group>L1_Format</group>
      <groupName>格式问题</groupName>
      <ability>L2_HalfPunc</ability>
      <abilityName>全半角检查</abilityName>
      <candidateList>
        <item>〈</item>
      </candidateList>
      <explain>文本全半角错误。</explain>
      <paraID>3DE44A42</paraID>
      <start>15</start>
      <end>16</end>
      <status>unmodified</status>
      <modifiedWord/>
      <trackRevisions>false</trackRevisions>
    </reviewItem>
    <reviewItem>
      <errorID>07ed76c2-5eb0-4f6b-a245-df5aabe2c1c1</errorID>
      <errorWord>&gt;的通知》</errorWord>
      <group>L1_Punc</group>
      <groupName>标点问题</groupName>
      <ability>L2_Punc</ability>
      <abilityName>标点符号检查</abilityName>
      <candidateList>
        <item>〉的通知》</item>
      </candidateList>
      <explain/>
      <paraID>3DE44A42</paraID>
      <start>33</start>
      <end>38</end>
      <status>unmodified</status>
      <modifiedWord/>
      <trackRevisions>false</trackRevisions>
    </reviewItem>
    <reviewItem>
      <errorID>8dbae763-d1b8-497a-98df-8baadf37f65a</errorID>
      <errorWord>上线</errorWord>
      <group>L1_Word</group>
      <groupName>字词问题</groupName>
      <ability>L2_Typo</ability>
      <abilityName>字词错误</abilityName>
      <candidateList>
        <item>上限</item>
      </candidateList>
      <explain>存在发音相同字词的误用。</explain>
      <paraID>25BFECFA</paraID>
      <start>6</start>
      <end>8</end>
      <status>unmodified</status>
      <modifiedWord/>
      <trackRevisions>false</trackRevisions>
    </reviewItem>
    <reviewItem>
      <errorID>7753cf41-1ea9-438e-abd1-51ae2ec75dca</errorID>
      <errorWord>上线</errorWord>
      <group>L1_Word</group>
      <groupName>字词问题</groupName>
      <ability>L2_Typo</ability>
      <abilityName>字词错误</abilityName>
      <candidateList>
        <item>上限</item>
      </candidateList>
      <explain/>
      <paraID> 339E94A</paraID>
      <start>67</start>
      <end>69</end>
      <status>unmodified</status>
      <modifiedWord/>
      <trackRevisions>false</trackRevisions>
    </reviewItem>
    <reviewItem>
      <errorID>0c849053-d6e8-4764-bfee-470da4f56227</errorID>
      <errorWord>&lt;</errorWord>
      <group>L1_Format</group>
      <groupName>格式问题</groupName>
      <ability>L2_HalfPunc</ability>
      <abilityName>全半角检查</abilityName>
      <candidateList>
        <item>〈</item>
      </candidateList>
      <explain>文本全半角错误。</explain>
      <paraID>36F154EF</paraID>
      <start>15</start>
      <end>16</end>
      <status>unmodified</status>
      <modifiedWord/>
      <trackRevisions>false</trackRevisions>
    </reviewItem>
    <reviewItem>
      <errorID>b0b601dd-059d-42f3-b734-962330b9a157</errorID>
      <errorWord>&gt;的通知》</errorWord>
      <group>L1_Punc</group>
      <groupName>标点问题</groupName>
      <ability>L2_Punc</ability>
      <abilityName>标点符号检查</abilityName>
      <candidateList>
        <item>〉的通知》</item>
      </candidateList>
      <explain/>
      <paraID>36F154EF</paraID>
      <start>33</start>
      <end>38</end>
      <status>unmodified</status>
      <modifiedWord/>
      <trackRevisions>false</trackRevisions>
    </reviewItem>
    <reviewItem>
      <errorID>85d75c83-83b0-416a-8ca9-da97f685b364</errorID>
      <errorWord>上线</errorWord>
      <group>L1_Word</group>
      <groupName>字词问题</groupName>
      <ability>L2_Typo</ability>
      <abilityName>字词错误</abilityName>
      <candidateList>
        <item>上限</item>
      </candidateList>
      <explain/>
      <paraID>36F154EF</paraID>
      <start>183</start>
      <end>185</end>
      <status>unmodified</status>
      <modifiedWord/>
      <trackRevisions>false</trackRevisions>
    </reviewItem>
    <reviewItem>
      <errorID>19d92410-2072-4f64-b0ef-77c3e8d289ea</errorID>
      <errorWord>&lt;</errorWord>
      <group>L1_Format</group>
      <groupName>格式问题</groupName>
      <ability>L2_HalfPunc</ability>
      <abilityName>全半角检查</abilityName>
      <candidateList>
        <item>〈</item>
      </candidateList>
      <explain>文本全半角错误。</explain>
      <paraID>7A1495D3</paraID>
      <start>15</start>
      <end>16</end>
      <status>unmodified</status>
      <modifiedWord/>
      <trackRevisions>false</trackRevisions>
    </reviewItem>
    <reviewItem>
      <errorID>95406f68-69dd-45a1-a202-3da0773da628</errorID>
      <errorWord>&gt;的通知》</errorWord>
      <group>L1_Punc</group>
      <groupName>标点问题</groupName>
      <ability>L2_Punc</ability>
      <abilityName>标点符号检查</abilityName>
      <candidateList>
        <item>〉的通知》</item>
      </candidateList>
      <explain/>
      <paraID>7A1495D3</paraID>
      <start>33</start>
      <end>38</end>
      <status>unmodified</status>
      <modifiedWord/>
      <trackRevisions>false</trackRevisions>
    </reviewItem>
    <reviewItem>
      <errorID>9357334b-fbde-49fa-a051-ad449a9991ee</errorID>
      <errorWord>(</errorWord>
      <group>L1_Format</group>
      <groupName>格式问题</groupName>
      <ability>L2_HalfPunc</ability>
      <abilityName>全半角检查</abilityName>
      <candidateList>
        <item>（</item>
      </candidateList>
      <explain>文本全半角错误。</explain>
      <paraID>1914FEA5</paraID>
      <start>21</start>
      <end>22</end>
      <status>unmodified</status>
      <modifiedWord/>
      <trackRevisions>false</trackRevisions>
    </reviewItem>
    <reviewItem>
      <errorID>e319da35-2287-4dd8-9f3d-8be06dd84fce</errorID>
      <errorWord>)</errorWord>
      <group>L1_Format</group>
      <groupName>格式问题</groupName>
      <ability>L2_HalfPunc</ability>
      <abilityName>全半角检查</abilityName>
      <candidateList>
        <item>）</item>
      </candidateList>
      <explain>文本全半角错误。</explain>
      <paraID>1914FEA5</paraID>
      <start>27</start>
      <end>28</end>
      <status>unmodified</status>
      <modifiedWord/>
      <trackRevisions>false</trackRevisions>
    </reviewItem>
    <reviewItem>
      <errorID>61be81e8-44eb-4808-b3d5-c1702662bd87</errorID>
      <errorWord>：</errorWord>
      <group>L1_Format</group>
      <groupName>格式问题</groupName>
      <ability>L2_HalfPunc</ability>
      <abilityName>全半角检查</abilityName>
      <candidateList>
        <item>:</item>
      </candidateList>
      <explain>文本全半角错误。</explain>
      <paraID>460D8137</paraID>
      <start>109</start>
      <end>110</end>
      <status>unmodified</status>
      <modifiedWord/>
      <trackRevisions>false</trackRevisions>
    </reviewItem>
    <reviewItem>
      <errorID>c99b8974-3ca8-44f9-8181-ac8f8ab6a030</errorID>
      <errorWord>-</errorWord>
      <group>L1_Format</group>
      <groupName>格式问题</groupName>
      <ability>L2_HalfPunc</ability>
      <abilityName>全半角检查</abilityName>
      <candidateList>
        <item>－</item>
      </candidateList>
      <explain>文本全半角错误。</explain>
      <paraID>3F0B98B3</paraID>
      <start>103</start>
      <end>104</end>
      <status>unmodified</status>
      <modifiedWord/>
      <trackRevisions>false</trackRevisions>
    </reviewItem>
    <reviewItem>
      <errorID>883f2227-3372-4e28-8ee3-4c04b832623a</errorID>
      <errorWord>(</errorWord>
      <group>L1_Format</group>
      <groupName>格式问题</groupName>
      <ability>L2_HalfPunc</ability>
      <abilityName>全半角检查</abilityName>
      <candidateList>
        <item>（</item>
      </candidateList>
      <explain>文本全半角错误。</explain>
      <paraID>3F0B98B3</paraID>
      <start>105</start>
      <end>106</end>
      <status>unmodified</status>
      <modifiedWord/>
      <trackRevisions>false</trackRevisions>
    </reviewItem>
    <reviewItem>
      <errorID>ccd165ad-1d99-4182-ae60-cc76e224c576</errorID>
      <errorWord>)</errorWord>
      <group>L1_Format</group>
      <groupName>格式问题</groupName>
      <ability>L2_HalfPunc</ability>
      <abilityName>全半角检查</abilityName>
      <candidateList>
        <item>）</item>
      </candidateList>
      <explain>文本全半角错误。</explain>
      <paraID>3F0B98B3</paraID>
      <start>107</start>
      <end>108</end>
      <status>unmodified</status>
      <modifiedWord/>
      <trackRevisions>false</trackRevisions>
    </reviewItem>
    <reviewItem>
      <errorID>c3fa3a94-1160-4b6a-bb08-c62d0afae55e</errorID>
      <errorWord>-</errorWord>
      <group>L1_Format</group>
      <groupName>格式问题</groupName>
      <ability>L2_HalfPunc</ability>
      <abilityName>全半角检查</abilityName>
      <candidateList>
        <item>－</item>
      </candidateList>
      <explain>文本全半角错误。</explain>
      <paraID>3F0B98B3</paraID>
      <start>108</start>
      <end>109</end>
      <status>unmodified</status>
      <modifiedWord/>
      <trackRevisions>false</trackRevisions>
    </reviewItem>
    <reviewItem>
      <errorID>7a322e31-7bb3-491b-859d-1f3e353c8300</errorID>
      <errorWord>回复</errorWord>
      <group>L1_Word</group>
      <groupName>字词问题</groupName>
      <ability>L2_Typo</ability>
      <abilityName>字词错误</abilityName>
      <candidateList>
        <item>恢复</item>
      </candidateList>
      <explain/>
      <paraID>  B8170E</paraID>
      <start>64</start>
      <end>66</end>
      <status>modified</status>
      <modifiedWord>恢复</modifiedWord>
      <trackRevisions>false</trackRevisions>
    </reviewItem>
    <reviewItem>
      <errorID>ab6c1b8f-48e5-4c03-a219-819dc84d518a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2437E778</paraID>
      <start>0</start>
      <end>2</end>
      <status>unmodified</status>
      <modifiedWord/>
      <trackRevisions>false</trackRevisions>
    </reviewItem>
    <reviewItem>
      <errorID>67289a1f-d079-4aad-bc7e-077a0ab9afff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4D34A460</paraID>
      <start>0</start>
      <end>2</end>
      <status>unmodified</status>
      <modifiedWord/>
      <trackRevisions>false</trackRevisions>
    </reviewItem>
    <reviewItem>
      <errorID>8cf1873b-0191-4f84-b5de-fc161579b8bb</errorID>
      <errorWord>本项目本项目</errorWord>
      <group>L1_Word</group>
      <groupName>字词问题</groupName>
      <ability>L2_Typo</ability>
      <abilityName>字词错误</abilityName>
      <candidateList>
        <item>本项目</item>
      </candidateList>
      <explain/>
      <paraID> CFC57E0</paraID>
      <start>0</start>
      <end>3</end>
      <status>modified</status>
      <modifiedWord>本项目</modifiedWord>
      <trackRevisions>false</trackRevisions>
    </reviewItem>
    <reviewItem>
      <errorID>67cc898f-f6fd-4a97-8b42-2ddcd5da206a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6D2082B8</paraID>
      <start>0</start>
      <end>2</end>
      <status>unmodified</status>
      <modifiedWord/>
      <trackRevisions>false</trackRevisions>
    </reviewItem>
    <reviewItem>
      <errorID>b31e824a-91e7-4793-886c-f120633df49b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4F4330CB</paraID>
      <start>0</start>
      <end>2</end>
      <status>unmodified</status>
      <modifiedWord/>
      <trackRevisions>false</trackRevisions>
    </reviewItem>
    <reviewItem>
      <errorID>a2fc7600-e9d7-45a8-b712-3b878c5da510</errorID>
      <errorWord>地行</errorWord>
      <group>L1_Word</group>
      <groupName>字词问题</groupName>
      <ability>L2_Typo</ability>
      <abilityName>字词错误</abilityName>
      <candidateList>
        <item>地形</item>
      </candidateList>
      <explain/>
      <paraID>61363DCF</paraID>
      <start>114</start>
      <end>116</end>
      <status>modified</status>
      <modifiedWord>地形</modifiedWord>
      <trackRevisions>false</trackRevisions>
    </reviewItem>
    <reviewItem>
      <errorID>aa0956c9-1416-461a-808e-836ad22037e7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58EBFA57</paraID>
      <start>0</start>
      <end>2</end>
      <status>unmodified</status>
      <modifiedWord/>
      <trackRevisions>false</trackRevisions>
    </reviewItem>
    <reviewItem>
      <errorID>4f4cea90-0285-4ddc-b6f0-abaf745e28a6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77B5FF94</paraID>
      <start>0</start>
      <end>2</end>
      <status>unmodified</status>
      <modifiedWord/>
      <trackRevisions>false</trackRevisions>
    </reviewItem>
    <reviewItem>
      <errorID>57aeae44-24ee-4d48-95be-61e7a2275a5a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2F889B74</paraID>
      <start>0</start>
      <end>2</end>
      <status>unmodified</status>
      <modifiedWord/>
      <trackRevisions>false</trackRevisions>
    </reviewItem>
    <reviewItem>
      <errorID>3ae6b80d-ac89-431f-be42-016532137479</errorID>
      <errorWord>：</errorWord>
      <group>L1_Format</group>
      <groupName>格式问题</groupName>
      <ability>L2_HalfPunc</ability>
      <abilityName>全半角检查</abilityName>
      <candidateList>
        <item>:</item>
      </candidateList>
      <explain>文本全半角错误。</explain>
      <paraID>72184FB1</paraID>
      <start>30</start>
      <end>31</end>
      <status>unmodified</status>
      <modifiedWord/>
      <trackRevisions>false</trackRevisions>
    </reviewItem>
    <reviewItem>
      <errorID>dcf7eb57-abcc-464b-ad96-2948a4846398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21268CAF</paraID>
      <start>0</start>
      <end>2</end>
      <status>unmodified</status>
      <modifiedWord/>
      <trackRevisions>false</trackRevisions>
    </reviewItem>
    <reviewItem>
      <errorID>399c3930-d2ff-41f9-a83c-8ddaa486d937</errorID>
      <errorWord>期</errorWord>
      <group>L1_Word</group>
      <groupName>字词问题</groupName>
      <ability>L2_Typo</ability>
      <abilityName>字词错误</abilityName>
      <candidateList>
        <item>期间</item>
      </candidateList>
      <explain>〈名〉某个时期里面：农忙～｜春节～｜抗战～。</explain>
      <paraID>61852BE8</paraID>
      <start>44</start>
      <end>45</end>
      <status>unmodified</status>
      <modifiedWord/>
      <trackRevisions>false</trackRevisions>
    </reviewItem>
    <reviewItem>
      <errorID>7f124a9d-9d99-4ddd-93a1-28a3393cd9fb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CF08195</paraID>
      <start>0</start>
      <end>2</end>
      <status>unmodified</status>
      <modifiedWord/>
      <trackRevisions>false</trackRevisions>
    </reviewItem>
    <reviewItem>
      <errorID>4d1c86e5-99e0-4a4d-9dce-5160fb6b9654</errorID>
      <errorWord>（</errorWord>
      <group>L1_Format</group>
      <groupName>格式问题</groupName>
      <ability>L2_HalfPunc</ability>
      <abilityName>全半角检查</abilityName>
      <candidateList>
        <item>(</item>
      </candidateList>
      <explain>文本全半角错误。</explain>
      <paraID>4CC99B65</paraID>
      <start>0</start>
      <end>1</end>
      <status>unmodified</status>
      <modifiedWord/>
      <trackRevisions>false</trackRevisions>
    </reviewItem>
    <reviewItem>
      <errorID>317f0ee4-c824-493c-a6ac-ef501599c57f</errorID>
      <errorWord>）</errorWord>
      <group>L1_Format</group>
      <groupName>格式问题</groupName>
      <ability>L2_HalfPunc</ability>
      <abilityName>全半角检查</abilityName>
      <candidateList>
        <item>)</item>
      </candidateList>
      <explain>文本全半角错误。</explain>
      <paraID>4CC99B65</paraID>
      <start>2</start>
      <end>3</end>
      <status>unmodified</status>
      <modifiedWord/>
      <trackRevisions>false</trackRevisions>
    </reviewItem>
    <reviewItem>
      <errorID>9aebb58d-b607-44ac-8f77-19bc38f00d60</errorID>
      <errorWord>（</errorWord>
      <group>L1_Format</group>
      <groupName>格式问题</groupName>
      <ability>L2_HalfPunc</ability>
      <abilityName>全半角检查</abilityName>
      <candidateList>
        <item>(</item>
      </candidateList>
      <explain>文本全半角错误。</explain>
      <paraID>5BD08607</paraID>
      <start>0</start>
      <end>1</end>
      <status>unmodified</status>
      <modifiedWord/>
      <trackRevisions>false</trackRevisions>
    </reviewItem>
    <reviewItem>
      <errorID>3285af2f-7f95-4d23-affb-37282df2e903</errorID>
      <errorWord>）</errorWord>
      <group>L1_Format</group>
      <groupName>格式问题</groupName>
      <ability>L2_HalfPunc</ability>
      <abilityName>全半角检查</abilityName>
      <candidateList>
        <item>)</item>
      </candidateList>
      <explain>文本全半角错误。</explain>
      <paraID>5BD08607</paraID>
      <start>2</start>
      <end>3</end>
      <status>unmodified</status>
      <modifiedWord/>
      <trackRevisions>false</trackRevisions>
    </reviewItem>
    <reviewItem>
      <errorID>d96bbf32-9b7f-444f-8140-07e7064e9126</errorID>
      <errorWord>（</errorWord>
      <group>L1_Format</group>
      <groupName>格式问题</groupName>
      <ability>L2_HalfPunc</ability>
      <abilityName>全半角检查</abilityName>
      <candidateList>
        <item>(</item>
      </candidateList>
      <explain>文本全半角错误。</explain>
      <paraID>62BD23FE</paraID>
      <start>0</start>
      <end>1</end>
      <status>unmodified</status>
      <modifiedWord/>
      <trackRevisions>false</trackRevisions>
    </reviewItem>
    <reviewItem>
      <errorID>38869c55-1f5f-4a98-be79-fa362c1dc31d</errorID>
      <errorWord>）</errorWord>
      <group>L1_Format</group>
      <groupName>格式问题</groupName>
      <ability>L2_HalfPunc</ability>
      <abilityName>全半角检查</abilityName>
      <candidateList>
        <item>)</item>
      </candidateList>
      <explain>文本全半角错误。</explain>
      <paraID>62BD23FE</paraID>
      <start>2</start>
      <end>3</end>
      <status>unmodified</status>
      <modifiedWord/>
      <trackRevisions>false</trackRevisions>
    </reviewItem>
    <reviewItem>
      <errorID>d0e0bf0a-9a59-4ca4-bebc-91ce765b5338</errorID>
      <errorWord>kw</errorWord>
      <group>L1_Word</group>
      <groupName>字词问题</groupName>
      <ability>L2_Typo</ability>
      <abilityName>字词错误</abilityName>
      <candidateList>
        <item>kW</item>
      </candidateList>
      <explain/>
      <paraID>67DFAE1E</paraID>
      <start>2</start>
      <end>4</end>
      <status>modified</status>
      <modifiedWord>kW</modifiedWord>
      <trackRevisions>false</trackRevisions>
    </reviewItem>
    <reviewItem>
      <errorID>c8033a96-8f01-440f-9ee7-6d13ada4e55f</errorID>
      <errorWord>IV类</errorWord>
      <group>L1_Knowledge</group>
      <groupName>知识性问题</groupName>
      <ability>L2_Knowledge</ability>
      <abilityName>其他知识</abilityName>
      <candidateList>
        <item>Ⅳ类</item>
      </candidateList>
      <explain/>
      <paraID>67DFAE1E</paraID>
      <start>8</start>
      <end>11</end>
      <status>unmodified</status>
      <modifiedWord/>
      <trackRevisions>false</trackRevisions>
    </reviewItem>
    <reviewItem>
      <errorID>9844b875-1cbc-4aac-aa41-4c8b3132d1b0</errorID>
      <errorWord>（</errorWord>
      <group>L1_Format</group>
      <groupName>格式问题</groupName>
      <ability>L2_HalfPunc</ability>
      <abilityName>全半角检查</abilityName>
      <candidateList>
        <item>(</item>
      </candidateList>
      <explain>文本全半角错误。</explain>
      <paraID>1C8CECF4</paraID>
      <start>0</start>
      <end>1</end>
      <status>unmodified</status>
      <modifiedWord/>
      <trackRevisions>false</trackRevisions>
    </reviewItem>
    <reviewItem>
      <errorID>92010f9b-32b7-4309-ae71-e0757793eceb</errorID>
      <errorWord>）</errorWord>
      <group>L1_Format</group>
      <groupName>格式问题</groupName>
      <ability>L2_HalfPunc</ability>
      <abilityName>全半角检查</abilityName>
      <candidateList>
        <item>)</item>
      </candidateList>
      <explain>文本全半角错误。</explain>
      <paraID>1C8CECF4</paraID>
      <start>2</start>
      <end>3</end>
      <status>unmodified</status>
      <modifiedWord/>
      <trackRevisions>false</trackRevisions>
    </reviewItem>
    <reviewItem>
      <errorID>e33473a4-c8a7-45bc-a7f9-63350aff927f</errorID>
      <errorWord>kw</errorWord>
      <group>L1_Word</group>
      <groupName>字词问题</groupName>
      <ability>L2_Typo</ability>
      <abilityName>字词错误</abilityName>
      <candidateList>
        <item>kW</item>
      </candidateList>
      <explain/>
      <paraID> 19048D8</paraID>
      <start>2</start>
      <end>4</end>
      <status>modified</status>
      <modifiedWord>kW</modifiedWord>
      <trackRevisions>false</trackRevisions>
    </reviewItem>
    <reviewItem>
      <errorID>9fbb6908-952b-4545-a6f0-06d2d9a172ae</errorID>
      <errorWord>IV类</errorWord>
      <group>L1_Knowledge</group>
      <groupName>知识性问题</groupName>
      <ability>L2_Knowledge</ability>
      <abilityName>其他知识</abilityName>
      <candidateList>
        <item>Ⅳ类</item>
      </candidateList>
      <explain/>
      <paraID> 19048D8</paraID>
      <start>8</start>
      <end>11</end>
      <status>unmodified</status>
      <modifiedWord/>
      <trackRevisions>false</trackRevisions>
    </reviewItem>
    <reviewItem>
      <errorID>48f2df4b-046d-47cd-a287-f7e8bd8660bc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19048D8</paraID>
      <start>15</start>
      <end>16</end>
      <status>unmodified</status>
      <modifiedWord/>
      <trackRevisions>false</trackRevisions>
    </reviewItem>
    <reviewItem>
      <errorID>e8db8ac1-137f-43bc-9b47-e39fec334662</errorID>
      <errorWord>（</errorWord>
      <group>L1_Format</group>
      <groupName>格式问题</groupName>
      <ability>L2_HalfPunc</ability>
      <abilityName>全半角检查</abilityName>
      <candidateList>
        <item>(</item>
      </candidateList>
      <explain>文本全半角错误。</explain>
      <paraID>24241A13</paraID>
      <start>0</start>
      <end>1</end>
      <status>unmodified</status>
      <modifiedWord/>
      <trackRevisions>false</trackRevisions>
    </reviewItem>
    <reviewItem>
      <errorID>cea1c974-4f61-47f8-b9f4-bb5aebe13441</errorID>
      <errorWord>）</errorWord>
      <group>L1_Format</group>
      <groupName>格式问题</groupName>
      <ability>L2_HalfPunc</ability>
      <abilityName>全半角检查</abilityName>
      <candidateList>
        <item>)</item>
      </candidateList>
      <explain>文本全半角错误。</explain>
      <paraID>24241A13</paraID>
      <start>2</start>
      <end>3</end>
      <status>unmodified</status>
      <modifiedWord/>
      <trackRevisions>false</trackRevisions>
    </reviewItem>
    <reviewItem>
      <errorID>1cd445f2-6cf6-4130-b1d5-8313a1b55c38</errorID>
      <errorWord>kw</errorWord>
      <group>L1_Word</group>
      <groupName>字词问题</groupName>
      <ability>L2_Typo</ability>
      <abilityName>字词错误</abilityName>
      <candidateList>
        <item>kW</item>
      </candidateList>
      <explain/>
      <paraID>5A7029E9</paraID>
      <start>2</start>
      <end>4</end>
      <status>modified</status>
      <modifiedWord>kW</modifiedWord>
      <trackRevisions>false</trackRevisions>
    </reviewItem>
    <reviewItem>
      <errorID>8c86c569-aaae-4b03-8be3-9175f2a96a36</errorID>
      <errorWord>IV类</errorWord>
      <group>L1_Knowledge</group>
      <groupName>知识性问题</groupName>
      <ability>L2_Knowledge</ability>
      <abilityName>其他知识</abilityName>
      <candidateList>
        <item>Ⅳ类</item>
      </candidateList>
      <explain/>
      <paraID>5A7029E9</paraID>
      <start>8</start>
      <end>11</end>
      <status>unmodified</status>
      <modifiedWord/>
      <trackRevisions>false</trackRevisions>
    </reviewItem>
    <reviewItem>
      <errorID>ffa2eaa6-72e1-4bae-ab01-909ff43d88dd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5A7029E9</paraID>
      <start>15</start>
      <end>16</end>
      <status>unmodified</status>
      <modifiedWord/>
      <trackRevisions>false</trackRevisions>
    </reviewItem>
    <reviewItem>
      <errorID>85493967-b918-49b5-b227-36fe3053b2fe</errorID>
      <errorWord>（</errorWord>
      <group>L1_Format</group>
      <groupName>格式问题</groupName>
      <ability>L2_HalfPunc</ability>
      <abilityName>全半角检查</abilityName>
      <candidateList>
        <item>(</item>
      </candidateList>
      <explain>文本全半角错误。</explain>
      <paraID>306CD5F0</paraID>
      <start>0</start>
      <end>1</end>
      <status>unmodified</status>
      <modifiedWord/>
      <trackRevisions>false</trackRevisions>
    </reviewItem>
    <reviewItem>
      <errorID>8cfb2452-da47-4e3d-b4ee-3d427d366710</errorID>
      <errorWord>）</errorWord>
      <group>L1_Format</group>
      <groupName>格式问题</groupName>
      <ability>L2_HalfPunc</ability>
      <abilityName>全半角检查</abilityName>
      <candidateList>
        <item>)</item>
      </candidateList>
      <explain>文本全半角错误。</explain>
      <paraID>306CD5F0</paraID>
      <start>2</start>
      <end>3</end>
      <status>unmodified</status>
      <modifiedWord/>
      <trackRevisions>false</trackRevisions>
    </reviewItem>
    <reviewItem>
      <errorID>491924ee-fe76-43f2-9d7a-b480baaac61f</errorID>
      <errorWord>（</errorWord>
      <group>L1_Format</group>
      <groupName>格式问题</groupName>
      <ability>L2_HalfPunc</ability>
      <abilityName>全半角检查</abilityName>
      <candidateList>
        <item>(</item>
      </candidateList>
      <explain>文本全半角错误。</explain>
      <paraID>6E8ED4BD</paraID>
      <start>0</start>
      <end>1</end>
      <status>unmodified</status>
      <modifiedWord/>
      <trackRevisions>false</trackRevisions>
    </reviewItem>
    <reviewItem>
      <errorID>cc582408-1b10-4007-994e-cddb3381a295</errorID>
      <errorWord>）</errorWord>
      <group>L1_Format</group>
      <groupName>格式问题</groupName>
      <ability>L2_HalfPunc</ability>
      <abilityName>全半角检查</abilityName>
      <candidateList>
        <item>)</item>
      </candidateList>
      <explain>文本全半角错误。</explain>
      <paraID>6E8ED4BD</paraID>
      <start>2</start>
      <end>3</end>
      <status>unmodified</status>
      <modifiedWord/>
      <trackRevisions>false</trackRevisions>
    </reviewItem>
    <reviewItem>
      <errorID>1ff4fab0-83a1-4c44-a9ec-2a2035f3a86d</errorID>
      <errorWord>（</errorWord>
      <group>L1_Format</group>
      <groupName>格式问题</groupName>
      <ability>L2_HalfPunc</ability>
      <abilityName>全半角检查</abilityName>
      <candidateList>
        <item>(</item>
      </candidateList>
      <explain>文本全半角错误。</explain>
      <paraID>1B0E65C5</paraID>
      <start>0</start>
      <end>1</end>
      <status>unmodified</status>
      <modifiedWord/>
      <trackRevisions>false</trackRevisions>
    </reviewItem>
    <reviewItem>
      <errorID>965dea43-3964-45cf-a761-f70ac66c4599</errorID>
      <errorWord>）</errorWord>
      <group>L1_Format</group>
      <groupName>格式问题</groupName>
      <ability>L2_HalfPunc</ability>
      <abilityName>全半角检查</abilityName>
      <candidateList>
        <item>)</item>
      </candidateList>
      <explain>文本全半角错误。</explain>
      <paraID>1B0E65C5</paraID>
      <start>2</start>
      <end>3</end>
      <status>unmodified</status>
      <modifiedWord/>
      <trackRevisions>false</trackRevisions>
    </reviewItem>
    <reviewItem>
      <errorID>6459b5f7-4814-45c9-ac9d-cbe2066ef2bd</errorID>
      <errorWord>（</errorWord>
      <group>L1_Format</group>
      <groupName>格式问题</groupName>
      <ability>L2_HalfPunc</ability>
      <abilityName>全半角检查</abilityName>
      <candidateList>
        <item>(</item>
      </candidateList>
      <explain>文本全半角错误。</explain>
      <paraID>67D94DD2</paraID>
      <start>0</start>
      <end>1</end>
      <status>unmodified</status>
      <modifiedWord/>
      <trackRevisions>false</trackRevisions>
    </reviewItem>
    <reviewItem>
      <errorID>019cd650-5919-4aac-ad6e-21ba3f62e1b9</errorID>
      <errorWord>）</errorWord>
      <group>L1_Format</group>
      <groupName>格式问题</groupName>
      <ability>L2_HalfPunc</ability>
      <abilityName>全半角检查</abilityName>
      <candidateList>
        <item>)</item>
      </candidateList>
      <explain>文本全半角错误。</explain>
      <paraID>67D94DD2</paraID>
      <start>2</start>
      <end>3</end>
      <status>unmodified</status>
      <modifiedWord/>
      <trackRevisions>false</trackRevisions>
    </reviewItem>
    <reviewItem>
      <errorID>7a18db72-ecdb-4734-a5dc-f9d6e475bb6f</errorID>
      <errorWord>（</errorWord>
      <group>L1_Format</group>
      <groupName>格式问题</groupName>
      <ability>L2_HalfPunc</ability>
      <abilityName>全半角检查</abilityName>
      <candidateList>
        <item>(</item>
      </candidateList>
      <explain>文本全半角错误。</explain>
      <paraID>1BA07CB7</paraID>
      <start>0</start>
      <end>1</end>
      <status>unmodified</status>
      <modifiedWord/>
      <trackRevisions>false</trackRevisions>
    </reviewItem>
    <reviewItem>
      <errorID>ccb56fee-a1c6-4891-b4d8-74880d223c1b</errorID>
      <errorWord>）</errorWord>
      <group>L1_Format</group>
      <groupName>格式问题</groupName>
      <ability>L2_HalfPunc</ability>
      <abilityName>全半角检查</abilityName>
      <candidateList>
        <item>)</item>
      </candidateList>
      <explain>文本全半角错误。</explain>
      <paraID>1BA07CB7</paraID>
      <start>2</start>
      <end>3</end>
      <status>unmodified</status>
      <modifiedWord/>
      <trackRevisions>false</trackRevisions>
    </reviewItem>
    <reviewItem>
      <errorID>8fee78c5-c5f4-4e55-a2f6-db26b524f0c0</errorID>
      <errorWord>（</errorWord>
      <group>L1_Format</group>
      <groupName>格式问题</groupName>
      <ability>L2_HalfPunc</ability>
      <abilityName>全半角检查</abilityName>
      <candidateList>
        <item>(</item>
      </candidateList>
      <explain>文本全半角错误。</explain>
      <paraID>5C3CF8C7</paraID>
      <start>0</start>
      <end>1</end>
      <status>unmodified</status>
      <modifiedWord/>
      <trackRevisions>false</trackRevisions>
    </reviewItem>
    <reviewItem>
      <errorID>bf7a85ea-101f-4417-a721-c82cdb6611ac</errorID>
      <errorWord>）</errorWord>
      <group>L1_Format</group>
      <groupName>格式问题</groupName>
      <ability>L2_HalfPunc</ability>
      <abilityName>全半角检查</abilityName>
      <candidateList>
        <item>)</item>
      </candidateList>
      <explain>文本全半角错误。</explain>
      <paraID>5C3CF8C7</paraID>
      <start>2</start>
      <end>3</end>
      <status>unmodified</status>
      <modifiedWord/>
      <trackRevisions>false</trackRevisions>
    </reviewItem>
    <reviewItem>
      <errorID>e9d341d6-9208-4ca4-9ae2-87b5937926ca</errorID>
      <errorWord>（</errorWord>
      <group>L1_Format</group>
      <groupName>格式问题</groupName>
      <ability>L2_HalfPunc</ability>
      <abilityName>全半角检查</abilityName>
      <candidateList>
        <item>(</item>
      </candidateList>
      <explain>文本全半角错误。</explain>
      <paraID>5758229C</paraID>
      <start>0</start>
      <end>1</end>
      <status>unmodified</status>
      <modifiedWord/>
      <trackRevisions>false</trackRevisions>
    </reviewItem>
    <reviewItem>
      <errorID>ec85834c-fa41-4241-80d8-1bc33fc0744d</errorID>
      <errorWord>）</errorWord>
      <group>L1_Format</group>
      <groupName>格式问题</groupName>
      <ability>L2_HalfPunc</ability>
      <abilityName>全半角检查</abilityName>
      <candidateList>
        <item>)</item>
      </candidateList>
      <explain>文本全半角错误。</explain>
      <paraID>5758229C</paraID>
      <start>2</start>
      <end>3</end>
      <status>unmodified</status>
      <modifiedWord/>
      <trackRevisions>false</trackRevisions>
    </reviewItem>
    <reviewItem>
      <errorID>3644daeb-5601-45e2-9761-f48d55aa686a</errorID>
      <errorWord>（</errorWord>
      <group>L1_Format</group>
      <groupName>格式问题</groupName>
      <ability>L2_HalfPunc</ability>
      <abilityName>全半角检查</abilityName>
      <candidateList>
        <item>(</item>
      </candidateList>
      <explain>文本全半角错误。</explain>
      <paraID>435C9D4C</paraID>
      <start>0</start>
      <end>1</end>
      <status>unmodified</status>
      <modifiedWord/>
      <trackRevisions>false</trackRevisions>
    </reviewItem>
    <reviewItem>
      <errorID>4159cc09-ebcb-44a1-92ee-b749d6263aa8</errorID>
      <errorWord>）</errorWord>
      <group>L1_Format</group>
      <groupName>格式问题</groupName>
      <ability>L2_HalfPunc</ability>
      <abilityName>全半角检查</abilityName>
      <candidateList>
        <item>)</item>
      </candidateList>
      <explain>文本全半角错误。</explain>
      <paraID>435C9D4C</paraID>
      <start>2</start>
      <end>3</end>
      <status>unmodified</status>
      <modifiedWord/>
      <trackRevisions>false</trackRevisions>
    </reviewItem>
    <reviewItem>
      <errorID>674dc88c-d7f0-47bb-af61-fdc40092e3c7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77D96C15</paraID>
      <start>0</start>
      <end>2</end>
      <status>unmodified</status>
      <modifiedWord/>
      <trackRevisions>false</trackRevisions>
    </reviewItem>
    <reviewItem>
      <errorID>c08cfd60-9d06-4c1f-bb19-6f61296b33a5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51E7184E</paraID>
      <start>0</start>
      <end>2</end>
      <status>unmodified</status>
      <modifiedWord/>
      <trackRevisions>false</trackRevisions>
    </reviewItem>
    <reviewItem>
      <errorID>6e95136f-2a54-4a94-abfa-5ec8b5701ed8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155DFF96</paraID>
      <start>0</start>
      <end>2</end>
      <status>unmodified</status>
      <modifiedWord/>
      <trackRevisions>false</trackRevisions>
    </reviewItem>
    <reviewItem>
      <errorID>6a23bf2f-9444-47e7-8588-cfec2c55ea85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69923BC</paraID>
      <start>1</start>
      <end>3</end>
      <status>unmodified</status>
      <modifiedWord/>
      <trackRevisions>false</trackRevisions>
    </reviewItem>
    <reviewItem>
      <errorID>9cbb1a14-56cc-4d9c-b94e-35316d85ef2f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5A338232</paraID>
      <start>0</start>
      <end>3</end>
      <status>unmodified</status>
      <modifiedWord/>
      <trackRevisions>false</trackRevisions>
    </reviewItem>
    <reviewItem>
      <errorID>f90adfeb-a412-4bf9-8c1c-efde6a390a76</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6067C642</paraID>
      <start>0</start>
      <end>2</end>
      <status>unmodified</status>
      <modifiedWord/>
      <trackRevisions>false</trackRevisions>
    </reviewItem>
    <reviewItem>
      <errorID>3cbf51a6-cead-48a1-837f-e10ede0b3e9d</errorID>
      <errorWord>)</errorWord>
      <group>L1_Format</group>
      <groupName>格式问题</groupName>
      <ability>L2_HalfPunc</ability>
      <abilityName>全半角检查</abilityName>
      <candidateList>
        <item>）</item>
      </candidateList>
      <explain>文本全半角错误。</explain>
      <paraID>51ECAF92</paraID>
      <start>82</start>
      <end>83</end>
      <status>unmodified</status>
      <modifiedWord/>
      <trackRevisions>false</trackRevisions>
    </reviewItem>
    <reviewItem>
      <errorID>15bfaeea-7943-4ca6-a9f1-a7a45219fe9d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66F9F3EE</paraID>
      <start>0</start>
      <end>2</end>
      <status>unmodified</status>
      <modifiedWord/>
      <trackRevisions>false</trackRevisions>
    </reviewItem>
    <reviewItem>
      <errorID>f41a70fb-02e6-404d-b627-a043b05d7441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C596B07</paraID>
      <start>0</start>
      <end>2</end>
      <status>unmodified</status>
      <modifiedWord/>
      <trackRevisions>false</trackRevisions>
    </reviewItem>
    <reviewItem>
      <errorID>d48866fe-4b2d-444b-8d01-da464a126756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7D9228E8</paraID>
      <start>0</start>
      <end>2</end>
      <status>unmodified</status>
      <modifiedWord/>
      <trackRevisions>false</trackRevisions>
    </reviewItem>
    <reviewItem>
      <errorID>0076ac4e-09a1-4b69-97ab-674cbe83df99</errorID>
      <errorWord>面集</errorWord>
      <group>L1_Word</group>
      <groupName>字词问题</groupName>
      <ability>L2_Typo</ability>
      <abilityName>字词错误</abilityName>
      <candidateList>
        <item>面积</item>
      </candidateList>
      <explain>〈名〉平面或物体表面的大小：土地～｜建筑～。</explain>
      <paraID>3909E8C9</paraID>
      <start>26</start>
      <end>28</end>
      <status>unmodified</status>
      <modifiedWord/>
      <trackRevisions>false</trackRevisions>
    </reviewItem>
    <reviewItem>
      <errorID>d6ac93d9-a377-4eb7-a8fa-4d23c9e1097e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746A1296</paraID>
      <start>65</start>
      <end>66</end>
      <status>unmodified</status>
      <modifiedWord/>
      <trackRevisions>false</trackRevisions>
    </reviewItem>
    <reviewItem>
      <errorID>2a30fbbb-7671-4278-8338-6fc43f779763</errorID>
      <errorWord>护脚</errorWord>
      <group>L1_Word</group>
      <groupName>字词问题</groupName>
      <ability>L2_Typo</ability>
      <abilityName>字词错误</abilityName>
      <candidateList>
        <item>护角</item>
      </candidateList>
      <explain/>
      <paraID>2CF94994</paraID>
      <start>49</start>
      <end>51</end>
      <status>unmodified</status>
      <modifiedWord/>
      <trackRevisions>false</trackRevisions>
    </reviewItem>
    <reviewItem>
      <errorID>3a0b5d26-5305-4229-9025-c2995da66aef</errorID>
      <errorWord>1-2天</errorWord>
      <group>L1_Word</group>
      <groupName>字词问题</groupName>
      <ability>L2_Typo</ability>
      <abilityName>字词错误</abilityName>
      <candidateList>
        <item>1～2天</item>
      </candidateList>
      <explain/>
      <paraID>57A9A792</paraID>
      <start>4</start>
      <end>8</end>
      <status>unmodified</status>
      <modifiedWord/>
      <trackRevisions>false</trackRevisions>
    </reviewItem>
    <reviewItem>
      <errorID>23878d2b-8362-4fa6-8657-4f1883f94e0f</errorID>
      <errorWord>1-2天</errorWord>
      <group>L1_Word</group>
      <groupName>字词问题</groupName>
      <ability>L2_Typo</ability>
      <abilityName>字词错误</abilityName>
      <candidateList>
        <item>1～2天</item>
      </candidateList>
      <explain/>
      <paraID>57A9A792</paraID>
      <start>42</start>
      <end>46</end>
      <status>unmodified</status>
      <modifiedWord/>
      <trackRevisions>false</trackRevisions>
    </reviewItem>
    <reviewItem>
      <errorID>679177e9-6287-4cfa-8775-29e229bd45c0</errorID>
      <errorWord>：</errorWord>
      <group>L1_Format</group>
      <groupName>格式问题</groupName>
      <ability>L2_HalfPunc</ability>
      <abilityName>全半角检查</abilityName>
      <candidateList>
        <item>:</item>
      </candidateList>
      <explain>文本全半角错误。</explain>
      <paraID>3040345A</paraID>
      <start>172</start>
      <end>173</end>
      <status>unmodified</status>
      <modifiedWord/>
      <trackRevisions>false</trackRevisions>
    </reviewItem>
    <reviewItem>
      <errorID>cd1352c7-2da7-4cf0-b4ba-9d16f7210b76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381AB04E</paraID>
      <start>0</start>
      <end>2</end>
      <status>unmodified</status>
      <modifiedWord/>
      <trackRevisions>false</trackRevisions>
    </reviewItem>
    <reviewItem>
      <errorID>92f2290d-0446-4b83-8cc3-e94045966039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4F1FA10D</paraID>
      <start>19</start>
      <end>20</end>
      <status>unmodified</status>
      <modifiedWord/>
      <trackRevisions>false</trackRevisions>
    </reviewItem>
    <reviewItem>
      <errorID>7013f571-3699-4a7e-a0df-0bba309b5a50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27E1A264</paraID>
      <start>0</start>
      <end>2</end>
      <status>unmodified</status>
      <modifiedWord/>
      <trackRevisions>false</trackRevisions>
    </reviewItem>
    <reviewItem>
      <errorID>779e46cf-9319-4330-8cea-f29f5a57e91e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748E2D60</paraID>
      <start>0</start>
      <end>2</end>
      <status>unmodified</status>
      <modifiedWord/>
      <trackRevisions>false</trackRevisions>
    </reviewItem>
    <reviewItem>
      <errorID>055b0f6e-6778-463c-92a1-88e9d7c629d2</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3952205B</paraID>
      <start>41</start>
      <end>47</end>
      <status>unmodified</status>
      <modifiedWord/>
      <trackRevisions>false</trackRevisions>
    </reviewItem>
    <reviewItem>
      <errorID>89888226-0895-41dc-8cbc-7621e5495783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5244AEB0</paraID>
      <start>159</start>
      <end>160</end>
      <status>unmodified</status>
      <modifiedWord/>
      <trackRevisions>false</trackRevisions>
    </reviewItem>
    <reviewItem>
      <errorID>d485f87d-e69e-430a-8b89-11488f9c89ac</errorID>
      <errorWord>附图</errorWord>
      <group>L1_Word</group>
      <groupName>字词问题</groupName>
      <ability>L2_Typo</ability>
      <abilityName>字词错误</abilityName>
      <candidateList>
        <item>图</item>
      </candidateList>
      <explain/>
      <paraID>238E1765</paraID>
      <start>15</start>
      <end>17</end>
      <status>unmodified</status>
      <modifiedWord/>
      <trackRevisions>false</trackRevisions>
    </reviewItem>
    <reviewItem>
      <errorID>433a2df1-11e5-4a5e-971a-29385170ef32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6AB2F8F2</paraID>
      <start>0</start>
      <end>2</end>
      <status>unmodified</status>
      <modifiedWord/>
      <trackRevisions>false</trackRevisions>
    </reviewItem>
    <reviewItem>
      <errorID>dd05cf6b-e641-49e1-a740-3c92f4fbae0c</errorID>
      <errorWord>（</errorWord>
      <group>L1_Format</group>
      <groupName>格式问题</groupName>
      <ability>L2_HalfPunc</ability>
      <abilityName>全半角检查</abilityName>
      <candidateList>
        <item>(</item>
      </candidateList>
      <explain>文本全半角错误。</explain>
      <paraID>78D4B1D8</paraID>
      <start>0</start>
      <end>1</end>
      <status>unmodified</status>
      <modifiedWord/>
      <trackRevisions>false</trackRevisions>
    </reviewItem>
    <reviewItem>
      <errorID>fb8cdd78-b27b-4449-af37-4e5421470cac</errorID>
      <errorWord>）</errorWord>
      <group>L1_Format</group>
      <groupName>格式问题</groupName>
      <ability>L2_HalfPunc</ability>
      <abilityName>全半角检查</abilityName>
      <candidateList>
        <item>)</item>
      </candidateList>
      <explain>文本全半角错误。</explain>
      <paraID>78D4B1D8</paraID>
      <start>6</start>
      <end>7</end>
      <status>unmodified</status>
      <modifiedWord/>
      <trackRevisions>false</trackRevisions>
    </reviewItem>
    <reviewItem>
      <errorID>871226f9-25d4-4303-8586-c7063c8318a4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6246BD39</paraID>
      <start>0</start>
      <end>2</end>
      <status>unmodified</status>
      <modifiedWord/>
      <trackRevisions>false</trackRevisions>
    </reviewItem>
    <reviewItem>
      <errorID>87c853df-5f6e-4020-8903-28d1bf8df59e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7401E793</paraID>
      <start>0</start>
      <end>2</end>
      <status>unmodified</status>
      <modifiedWord/>
      <trackRevisions>false</trackRevisions>
    </reviewItem>
    <reviewItem>
      <errorID>498a4179-4aba-46ed-9831-3c410fc1533a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74A224D5</paraID>
      <start>0</start>
      <end>2</end>
      <status>unmodified</status>
      <modifiedWord/>
      <trackRevisions>false</trackRevisions>
    </reviewItem>
    <reviewItem>
      <errorID>4ab1ba2e-524b-4736-a9b0-671bb78c39d9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75A41F4</paraID>
      <start>0</start>
      <end>2</end>
      <status>unmodified</status>
      <modifiedWord/>
      <trackRevisions>false</trackRevisions>
    </reviewItem>
    <reviewItem>
      <errorID>59ee09bc-d6fd-4d4e-8b21-0a34c4d4c9cb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A4DF5AB</paraID>
      <start>0</start>
      <end>2</end>
      <status>unmodified</status>
      <modifiedWord/>
      <trackRevisions>false</trackRevisions>
    </reviewItem>
    <reviewItem>
      <errorID>b857da0a-c629-43f0-b31f-5e1774e09bf5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53A5F802</paraID>
      <start>0</start>
      <end>2</end>
      <status>unmodified</status>
      <modifiedWord/>
      <trackRevisions>false</trackRevisions>
    </reviewItem>
    <reviewItem>
      <errorID>bdef7b41-38e6-4850-9cca-ddf09f82fd8f</errorID>
      <errorWord>陡坎</errorWord>
      <group>L1_Word</group>
      <groupName>字词问题</groupName>
      <ability>L2_Typo</ability>
      <abilityName>字词错误</abilityName>
      <candidateList>
        <item>陡坡</item>
      </candidateList>
      <explain/>
      <paraID>3445CE1D</paraID>
      <start>59</start>
      <end>61</end>
      <status>unmodified</status>
      <modifiedWord/>
      <trackRevisions>false</trackRevisions>
    </reviewItem>
    <reviewItem>
      <errorID>de088988-5ebe-4ab6-8e57-72b9885c0316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119DCD08</paraID>
      <start>0</start>
      <end>2</end>
      <status>unmodified</status>
      <modifiedWord/>
      <trackRevisions>false</trackRevisions>
    </reviewItem>
    <reviewItem>
      <errorID>135567db-7267-47a6-9f9f-bea99ab60399</errorID>
      <errorWord>面集</errorWord>
      <group>L1_Word</group>
      <groupName>字词问题</groupName>
      <ability>L2_Typo</ability>
      <abilityName>字词错误</abilityName>
      <candidateList>
        <item>面积</item>
      </candidateList>
      <explain>〈名〉平面或物体表面的大小：土地～｜建筑～。</explain>
      <paraID>28D599A1</paraID>
      <start>37</start>
      <end>39</end>
      <status>unmodified</status>
      <modifiedWord/>
      <trackRevisions>false</trackRevisions>
    </reviewItem>
    <reviewItem>
      <errorID>b297d448-46b1-4366-abfd-71beeb791bac</errorID>
      <errorWord>》（试行）</errorWord>
      <group>L1_Word</group>
      <groupName>字词问题</groupName>
      <ability>L2_Typo</ability>
      <abilityName>字词错误</abilityName>
      <candidateList>
        <item>（试行）》</item>
      </candidateList>
      <explain/>
      <paraID>3AE00CC3</paraID>
      <start>27</start>
      <end>32</end>
      <status>unmodified</status>
      <modifiedWord/>
      <trackRevisions>false</trackRevisions>
    </reviewItem>
    <reviewItem>
      <errorID>5256800d-1e7d-4957-877f-3df7ffb58d94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74DD0D2D</paraID>
      <start>0</start>
      <end>2</end>
      <status>unmodified</status>
      <modifiedWord/>
      <trackRevisions>false</trackRevisions>
    </reviewItem>
    <reviewItem>
      <errorID>5a58d8a8-0ff8-4790-bdf1-f0904e0241bb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6D423122</paraID>
      <start>0</start>
      <end>2</end>
      <status>unmodified</status>
      <modifiedWord/>
      <trackRevisions>false</trackRevisions>
    </reviewItem>
    <reviewItem>
      <errorID>d3a6358d-0dea-4fe5-89e5-96cccb96e6b9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523934E2</paraID>
      <start>0</start>
      <end>2</end>
      <status>unmodified</status>
      <modifiedWord/>
      <trackRevisions>false</trackRevisions>
    </reviewItem>
    <reviewItem>
      <errorID>94d2a1f4-0623-4da5-a66b-9f6e54c3993e</errorID>
      <errorWord>(</errorWord>
      <group>L1_Format</group>
      <groupName>格式问题</groupName>
      <ability>L2_HalfPunc</ability>
      <abilityName>全半角检查</abilityName>
      <candidateList>
        <item>（</item>
      </candidateList>
      <explain>文本全半角错误。</explain>
      <paraID>397F29B5</paraID>
      <start>20</start>
      <end>21</end>
      <status>unmodified</status>
      <modifiedWord/>
      <trackRevisions>false</trackRevisions>
    </reviewItem>
    <reviewItem>
      <errorID>ba2bf18d-2811-4b86-8ba9-54dad843d989</errorID>
      <errorWord>)</errorWord>
      <group>L1_Format</group>
      <groupName>格式问题</groupName>
      <ability>L2_HalfPunc</ability>
      <abilityName>全半角检查</abilityName>
      <candidateList>
        <item>）</item>
      </candidateList>
      <explain>文本全半角错误。</explain>
      <paraID>397F29B5</paraID>
      <start>32</start>
      <end>33</end>
      <status>unmodified</status>
      <modifiedWord/>
      <trackRevisions>false</trackRevisions>
    </reviewItem>
    <reviewItem>
      <errorID>4c94e4e4-dbbb-4940-8ce0-8394b96eca20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2A034D1F</paraID>
      <start>0</start>
      <end>2</end>
      <status>unmodified</status>
      <modifiedWord/>
      <trackRevisions>false</trackRevisions>
    </reviewItem>
    <reviewItem>
      <errorID>19081bb5-dbb6-4e9c-ad22-9788d7d49da6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4C134385</paraID>
      <start>0</start>
      <end>2</end>
      <status>unmodified</status>
      <modifiedWord/>
      <trackRevisions>false</trackRevisions>
    </reviewItem>
    <reviewItem>
      <errorID>437d537d-758c-4189-8542-d2b208f888aa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51DF6429</paraID>
      <start>0</start>
      <end>2</end>
      <status>unmodified</status>
      <modifiedWord/>
      <trackRevisions>false</trackRevisions>
    </reviewItem>
    <reviewItem>
      <errorID>66313b93-884f-4305-80f8-dccb9dcf6760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25ED477</paraID>
      <start>0</start>
      <end>2</end>
      <status>unmodified</status>
      <modifiedWord/>
      <trackRevisions>false</trackRevisions>
    </reviewItem>
    <reviewItem>
      <errorID>7b569ae7-9d0b-479a-9ade-3fb63da2996c</errorID>
      <errorWord>(</errorWord>
      <group>L1_Format</group>
      <groupName>格式问题</groupName>
      <ability>L2_HalfPunc</ability>
      <abilityName>全半角检查</abilityName>
      <candidateList>
        <item>（</item>
      </candidateList>
      <explain>文本全半角错误。</explain>
      <paraID>7546AF00</paraID>
      <start>38</start>
      <end>39</end>
      <status>unmodified</status>
      <modifiedWord/>
      <trackRevisions>false</trackRevisions>
    </reviewItem>
    <reviewItem>
      <errorID>8c867595-f157-46d5-98a6-7458540cbd0a</errorID>
      <errorWord>)</errorWord>
      <group>L1_Format</group>
      <groupName>格式问题</groupName>
      <ability>L2_HalfPunc</ability>
      <abilityName>全半角检查</abilityName>
      <candidateList>
        <item>）</item>
      </candidateList>
      <explain>文本全半角错误。</explain>
      <paraID>7546AF00</paraID>
      <start>50</start>
      <end>51</end>
      <status>unmodified</status>
      <modifiedWord/>
      <trackRevisions>false</trackRevisions>
    </reviewItem>
    <reviewItem>
      <errorID>d289bf4f-657d-4b98-893f-21442f73d9aa</errorID>
      <errorWord>～</errorWord>
      <group>L1_Format</group>
      <groupName>格式问题</groupName>
      <ability>L2_HalfPunc</ability>
      <abilityName>全半角检查</abilityName>
      <candidateList>
        <item>~</item>
      </candidateList>
      <explain>文本全半角错误。</explain>
      <paraID>6C9DD0C6</paraID>
      <start>1</start>
      <end>2</end>
      <status>unmodified</status>
      <modifiedWord/>
      <trackRevisions>false</trackRevisions>
    </reviewItem>
    <reviewItem>
      <errorID>1c926b91-5876-47cc-bcf8-6b9b71ff323c</errorID>
      <errorWord>(</errorWord>
      <group>L1_Format</group>
      <groupName>格式问题</groupName>
      <ability>L2_HalfPunc</ability>
      <abilityName>全半角检查</abilityName>
      <candidateList>
        <item>（</item>
      </candidateList>
      <explain>文本全半角错误。</explain>
      <paraID>4B66428A</paraID>
      <start>87</start>
      <end>88</end>
      <status>unmodified</status>
      <modifiedWord/>
      <trackRevisions>false</trackRevisions>
    </reviewItem>
    <reviewItem>
      <errorID>686bdc06-bcd4-451c-a3a9-eb39ad111dd4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6E25EBBD</paraID>
      <start>0</start>
      <end>2</end>
      <status>unmodified</status>
      <modifiedWord/>
      <trackRevisions>false</trackRevisions>
    </reviewItem>
    <reviewItem>
      <errorID>44fc0c18-3b9f-4964-9f2d-9771cf04c529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19D6521B</paraID>
      <start>0</start>
      <end>2</end>
      <status>unmodified</status>
      <modifiedWord/>
      <trackRevisions>false</trackRevisions>
    </reviewItem>
    <reviewItem>
      <errorID>60c926df-788c-424d-bfaf-c4c36ebb7e88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3AFDF0B7</paraID>
      <start>0</start>
      <end>2</end>
      <status>unmodified</status>
      <modifiedWord/>
      <trackRevisions>false</trackRevisions>
    </reviewItem>
    <reviewItem>
      <errorID>509b7d6c-29ec-4977-9ff6-875c82c10487</errorID>
      <errorWord>程</errorWord>
      <group>L1_Word</group>
      <groupName>字词问题</groupName>
      <ability>L2_Typo</ability>
      <abilityName>字词错误</abilityName>
      <candidateList>
        <item>程中</item>
      </candidateList>
      <explain/>
      <paraID>38BCD9F5</paraID>
      <start>117</start>
      <end>118</end>
      <status>unmodified</status>
      <modifiedWord/>
      <trackRevisions>false</trackRevisions>
    </reviewItem>
    <reviewItem>
      <errorID>95947b59-a44d-4101-94f6-6ebecc9d233f</errorID>
      <errorWord>况</errorWord>
      <group>L1_Word</group>
      <groupName>字词问题</groupName>
      <ability>L2_Typo</ability>
      <abilityName>字词错误</abilityName>
      <candidateList>
        <item>况下</item>
      </candidateList>
      <explain/>
      <paraID>3481D125</paraID>
      <start>46</start>
      <end>48</end>
      <status>modified</status>
      <modifiedWord>况下</modifiedWord>
      <trackRevisions>false</trackRevisions>
    </reviewItem>
    <reviewItem>
      <errorID>cb047851-c981-427b-a739-e423abfdad07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6C346948</paraID>
      <start>0</start>
      <end>2</end>
      <status>unmodified</status>
      <modifiedWord/>
      <trackRevisions>false</trackRevisions>
    </reviewItem>
    <reviewItem>
      <errorID>16d29873-cdd0-49c0-90d1-22ffd0850c3b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4FDFD88F</paraID>
      <start>0</start>
      <end>2</end>
      <status>unmodified</status>
      <modifiedWord/>
      <trackRevisions>false</trackRevisions>
    </reviewItem>
    <reviewItem>
      <errorID>2db53bc9-0f2e-48d0-8f1a-ef0597bb7146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43A45870</paraID>
      <start>0</start>
      <end>2</end>
      <status>unmodified</status>
      <modifiedWord/>
      <trackRevisions>false</trackRevisions>
    </reviewItem>
    <reviewItem>
      <errorID>e76f3938-b3c6-415f-af61-01c898aab0da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612541AF</paraID>
      <start>0</start>
      <end>2</end>
      <status>unmodified</status>
      <modifiedWord/>
      <trackRevisions>false</trackRevisions>
    </reviewItem>
    <reviewItem>
      <errorID>939241c4-0cfa-442f-b5ec-d8b30979cc95</errorID>
      <errorWord>施工占</errorWord>
      <group>L1_Word</group>
      <groupName>字词问题</groupName>
      <ability>L2_Typo</ability>
      <abilityName>字词错误</abilityName>
      <candidateList>
        <item>施工场</item>
      </candidateList>
      <explain/>
      <paraID>39AF93B7</paraID>
      <start>1</start>
      <end>4</end>
      <status>unmodified</status>
      <modifiedWord/>
      <trackRevisions>false</trackRevisions>
    </reviewItem>
    <reviewItem>
      <errorID>0fa6dc63-df5d-4f74-bba8-bdcc13b14700</errorID>
      <errorWord>；</errorWord>
      <group>L1_Word</group>
      <groupName>字词问题</groupName>
      <ability>L2_Typo</ability>
      <abilityName>字词错误</abilityName>
      <candidateList>
        <item>；在</item>
      </candidateList>
      <explain/>
      <paraID>24C29A2B</paraID>
      <start>31</start>
      <end>32</end>
      <status>unmodified</status>
      <modifiedWord/>
      <trackRevisions>false</trackRevisions>
    </reviewItem>
    <reviewItem>
      <errorID>4710ea05-4af8-4afd-a34b-a658a7a66cad</errorID>
      <errorWord>：</errorWord>
      <group>L1_Format</group>
      <groupName>格式问题</groupName>
      <ability>L2_HalfPunc</ability>
      <abilityName>全半角检查</abilityName>
      <candidateList>
        <item>:</item>
      </candidateList>
      <explain>文本全半角错误。</explain>
      <paraID>1C5A7840</paraID>
      <start>103</start>
      <end>104</end>
      <status>unmodified</status>
      <modifiedWord/>
      <trackRevisions>false</trackRevisions>
    </reviewItem>
    <reviewItem>
      <errorID>79b62bf2-c0e0-4699-ae3e-d32f32f74c31</errorID>
      <errorWord>，</errorWord>
      <group>L1_Word</group>
      <groupName>字词问题</groupName>
      <ability>L2_Typo</ability>
      <abilityName>字词错误</abilityName>
      <candidateList>
        <item>，定</item>
      </candidateList>
      <explain/>
      <paraID>3530FBE1</paraID>
      <start>76</start>
      <end>77</end>
      <status>unmodified</status>
      <modifiedWord/>
      <trackRevisions>false</trackRevisions>
    </reviewItem>
    <reviewItem>
      <errorID>ee269b07-3ed6-4f0e-a809-77e27a3b97e9</errorID>
      <errorWord>程</errorWord>
      <group>L1_Word</group>
      <groupName>字词问题</groupName>
      <ability>L2_Typo</ability>
      <abilityName>字词错误</abilityName>
      <candidateList>
        <item>程中</item>
      </candidateList>
      <explain/>
      <paraID> 3458D76</paraID>
      <start>44</start>
      <end>45</end>
      <status>unmodified</status>
      <modifiedWord/>
      <trackRevisions>false</trackRevisions>
    </reviewItem>
    <reviewItem>
      <errorID>c80995ec-7b87-4c9b-a6d9-3ac68e77c4cf</errorID>
      <errorWord>滥砍滥伐</errorWord>
      <group>L1_Word</group>
      <groupName>字词问题</groupName>
      <ability>L2_Typo</ability>
      <abilityName>字词错误</abilityName>
      <candidateList>
        <item>乱砍滥伐</item>
      </candidateList>
      <explain/>
      <paraID> 3458D76</paraID>
      <start>50</start>
      <end>54</end>
      <status>unmodified</status>
      <modifiedWord/>
      <trackRevisions>false</trackRevisions>
    </reviewItem>
    <reviewItem>
      <errorID>7c053227-70df-4858-bc2e-adf851592de9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13702C7</paraID>
      <start>0</start>
      <end>2</end>
      <status>unmodified</status>
      <modifiedWord/>
      <trackRevisions>false</trackRevisions>
    </reviewItem>
    <reviewItem>
      <errorID>0c18cf80-295f-4e95-a5f4-b568ac283445</errorID>
      <errorWord>外逸</errorWord>
      <group>L1_Word</group>
      <groupName>字词问题</groupName>
      <ability>L2_Typo</ability>
      <abilityName>字词错误</abilityName>
      <candidateList>
        <item>外溢</item>
      </candidateList>
      <explain/>
      <paraID>72139EB4</paraID>
      <start>67</start>
      <end>69</end>
      <status>unmodified</status>
      <modifiedWord/>
      <trackRevisions>false</trackRevisions>
    </reviewItem>
    <reviewItem>
      <errorID>beb080a5-4f9c-4020-aa76-ebf7d1dee696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1935A291</paraID>
      <start>0</start>
      <end>2</end>
      <status>unmodified</status>
      <modifiedWord/>
      <trackRevisions>false</trackRevisions>
    </reviewItem>
    <reviewItem>
      <errorID>04478ec8-a10d-47d9-984e-abfeb35dd03d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39189B8</paraID>
      <start>0</start>
      <end>2</end>
      <status>unmodified</status>
      <modifiedWord/>
      <trackRevisions>false</trackRevisions>
    </reviewItem>
    <reviewItem>
      <errorID>a40ed6eb-89b0-40dc-9983-a00e453e2cd5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3CF30C85</paraID>
      <start>0</start>
      <end>2</end>
      <status>unmodified</status>
      <modifiedWord/>
      <trackRevisions>false</trackRevisions>
    </reviewItem>
    <reviewItem>
      <errorID>534f8f4e-9535-4a83-9a38-7c6925da248f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527A6C2A</paraID>
      <start>1</start>
      <end>3</end>
      <status>unmodified</status>
      <modifiedWord/>
      <trackRevisions>false</trackRevisions>
    </reviewItem>
    <reviewItem>
      <errorID>d740e00a-e8d6-46d6-9538-27fbadb19413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41DC2B04</paraID>
      <start>0</start>
      <end>2</end>
      <status>unmodified</status>
      <modifiedWord/>
      <trackRevisions>false</trackRevisions>
    </reviewItem>
    <reviewItem>
      <errorID>405a1bb2-d394-4597-9e4b-7aa810ce1641</errorID>
      <errorWord>属</errorWord>
      <group>L1_Word</group>
      <groupName>字词问题</groupName>
      <ability>L2_Typo</ability>
      <abilityName>字词错误</abilityName>
      <candidateList>
        <item>属于</item>
      </candidateList>
      <explain/>
      <paraID>4F84333C</paraID>
      <start>2</start>
      <end>4</end>
      <status>modified</status>
      <modifiedWord>属于</modifiedWord>
      <trackRevisions>false</trackRevisions>
    </reviewItem>
    <reviewItem>
      <errorID>bac4348b-f6d8-47be-84db-1fcdd35c9a24</errorID>
      <errorWord>三</errorWord>
      <group>L1_Word</group>
      <groupName>字词问题</groupName>
      <ability>L2_Typo</ability>
      <abilityName>字词错误</abilityName>
      <candidateList>
        <item>三个</item>
      </candidateList>
      <explain/>
      <paraID>295CF4B2</paraID>
      <start>39</start>
      <end>40</end>
      <status>unmodified</status>
      <modifiedWord/>
      <trackRevisions>false</trackRevisions>
    </reviewItem>
    <reviewItem>
      <errorID>37109e89-5c1d-4103-a578-96ae7b704b28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256454FE</paraID>
      <start>1</start>
      <end>3</end>
      <status>unmodified</status>
      <modifiedWord/>
      <trackRevisions>false</trackRevisions>
    </reviewItem>
    <reviewItem>
      <errorID>6e708fa3-789a-4d62-9e83-e7c60959c1e1</errorID>
      <errorWord>强</errorWord>
      <group>L1_Word</group>
      <groupName>字词问题</groupName>
      <ability>L2_Typo</ability>
      <abilityName>字词错误</abilityName>
      <candidateList>
        <item>强对</item>
      </candidateList>
      <explain/>
      <paraID>521774EA</paraID>
      <start>21</start>
      <end>22</end>
      <status>unmodified</status>
      <modifiedWord/>
      <trackRevisions>false</trackRevisions>
    </reviewItem>
    <reviewItem>
      <errorID>13bb00ce-9b54-4282-be5b-a833c166c287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E19B5B2</paraID>
      <start>0</start>
      <end>2</end>
      <status>unmodified</status>
      <modifiedWord/>
      <trackRevisions>false</trackRevisions>
    </reviewItem>
    <reviewItem>
      <errorID>61126067-c686-4132-996b-73d15daca8e6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3CE7FCE</paraID>
      <start>29</start>
      <end>31</end>
      <status>modified</status>
      <modifiedWord>可以</modifiedWord>
      <trackRevisions>false</trackRevisions>
    </reviewItem>
    <reviewItem>
      <errorID>105c47d6-f207-4da9-a993-7e7fac21248f</errorID>
      <errorWord>(</errorWord>
      <group>L1_Format</group>
      <groupName>格式问题</groupName>
      <ability>L2_HalfPunc</ability>
      <abilityName>全半角检查</abilityName>
      <candidateList>
        <item>（</item>
      </candidateList>
      <explain>文本全半角错误。</explain>
      <paraID>11494EB6</paraID>
      <start>0</start>
      <end>1</end>
      <status>unmodified</status>
      <modifiedWord/>
      <trackRevisions>false</trackRevisions>
    </reviewItem>
    <reviewItem>
      <errorID>bd980b17-2ddd-496c-bcc8-76f0500c5a52</errorID>
      <errorWord>)</errorWord>
      <group>L1_Format</group>
      <groupName>格式问题</groupName>
      <ability>L2_HalfPunc</ability>
      <abilityName>全半角检查</abilityName>
      <candidateList>
        <item>）</item>
      </candidateList>
      <explain>文本全半角错误。</explain>
      <paraID>11494EB6</paraID>
      <start>3</start>
      <end>4</end>
      <status>unmodified</status>
      <modifiedWord/>
      <trackRevisions>false</trackRevisions>
    </reviewItem>
    <reviewItem>
      <errorID>895178a3-a305-4690-8e86-6975bf8d11a1</errorID>
      <errorWord>提高</errorWord>
      <group>L1_Word</group>
      <groupName>字词问题</groupName>
      <ability>L2_Typo</ability>
      <abilityName>字词错误</abilityName>
      <candidateList>
        <item>增强</item>
      </candidateList>
      <explain>“提高～意识”搭配不当，建议修改为“增强～意识”。</explain>
      <paraID>57D4E0F9</paraID>
      <start>39</start>
      <end>41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736ace-669f-4809-b7aa-9ebde449637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14509</Words>
  <Characters>15347</Characters>
  <Lines>372</Lines>
  <Paragraphs>104</Paragraphs>
  <TotalTime>2</TotalTime>
  <ScaleCrop>false</ScaleCrop>
  <LinksUpToDate>false</LinksUpToDate>
  <CharactersWithSpaces>15457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2023-05-14T04:07:00Z</dcterms:created>
  <dc:creator>lhj</dc:creator>
  <cp:lastModifiedBy>鱼儿</cp:lastModifiedBy>
  <cp:lastPrinted>2020-12-24T01:50:00Z</cp:lastPrinted>
  <dcterms:modified xsi:type="dcterms:W3CDTF">2025-12-18T02:51:56Z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08D5B6070A104517918390349C9D4D7E</vt:lpwstr>
  </property>
  <property fmtid="{D5CDD505-2E9C-101B-9397-08002B2CF9AE}" pid="4" name="KSOTemplateDocerSaveRecord">
    <vt:lpwstr>eyJoZGlkIjoiZTY5MGFlNTdlZjkzNjdlYzUyMzQ3OTY0OTRlZmU5N2IiLCJ1c2VySWQiOiI0NjI0MTY4NzQifQ==</vt:lpwstr>
  </property>
</Properties>
</file>