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D69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p>
    <w:tbl>
      <w:tblPr>
        <w:tblStyle w:val="13"/>
        <w:tblpPr w:leftFromText="180" w:rightFromText="180" w:vertAnchor="text" w:horzAnchor="page" w:tblpXSpec="center" w:tblpY="1108"/>
        <w:tblOverlap w:val="never"/>
        <w:tblW w:w="14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800"/>
        <w:gridCol w:w="735"/>
        <w:gridCol w:w="990"/>
        <w:gridCol w:w="810"/>
        <w:gridCol w:w="1695"/>
        <w:gridCol w:w="2775"/>
        <w:gridCol w:w="5353"/>
      </w:tblGrid>
      <w:tr w14:paraId="3FAA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479" w:type="dxa"/>
            <w:tcBorders>
              <w:top w:val="single" w:color="auto" w:sz="4" w:space="0"/>
              <w:left w:val="single" w:color="auto" w:sz="4" w:space="0"/>
              <w:bottom w:val="single" w:color="auto" w:sz="4" w:space="0"/>
              <w:right w:val="single" w:color="auto" w:sz="4" w:space="0"/>
            </w:tcBorders>
            <w:noWrap w:val="0"/>
            <w:vAlign w:val="center"/>
          </w:tcPr>
          <w:p w14:paraId="73C894DD">
            <w:pPr>
              <w:pStyle w:val="12"/>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序号</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EF50BB8">
            <w:pPr>
              <w:pStyle w:val="12"/>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项目名称</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68F60040">
            <w:pPr>
              <w:pStyle w:val="12"/>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环评类别</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69575F0F">
            <w:pPr>
              <w:pStyle w:val="12"/>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t>建设地点</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A551B95">
            <w:pPr>
              <w:pStyle w:val="12"/>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建设</w:t>
            </w:r>
            <w:r>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t>单位</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48A01A2">
            <w:pPr>
              <w:pStyle w:val="12"/>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t>环境影响评价机构</w:t>
            </w:r>
          </w:p>
        </w:tc>
        <w:tc>
          <w:tcPr>
            <w:tcW w:w="2775" w:type="dxa"/>
            <w:tcBorders>
              <w:top w:val="single" w:color="auto" w:sz="4" w:space="0"/>
              <w:left w:val="single" w:color="auto" w:sz="4" w:space="0"/>
              <w:bottom w:val="single" w:color="auto" w:sz="4" w:space="0"/>
              <w:right w:val="single" w:color="auto" w:sz="4" w:space="0"/>
            </w:tcBorders>
            <w:noWrap w:val="0"/>
            <w:vAlign w:val="center"/>
          </w:tcPr>
          <w:p w14:paraId="2A5F8338">
            <w:pPr>
              <w:pStyle w:val="12"/>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建设项目概况</w:t>
            </w:r>
          </w:p>
        </w:tc>
        <w:tc>
          <w:tcPr>
            <w:tcW w:w="5353" w:type="dxa"/>
            <w:tcBorders>
              <w:top w:val="single" w:color="auto" w:sz="4" w:space="0"/>
              <w:left w:val="single" w:color="auto" w:sz="4" w:space="0"/>
              <w:bottom w:val="single" w:color="auto" w:sz="4" w:space="0"/>
              <w:right w:val="single" w:color="auto" w:sz="4" w:space="0"/>
            </w:tcBorders>
            <w:noWrap w:val="0"/>
            <w:vAlign w:val="center"/>
          </w:tcPr>
          <w:p w14:paraId="24752103">
            <w:pPr>
              <w:pStyle w:val="12"/>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Style w:val="16"/>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Style w:val="16"/>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主要环境影响及预防或</w:t>
            </w:r>
            <w:r>
              <w:rPr>
                <w:rStyle w:val="16"/>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t>者</w:t>
            </w:r>
            <w:r>
              <w:rPr>
                <w:rStyle w:val="16"/>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减轻不良环境影响的对策和措施</w:t>
            </w:r>
          </w:p>
        </w:tc>
      </w:tr>
      <w:tr w14:paraId="3A85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79" w:type="dxa"/>
            <w:tcBorders>
              <w:top w:val="single" w:color="auto" w:sz="4" w:space="0"/>
              <w:left w:val="single" w:color="auto" w:sz="4" w:space="0"/>
              <w:bottom w:val="single" w:color="auto" w:sz="4" w:space="0"/>
              <w:right w:val="single" w:color="auto" w:sz="4" w:space="0"/>
            </w:tcBorders>
            <w:noWrap w:val="0"/>
            <w:vAlign w:val="center"/>
          </w:tcPr>
          <w:p w14:paraId="4865C795">
            <w:pPr>
              <w:pStyle w:val="12"/>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1</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54C68EB">
            <w:pPr>
              <w:pStyle w:val="12"/>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中卫城区集中热电联产供暖项目</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EA87AE8">
            <w:pPr>
              <w:pStyle w:val="12"/>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pacing w:val="-17"/>
                <w:sz w:val="32"/>
                <w:szCs w:val="32"/>
                <w14:textFill>
                  <w14:solidFill>
                    <w14:schemeClr w14:val="tx1"/>
                  </w14:solidFill>
                </w14:textFill>
              </w:rPr>
            </w:pPr>
            <w:r>
              <w:rPr>
                <w:rFonts w:hint="default" w:ascii="Times New Roman" w:hAnsi="Times New Roman" w:eastAsia="仿宋_GB2312" w:cs="Times New Roman"/>
                <w:b w:val="0"/>
                <w:bCs w:val="0"/>
                <w:caps/>
                <w:strike w:val="0"/>
                <w:dstrike w:val="0"/>
                <w:color w:val="000000" w:themeColor="text1"/>
                <w:kern w:val="2"/>
                <w:sz w:val="32"/>
                <w:szCs w:val="32"/>
                <w:u w:val="none"/>
                <w:lang w:val="en-US" w:eastAsia="zh-CN" w:bidi="ar-SA"/>
                <w14:textFill>
                  <w14:solidFill>
                    <w14:schemeClr w14:val="tx1"/>
                  </w14:solidFill>
                </w14:textFill>
              </w:rPr>
              <w:t>环境影响报告表</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24D28D8">
            <w:pPr>
              <w:pStyle w:val="12"/>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中卫市沙坡头区东园镇、迎水桥镇、滨河镇</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9E8C21E">
            <w:pPr>
              <w:pStyle w:val="12"/>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中卫市住房和城乡建设局</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931FD3D">
            <w:pPr>
              <w:pStyle w:val="12"/>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中环科工（宁夏）生态环境设计院有限公司</w:t>
            </w:r>
          </w:p>
        </w:tc>
        <w:tc>
          <w:tcPr>
            <w:tcW w:w="2775" w:type="dxa"/>
            <w:tcBorders>
              <w:top w:val="single" w:color="auto" w:sz="4" w:space="0"/>
              <w:left w:val="single" w:color="auto" w:sz="4" w:space="0"/>
              <w:bottom w:val="single" w:color="auto" w:sz="4" w:space="0"/>
              <w:right w:val="single" w:color="auto" w:sz="4" w:space="0"/>
            </w:tcBorders>
            <w:noWrap w:val="0"/>
            <w:vAlign w:val="top"/>
          </w:tcPr>
          <w:p w14:paraId="66E52C24">
            <w:pPr>
              <w:keepNext w:val="0"/>
              <w:keepLines w:val="0"/>
              <w:pageBreakBefore w:val="0"/>
              <w:widowControl w:val="0"/>
              <w:kinsoku/>
              <w:wordWrap w:val="0"/>
              <w:overflowPunct/>
              <w:topLinePunct w:val="0"/>
              <w:autoSpaceDE/>
              <w:autoSpaceDN/>
              <w:bidi w:val="0"/>
              <w:adjustRightInd w:val="0"/>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中卫城区集中热电联产供暖项目</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区涉及</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中卫市沙坡头区</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东园镇、迎水桥镇、滨河镇，建设内容为管线工程和场站工程。新建供热管线（一供一回）全长</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21.79千米</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，包括自国能中卫热电厂</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引出</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沿</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一期供热管网平行布置</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—宁化路—中泰路—中沟路—农田—第一排水沟—韩闸路—农田—机场大道—沙坡头大道新建DN1000供热管道17.37</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千米</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、DN800管道0.76</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千米</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，由机场大道供热主管引出沿机场大道至机场换热站敷设DN250管道1.72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千米</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，由机场大道供热主管引出沿第三排水沟绿化带敷设DN450管道1.94</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千米</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。同时建设中继泵站</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1座。</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项目</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总投资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30792</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万元</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，其中环保投资为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465万元，占总投资的1.51%。</w:t>
            </w:r>
          </w:p>
          <w:p w14:paraId="2B61DA16">
            <w:pPr>
              <w:pStyle w:val="23"/>
              <w:keepNext w:val="0"/>
              <w:keepLines w:val="0"/>
              <w:pageBreakBefore w:val="0"/>
              <w:widowControl w:val="0"/>
              <w:kinsoku/>
              <w:wordWrap/>
              <w:overflowPunct w:val="0"/>
              <w:topLinePunct w:val="0"/>
              <w:autoSpaceDE/>
              <w:autoSpaceDN/>
              <w:bidi w:val="0"/>
              <w:adjustRightInd w:val="0"/>
              <w:snapToGrid w:val="0"/>
              <w:spacing w:line="40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p>
          <w:p w14:paraId="25149AB1">
            <w:pPr>
              <w:keepNext w:val="0"/>
              <w:keepLines w:val="0"/>
              <w:pageBreakBefore w:val="0"/>
              <w:widowControl w:val="0"/>
              <w:kinsoku/>
              <w:wordWrap/>
              <w:overflowPunct/>
              <w:topLinePunct w:val="0"/>
              <w:bidi w:val="0"/>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508B1FC4">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aps/>
                <w:color w:val="000000" w:themeColor="text1"/>
                <w:kern w:val="2"/>
                <w:sz w:val="32"/>
                <w:szCs w:val="32"/>
                <w:lang w:val="en-US" w:eastAsia="zh-CN" w:bidi="ar-SA"/>
                <w14:textFill>
                  <w14:solidFill>
                    <w14:schemeClr w14:val="tx1"/>
                  </w14:solidFill>
                </w14:textFill>
              </w:rPr>
            </w:pPr>
          </w:p>
          <w:p w14:paraId="52338029">
            <w:pPr>
              <w:keepNext w:val="0"/>
              <w:keepLines w:val="0"/>
              <w:pageBreakBefore w:val="0"/>
              <w:widowControl w:val="0"/>
              <w:kinsoku/>
              <w:overflowPunct/>
              <w:topLinePunct w:val="0"/>
              <w:autoSpaceDE/>
              <w:autoSpaceDN/>
              <w:bidi w:val="0"/>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pPr>
          </w:p>
          <w:p w14:paraId="24301843">
            <w:pPr>
              <w:pStyle w:val="25"/>
              <w:keepNext w:val="0"/>
              <w:keepLines w:val="0"/>
              <w:pageBreakBefore w:val="0"/>
              <w:widowControl/>
              <w:kinsoku w:val="0"/>
              <w:wordWrap w:val="0"/>
              <w:overflowPunct/>
              <w:topLinePunct w:val="0"/>
              <w:autoSpaceDE w:val="0"/>
              <w:autoSpaceDN w:val="0"/>
              <w:bidi w:val="0"/>
              <w:adjustRightInd w:val="0"/>
              <w:snapToGrid w:val="0"/>
              <w:spacing w:line="400" w:lineRule="exact"/>
              <w:ind w:left="0" w:right="0" w:firstLine="640" w:firstLineChars="200"/>
              <w:jc w:val="both"/>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331127BE">
            <w:pPr>
              <w:pStyle w:val="2"/>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jc w:val="both"/>
              <w:textAlignment w:val="auto"/>
              <w:rPr>
                <w:rStyle w:val="16"/>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p>
        </w:tc>
        <w:tc>
          <w:tcPr>
            <w:tcW w:w="5353" w:type="dxa"/>
            <w:tcBorders>
              <w:top w:val="single" w:color="auto" w:sz="4" w:space="0"/>
              <w:left w:val="single" w:color="auto" w:sz="4" w:space="0"/>
              <w:bottom w:val="single" w:color="auto" w:sz="4" w:space="0"/>
              <w:right w:val="single" w:color="auto" w:sz="4" w:space="0"/>
            </w:tcBorders>
            <w:noWrap w:val="0"/>
            <w:vAlign w:val="top"/>
          </w:tcPr>
          <w:p w14:paraId="6AA3D894">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（一）大气环境影响减缓措施</w:t>
            </w:r>
          </w:p>
          <w:p w14:paraId="4641F09A">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严格控制施工范围，施工现场设置围挡，加强施工现场及施工便道的洒水降尘工作；</w:t>
            </w:r>
            <w:r>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t>物料及临时开挖的土方采取围挡、遮盖</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，土方开挖湿法作业，</w:t>
            </w:r>
            <w:r>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t>及时洒水等防尘措施；</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物料运输过程中车辆加盖篷布，</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控制车速，合理选择运输路线，</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出入车辆清洗，</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严禁</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超载、</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运料散落</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等措施</w:t>
            </w:r>
            <w:r>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场界颗粒物排放浓度须满足</w:t>
            </w:r>
            <w:r>
              <w:rPr>
                <w:rFonts w:hint="default" w:ascii="Times New Roman" w:hAnsi="Times New Roman" w:eastAsia="仿宋_GB2312" w:cs="Times New Roman"/>
                <w:b w:val="0"/>
                <w:bCs w:val="0"/>
                <w:color w:val="000000" w:themeColor="text1"/>
                <w:sz w:val="32"/>
                <w:szCs w:val="32"/>
                <w:lang w:bidi="en-US"/>
                <w14:textFill>
                  <w14:solidFill>
                    <w14:schemeClr w14:val="tx1"/>
                  </w14:solidFill>
                </w14:textFill>
              </w:rPr>
              <w:t>《大气污染物综合排放标准》（GB16297-1996）</w:t>
            </w:r>
            <w:r>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t>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2无组织排放监控浓度限值</w:t>
            </w:r>
            <w:r>
              <w:rPr>
                <w:rFonts w:hint="default" w:ascii="Times New Roman" w:hAnsi="Times New Roman" w:eastAsia="仿宋_GB2312" w:cs="Times New Roman"/>
                <w:b w:val="0"/>
                <w:bCs w:val="0"/>
                <w:color w:val="000000" w:themeColor="text1"/>
                <w:sz w:val="32"/>
                <w:szCs w:val="32"/>
                <w:lang w:bidi="en-US"/>
                <w14:textFill>
                  <w14:solidFill>
                    <w14:schemeClr w14:val="tx1"/>
                  </w14:solidFill>
                </w14:textFill>
              </w:rPr>
              <w:t>。</w:t>
            </w:r>
          </w:p>
          <w:p w14:paraId="65061D0D">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水环境污染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防治措施</w:t>
            </w:r>
          </w:p>
          <w:p w14:paraId="297EDAE3">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施工人员生活污水依托租用的民房污水处理设施进行处理；管道试压废水及施工废水沉淀后用于施工场地及道路洒水抑尘，不外排。中继泵站值班人员产生的生活污水经化粪池处理后，与软水制备系统产生的浓水一起排入市政污水管网，最终进入中卫市第一污水厂进一步处理。</w:t>
            </w:r>
          </w:p>
          <w:p w14:paraId="2D725A8D">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噪声</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污染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防治措施</w:t>
            </w:r>
          </w:p>
          <w:p w14:paraId="0FB29762">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加强施工管理，选择低噪声的机械设备、作业方法，设备定期进行保养和维护，合理安排机械作业施工时间，加强运输车辆管理，采取限速行驶、禁止鸣笛等综合降噪措施，施工场界噪声须满足《建筑施工场界环境噪声排放标准》（GB12523-2011）中的限值要求，运营期泵站加强设备基底，通过加装减振垫圈、消音装置、绿化等措施，厂界噪声须满足《工业企业厂界环境噪声排放标准》(GB12348-2008)中2类区标准要求。</w:t>
            </w:r>
          </w:p>
          <w:p w14:paraId="1DE6A2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（四）固体废物处置</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措施</w:t>
            </w:r>
          </w:p>
          <w:p w14:paraId="03603B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施工产生的建筑垃圾分类收集、回收利用，不能利用部分集中收集后清运至沙坡头区市政规定的建筑垃圾填埋场妥善处置</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管线开挖土方大部分回填利用，余方用于施工场地平整；废弃泥浆调节pH后收集在于泥浆池中，固化处理后就地掩埋，不能就地掩埋的送至</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市政规定</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指定的垃圾填埋场处置；废焊材等施工废料收集后交由物资部门回收。除污器拦截的杂质和生活垃圾集中收集后，</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交由环卫部门处置</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；软水制备系统更换产生的</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废弃离子交换树脂</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由厂家上门更换回收处理，不暂存；检修产生的废润滑油由有危废处理资质单位直接带走处置。</w:t>
            </w:r>
          </w:p>
          <w:p w14:paraId="696005EC">
            <w:pPr>
              <w:keepNext w:val="0"/>
              <w:keepLines w:val="0"/>
              <w:pageBreakBefore w:val="0"/>
              <w:widowControl w:val="0"/>
              <w:numPr>
                <w:ilvl w:val="0"/>
                <w:numId w:val="1"/>
              </w:numPr>
              <w:kinsoku/>
              <w:overflowPunct/>
              <w:topLinePunct w:val="0"/>
              <w:autoSpaceDE/>
              <w:autoSpaceDN/>
              <w:bidi w:val="0"/>
              <w:adjustRightInd/>
              <w:snapToGrid/>
              <w:spacing w:line="400" w:lineRule="exact"/>
              <w:ind w:leftChars="0" w:firstLine="640" w:firstLineChars="200"/>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环境管理措施与环境监测计划</w:t>
            </w:r>
          </w:p>
          <w:p w14:paraId="4C303FC9">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严格控制施工范围，优化施工布置和施工工艺，合理安排施工路线，做好施工期间的临时防护。</w:t>
            </w:r>
            <w:r>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t>合理选择施工时间，加强施工活动管理，建立健全现场管理责任制</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严格控制施工红线范围，严格控制对区域动、植物的影响并采取相应的措施，保护生物多样性，维持或修复生态功能系统；施工期加强水土流失防治，严格控制对生态环境的破坏。严格落实</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《报告</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提出的生态保护措施，</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加强环境管理</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施工结束后及时对临时施工区占地、施工扰动区域进行清理、平整、恢复植被。</w:t>
            </w:r>
          </w:p>
        </w:tc>
      </w:tr>
      <w:tr w14:paraId="05ED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6" w:hRule="atLeast"/>
          <w:jc w:val="center"/>
        </w:trPr>
        <w:tc>
          <w:tcPr>
            <w:tcW w:w="479" w:type="dxa"/>
            <w:tcBorders>
              <w:top w:val="single" w:color="auto" w:sz="4" w:space="0"/>
              <w:left w:val="single" w:color="auto" w:sz="4" w:space="0"/>
              <w:bottom w:val="single" w:color="auto" w:sz="4" w:space="0"/>
              <w:right w:val="single" w:color="auto" w:sz="4" w:space="0"/>
            </w:tcBorders>
            <w:noWrap w:val="0"/>
            <w:vAlign w:val="center"/>
          </w:tcPr>
          <w:p w14:paraId="58B38F2D">
            <w:pPr>
              <w:pStyle w:val="12"/>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2</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FB17A28">
            <w:pPr>
              <w:pStyle w:val="12"/>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泛旅洗涤（中卫市）有限公司布草洗涤生产线项目</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53F4C94">
            <w:pPr>
              <w:pStyle w:val="12"/>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aps/>
                <w:strike w:val="0"/>
                <w:dstrike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bidi="en-US"/>
                <w14:textFill>
                  <w14:solidFill>
                    <w14:schemeClr w14:val="tx1"/>
                  </w14:solidFill>
                </w14:textFill>
              </w:rPr>
              <w:t>环境影响报告表</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7D57E8B">
            <w:pPr>
              <w:pStyle w:val="12"/>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中卫市沙坡头区文昌镇</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C849272">
            <w:pPr>
              <w:pStyle w:val="12"/>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泛旅洗涤（中卫市）有限公司</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FAC2EB7">
            <w:pPr>
              <w:pStyle w:val="12"/>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宁夏鸿瑞技术服务有限公司</w:t>
            </w:r>
          </w:p>
        </w:tc>
        <w:tc>
          <w:tcPr>
            <w:tcW w:w="2775" w:type="dxa"/>
            <w:tcBorders>
              <w:top w:val="single" w:color="auto" w:sz="4" w:space="0"/>
              <w:left w:val="single" w:color="auto" w:sz="4" w:space="0"/>
              <w:bottom w:val="single" w:color="auto" w:sz="4" w:space="0"/>
              <w:right w:val="single" w:color="auto" w:sz="4" w:space="0"/>
            </w:tcBorders>
            <w:noWrap w:val="0"/>
            <w:vAlign w:val="top"/>
          </w:tcPr>
          <w:p w14:paraId="5816882F">
            <w:pPr>
              <w:pStyle w:val="2"/>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jc w:val="both"/>
              <w:textAlignment w:val="auto"/>
              <w:rPr>
                <w:rStyle w:val="16"/>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bidi="en-US"/>
                <w14:textFill>
                  <w14:solidFill>
                    <w14:schemeClr w14:val="tx1"/>
                  </w14:solidFill>
                </w14:textFill>
              </w:rPr>
              <w:t>项目建设地点位于中卫市沙坡头区</w:t>
            </w:r>
            <w:r>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t>文昌镇迎宾大道佛光香厂院内</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，租赁现有厂房2000平方米。主要</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建设</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一</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年洗涤能力为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40万套的布草洗涤生产线，</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水洗酒店的布草</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。配套</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建设洗烘区、锅炉房、辅料储存间、办公区等工程。</w:t>
            </w:r>
            <w:r>
              <w:rPr>
                <w:rFonts w:hint="default" w:ascii="Times New Roman" w:hAnsi="Times New Roman" w:eastAsia="仿宋_GB2312" w:cs="Times New Roman"/>
                <w:b w:val="0"/>
                <w:bCs w:val="0"/>
                <w:color w:val="000000" w:themeColor="text1"/>
                <w:sz w:val="32"/>
                <w:szCs w:val="32"/>
                <w:lang w:bidi="en-US"/>
                <w14:textFill>
                  <w14:solidFill>
                    <w14:schemeClr w14:val="tx1"/>
                  </w14:solidFill>
                </w14:textFill>
              </w:rPr>
              <w:t>项目总投资</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438</w:t>
            </w:r>
            <w:r>
              <w:rPr>
                <w:rFonts w:hint="default" w:ascii="Times New Roman" w:hAnsi="Times New Roman" w:eastAsia="仿宋_GB2312" w:cs="Times New Roman"/>
                <w:b w:val="0"/>
                <w:bCs w:val="0"/>
                <w:color w:val="000000" w:themeColor="text1"/>
                <w:sz w:val="32"/>
                <w:szCs w:val="32"/>
                <w:lang w:bidi="en-US"/>
                <w14:textFill>
                  <w14:solidFill>
                    <w14:schemeClr w14:val="tx1"/>
                  </w14:solidFill>
                </w14:textFill>
              </w:rPr>
              <w:t>万元，其中环保投资为</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23.7</w:t>
            </w:r>
            <w:r>
              <w:rPr>
                <w:rFonts w:hint="default" w:ascii="Times New Roman" w:hAnsi="Times New Roman" w:eastAsia="仿宋_GB2312" w:cs="Times New Roman"/>
                <w:b w:val="0"/>
                <w:bCs w:val="0"/>
                <w:color w:val="000000" w:themeColor="text1"/>
                <w:sz w:val="32"/>
                <w:szCs w:val="32"/>
                <w:lang w:bidi="en-US"/>
                <w14:textFill>
                  <w14:solidFill>
                    <w14:schemeClr w14:val="tx1"/>
                  </w14:solidFill>
                </w14:textFill>
              </w:rPr>
              <w:t>万元，占总投资的</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5.41</w:t>
            </w:r>
            <w:r>
              <w:rPr>
                <w:rFonts w:hint="default" w:ascii="Times New Roman" w:hAnsi="Times New Roman" w:eastAsia="仿宋_GB2312" w:cs="Times New Roman"/>
                <w:b w:val="0"/>
                <w:bCs w:val="0"/>
                <w:color w:val="000000" w:themeColor="text1"/>
                <w:sz w:val="32"/>
                <w:szCs w:val="32"/>
                <w:lang w:bidi="en-US"/>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t>。</w:t>
            </w:r>
          </w:p>
        </w:tc>
        <w:tc>
          <w:tcPr>
            <w:tcW w:w="5353" w:type="dxa"/>
            <w:tcBorders>
              <w:top w:val="single" w:color="auto" w:sz="4" w:space="0"/>
              <w:left w:val="single" w:color="auto" w:sz="4" w:space="0"/>
              <w:bottom w:val="single" w:color="auto" w:sz="4" w:space="0"/>
              <w:right w:val="single" w:color="auto" w:sz="4" w:space="0"/>
            </w:tcBorders>
            <w:noWrap w:val="0"/>
            <w:vAlign w:val="top"/>
          </w:tcPr>
          <w:p w14:paraId="3806276C">
            <w:pPr>
              <w:pStyle w:val="2"/>
              <w:keepNext w:val="0"/>
              <w:keepLines w:val="0"/>
              <w:pageBreakBefore w:val="0"/>
              <w:widowControl w:val="0"/>
              <w:numPr>
                <w:ilvl w:val="0"/>
                <w:numId w:val="0"/>
              </w:numPr>
              <w:kinsoku/>
              <w:overflowPunct/>
              <w:topLinePunct w:val="0"/>
              <w:autoSpaceDE/>
              <w:autoSpaceDN/>
              <w:bidi w:val="0"/>
              <w:adjustRightInd/>
              <w:snapToGrid/>
              <w:spacing w:line="40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（一）大气环境影响减缓措施</w:t>
            </w:r>
          </w:p>
          <w:p w14:paraId="423E13AD">
            <w:pPr>
              <w:pStyle w:val="22"/>
              <w:keepNext w:val="0"/>
              <w:keepLines w:val="0"/>
              <w:pageBreakBefore w:val="0"/>
              <w:widowControl/>
              <w:kinsoku/>
              <w:wordWrap w:val="0"/>
              <w:overflowPunct/>
              <w:topLinePunct w:val="0"/>
              <w:autoSpaceDE/>
              <w:autoSpaceDN/>
              <w:bidi w:val="0"/>
              <w:adjustRightInd/>
              <w:snapToGrid/>
              <w:spacing w:line="400" w:lineRule="exact"/>
              <w:ind w:firstLine="640" w:firstLineChars="200"/>
              <w:textAlignment w:val="auto"/>
              <w:outlineLvl w:val="9"/>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燃气锅炉燃烧产生的废气经锅炉自带低氮燃烧器处理后，通过安装的布袋除尘器二次处理后经18m高排气筒排放，颗粒物的排放须到达《锅炉大气污染物排放标准》（GB13271-2014）中表2新建锅炉大气污染物排放标准。</w:t>
            </w:r>
          </w:p>
          <w:p w14:paraId="19824BE6">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（二）水环境污染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防治措施</w:t>
            </w:r>
          </w:p>
          <w:p w14:paraId="75CD00DF">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生产废水为洗涤废水、锅炉软水制备产生的浓盐水、锅炉排水以及离子交换树脂反冲洗废水，生活污水经化粪池处理后与生产废水一同排至市政污水管网，最终进入中卫市第一污水处理厂处理。</w:t>
            </w:r>
          </w:p>
          <w:p w14:paraId="3C38262B">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（三）固体废物处置</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措施</w:t>
            </w:r>
          </w:p>
          <w:p w14:paraId="44E588FA">
            <w:pPr>
              <w:pStyle w:val="22"/>
              <w:keepNext w:val="0"/>
              <w:keepLines w:val="0"/>
              <w:pageBreakBefore w:val="0"/>
              <w:numPr>
                <w:ilvl w:val="0"/>
                <w:numId w:val="0"/>
              </w:numPr>
              <w:kinsoku/>
              <w:wordWrap/>
              <w:overflowPunct/>
              <w:topLinePunct w:val="0"/>
              <w:autoSpaceDE/>
              <w:autoSpaceDN/>
              <w:bidi w:val="0"/>
              <w:spacing w:line="400" w:lineRule="exact"/>
              <w:ind w:firstLine="640" w:firstLineChars="200"/>
              <w:textAlignment w:val="auto"/>
              <w:outlineLvl w:val="9"/>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废包装材料集中收集后外售综合利用；废弃离子交换树脂</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由厂家上门更换回收处理，不在厂内暂存；废紫外线灯管收集后暂存于危废暂存点，定期交由有危废处理资质单位处置；</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生活垃圾集中分类收集后，交由环卫部门清运处置。</w:t>
            </w:r>
          </w:p>
          <w:p w14:paraId="3C010039">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（四）</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噪声</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污染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防治措施</w:t>
            </w:r>
          </w:p>
          <w:p w14:paraId="66DF7A05">
            <w:pPr>
              <w:pStyle w:val="2"/>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区进行合理布局，选用低噪声设备，定期进行维护和保养，</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采取消声、减振等措施，</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加强运输车辆管理，通过基础减震、隔声、距离衰减</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以及</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区绿化等措施后，</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界噪声须</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达到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《工业企业厂界环境噪声排放标准》</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GB12348-2008</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中</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类标准要求。</w:t>
            </w:r>
          </w:p>
          <w:p w14:paraId="4867A7A3">
            <w:pPr>
              <w:keepNext w:val="0"/>
              <w:keepLines w:val="0"/>
              <w:pageBreakBefore w:val="0"/>
              <w:widowControl w:val="0"/>
              <w:numPr>
                <w:ilvl w:val="0"/>
                <w:numId w:val="0"/>
              </w:numPr>
              <w:kinsoku/>
              <w:overflowPunct/>
              <w:topLinePunct w:val="0"/>
              <w:autoSpaceDE/>
              <w:autoSpaceDN/>
              <w:bidi w:val="0"/>
              <w:adjustRightInd/>
              <w:snapToGrid/>
              <w:spacing w:line="400" w:lineRule="exact"/>
              <w:ind w:leftChars="200"/>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（五）</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环境管理措施与环境监测计划</w:t>
            </w:r>
          </w:p>
          <w:p w14:paraId="0C65B39E">
            <w:pPr>
              <w:keepNext w:val="0"/>
              <w:keepLines w:val="0"/>
              <w:pageBreakBefore w:val="0"/>
              <w:widowControl w:val="0"/>
              <w:kinsoku/>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建立健全环境管理制度，制定企业环境保护计划，</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做好</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环境管理台账记录；加强环保设施的日常维护和保养，使其正常稳定运行；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落实环保措施，做好排污口的规范化工作</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严格落实《报告</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》中提出的风险防范措施，并按照项目运营期环境监测计划一览</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定期进行监测。</w:t>
            </w:r>
          </w:p>
        </w:tc>
      </w:tr>
    </w:tbl>
    <w:p w14:paraId="738AE833">
      <w:pPr>
        <w:pStyle w:val="12"/>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Times New Roman" w:hAnsi="Times New Roman" w:eastAsia="仿宋_GB2312" w:cs="Times New Roman"/>
          <w:color w:val="000000"/>
          <w:sz w:val="32"/>
          <w:szCs w:val="32"/>
        </w:rPr>
      </w:pPr>
    </w:p>
    <w:p w14:paraId="39BA5659">
      <w:pPr>
        <w:pStyle w:val="12"/>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default" w:ascii="Times New Roman" w:hAnsi="Times New Roman" w:eastAsia="仿宋_GB2312" w:cs="Times New Roman"/>
          <w:color w:val="000000"/>
          <w:sz w:val="32"/>
          <w:szCs w:val="32"/>
        </w:rPr>
      </w:pPr>
    </w:p>
    <w:p w14:paraId="4D949656">
      <w:pPr>
        <w:pStyle w:val="12"/>
        <w:keepNext w:val="0"/>
        <w:keepLines w:val="0"/>
        <w:pageBreakBefore w:val="0"/>
        <w:widowControl/>
        <w:kinsoku/>
        <w:overflowPunct/>
        <w:topLinePunct w:val="0"/>
        <w:autoSpaceDE/>
        <w:autoSpaceDN/>
        <w:bidi w:val="0"/>
        <w:adjustRightInd/>
        <w:snapToGrid/>
        <w:spacing w:beforeAutospacing="0" w:afterAutospacing="0" w:line="400" w:lineRule="exact"/>
        <w:ind w:firstLine="641"/>
        <w:textAlignment w:val="auto"/>
        <w:rPr>
          <w:rFonts w:hint="default" w:ascii="Times New Roman" w:hAnsi="Times New Roman" w:eastAsia="仿宋_GB2312" w:cs="Times New Roman"/>
          <w:sz w:val="32"/>
          <w:szCs w:val="32"/>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2A05BD"/>
    <w:multiLevelType w:val="singleLevel"/>
    <w:tmpl w:val="7D2A05B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MGFlNTdlZjkzNjdlYzUyMzQ3OTY0OTRlZmU5N2IifQ=="/>
  </w:docVars>
  <w:rsids>
    <w:rsidRoot w:val="34F26FE8"/>
    <w:rsid w:val="00907702"/>
    <w:rsid w:val="00AD7338"/>
    <w:rsid w:val="00DA5C53"/>
    <w:rsid w:val="00E645F8"/>
    <w:rsid w:val="017163D1"/>
    <w:rsid w:val="01977413"/>
    <w:rsid w:val="019B2831"/>
    <w:rsid w:val="01BC3179"/>
    <w:rsid w:val="020D3871"/>
    <w:rsid w:val="02247ACE"/>
    <w:rsid w:val="02B80216"/>
    <w:rsid w:val="02EE3499"/>
    <w:rsid w:val="0313544C"/>
    <w:rsid w:val="033F3817"/>
    <w:rsid w:val="035902E9"/>
    <w:rsid w:val="03AF0689"/>
    <w:rsid w:val="045D1075"/>
    <w:rsid w:val="04811782"/>
    <w:rsid w:val="053242B0"/>
    <w:rsid w:val="053A13B6"/>
    <w:rsid w:val="0557490A"/>
    <w:rsid w:val="055B6402"/>
    <w:rsid w:val="066352CE"/>
    <w:rsid w:val="06693D01"/>
    <w:rsid w:val="069E4E1B"/>
    <w:rsid w:val="06D82C35"/>
    <w:rsid w:val="06FD4865"/>
    <w:rsid w:val="070B300A"/>
    <w:rsid w:val="072440CC"/>
    <w:rsid w:val="072E6CF9"/>
    <w:rsid w:val="0760588E"/>
    <w:rsid w:val="07742F87"/>
    <w:rsid w:val="07832BA1"/>
    <w:rsid w:val="0796093E"/>
    <w:rsid w:val="07AE141F"/>
    <w:rsid w:val="07C925B8"/>
    <w:rsid w:val="08BD20E2"/>
    <w:rsid w:val="094055DE"/>
    <w:rsid w:val="09992D89"/>
    <w:rsid w:val="09A62AD4"/>
    <w:rsid w:val="09BA2701"/>
    <w:rsid w:val="09DC2A3C"/>
    <w:rsid w:val="0B187AA4"/>
    <w:rsid w:val="0B6C0FD1"/>
    <w:rsid w:val="0B756CA4"/>
    <w:rsid w:val="0C002C4A"/>
    <w:rsid w:val="0CD80A61"/>
    <w:rsid w:val="0D165B9F"/>
    <w:rsid w:val="0E0764FF"/>
    <w:rsid w:val="0E8826AD"/>
    <w:rsid w:val="0E8A0CB9"/>
    <w:rsid w:val="0EA855E3"/>
    <w:rsid w:val="0EFB1BB6"/>
    <w:rsid w:val="0F104CEB"/>
    <w:rsid w:val="0F2B5443"/>
    <w:rsid w:val="0F5F3552"/>
    <w:rsid w:val="0F687C02"/>
    <w:rsid w:val="0F8F5D51"/>
    <w:rsid w:val="0FE03CE6"/>
    <w:rsid w:val="10B62239"/>
    <w:rsid w:val="10C81F6C"/>
    <w:rsid w:val="11001706"/>
    <w:rsid w:val="11B524F0"/>
    <w:rsid w:val="11EE5A02"/>
    <w:rsid w:val="12415CEB"/>
    <w:rsid w:val="12AB05FE"/>
    <w:rsid w:val="12BC165D"/>
    <w:rsid w:val="12CC7BC5"/>
    <w:rsid w:val="12E6616C"/>
    <w:rsid w:val="12ED1816"/>
    <w:rsid w:val="130231FA"/>
    <w:rsid w:val="13CE7899"/>
    <w:rsid w:val="13D148D3"/>
    <w:rsid w:val="13EE0D22"/>
    <w:rsid w:val="14545E0C"/>
    <w:rsid w:val="147E1A93"/>
    <w:rsid w:val="148F142E"/>
    <w:rsid w:val="14956609"/>
    <w:rsid w:val="14BC1F34"/>
    <w:rsid w:val="163F4A7E"/>
    <w:rsid w:val="16B2369D"/>
    <w:rsid w:val="16DF5EDC"/>
    <w:rsid w:val="171A1540"/>
    <w:rsid w:val="17575DF8"/>
    <w:rsid w:val="17685603"/>
    <w:rsid w:val="183B63F2"/>
    <w:rsid w:val="185A5BA0"/>
    <w:rsid w:val="18876269"/>
    <w:rsid w:val="18FE652B"/>
    <w:rsid w:val="19A83F9E"/>
    <w:rsid w:val="19D23E96"/>
    <w:rsid w:val="1A7A7E33"/>
    <w:rsid w:val="1A930EF5"/>
    <w:rsid w:val="1A9A04D5"/>
    <w:rsid w:val="1AA32E0D"/>
    <w:rsid w:val="1ACF5D3D"/>
    <w:rsid w:val="1B487F31"/>
    <w:rsid w:val="1BAD5FE6"/>
    <w:rsid w:val="1BB47375"/>
    <w:rsid w:val="1C4C57FF"/>
    <w:rsid w:val="1CF739BD"/>
    <w:rsid w:val="1D3A2B25"/>
    <w:rsid w:val="1D5514AC"/>
    <w:rsid w:val="1D5A6E1C"/>
    <w:rsid w:val="1D7440AA"/>
    <w:rsid w:val="1EE95587"/>
    <w:rsid w:val="1EF26B32"/>
    <w:rsid w:val="1EFF124F"/>
    <w:rsid w:val="1F1A746F"/>
    <w:rsid w:val="1F422EEA"/>
    <w:rsid w:val="1F6B41EE"/>
    <w:rsid w:val="204C29A0"/>
    <w:rsid w:val="208337BA"/>
    <w:rsid w:val="209E791B"/>
    <w:rsid w:val="20A0579D"/>
    <w:rsid w:val="20A420AE"/>
    <w:rsid w:val="215F3C1B"/>
    <w:rsid w:val="21FB79D4"/>
    <w:rsid w:val="224D6757"/>
    <w:rsid w:val="22877591"/>
    <w:rsid w:val="22DD2570"/>
    <w:rsid w:val="23576CFB"/>
    <w:rsid w:val="23DC4733"/>
    <w:rsid w:val="248C3262"/>
    <w:rsid w:val="24AD1486"/>
    <w:rsid w:val="24CF3471"/>
    <w:rsid w:val="25B05051"/>
    <w:rsid w:val="25D01A77"/>
    <w:rsid w:val="26AB5818"/>
    <w:rsid w:val="26B50445"/>
    <w:rsid w:val="26BE72FA"/>
    <w:rsid w:val="26C32B62"/>
    <w:rsid w:val="26FD1F37"/>
    <w:rsid w:val="27D51A97"/>
    <w:rsid w:val="27EC6201"/>
    <w:rsid w:val="28441A80"/>
    <w:rsid w:val="28503734"/>
    <w:rsid w:val="287D475E"/>
    <w:rsid w:val="28DB4970"/>
    <w:rsid w:val="294E1C48"/>
    <w:rsid w:val="2965711F"/>
    <w:rsid w:val="299A22A0"/>
    <w:rsid w:val="29FC6AB7"/>
    <w:rsid w:val="2B0F281A"/>
    <w:rsid w:val="2B214C73"/>
    <w:rsid w:val="2B6C5576"/>
    <w:rsid w:val="2B8E1990"/>
    <w:rsid w:val="2BAC6E14"/>
    <w:rsid w:val="2C610E53"/>
    <w:rsid w:val="2C666077"/>
    <w:rsid w:val="2CA84CD4"/>
    <w:rsid w:val="2CBC5ED2"/>
    <w:rsid w:val="2CD935E2"/>
    <w:rsid w:val="2D6C4AD7"/>
    <w:rsid w:val="2D99461C"/>
    <w:rsid w:val="2DA72631"/>
    <w:rsid w:val="2DBB2E42"/>
    <w:rsid w:val="2E026666"/>
    <w:rsid w:val="2F2B5748"/>
    <w:rsid w:val="2F7C5A5D"/>
    <w:rsid w:val="300A1801"/>
    <w:rsid w:val="301D62BF"/>
    <w:rsid w:val="308B06ED"/>
    <w:rsid w:val="30F85AFE"/>
    <w:rsid w:val="311C359A"/>
    <w:rsid w:val="31B12094"/>
    <w:rsid w:val="31D2634F"/>
    <w:rsid w:val="31D71BB7"/>
    <w:rsid w:val="31E340B8"/>
    <w:rsid w:val="31F2079F"/>
    <w:rsid w:val="32266D1E"/>
    <w:rsid w:val="3230232C"/>
    <w:rsid w:val="325B0D62"/>
    <w:rsid w:val="32C861D6"/>
    <w:rsid w:val="334119DE"/>
    <w:rsid w:val="34F26FE8"/>
    <w:rsid w:val="35150D11"/>
    <w:rsid w:val="351F2803"/>
    <w:rsid w:val="35BC4B46"/>
    <w:rsid w:val="3633464F"/>
    <w:rsid w:val="368C0EAE"/>
    <w:rsid w:val="368F7963"/>
    <w:rsid w:val="36E711CA"/>
    <w:rsid w:val="37485FCA"/>
    <w:rsid w:val="37702892"/>
    <w:rsid w:val="378332AD"/>
    <w:rsid w:val="37883FC6"/>
    <w:rsid w:val="37A96833"/>
    <w:rsid w:val="37B95F7A"/>
    <w:rsid w:val="382174F0"/>
    <w:rsid w:val="38CF3B52"/>
    <w:rsid w:val="39161217"/>
    <w:rsid w:val="39646D5D"/>
    <w:rsid w:val="399D36E6"/>
    <w:rsid w:val="39EF6D0B"/>
    <w:rsid w:val="39F72DF7"/>
    <w:rsid w:val="3A3E3410"/>
    <w:rsid w:val="3A552DAA"/>
    <w:rsid w:val="3A941AAE"/>
    <w:rsid w:val="3AD413C5"/>
    <w:rsid w:val="3B2A389F"/>
    <w:rsid w:val="3B436316"/>
    <w:rsid w:val="3B6E533A"/>
    <w:rsid w:val="3B7434BE"/>
    <w:rsid w:val="3B930BF8"/>
    <w:rsid w:val="3BFD046C"/>
    <w:rsid w:val="3C1F09B0"/>
    <w:rsid w:val="3C591B47"/>
    <w:rsid w:val="3CEF4259"/>
    <w:rsid w:val="3D016A1B"/>
    <w:rsid w:val="3D153BD8"/>
    <w:rsid w:val="3D6466F9"/>
    <w:rsid w:val="3D827D7F"/>
    <w:rsid w:val="3DC456E6"/>
    <w:rsid w:val="3DC92CFC"/>
    <w:rsid w:val="3E612F34"/>
    <w:rsid w:val="3F5E56C6"/>
    <w:rsid w:val="3F984734"/>
    <w:rsid w:val="401C35B7"/>
    <w:rsid w:val="409A44DC"/>
    <w:rsid w:val="41466412"/>
    <w:rsid w:val="42160E79"/>
    <w:rsid w:val="42616FB6"/>
    <w:rsid w:val="42DA02CE"/>
    <w:rsid w:val="42FB058D"/>
    <w:rsid w:val="432A5FEB"/>
    <w:rsid w:val="432B5BA5"/>
    <w:rsid w:val="436A4B29"/>
    <w:rsid w:val="43721740"/>
    <w:rsid w:val="43C95804"/>
    <w:rsid w:val="44511355"/>
    <w:rsid w:val="44A82AFB"/>
    <w:rsid w:val="45723E20"/>
    <w:rsid w:val="45927197"/>
    <w:rsid w:val="45BD4E21"/>
    <w:rsid w:val="45BE44EE"/>
    <w:rsid w:val="45C30031"/>
    <w:rsid w:val="464E0242"/>
    <w:rsid w:val="46DD674E"/>
    <w:rsid w:val="47476ADD"/>
    <w:rsid w:val="479746A1"/>
    <w:rsid w:val="47F15329"/>
    <w:rsid w:val="48074B4D"/>
    <w:rsid w:val="48611E55"/>
    <w:rsid w:val="487E74FE"/>
    <w:rsid w:val="48E234FC"/>
    <w:rsid w:val="48FD73F3"/>
    <w:rsid w:val="491017DF"/>
    <w:rsid w:val="4B4B11F4"/>
    <w:rsid w:val="4B887D52"/>
    <w:rsid w:val="4B8E2E8F"/>
    <w:rsid w:val="4B957026"/>
    <w:rsid w:val="4C0C12DD"/>
    <w:rsid w:val="4C4D2F43"/>
    <w:rsid w:val="4CAC7CAA"/>
    <w:rsid w:val="4CC27294"/>
    <w:rsid w:val="4CFD207A"/>
    <w:rsid w:val="4D4E2E80"/>
    <w:rsid w:val="4D525AC0"/>
    <w:rsid w:val="4D9E1367"/>
    <w:rsid w:val="4DB7251F"/>
    <w:rsid w:val="4DC0429E"/>
    <w:rsid w:val="4DD40617"/>
    <w:rsid w:val="4DD8377A"/>
    <w:rsid w:val="4E434405"/>
    <w:rsid w:val="4E4C0A68"/>
    <w:rsid w:val="4E54216E"/>
    <w:rsid w:val="4E7310AB"/>
    <w:rsid w:val="4E8D742E"/>
    <w:rsid w:val="4E8F423A"/>
    <w:rsid w:val="4ECA2FB5"/>
    <w:rsid w:val="4ED866D6"/>
    <w:rsid w:val="4EFA0F67"/>
    <w:rsid w:val="4F70440B"/>
    <w:rsid w:val="513737E2"/>
    <w:rsid w:val="513E478E"/>
    <w:rsid w:val="51700341"/>
    <w:rsid w:val="51840FBC"/>
    <w:rsid w:val="51876B27"/>
    <w:rsid w:val="519B6306"/>
    <w:rsid w:val="51CC6EC1"/>
    <w:rsid w:val="5452714F"/>
    <w:rsid w:val="548F2152"/>
    <w:rsid w:val="54C24E95"/>
    <w:rsid w:val="54DD22F6"/>
    <w:rsid w:val="54F77CF7"/>
    <w:rsid w:val="552D54C7"/>
    <w:rsid w:val="55394F4F"/>
    <w:rsid w:val="557B041E"/>
    <w:rsid w:val="55C22555"/>
    <w:rsid w:val="55EC0170"/>
    <w:rsid w:val="55F14746"/>
    <w:rsid w:val="56E67FFC"/>
    <w:rsid w:val="56EA7D93"/>
    <w:rsid w:val="56FC33A3"/>
    <w:rsid w:val="573E1C0D"/>
    <w:rsid w:val="58317352"/>
    <w:rsid w:val="587D5821"/>
    <w:rsid w:val="588E1CBB"/>
    <w:rsid w:val="58D04AE7"/>
    <w:rsid w:val="59126EAD"/>
    <w:rsid w:val="5A3E3CD2"/>
    <w:rsid w:val="5A4E03B9"/>
    <w:rsid w:val="5ACF5CC4"/>
    <w:rsid w:val="5C222CA6"/>
    <w:rsid w:val="5CB749BC"/>
    <w:rsid w:val="5CD15E21"/>
    <w:rsid w:val="5CFC1658"/>
    <w:rsid w:val="5D5F43EF"/>
    <w:rsid w:val="5E6C1861"/>
    <w:rsid w:val="5E8B1BDC"/>
    <w:rsid w:val="5EBA108B"/>
    <w:rsid w:val="5ED372FB"/>
    <w:rsid w:val="5F2275C5"/>
    <w:rsid w:val="5F445625"/>
    <w:rsid w:val="5F51094D"/>
    <w:rsid w:val="5F715882"/>
    <w:rsid w:val="5F8C2C3A"/>
    <w:rsid w:val="5FE5356E"/>
    <w:rsid w:val="60875AA0"/>
    <w:rsid w:val="60890469"/>
    <w:rsid w:val="60B30F76"/>
    <w:rsid w:val="60C72AAD"/>
    <w:rsid w:val="60CF51DF"/>
    <w:rsid w:val="610A2B60"/>
    <w:rsid w:val="612754C0"/>
    <w:rsid w:val="61913B54"/>
    <w:rsid w:val="61CE508D"/>
    <w:rsid w:val="62090ABF"/>
    <w:rsid w:val="621A4583"/>
    <w:rsid w:val="62261C1B"/>
    <w:rsid w:val="62726F96"/>
    <w:rsid w:val="629B7F14"/>
    <w:rsid w:val="63116428"/>
    <w:rsid w:val="63305B9F"/>
    <w:rsid w:val="63897EDA"/>
    <w:rsid w:val="639162DE"/>
    <w:rsid w:val="63AD3924"/>
    <w:rsid w:val="64202DC6"/>
    <w:rsid w:val="64652837"/>
    <w:rsid w:val="64A86918"/>
    <w:rsid w:val="64B90B25"/>
    <w:rsid w:val="64B96E71"/>
    <w:rsid w:val="64D911C7"/>
    <w:rsid w:val="64EF7314"/>
    <w:rsid w:val="65096757"/>
    <w:rsid w:val="651F1636"/>
    <w:rsid w:val="65634EC4"/>
    <w:rsid w:val="65C00FEB"/>
    <w:rsid w:val="663761A5"/>
    <w:rsid w:val="66723681"/>
    <w:rsid w:val="66774239"/>
    <w:rsid w:val="66C84152"/>
    <w:rsid w:val="6714083F"/>
    <w:rsid w:val="67FC7D68"/>
    <w:rsid w:val="68476448"/>
    <w:rsid w:val="68552394"/>
    <w:rsid w:val="68684D3C"/>
    <w:rsid w:val="68C77CB4"/>
    <w:rsid w:val="68E436A7"/>
    <w:rsid w:val="699D27C3"/>
    <w:rsid w:val="6A07719C"/>
    <w:rsid w:val="6A2B6021"/>
    <w:rsid w:val="6A3D18F3"/>
    <w:rsid w:val="6A5B488F"/>
    <w:rsid w:val="6AC30FE4"/>
    <w:rsid w:val="6B5B46E4"/>
    <w:rsid w:val="6B982B45"/>
    <w:rsid w:val="6BC24763"/>
    <w:rsid w:val="6C3A0656"/>
    <w:rsid w:val="6CAC61C2"/>
    <w:rsid w:val="6D042B59"/>
    <w:rsid w:val="6D580D3A"/>
    <w:rsid w:val="6D633D24"/>
    <w:rsid w:val="6D943EDD"/>
    <w:rsid w:val="6DFC6A35"/>
    <w:rsid w:val="6E331948"/>
    <w:rsid w:val="6E690CD6"/>
    <w:rsid w:val="6E9A19C7"/>
    <w:rsid w:val="6EBC06F4"/>
    <w:rsid w:val="6F0D03EB"/>
    <w:rsid w:val="6F4216DC"/>
    <w:rsid w:val="6FCF744E"/>
    <w:rsid w:val="6FF46EB5"/>
    <w:rsid w:val="702324A5"/>
    <w:rsid w:val="70235CAC"/>
    <w:rsid w:val="715E4F2E"/>
    <w:rsid w:val="71771B4C"/>
    <w:rsid w:val="71BE59CD"/>
    <w:rsid w:val="71C31235"/>
    <w:rsid w:val="723E111D"/>
    <w:rsid w:val="72691DDC"/>
    <w:rsid w:val="72E57503"/>
    <w:rsid w:val="731437B8"/>
    <w:rsid w:val="736102C3"/>
    <w:rsid w:val="73FE2024"/>
    <w:rsid w:val="760A7432"/>
    <w:rsid w:val="76242E62"/>
    <w:rsid w:val="767D5E56"/>
    <w:rsid w:val="76C450FA"/>
    <w:rsid w:val="76D57A40"/>
    <w:rsid w:val="76EB4163"/>
    <w:rsid w:val="7771703D"/>
    <w:rsid w:val="77C27899"/>
    <w:rsid w:val="77C43611"/>
    <w:rsid w:val="77D623AA"/>
    <w:rsid w:val="785E75C1"/>
    <w:rsid w:val="787578B0"/>
    <w:rsid w:val="787C5C9A"/>
    <w:rsid w:val="78A552D4"/>
    <w:rsid w:val="790D4A2F"/>
    <w:rsid w:val="79877399"/>
    <w:rsid w:val="79F6234E"/>
    <w:rsid w:val="7A102B3D"/>
    <w:rsid w:val="7A124B07"/>
    <w:rsid w:val="7A7579C6"/>
    <w:rsid w:val="7B1342CC"/>
    <w:rsid w:val="7BF30969"/>
    <w:rsid w:val="7BF32717"/>
    <w:rsid w:val="7C06069C"/>
    <w:rsid w:val="7C080A39"/>
    <w:rsid w:val="7C72598F"/>
    <w:rsid w:val="7DE92023"/>
    <w:rsid w:val="7DEE4790"/>
    <w:rsid w:val="7E2748F9"/>
    <w:rsid w:val="7E3E035F"/>
    <w:rsid w:val="7E7A0ECD"/>
    <w:rsid w:val="7EFD65B5"/>
    <w:rsid w:val="7F4C286A"/>
    <w:rsid w:val="7F737DF6"/>
    <w:rsid w:val="7FC927C8"/>
    <w:rsid w:val="7FDB2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7">
    <w:name w:val="heading 2"/>
    <w:basedOn w:val="1"/>
    <w:next w:val="1"/>
    <w:autoRedefine/>
    <w:semiHidden/>
    <w:qFormat/>
    <w:uiPriority w:val="0"/>
    <w:pPr>
      <w:spacing w:beforeAutospacing="1" w:afterAutospacing="1"/>
      <w:jc w:val="left"/>
      <w:outlineLvl w:val="1"/>
    </w:pPr>
    <w:rPr>
      <w:rFonts w:ascii="宋体" w:hAnsi="宋体"/>
      <w:b/>
      <w:kern w:val="0"/>
      <w:sz w:val="36"/>
      <w:szCs w:val="36"/>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表格"/>
    <w:basedOn w:val="3"/>
    <w:next w:val="1"/>
    <w:autoRedefine/>
    <w:qFormat/>
    <w:uiPriority w:val="0"/>
    <w:pPr>
      <w:spacing w:line="240" w:lineRule="atLeast"/>
      <w:jc w:val="center"/>
    </w:pPr>
  </w:style>
  <w:style w:type="paragraph" w:styleId="3">
    <w:name w:val="Normal Indent"/>
    <w:basedOn w:val="1"/>
    <w:next w:val="4"/>
    <w:autoRedefine/>
    <w:qFormat/>
    <w:uiPriority w:val="0"/>
    <w:pPr>
      <w:ind w:firstLine="420" w:firstLineChars="200"/>
    </w:pPr>
  </w:style>
  <w:style w:type="paragraph" w:styleId="4">
    <w:name w:val="Body Text First Indent 2"/>
    <w:basedOn w:val="5"/>
    <w:next w:val="1"/>
    <w:autoRedefine/>
    <w:qFormat/>
    <w:uiPriority w:val="0"/>
    <w:pPr>
      <w:ind w:firstLine="420" w:firstLineChars="200"/>
    </w:pPr>
  </w:style>
  <w:style w:type="paragraph" w:styleId="5">
    <w:name w:val="Body Text Indent"/>
    <w:basedOn w:val="1"/>
    <w:next w:val="4"/>
    <w:autoRedefine/>
    <w:qFormat/>
    <w:uiPriority w:val="0"/>
    <w:pPr>
      <w:snapToGrid w:val="0"/>
      <w:spacing w:before="120" w:line="360" w:lineRule="atLeast"/>
      <w:ind w:firstLine="539"/>
    </w:pPr>
  </w:style>
  <w:style w:type="paragraph" w:styleId="8">
    <w:name w:val="Plain Text"/>
    <w:basedOn w:val="1"/>
    <w:next w:val="9"/>
    <w:autoRedefine/>
    <w:qFormat/>
    <w:uiPriority w:val="0"/>
    <w:rPr>
      <w:rFonts w:ascii="宋体" w:hAnsi="Courier New"/>
    </w:rPr>
  </w:style>
  <w:style w:type="paragraph" w:styleId="9">
    <w:name w:val="toc 1"/>
    <w:basedOn w:val="1"/>
    <w:next w:val="1"/>
    <w:autoRedefine/>
    <w:qFormat/>
    <w:uiPriority w:val="0"/>
  </w:style>
  <w:style w:type="paragraph" w:styleId="10">
    <w:name w:val="footer"/>
    <w:basedOn w:val="1"/>
    <w:autoRedefine/>
    <w:qFormat/>
    <w:uiPriority w:val="0"/>
    <w:pPr>
      <w:tabs>
        <w:tab w:val="center" w:pos="4153"/>
        <w:tab w:val="right" w:pos="8306"/>
      </w:tabs>
      <w:snapToGrid w:val="0"/>
      <w:jc w:val="left"/>
    </w:pPr>
    <w:rPr>
      <w:rFonts w:ascii="Calibri" w:hAnsi="Calibri" w:cs="Calibri"/>
      <w:sz w:val="18"/>
      <w:szCs w:val="18"/>
    </w:rPr>
  </w:style>
  <w:style w:type="paragraph" w:styleId="11">
    <w:name w:val="Body Text 2"/>
    <w:basedOn w:val="1"/>
    <w:autoRedefine/>
    <w:qFormat/>
    <w:uiPriority w:val="0"/>
    <w:pPr>
      <w:spacing w:after="120" w:line="480" w:lineRule="auto"/>
    </w:pPr>
  </w:style>
  <w:style w:type="paragraph" w:styleId="12">
    <w:name w:val="Normal (Web)"/>
    <w:basedOn w:val="1"/>
    <w:autoRedefine/>
    <w:qFormat/>
    <w:uiPriority w:val="0"/>
    <w:pPr>
      <w:spacing w:beforeAutospacing="1" w:afterAutospacing="1"/>
      <w:jc w:val="left"/>
    </w:pPr>
    <w:rPr>
      <w:kern w:val="0"/>
      <w:sz w:val="24"/>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rFonts w:cs="Times New Roman"/>
      <w:b/>
    </w:rPr>
  </w:style>
  <w:style w:type="paragraph" w:customStyle="1" w:styleId="17">
    <w:name w:val="正文（缩进）"/>
    <w:basedOn w:val="18"/>
    <w:autoRedefine/>
    <w:qFormat/>
    <w:uiPriority w:val="0"/>
    <w:pPr>
      <w:spacing w:line="360" w:lineRule="auto"/>
      <w:ind w:firstLine="480" w:firstLineChars="200"/>
    </w:pPr>
    <w:rPr>
      <w:sz w:val="24"/>
      <w:szCs w:val="24"/>
    </w:rPr>
  </w:style>
  <w:style w:type="paragraph" w:customStyle="1" w:styleId="18">
    <w:name w:val="正文(首行缩进)"/>
    <w:basedOn w:val="1"/>
    <w:autoRedefine/>
    <w:qFormat/>
    <w:uiPriority w:val="0"/>
    <w:pPr>
      <w:spacing w:line="460" w:lineRule="exact"/>
      <w:ind w:firstLine="560" w:firstLineChars="200"/>
    </w:pPr>
    <w:rPr>
      <w:rFonts w:ascii="宋体" w:hAnsi="宋体"/>
      <w:snapToGrid w:val="0"/>
      <w:color w:val="000000"/>
      <w:kern w:val="0"/>
      <w:szCs w:val="24"/>
    </w:rPr>
  </w:style>
  <w:style w:type="paragraph" w:customStyle="1" w:styleId="19">
    <w:name w:val="表头"/>
    <w:basedOn w:val="8"/>
    <w:next w:val="1"/>
    <w:autoRedefine/>
    <w:qFormat/>
    <w:uiPriority w:val="0"/>
    <w:pPr>
      <w:snapToGrid w:val="0"/>
      <w:spacing w:before="60" w:beforeLines="25"/>
    </w:pPr>
    <w:rPr>
      <w:rFonts w:hAnsi="宋体" w:eastAsia="仿宋_GB2312"/>
      <w:b/>
      <w:sz w:val="28"/>
      <w:szCs w:val="28"/>
    </w:rPr>
  </w:style>
  <w:style w:type="paragraph" w:customStyle="1" w:styleId="20">
    <w:name w:val="表格2"/>
    <w:next w:val="11"/>
    <w:autoRedefine/>
    <w:qFormat/>
    <w:uiPriority w:val="0"/>
    <w:pPr>
      <w:widowControl/>
      <w:jc w:val="center"/>
    </w:pPr>
    <w:rPr>
      <w:rFonts w:ascii="Times New Roman" w:hAnsi="Courier New" w:eastAsia="宋体" w:cs="Courier New"/>
      <w:color w:val="000000"/>
      <w:sz w:val="24"/>
      <w:szCs w:val="24"/>
      <w:lang w:val="en-US" w:eastAsia="zh-CN" w:bidi="ar-SA"/>
    </w:rPr>
  </w:style>
  <w:style w:type="paragraph" w:customStyle="1" w:styleId="2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p0"/>
    <w:basedOn w:val="1"/>
    <w:autoRedefine/>
    <w:qFormat/>
    <w:uiPriority w:val="0"/>
    <w:pPr>
      <w:widowControl/>
    </w:pPr>
    <w:rPr>
      <w:kern w:val="0"/>
      <w:szCs w:val="21"/>
    </w:rPr>
  </w:style>
  <w:style w:type="paragraph" w:customStyle="1" w:styleId="23">
    <w:name w:val="报告表正文"/>
    <w:basedOn w:val="1"/>
    <w:autoRedefine/>
    <w:qFormat/>
    <w:uiPriority w:val="0"/>
    <w:pPr>
      <w:overflowPunct w:val="0"/>
      <w:adjustRightInd w:val="0"/>
      <w:snapToGrid w:val="0"/>
      <w:spacing w:line="360" w:lineRule="auto"/>
      <w:ind w:firstLine="200" w:firstLineChars="200"/>
    </w:pPr>
    <w:rPr>
      <w:rFonts w:ascii="Times New Roman" w:hAnsi="Times New Roman" w:eastAsia="仿宋_GB2312"/>
      <w:color w:val="000000"/>
      <w:kern w:val="16"/>
      <w:sz w:val="24"/>
      <w:szCs w:val="24"/>
    </w:rPr>
  </w:style>
  <w:style w:type="paragraph" w:customStyle="1" w:styleId="24">
    <w:name w:val="样式 正文缩进正文缩进2正文缩进 Char Char正文缩进 Char Char Char Char正文缩进 Char ..."/>
    <w:basedOn w:val="3"/>
    <w:autoRedefine/>
    <w:qFormat/>
    <w:uiPriority w:val="0"/>
    <w:pPr>
      <w:spacing w:line="360" w:lineRule="auto"/>
      <w:ind w:firstLine="200"/>
    </w:pPr>
    <w:rPr>
      <w:rFonts w:cs="宋体"/>
      <w:sz w:val="24"/>
    </w:rPr>
  </w:style>
  <w:style w:type="paragraph" w:customStyle="1" w:styleId="2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1628</Words>
  <Characters>1735</Characters>
  <Lines>0</Lines>
  <Paragraphs>0</Paragraphs>
  <TotalTime>0</TotalTime>
  <ScaleCrop>false</ScaleCrop>
  <LinksUpToDate>false</LinksUpToDate>
  <CharactersWithSpaces>1814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2020-08-05T15:22:00Z</dcterms:created>
  <dc:creator>鱼儿</dc:creator>
  <cp:lastModifiedBy>zw</cp:lastModifiedBy>
  <cp:lastPrinted>2024-01-29T16:07:00Z</cp:lastPrinted>
  <dcterms:modified xsi:type="dcterms:W3CDTF">2025-12-04T16:40:10Z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520C81DA3F364CB98B7175746C5928F2</vt:lpwstr>
  </property>
  <property fmtid="{D5CDD505-2E9C-101B-9397-08002B2CF9AE}" pid="4" name="KSOTemplateDocerSaveRecord">
    <vt:lpwstr>eyJoZGlkIjoiZTY5MGFlNTdlZjkzNjdlYzUyMzQ3OTY0OTRlZmU5N2IiLCJ1c2VySWQiOiI0NjI0MTY4NzQifQ==</vt:lpwstr>
  </property>
</Properties>
</file>