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text" w:horzAnchor="page" w:tblpX="1177" w:tblpY="643"/>
        <w:tblOverlap w:val="never"/>
        <w:tblW w:w="14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800"/>
        <w:gridCol w:w="735"/>
        <w:gridCol w:w="990"/>
        <w:gridCol w:w="810"/>
        <w:gridCol w:w="1695"/>
        <w:gridCol w:w="2775"/>
        <w:gridCol w:w="5353"/>
      </w:tblGrid>
      <w:tr w14:paraId="1D3C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479" w:type="dxa"/>
            <w:tcBorders>
              <w:top w:val="single" w:color="auto" w:sz="4" w:space="0"/>
              <w:left w:val="single" w:color="auto" w:sz="4" w:space="0"/>
              <w:bottom w:val="single" w:color="auto" w:sz="4" w:space="0"/>
              <w:right w:val="single" w:color="auto" w:sz="4" w:space="0"/>
            </w:tcBorders>
            <w:noWrap w:val="0"/>
            <w:vAlign w:val="center"/>
          </w:tcPr>
          <w:p w14:paraId="12EAD538">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序号</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3089F88">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项目名称</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B20F26C">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环评类别</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AF466D4">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t>建设地点</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3193858">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建设</w:t>
            </w:r>
            <w:r>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t>单位</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EB5B269">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t>环境影响评价机构</w:t>
            </w:r>
          </w:p>
        </w:tc>
        <w:tc>
          <w:tcPr>
            <w:tcW w:w="2775" w:type="dxa"/>
            <w:tcBorders>
              <w:top w:val="single" w:color="auto" w:sz="4" w:space="0"/>
              <w:left w:val="single" w:color="auto" w:sz="4" w:space="0"/>
              <w:bottom w:val="single" w:color="auto" w:sz="4" w:space="0"/>
              <w:right w:val="single" w:color="auto" w:sz="4" w:space="0"/>
            </w:tcBorders>
            <w:noWrap w:val="0"/>
            <w:vAlign w:val="center"/>
          </w:tcPr>
          <w:p w14:paraId="2D9808B3">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建设项目概况</w:t>
            </w:r>
          </w:p>
        </w:tc>
        <w:tc>
          <w:tcPr>
            <w:tcW w:w="5353" w:type="dxa"/>
            <w:tcBorders>
              <w:top w:val="single" w:color="auto" w:sz="4" w:space="0"/>
              <w:left w:val="single" w:color="auto" w:sz="4" w:space="0"/>
              <w:bottom w:val="single" w:color="auto" w:sz="4" w:space="0"/>
              <w:right w:val="single" w:color="auto" w:sz="4" w:space="0"/>
            </w:tcBorders>
            <w:noWrap w:val="0"/>
            <w:vAlign w:val="center"/>
          </w:tcPr>
          <w:p w14:paraId="1F9AE50A">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Style w:val="17"/>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r>
              <w:rPr>
                <w:rStyle w:val="17"/>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主要环境影响及预防或</w:t>
            </w:r>
            <w:r>
              <w:rPr>
                <w:rStyle w:val="17"/>
                <w:rFonts w:hint="default" w:ascii="Times New Roman" w:hAnsi="Times New Roman" w:eastAsia="仿宋_GB2312" w:cs="Times New Roman"/>
                <w:b w:val="0"/>
                <w:bCs w:val="0"/>
                <w:color w:val="000000" w:themeColor="text1"/>
                <w:sz w:val="32"/>
                <w:szCs w:val="32"/>
                <w:lang w:eastAsia="zh-CN" w:bidi="ar"/>
                <w14:textFill>
                  <w14:solidFill>
                    <w14:schemeClr w14:val="tx1"/>
                  </w14:solidFill>
                </w14:textFill>
              </w:rPr>
              <w:t>者</w:t>
            </w:r>
            <w:r>
              <w:rPr>
                <w:rStyle w:val="17"/>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t>减轻不良环境影响的对策和措施</w:t>
            </w:r>
          </w:p>
        </w:tc>
      </w:tr>
      <w:tr w14:paraId="70A0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79" w:type="dxa"/>
            <w:tcBorders>
              <w:top w:val="single" w:color="auto" w:sz="4" w:space="0"/>
              <w:left w:val="single" w:color="auto" w:sz="4" w:space="0"/>
              <w:bottom w:val="single" w:color="auto" w:sz="4" w:space="0"/>
              <w:right w:val="single" w:color="auto" w:sz="4" w:space="0"/>
            </w:tcBorders>
            <w:noWrap w:val="0"/>
            <w:vAlign w:val="center"/>
          </w:tcPr>
          <w:p w14:paraId="43D446A8">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1</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1093CAD">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中卫市沙坡头区宣和镇天景山建筑用石料矿矿山生态修复治理项目</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1B1B110">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olor w:val="000000" w:themeColor="text1"/>
                <w:spacing w:val="-17"/>
                <w:sz w:val="32"/>
                <w:szCs w:val="32"/>
                <w14:textFill>
                  <w14:solidFill>
                    <w14:schemeClr w14:val="tx1"/>
                  </w14:solidFill>
                </w14:textFill>
              </w:rPr>
            </w:pPr>
            <w:r>
              <w:rPr>
                <w:rFonts w:hint="default" w:ascii="Times New Roman" w:hAnsi="Times New Roman" w:eastAsia="仿宋_GB2312" w:cs="Times New Roman"/>
                <w:b w:val="0"/>
                <w:bCs w:val="0"/>
                <w:caps/>
                <w:strike w:val="0"/>
                <w:dstrike w:val="0"/>
                <w:color w:val="000000" w:themeColor="text1"/>
                <w:kern w:val="2"/>
                <w:sz w:val="32"/>
                <w:szCs w:val="32"/>
                <w:u w:val="none"/>
                <w:lang w:val="en-US" w:eastAsia="zh-CN" w:bidi="ar-SA"/>
                <w14:textFill>
                  <w14:solidFill>
                    <w14:schemeClr w14:val="tx1"/>
                  </w14:solidFill>
                </w14:textFill>
              </w:rPr>
              <w:t>环境影响报告表</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D1A3364">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中卫市沙坡头区宣和镇</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E8BAC9C">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中卫市沙坡头区自然资源局</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694E7724">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中环科工（宁夏）生态环境设计院有限公司</w:t>
            </w:r>
          </w:p>
        </w:tc>
        <w:tc>
          <w:tcPr>
            <w:tcW w:w="2775" w:type="dxa"/>
            <w:tcBorders>
              <w:top w:val="single" w:color="auto" w:sz="4" w:space="0"/>
              <w:left w:val="single" w:color="auto" w:sz="4" w:space="0"/>
              <w:bottom w:val="single" w:color="auto" w:sz="4" w:space="0"/>
              <w:right w:val="single" w:color="auto" w:sz="4" w:space="0"/>
            </w:tcBorders>
            <w:noWrap w:val="0"/>
            <w:vAlign w:val="top"/>
          </w:tcPr>
          <w:p w14:paraId="5E368F1C">
            <w:pPr>
              <w:pStyle w:val="12"/>
              <w:keepNext w:val="0"/>
              <w:keepLines w:val="0"/>
              <w:pageBreakBefore w:val="0"/>
              <w:widowControl w:val="0"/>
              <w:kinsoku/>
              <w:wordWrap/>
              <w:overflowPunct/>
              <w:topLinePunct w:val="0"/>
              <w:autoSpaceDE/>
              <w:autoSpaceDN/>
              <w:bidi w:val="0"/>
              <w:adjustRightInd/>
              <w:spacing w:line="44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中卫市沙坡头区宣和镇天景山建筑用石料矿矿山生态修复治理项目</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位于</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中卫市沙坡头区</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宣和镇</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，生态</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修复</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治理面积为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33.12</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公顷</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主要工程措施为地形地貌恢复工程、截排水工程和生态恢复工程。建设内容为坡面培坡，场区平整，建设截水埂、导流槽，覆土，穴播草籽等。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项目总投资</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252.37</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万元</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，全部为环保投资。</w:t>
            </w:r>
          </w:p>
          <w:p w14:paraId="587D5493">
            <w:pPr>
              <w:pStyle w:val="23"/>
              <w:keepNext w:val="0"/>
              <w:keepLines w:val="0"/>
              <w:pageBreakBefore w:val="0"/>
              <w:widowControl w:val="0"/>
              <w:kinsoku/>
              <w:wordWrap/>
              <w:overflowPunct w:val="0"/>
              <w:topLinePunct w:val="0"/>
              <w:autoSpaceDE/>
              <w:autoSpaceDN/>
              <w:bidi w:val="0"/>
              <w:adjustRightInd w:val="0"/>
              <w:snapToGrid w:val="0"/>
              <w:spacing w:line="44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p>
          <w:p w14:paraId="3B2A63E8">
            <w:pPr>
              <w:keepNext w:val="0"/>
              <w:keepLines w:val="0"/>
              <w:pageBreakBefore w:val="0"/>
              <w:widowControl w:val="0"/>
              <w:kinsoku/>
              <w:wordWrap/>
              <w:overflowPunct/>
              <w:topLinePunct w:val="0"/>
              <w:bidi w:val="0"/>
              <w:snapToGri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7527699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aps/>
                <w:color w:val="000000" w:themeColor="text1"/>
                <w:kern w:val="2"/>
                <w:sz w:val="32"/>
                <w:szCs w:val="32"/>
                <w:lang w:val="en-US" w:eastAsia="zh-CN" w:bidi="ar-SA"/>
                <w14:textFill>
                  <w14:solidFill>
                    <w14:schemeClr w14:val="tx1"/>
                  </w14:solidFill>
                </w14:textFill>
              </w:rPr>
            </w:pPr>
          </w:p>
          <w:p w14:paraId="2D1D3318">
            <w:pPr>
              <w:keepNext w:val="0"/>
              <w:keepLines w:val="0"/>
              <w:pageBreakBefore w:val="0"/>
              <w:widowControl w:val="0"/>
              <w:kinsoku/>
              <w:overflowPunct/>
              <w:topLinePunct w:val="0"/>
              <w:autoSpaceDE/>
              <w:autoSpaceDN/>
              <w:bidi w:val="0"/>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pPr>
          </w:p>
          <w:p w14:paraId="18F8065C">
            <w:pPr>
              <w:pStyle w:val="25"/>
              <w:keepNext w:val="0"/>
              <w:keepLines w:val="0"/>
              <w:pageBreakBefore w:val="0"/>
              <w:widowControl/>
              <w:kinsoku w:val="0"/>
              <w:wordWrap w:val="0"/>
              <w:overflowPunct/>
              <w:topLinePunct w:val="0"/>
              <w:autoSpaceDE w:val="0"/>
              <w:autoSpaceDN w:val="0"/>
              <w:bidi w:val="0"/>
              <w:adjustRightInd w:val="0"/>
              <w:snapToGrid w:val="0"/>
              <w:spacing w:line="440" w:lineRule="exact"/>
              <w:ind w:left="0" w:right="0" w:firstLine="640" w:firstLineChars="200"/>
              <w:jc w:val="both"/>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14:paraId="32BC8A56">
            <w:pPr>
              <w:pStyle w:val="18"/>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firstLine="640" w:firstLineChars="200"/>
              <w:jc w:val="both"/>
              <w:textAlignment w:val="auto"/>
              <w:rPr>
                <w:rStyle w:val="17"/>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p>
        </w:tc>
        <w:tc>
          <w:tcPr>
            <w:tcW w:w="5353" w:type="dxa"/>
            <w:tcBorders>
              <w:top w:val="single" w:color="auto" w:sz="4" w:space="0"/>
              <w:left w:val="single" w:color="auto" w:sz="4" w:space="0"/>
              <w:bottom w:val="single" w:color="auto" w:sz="4" w:space="0"/>
              <w:right w:val="single" w:color="auto" w:sz="4" w:space="0"/>
            </w:tcBorders>
            <w:noWrap w:val="0"/>
            <w:vAlign w:val="top"/>
          </w:tcPr>
          <w:p w14:paraId="00644431">
            <w:pPr>
              <w:keepNext w:val="0"/>
              <w:keepLines w:val="0"/>
              <w:pageBreakBefore w:val="0"/>
              <w:widowControl w:val="0"/>
              <w:numPr>
                <w:ilvl w:val="0"/>
                <w:numId w:val="1"/>
              </w:numPr>
              <w:kinsoku/>
              <w:wordWrap w:val="0"/>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大气环境影响减缓措施</w:t>
            </w:r>
          </w:p>
          <w:p w14:paraId="26C848B1">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严格控制施工范围，</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施工场地设置施工围挡</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，加强施工现场及施工便道的洒水降尘工作；</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施工期临时堆土堆放在治理区内，并采用纤维网苫盖，定期洒水保湿；加强机械设备管理和保养维修，</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物料运输过程中车辆加盖篷布，</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合理选择运输路线</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严禁</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超载、</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运料散落</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项目区</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颗粒物无组织排放浓度须满足</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《大气污染物综合排放标准》（GB16297-1996）表2中</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无组织排放监控浓度限值。</w:t>
            </w:r>
          </w:p>
          <w:p w14:paraId="54A1AC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水环境污染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防治措施</w:t>
            </w:r>
          </w:p>
          <w:p w14:paraId="645CA598">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zh-CN" w:eastAsia="zh-CN" w:bidi="en-US"/>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施工期生活污水依托周边村庄旱厕处理，粪污定期清掏外运处置。车辆冲洗废水经沉淀池沉淀处理后用于场区洒水抑尘。</w:t>
            </w:r>
          </w:p>
          <w:p w14:paraId="175FD52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）噪声</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污染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防治措施</w:t>
            </w:r>
          </w:p>
          <w:p w14:paraId="14A07D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加强施工管理，选择低噪声的机械设备、作业方法，采取隔声、减振等措施，合理安排机械作业施工时间，</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加强运输车辆管理，采取限速行驶、禁止鸣笛等综合降噪措施</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施工场界噪声须满足《建筑施工场界环境噪声排放标准》（GB12523-2011）中的限值要求。</w:t>
            </w:r>
          </w:p>
          <w:p w14:paraId="202F575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（四）固体废物处置</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措施</w:t>
            </w:r>
          </w:p>
          <w:p w14:paraId="2F1CF55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shd w:val="clear" w:color="auto" w:fill="auto"/>
                <w:lang w:val="en-US" w:eastAsia="zh-CN" w:bidi="ar"/>
                <w14:textFill>
                  <w14:solidFill>
                    <w14:schemeClr w14:val="tx1"/>
                  </w14:solidFill>
                </w14:textFill>
              </w:rPr>
              <w:t>废弃渣石、废土就近回填场区；施工人员产生的生活垃圾，</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集中分类收集后送至邻近村庄生活垃圾收集点，由当地环卫部门统一清运处置</w:t>
            </w:r>
            <w:r>
              <w:rPr>
                <w:rFonts w:hint="default" w:ascii="Times New Roman" w:hAnsi="Times New Roman" w:eastAsia="仿宋_GB2312" w:cs="Times New Roman"/>
                <w:b w:val="0"/>
                <w:bCs w:val="0"/>
                <w:color w:val="000000" w:themeColor="text1"/>
                <w:kern w:val="2"/>
                <w:sz w:val="32"/>
                <w:szCs w:val="32"/>
                <w:shd w:val="clear" w:color="auto" w:fill="auto"/>
                <w:lang w:val="en-US" w:eastAsia="zh-CN" w:bidi="ar"/>
                <w14:textFill>
                  <w14:solidFill>
                    <w14:schemeClr w14:val="tx1"/>
                  </w14:solidFill>
                </w14:textFill>
              </w:rPr>
              <w:t>。</w:t>
            </w:r>
          </w:p>
          <w:p w14:paraId="7CA686B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（五）</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环境管理措施</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及生态保护</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措施</w:t>
            </w:r>
          </w:p>
          <w:p w14:paraId="2628A4B6">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严格控制施工范围，优化施工布置和施工工艺，合理安排施工路线，做好施工期间的临时防护。</w:t>
            </w: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合理选择施工时间，加强施工活动管理，建立健全现场管理责任制</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严格控制对区域动、植物的影响并采取相应的措施，保护生物多样性，维持或修复生态功能系统；施工期加强水土流失防治，严格控制对生态环境的破坏。严格控制施工红线范围，不得占用沿线基本农田、农用设施等，减少对地表植被的扰动和破坏。严格落实</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《报告</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提出的生态保护措施，</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加强环境管理</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施工结束后及时对临时施工区占地、施工扰动区域进行清理、平整、恢复植被。</w:t>
            </w:r>
          </w:p>
        </w:tc>
      </w:tr>
      <w:tr w14:paraId="30BF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79" w:type="dxa"/>
            <w:tcBorders>
              <w:top w:val="single" w:color="auto" w:sz="4" w:space="0"/>
              <w:left w:val="single" w:color="auto" w:sz="4" w:space="0"/>
              <w:bottom w:val="single" w:color="auto" w:sz="4" w:space="0"/>
              <w:right w:val="single" w:color="auto" w:sz="4" w:space="0"/>
            </w:tcBorders>
            <w:noWrap w:val="0"/>
            <w:vAlign w:val="center"/>
          </w:tcPr>
          <w:p w14:paraId="17B58FD5">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2</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6085823">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中卫沙坡头机场供暖改造项目</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5AFBC8A">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aps/>
                <w:strike w:val="0"/>
                <w:dstrike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环境影响报告表</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0581B92">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中卫市沙坡头区迎水桥镇</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1B0B44B">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中卫市口岸和投资促进办公室</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7BC3947">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绿源恒森安环（宁夏）科技有限公司</w:t>
            </w:r>
          </w:p>
        </w:tc>
        <w:tc>
          <w:tcPr>
            <w:tcW w:w="2775" w:type="dxa"/>
            <w:tcBorders>
              <w:top w:val="single" w:color="auto" w:sz="4" w:space="0"/>
              <w:left w:val="single" w:color="auto" w:sz="4" w:space="0"/>
              <w:bottom w:val="single" w:color="auto" w:sz="4" w:space="0"/>
              <w:right w:val="single" w:color="auto" w:sz="4" w:space="0"/>
            </w:tcBorders>
            <w:noWrap w:val="0"/>
            <w:vAlign w:val="top"/>
          </w:tcPr>
          <w:p w14:paraId="351BF4AA">
            <w:pPr>
              <w:keepNext w:val="0"/>
              <w:keepLines w:val="0"/>
              <w:pageBreakBefore w:val="0"/>
              <w:widowControl w:val="0"/>
              <w:kinsoku/>
              <w:wordWrap/>
              <w:overflowPunct/>
              <w:topLinePunct w:val="0"/>
              <w:autoSpaceDE/>
              <w:autoSpaceDN/>
              <w:bidi w:val="0"/>
              <w:spacing w:line="440" w:lineRule="exact"/>
              <w:ind w:firstLine="640" w:firstLineChars="200"/>
              <w:textAlignment w:val="auto"/>
              <w:rPr>
                <w:rFonts w:hint="default" w:ascii="Times New Roman" w:hAnsi="Times New Roman" w:eastAsia="仿宋_GB2312" w:cs="Times New Roman"/>
                <w:b w:val="0"/>
                <w:bCs w:val="0"/>
                <w:cap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项目</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建设地址</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位于</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中卫市沙坡头区迎水桥镇中卫沙坡头机场内，为改建项目。主要建设内容为改造现有燃煤锅炉房，拆除现有2台1.4兆瓦燃煤锅炉及配套设施，安装2台1.4兆瓦的燃气锅炉及配套设施，实施飞机场内二级管网及航站楼末端供暖设施改造。项目总投资860万元，其中环保投资为72万元，占总投资的8.37%。</w:t>
            </w:r>
          </w:p>
          <w:p w14:paraId="6B7FA0C2">
            <w:pPr>
              <w:pStyle w:val="18"/>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firstLine="640" w:firstLineChars="200"/>
              <w:jc w:val="both"/>
              <w:textAlignment w:val="auto"/>
              <w:rPr>
                <w:rStyle w:val="17"/>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p>
        </w:tc>
        <w:tc>
          <w:tcPr>
            <w:tcW w:w="5353" w:type="dxa"/>
            <w:tcBorders>
              <w:top w:val="single" w:color="auto" w:sz="4" w:space="0"/>
              <w:left w:val="single" w:color="auto" w:sz="4" w:space="0"/>
              <w:bottom w:val="single" w:color="auto" w:sz="4" w:space="0"/>
              <w:right w:val="single" w:color="auto" w:sz="4" w:space="0"/>
            </w:tcBorders>
            <w:noWrap w:val="0"/>
            <w:vAlign w:val="top"/>
          </w:tcPr>
          <w:p w14:paraId="4BCE8E9F">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（一）</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大气环境影响减缓措施</w:t>
            </w:r>
          </w:p>
          <w:p w14:paraId="12653188">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bidi="en-US"/>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天然气锅炉采用低氮燃气相变热水机组，由锅炉自带低氮燃烧技术处理后废气通过12米高排气筒排放，颗粒物、二氧化硫的排放浓度须满足《锅炉大气污染物排放标准》（GB13271-2014）中表3大气污染物特别排放限值，氮氧化物执行《宁夏回族自治区“十四五”主要污染物减排综合工作方案》中“到2025年，全区所有燃气锅炉氮氧化物排放浓度低于50毫克/立方米”的要求。</w:t>
            </w:r>
          </w:p>
          <w:p w14:paraId="6FCA9A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（二）水环境污染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防治措施</w:t>
            </w:r>
          </w:p>
          <w:p w14:paraId="696E1891">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废水主要为锅炉软水制备排污水、锅炉排污水，收集后同生活污水一起委托中卫市鑫邦智业保洁服务有限公司由罐车拉运至宁夏水投中卫水务有限公司污水处理厂处置</w:t>
            </w: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w:t>
            </w:r>
          </w:p>
          <w:p w14:paraId="4CAE4AC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）噪声</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污染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防治措施</w:t>
            </w:r>
          </w:p>
          <w:p w14:paraId="5070A273">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设备</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合理布局，选用低噪声设备，定期进行维护和保养</w:t>
            </w:r>
            <w:r>
              <w:rPr>
                <w:rFonts w:hint="default" w:ascii="Times New Roman" w:hAnsi="Times New Roman" w:eastAsia="仿宋_GB2312" w:cs="Times New Roman"/>
                <w:b w:val="0"/>
                <w:bCs w:val="0"/>
                <w:color w:val="000000" w:themeColor="text1"/>
                <w:kern w:val="2"/>
                <w:sz w:val="32"/>
                <w:szCs w:val="32"/>
                <w:lang w:val="en-US" w:eastAsia="zh-CN" w:bidi="en-US"/>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通过</w:t>
            </w:r>
            <w:r>
              <w:rPr>
                <w:rFonts w:hint="default" w:ascii="Times New Roman" w:hAnsi="Times New Roman" w:eastAsia="仿宋_GB2312" w:cs="Times New Roman"/>
                <w:b w:val="0"/>
                <w:bCs w:val="0"/>
                <w:color w:val="000000" w:themeColor="text1"/>
                <w:kern w:val="2"/>
                <w:sz w:val="32"/>
                <w:szCs w:val="32"/>
                <w:lang w:val="en-US" w:eastAsia="zh-CN" w:bidi="en-US"/>
                <w14:textFill>
                  <w14:solidFill>
                    <w14:schemeClr w14:val="tx1"/>
                  </w14:solidFill>
                </w14:textFill>
              </w:rPr>
              <w:t>消声、</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基础减震、隔声、距离衰减</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等措施后，</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界噪声须</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满足《机场周围飞机噪环境标准》（GB9660-88）</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中二类区标准限值要求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p>
          <w:p w14:paraId="00559268">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固体废物处置</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措施</w:t>
            </w:r>
          </w:p>
          <w:p w14:paraId="43BC5BCA">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软水制备过程中产生</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废离子交换树脂</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更换后直接</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由厂家统一回收</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机场内不暂存；</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废机油直接交由有危废处理资质单位带走</w:t>
            </w:r>
            <w:r>
              <w:rPr>
                <w:rFonts w:hint="default" w:ascii="Times New Roman" w:hAnsi="Times New Roman" w:eastAsia="仿宋_GB2312" w:cs="Times New Roman"/>
                <w:b w:val="0"/>
                <w:bCs w:val="0"/>
                <w:color w:val="000000" w:themeColor="text1"/>
                <w:kern w:val="0"/>
                <w:sz w:val="32"/>
                <w:szCs w:val="32"/>
                <w:highlight w:val="none"/>
                <w:lang w:bidi="ar"/>
                <w14:textFill>
                  <w14:solidFill>
                    <w14:schemeClr w14:val="tx1"/>
                  </w14:solidFill>
                </w14:textFill>
              </w:rPr>
              <w:t>处置</w:t>
            </w:r>
            <w:r>
              <w:rPr>
                <w:rFonts w:hint="default" w:ascii="Times New Roman" w:hAnsi="Times New Roman" w:eastAsia="仿宋_GB2312" w:cs="Times New Roman"/>
                <w:b w:val="0"/>
                <w:bCs w:val="0"/>
                <w:color w:val="000000" w:themeColor="text1"/>
                <w:kern w:val="0"/>
                <w:sz w:val="32"/>
                <w:szCs w:val="32"/>
                <w:highlight w:val="none"/>
                <w:lang w:eastAsia="zh-CN" w:bidi="ar"/>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机场内不暂存</w:t>
            </w:r>
            <w:r>
              <w:rPr>
                <w:rFonts w:hint="default" w:ascii="Times New Roman" w:hAnsi="Times New Roman" w:eastAsia="仿宋_GB2312" w:cs="Times New Roman"/>
                <w:b w:val="0"/>
                <w:bCs w:val="0"/>
                <w:color w:val="000000" w:themeColor="text1"/>
                <w:kern w:val="0"/>
                <w:sz w:val="32"/>
                <w:szCs w:val="32"/>
                <w:highlight w:val="none"/>
                <w:lang w:bidi="ar"/>
                <w14:textFill>
                  <w14:solidFill>
                    <w14:schemeClr w14:val="tx1"/>
                  </w14:solidFill>
                </w14:textFill>
              </w:rPr>
              <w:t>。</w:t>
            </w:r>
          </w:p>
          <w:p w14:paraId="5C57A5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（五）</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环境管理措施与环境监测计划</w:t>
            </w:r>
          </w:p>
          <w:p w14:paraId="37F9A0CF">
            <w:pPr>
              <w:pStyle w:val="18"/>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建立健全环境管理制度，落实环保岗位责任，做好环境管理台账记录；</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落实环保措施</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加强环保设施的日常维护和保养，使其正常稳定运行；</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管道开挖产生的土石方采取</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分层开挖、分别堆放、分层回填，</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施工结束后及时对堆土有序回填，</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恢复原地貌</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，对</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地面进行硬化处理；</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分区防渗，严格落实土壤及地下水污染防治措施；</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加强环境管理</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严格落实《报告</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》中提出的风险防范措施，按照项目运营期环境监测计划一览表定期进行监测。</w:t>
            </w:r>
          </w:p>
        </w:tc>
      </w:tr>
      <w:tr w14:paraId="3B21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79" w:type="dxa"/>
            <w:tcBorders>
              <w:top w:val="single" w:color="auto" w:sz="4" w:space="0"/>
              <w:left w:val="single" w:color="auto" w:sz="4" w:space="0"/>
              <w:bottom w:val="single" w:color="auto" w:sz="4" w:space="0"/>
              <w:right w:val="single" w:color="auto" w:sz="4" w:space="0"/>
            </w:tcBorders>
            <w:noWrap w:val="0"/>
            <w:vAlign w:val="center"/>
          </w:tcPr>
          <w:p w14:paraId="0C908C2B">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ar"/>
                <w14:textFill>
                  <w14:solidFill>
                    <w14:schemeClr w14:val="tx1"/>
                  </w14:solidFill>
                </w14:textFill>
              </w:rPr>
              <w:t>3</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376F929">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bidi="en-US"/>
                <w14:textFill>
                  <w14:solidFill>
                    <w14:schemeClr w14:val="tx1"/>
                  </w14:solidFill>
                </w14:textFill>
              </w:rPr>
              <w:t>中卫市第十四小学实验楼建设项目</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3EF650B">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aps/>
                <w:strike w:val="0"/>
                <w:dstrike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环境影响报告表</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4092E34">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中卫市沙坡头区文昌镇</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4DB92BA">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中卫市沙坡头区教育局</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D13A86B">
            <w:pPr>
              <w:pStyle w:val="13"/>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宁夏竭诚环保咨询服务有限公司</w:t>
            </w:r>
          </w:p>
        </w:tc>
        <w:tc>
          <w:tcPr>
            <w:tcW w:w="2775" w:type="dxa"/>
            <w:tcBorders>
              <w:top w:val="single" w:color="auto" w:sz="4" w:space="0"/>
              <w:left w:val="single" w:color="auto" w:sz="4" w:space="0"/>
              <w:bottom w:val="single" w:color="auto" w:sz="4" w:space="0"/>
              <w:right w:val="single" w:color="auto" w:sz="4" w:space="0"/>
            </w:tcBorders>
            <w:noWrap w:val="0"/>
            <w:vAlign w:val="top"/>
          </w:tcPr>
          <w:p w14:paraId="1785564B">
            <w:pPr>
              <w:pStyle w:val="12"/>
              <w:keepNext w:val="0"/>
              <w:keepLines w:val="0"/>
              <w:pageBreakBefore w:val="0"/>
              <w:widowControl w:val="0"/>
              <w:kinsoku/>
              <w:wordWrap/>
              <w:overflowPunct/>
              <w:topLinePunct w:val="0"/>
              <w:autoSpaceDE/>
              <w:autoSpaceDN/>
              <w:bidi w:val="0"/>
              <w:adjustRightInd/>
              <w:snapToGrid w:val="0"/>
              <w:spacing w:after="0" w:line="44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项目建设地址位于中卫市沙坡头区文昌镇，占地面积1238.06平方米。主要建设1栋实验楼，地上4层框架结构，局部5层，建筑面积4969.04平方米，设置化学、生物、物理实验室，配套建设室外硬化铺装、水、暖、电、箱变等附属工程。项目总投资2076.15万元，其中环保投资为55万元，占总投资的2.65%。</w:t>
            </w:r>
          </w:p>
          <w:p w14:paraId="25144EE0">
            <w:pPr>
              <w:pStyle w:val="18"/>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firstLine="640" w:firstLineChars="200"/>
              <w:jc w:val="both"/>
              <w:textAlignment w:val="auto"/>
              <w:rPr>
                <w:rStyle w:val="17"/>
                <w:rFonts w:hint="default" w:ascii="Times New Roman" w:hAnsi="Times New Roman" w:eastAsia="仿宋_GB2312" w:cs="Times New Roman"/>
                <w:b w:val="0"/>
                <w:bCs w:val="0"/>
                <w:color w:val="000000" w:themeColor="text1"/>
                <w:sz w:val="32"/>
                <w:szCs w:val="32"/>
                <w:lang w:bidi="ar"/>
                <w14:textFill>
                  <w14:solidFill>
                    <w14:schemeClr w14:val="tx1"/>
                  </w14:solidFill>
                </w14:textFill>
              </w:rPr>
            </w:pPr>
          </w:p>
        </w:tc>
        <w:tc>
          <w:tcPr>
            <w:tcW w:w="5353" w:type="dxa"/>
            <w:tcBorders>
              <w:top w:val="single" w:color="auto" w:sz="4" w:space="0"/>
              <w:left w:val="single" w:color="auto" w:sz="4" w:space="0"/>
              <w:bottom w:val="single" w:color="auto" w:sz="4" w:space="0"/>
              <w:right w:val="single" w:color="auto" w:sz="4" w:space="0"/>
            </w:tcBorders>
            <w:noWrap w:val="0"/>
            <w:vAlign w:val="top"/>
          </w:tcPr>
          <w:p w14:paraId="34F2AABA">
            <w:pPr>
              <w:pStyle w:val="1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（一）大气环境影响减缓措施</w:t>
            </w:r>
          </w:p>
          <w:p w14:paraId="7230C1ED">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实验室设计机械排风系统，</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实验废气由操作台配备的排风系统收集后，</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通过</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集气管道</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送入楼顶</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活性炭吸附箱处理</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后排放，废气排放浓度须满足</w:t>
            </w:r>
            <w:r>
              <w:rPr>
                <w:rFonts w:hint="default" w:ascii="Times New Roman" w:hAnsi="Times New Roman" w:eastAsia="仿宋_GB2312" w:cs="Times New Roman"/>
                <w:b w:val="0"/>
                <w:bCs w:val="0"/>
                <w:caps/>
                <w:color w:val="000000" w:themeColor="text1"/>
                <w:kern w:val="2"/>
                <w:sz w:val="32"/>
                <w:szCs w:val="32"/>
                <w:lang w:val="en-US" w:eastAsia="zh-CN" w:bidi="ar-SA"/>
                <w14:textFill>
                  <w14:solidFill>
                    <w14:schemeClr w14:val="tx1"/>
                  </w14:solidFill>
                </w14:textFill>
              </w:rPr>
              <w:t>《大气污染物综合排放标准》（GB16297-1996）表2</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中无组织排放监控浓度限值。</w:t>
            </w:r>
          </w:p>
          <w:p w14:paraId="56D885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水环境污染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防治措施</w:t>
            </w:r>
          </w:p>
          <w:p w14:paraId="1BC7CFE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strike w:val="0"/>
                <w:dstrike w:val="0"/>
                <w:color w:val="000000" w:themeColor="text1"/>
                <w:sz w:val="32"/>
                <w:szCs w:val="32"/>
                <w:highlight w:val="none"/>
                <w:lang w:val="en-US" w:eastAsia="zh-CN"/>
                <w14:textFill>
                  <w14:solidFill>
                    <w14:schemeClr w14:val="tx1"/>
                  </w14:solidFill>
                </w14:textFill>
              </w:rPr>
              <w:t>实验废水经酸碱中和池处理后，与生活污水一同进入</w:t>
            </w:r>
            <w:r>
              <w:rPr>
                <w:rFonts w:hint="default" w:ascii="Times New Roman" w:hAnsi="Times New Roman" w:eastAsia="仿宋_GB2312" w:cs="Times New Roman"/>
                <w:b w:val="0"/>
                <w:bCs w:val="0"/>
                <w:strike w:val="0"/>
                <w:dstrike w:val="0"/>
                <w:color w:val="000000" w:themeColor="text1"/>
                <w:sz w:val="32"/>
                <w:szCs w:val="32"/>
                <w:highlight w:val="none"/>
                <w14:textFill>
                  <w14:solidFill>
                    <w14:schemeClr w14:val="tx1"/>
                  </w14:solidFill>
                </w14:textFill>
              </w:rPr>
              <w:t>化粪池</w:t>
            </w:r>
            <w:r>
              <w:rPr>
                <w:rFonts w:hint="default" w:ascii="Times New Roman" w:hAnsi="Times New Roman" w:eastAsia="仿宋_GB2312" w:cs="Times New Roman"/>
                <w:b w:val="0"/>
                <w:bCs w:val="0"/>
                <w:strike w:val="0"/>
                <w:dstrike w:val="0"/>
                <w:color w:val="000000" w:themeColor="text1"/>
                <w:sz w:val="32"/>
                <w:szCs w:val="32"/>
                <w:highlight w:val="none"/>
                <w:lang w:val="en-US" w:eastAsia="zh-CN"/>
                <w14:textFill>
                  <w14:solidFill>
                    <w14:schemeClr w14:val="tx1"/>
                  </w14:solidFill>
                </w14:textFill>
              </w:rPr>
              <w:t>处</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理达标后，排入市政污水管网进入中卫市清源供排水有限公司污水处理厂处理。</w:t>
            </w:r>
          </w:p>
          <w:p w14:paraId="5CD5ECA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bidi="en-US"/>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固体废物处置</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措施</w:t>
            </w:r>
          </w:p>
          <w:p w14:paraId="3B25260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过期试剂、沾染危险化学试剂的一次性实验用具、废试剂瓶、废活性炭</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等危险废物</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收集后暂存于危废贮存间</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，定期交由有危废处理资质的单位统一处理；生活垃圾和</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未沾染危险化学试剂的破损玻璃器皿、破损导线等耗材</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集中收集后交由当地环卫部门进行处置。</w:t>
            </w:r>
          </w:p>
          <w:p w14:paraId="5C0A291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（四）</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噪声</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污染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防治措施</w:t>
            </w:r>
          </w:p>
          <w:p w14:paraId="0E98612B">
            <w:pPr>
              <w:pStyle w:val="2"/>
              <w:keepNext w:val="0"/>
              <w:keepLines w:val="0"/>
              <w:pageBreakBefore w:val="0"/>
              <w:widowControl w:val="0"/>
              <w:kinsoku/>
              <w:wordWrap w:val="0"/>
              <w:overflowPunct/>
              <w:topLinePunct w:val="0"/>
              <w:autoSpaceDE/>
              <w:autoSpaceDN/>
              <w:bidi w:val="0"/>
              <w:adjustRightInd/>
              <w:snapToGrid/>
              <w:spacing w:line="440" w:lineRule="exact"/>
              <w:ind w:leftChars="0" w:firstLine="3168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合理布局，选用低噪声设备，</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在风机进出口设置柔性接头，通过基础减震、安装隔音玻璃、墙体阻隔、距离衰减</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等措施，</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界噪声须</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满足</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《工业企业厂界环境噪声排放标准》</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GB12348-2008</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中</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类标准要求。</w:t>
            </w:r>
          </w:p>
          <w:p w14:paraId="58A221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（五）</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环境管理措施</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及生态保护</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措施</w:t>
            </w:r>
          </w:p>
          <w:p w14:paraId="1568F7D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建立健全环境管理制度，落实环保岗位责任，</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做好</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环境管理台账记录；严格落实地下水污染防治措施，严格按照防渗要求做好分区防渗；加强环境管理，</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严格落实《报告</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》中提出的风险防范措施，并严格按照项目运营期环境监测计划一览表定期进行监测。</w:t>
            </w:r>
          </w:p>
        </w:tc>
      </w:tr>
    </w:tbl>
    <w:p w14:paraId="1D97AB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p>
    <w:p w14:paraId="4D949656">
      <w:pPr>
        <w:pStyle w:val="13"/>
        <w:keepNext w:val="0"/>
        <w:keepLines w:val="0"/>
        <w:pageBreakBefore w:val="0"/>
        <w:widowControl/>
        <w:kinsoku/>
        <w:overflowPunct/>
        <w:topLinePunct w:val="0"/>
        <w:autoSpaceDE/>
        <w:autoSpaceDN/>
        <w:bidi w:val="0"/>
        <w:adjustRightInd/>
        <w:snapToGrid/>
        <w:spacing w:beforeAutospacing="0" w:afterAutospacing="0" w:line="400" w:lineRule="exact"/>
        <w:ind w:firstLine="641"/>
        <w:textAlignment w:val="auto"/>
        <w:rPr>
          <w:rFonts w:hint="default" w:ascii="Times New Roman" w:hAnsi="Times New Roman" w:eastAsia="仿宋_GB2312" w:cs="Times New Roman"/>
          <w:sz w:val="32"/>
          <w:szCs w:val="32"/>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F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0866D"/>
    <w:multiLevelType w:val="singleLevel"/>
    <w:tmpl w:val="E360866D"/>
    <w:lvl w:ilvl="0" w:tentative="0">
      <w:start w:val="4"/>
      <w:numFmt w:val="chineseCounting"/>
      <w:suff w:val="nothing"/>
      <w:lvlText w:val="（%1）"/>
      <w:lvlJc w:val="left"/>
      <w:rPr>
        <w:rFonts w:hint="eastAsia"/>
      </w:rPr>
    </w:lvl>
  </w:abstractNum>
  <w:abstractNum w:abstractNumId="1">
    <w:nsid w:val="EE20C7ED"/>
    <w:multiLevelType w:val="singleLevel"/>
    <w:tmpl w:val="EE20C7E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MGFlNTdlZjkzNjdlYzUyMzQ3OTY0OTRlZmU5N2IifQ=="/>
  </w:docVars>
  <w:rsids>
    <w:rsidRoot w:val="34F26FE8"/>
    <w:rsid w:val="003600A3"/>
    <w:rsid w:val="00907702"/>
    <w:rsid w:val="00AD7338"/>
    <w:rsid w:val="00DA5C53"/>
    <w:rsid w:val="00E645F8"/>
    <w:rsid w:val="017163D1"/>
    <w:rsid w:val="01977413"/>
    <w:rsid w:val="019B2831"/>
    <w:rsid w:val="01BC3179"/>
    <w:rsid w:val="020D3871"/>
    <w:rsid w:val="02247ACE"/>
    <w:rsid w:val="02B80216"/>
    <w:rsid w:val="02EE3499"/>
    <w:rsid w:val="0313544C"/>
    <w:rsid w:val="035902E9"/>
    <w:rsid w:val="03AF0689"/>
    <w:rsid w:val="045D1075"/>
    <w:rsid w:val="04811782"/>
    <w:rsid w:val="053242B0"/>
    <w:rsid w:val="053A13B6"/>
    <w:rsid w:val="0557490A"/>
    <w:rsid w:val="055B6402"/>
    <w:rsid w:val="0633208D"/>
    <w:rsid w:val="066352CE"/>
    <w:rsid w:val="06693D01"/>
    <w:rsid w:val="069E4E1B"/>
    <w:rsid w:val="06D82C35"/>
    <w:rsid w:val="06FD4865"/>
    <w:rsid w:val="070B300A"/>
    <w:rsid w:val="072440CC"/>
    <w:rsid w:val="072E6CF9"/>
    <w:rsid w:val="0760588E"/>
    <w:rsid w:val="07742F87"/>
    <w:rsid w:val="07832BA1"/>
    <w:rsid w:val="0796093E"/>
    <w:rsid w:val="07AE141F"/>
    <w:rsid w:val="07C925B8"/>
    <w:rsid w:val="08BD20E2"/>
    <w:rsid w:val="094055DE"/>
    <w:rsid w:val="09992D89"/>
    <w:rsid w:val="09A62AD4"/>
    <w:rsid w:val="09BA2701"/>
    <w:rsid w:val="09DC2A3C"/>
    <w:rsid w:val="0B187AA4"/>
    <w:rsid w:val="0B6C0FD1"/>
    <w:rsid w:val="0B756CA4"/>
    <w:rsid w:val="0C002C4A"/>
    <w:rsid w:val="0CD80A61"/>
    <w:rsid w:val="0D165B9F"/>
    <w:rsid w:val="0E0764FF"/>
    <w:rsid w:val="0E8826AD"/>
    <w:rsid w:val="0E8A0CB9"/>
    <w:rsid w:val="0EA855E3"/>
    <w:rsid w:val="0EFB1BB6"/>
    <w:rsid w:val="0F104CEB"/>
    <w:rsid w:val="0F2B5443"/>
    <w:rsid w:val="0F5F3552"/>
    <w:rsid w:val="0F687C02"/>
    <w:rsid w:val="0F8F5D51"/>
    <w:rsid w:val="0FE03CE6"/>
    <w:rsid w:val="10B62239"/>
    <w:rsid w:val="11001706"/>
    <w:rsid w:val="11B524F0"/>
    <w:rsid w:val="11EE5A02"/>
    <w:rsid w:val="12415CEB"/>
    <w:rsid w:val="12AB05FE"/>
    <w:rsid w:val="12BC165D"/>
    <w:rsid w:val="12CC7BC5"/>
    <w:rsid w:val="12E6616C"/>
    <w:rsid w:val="12ED1816"/>
    <w:rsid w:val="130231FA"/>
    <w:rsid w:val="13CE7899"/>
    <w:rsid w:val="13D148D3"/>
    <w:rsid w:val="13EE0D22"/>
    <w:rsid w:val="14545E0C"/>
    <w:rsid w:val="147E1A93"/>
    <w:rsid w:val="148F142E"/>
    <w:rsid w:val="14956609"/>
    <w:rsid w:val="14BC1F34"/>
    <w:rsid w:val="163F4A7E"/>
    <w:rsid w:val="16B2369D"/>
    <w:rsid w:val="16DF5EDC"/>
    <w:rsid w:val="171A1540"/>
    <w:rsid w:val="17575DF8"/>
    <w:rsid w:val="17685603"/>
    <w:rsid w:val="183B63F2"/>
    <w:rsid w:val="185A5BA0"/>
    <w:rsid w:val="18876269"/>
    <w:rsid w:val="18FE652B"/>
    <w:rsid w:val="19A83F9E"/>
    <w:rsid w:val="19D23E96"/>
    <w:rsid w:val="19FB32D0"/>
    <w:rsid w:val="1A7A7E33"/>
    <w:rsid w:val="1A930EF5"/>
    <w:rsid w:val="1A9A04D5"/>
    <w:rsid w:val="1AA32E0D"/>
    <w:rsid w:val="1ACF5D3D"/>
    <w:rsid w:val="1B487F31"/>
    <w:rsid w:val="1BAD5FE6"/>
    <w:rsid w:val="1BB47375"/>
    <w:rsid w:val="1C4C57FF"/>
    <w:rsid w:val="1CF739BD"/>
    <w:rsid w:val="1D3A2B25"/>
    <w:rsid w:val="1D5514AC"/>
    <w:rsid w:val="1D5A6E1C"/>
    <w:rsid w:val="1D7440AA"/>
    <w:rsid w:val="1EE95587"/>
    <w:rsid w:val="1EF26B32"/>
    <w:rsid w:val="1EFF124F"/>
    <w:rsid w:val="1F1A746F"/>
    <w:rsid w:val="1F422EEA"/>
    <w:rsid w:val="1F6B41EE"/>
    <w:rsid w:val="204C29A0"/>
    <w:rsid w:val="209E791B"/>
    <w:rsid w:val="20A0579D"/>
    <w:rsid w:val="20A420AE"/>
    <w:rsid w:val="215F3C1B"/>
    <w:rsid w:val="21FB79D4"/>
    <w:rsid w:val="224D6757"/>
    <w:rsid w:val="22877591"/>
    <w:rsid w:val="22DD2570"/>
    <w:rsid w:val="23576CFB"/>
    <w:rsid w:val="23DC4733"/>
    <w:rsid w:val="248C3262"/>
    <w:rsid w:val="24AD1486"/>
    <w:rsid w:val="24CF3471"/>
    <w:rsid w:val="25B05051"/>
    <w:rsid w:val="25D01A77"/>
    <w:rsid w:val="26AB5818"/>
    <w:rsid w:val="26B50445"/>
    <w:rsid w:val="26BE72FA"/>
    <w:rsid w:val="26C32B62"/>
    <w:rsid w:val="26FD1F37"/>
    <w:rsid w:val="27D51A97"/>
    <w:rsid w:val="27EC6201"/>
    <w:rsid w:val="28441A80"/>
    <w:rsid w:val="28503734"/>
    <w:rsid w:val="287D475E"/>
    <w:rsid w:val="28DB4970"/>
    <w:rsid w:val="294E1C48"/>
    <w:rsid w:val="2965711F"/>
    <w:rsid w:val="299A22A0"/>
    <w:rsid w:val="29FC6AB7"/>
    <w:rsid w:val="2B0F281A"/>
    <w:rsid w:val="2B214C73"/>
    <w:rsid w:val="2B6C5576"/>
    <w:rsid w:val="2B8E1990"/>
    <w:rsid w:val="2BAC6E14"/>
    <w:rsid w:val="2C610E53"/>
    <w:rsid w:val="2C666077"/>
    <w:rsid w:val="2CA84CD4"/>
    <w:rsid w:val="2CBC5ED2"/>
    <w:rsid w:val="2CD935E2"/>
    <w:rsid w:val="2D6C4AD7"/>
    <w:rsid w:val="2D99461C"/>
    <w:rsid w:val="2DA72631"/>
    <w:rsid w:val="2DBB2E42"/>
    <w:rsid w:val="2E026666"/>
    <w:rsid w:val="2EC92CDF"/>
    <w:rsid w:val="2F7C5A5D"/>
    <w:rsid w:val="300A1801"/>
    <w:rsid w:val="301D62BF"/>
    <w:rsid w:val="308B06ED"/>
    <w:rsid w:val="30F85AFE"/>
    <w:rsid w:val="311C359A"/>
    <w:rsid w:val="31B12094"/>
    <w:rsid w:val="31D2634F"/>
    <w:rsid w:val="31D71BB7"/>
    <w:rsid w:val="31E340B8"/>
    <w:rsid w:val="31F2079F"/>
    <w:rsid w:val="32266D1E"/>
    <w:rsid w:val="3230232C"/>
    <w:rsid w:val="325B0D62"/>
    <w:rsid w:val="32A0644D"/>
    <w:rsid w:val="32C861D6"/>
    <w:rsid w:val="334119DE"/>
    <w:rsid w:val="34F26FE8"/>
    <w:rsid w:val="35150D11"/>
    <w:rsid w:val="351F2803"/>
    <w:rsid w:val="35BC4B46"/>
    <w:rsid w:val="3633464F"/>
    <w:rsid w:val="368C0EAE"/>
    <w:rsid w:val="368F7963"/>
    <w:rsid w:val="36E711CA"/>
    <w:rsid w:val="37485FCA"/>
    <w:rsid w:val="37702892"/>
    <w:rsid w:val="378332AD"/>
    <w:rsid w:val="37883FC6"/>
    <w:rsid w:val="37A96833"/>
    <w:rsid w:val="37B95F7A"/>
    <w:rsid w:val="382174F0"/>
    <w:rsid w:val="38CF3B52"/>
    <w:rsid w:val="39161217"/>
    <w:rsid w:val="39646D5D"/>
    <w:rsid w:val="399D36E6"/>
    <w:rsid w:val="39EF6D0B"/>
    <w:rsid w:val="39F72DF7"/>
    <w:rsid w:val="3A3E3410"/>
    <w:rsid w:val="3A552DAA"/>
    <w:rsid w:val="3A941AAE"/>
    <w:rsid w:val="3AD413C5"/>
    <w:rsid w:val="3B2A389F"/>
    <w:rsid w:val="3B436316"/>
    <w:rsid w:val="3B6E533A"/>
    <w:rsid w:val="3B7434BE"/>
    <w:rsid w:val="3B930BF8"/>
    <w:rsid w:val="3BFD046C"/>
    <w:rsid w:val="3C1F09B0"/>
    <w:rsid w:val="3C591B47"/>
    <w:rsid w:val="3CEF4259"/>
    <w:rsid w:val="3D016A1B"/>
    <w:rsid w:val="3D153BD8"/>
    <w:rsid w:val="3D6466F9"/>
    <w:rsid w:val="3D827D7F"/>
    <w:rsid w:val="3DC456E6"/>
    <w:rsid w:val="3E612F34"/>
    <w:rsid w:val="3F5E56C6"/>
    <w:rsid w:val="3F984734"/>
    <w:rsid w:val="401C35B7"/>
    <w:rsid w:val="409A44DC"/>
    <w:rsid w:val="41466412"/>
    <w:rsid w:val="42160E79"/>
    <w:rsid w:val="42616FB6"/>
    <w:rsid w:val="42DA02CE"/>
    <w:rsid w:val="42FB058D"/>
    <w:rsid w:val="432A5FEB"/>
    <w:rsid w:val="432B5BA5"/>
    <w:rsid w:val="436A4B29"/>
    <w:rsid w:val="43721740"/>
    <w:rsid w:val="43C95804"/>
    <w:rsid w:val="44511355"/>
    <w:rsid w:val="44A82AFB"/>
    <w:rsid w:val="45723E20"/>
    <w:rsid w:val="45927197"/>
    <w:rsid w:val="45BD4E21"/>
    <w:rsid w:val="45BE44EE"/>
    <w:rsid w:val="45C30031"/>
    <w:rsid w:val="46DD674E"/>
    <w:rsid w:val="47476ADD"/>
    <w:rsid w:val="479746A1"/>
    <w:rsid w:val="47F15329"/>
    <w:rsid w:val="48074B4D"/>
    <w:rsid w:val="48611E55"/>
    <w:rsid w:val="487E74FE"/>
    <w:rsid w:val="48E234FC"/>
    <w:rsid w:val="48FD73F3"/>
    <w:rsid w:val="491017DF"/>
    <w:rsid w:val="4B4B11F4"/>
    <w:rsid w:val="4B887D52"/>
    <w:rsid w:val="4B8E2E8F"/>
    <w:rsid w:val="4B957026"/>
    <w:rsid w:val="4C0A69B9"/>
    <w:rsid w:val="4C0C12DD"/>
    <w:rsid w:val="4C4D2F43"/>
    <w:rsid w:val="4CAC7CAA"/>
    <w:rsid w:val="4CC27294"/>
    <w:rsid w:val="4CFD207A"/>
    <w:rsid w:val="4D4E2E80"/>
    <w:rsid w:val="4D525AC0"/>
    <w:rsid w:val="4D9E1367"/>
    <w:rsid w:val="4DB7251F"/>
    <w:rsid w:val="4DC0429E"/>
    <w:rsid w:val="4DD40617"/>
    <w:rsid w:val="4DD8377A"/>
    <w:rsid w:val="4E434405"/>
    <w:rsid w:val="4E4C0A68"/>
    <w:rsid w:val="4E54216E"/>
    <w:rsid w:val="4E7310AB"/>
    <w:rsid w:val="4E8D742E"/>
    <w:rsid w:val="4E8F423A"/>
    <w:rsid w:val="4ECA2FB5"/>
    <w:rsid w:val="4ED866D6"/>
    <w:rsid w:val="4EFA0F67"/>
    <w:rsid w:val="4F70440B"/>
    <w:rsid w:val="513737E2"/>
    <w:rsid w:val="513E478E"/>
    <w:rsid w:val="51700341"/>
    <w:rsid w:val="51840FBC"/>
    <w:rsid w:val="51876B27"/>
    <w:rsid w:val="519B6306"/>
    <w:rsid w:val="51CC6EC1"/>
    <w:rsid w:val="5452714F"/>
    <w:rsid w:val="548F2152"/>
    <w:rsid w:val="54C24E95"/>
    <w:rsid w:val="54DD22F6"/>
    <w:rsid w:val="54F77CF7"/>
    <w:rsid w:val="552D54C7"/>
    <w:rsid w:val="55394F4F"/>
    <w:rsid w:val="557B041E"/>
    <w:rsid w:val="55C22555"/>
    <w:rsid w:val="55EC0170"/>
    <w:rsid w:val="55F14746"/>
    <w:rsid w:val="56E67FFC"/>
    <w:rsid w:val="56EA7D93"/>
    <w:rsid w:val="56FC33A3"/>
    <w:rsid w:val="573E1C0D"/>
    <w:rsid w:val="58317352"/>
    <w:rsid w:val="587D5821"/>
    <w:rsid w:val="588E1CBB"/>
    <w:rsid w:val="58D04AE7"/>
    <w:rsid w:val="59126EAD"/>
    <w:rsid w:val="5A3E3CD2"/>
    <w:rsid w:val="5A4E03B9"/>
    <w:rsid w:val="5ACF5CC4"/>
    <w:rsid w:val="5C222CA6"/>
    <w:rsid w:val="5CB749BC"/>
    <w:rsid w:val="5CD15E21"/>
    <w:rsid w:val="5CFC1658"/>
    <w:rsid w:val="5D5F43EF"/>
    <w:rsid w:val="5E6C1861"/>
    <w:rsid w:val="5E8B1BDC"/>
    <w:rsid w:val="5EBA108B"/>
    <w:rsid w:val="5ED372FB"/>
    <w:rsid w:val="5F2275C5"/>
    <w:rsid w:val="5F445625"/>
    <w:rsid w:val="5F51094D"/>
    <w:rsid w:val="5F715882"/>
    <w:rsid w:val="5F8C2C3A"/>
    <w:rsid w:val="5FE5356E"/>
    <w:rsid w:val="60875AA0"/>
    <w:rsid w:val="60890469"/>
    <w:rsid w:val="60B30F76"/>
    <w:rsid w:val="60C72AAD"/>
    <w:rsid w:val="60CF51DF"/>
    <w:rsid w:val="610A2B60"/>
    <w:rsid w:val="612754C0"/>
    <w:rsid w:val="61913B54"/>
    <w:rsid w:val="61CE508D"/>
    <w:rsid w:val="62090ABF"/>
    <w:rsid w:val="621A4583"/>
    <w:rsid w:val="62261C1B"/>
    <w:rsid w:val="62726F96"/>
    <w:rsid w:val="63116428"/>
    <w:rsid w:val="63305B9F"/>
    <w:rsid w:val="63897EDA"/>
    <w:rsid w:val="639162DE"/>
    <w:rsid w:val="63AD3924"/>
    <w:rsid w:val="64652837"/>
    <w:rsid w:val="64A86918"/>
    <w:rsid w:val="64B90B25"/>
    <w:rsid w:val="64B96E71"/>
    <w:rsid w:val="64D911C7"/>
    <w:rsid w:val="64EF7314"/>
    <w:rsid w:val="65096757"/>
    <w:rsid w:val="651F1636"/>
    <w:rsid w:val="65634EC4"/>
    <w:rsid w:val="65C00FEB"/>
    <w:rsid w:val="663761A5"/>
    <w:rsid w:val="66723681"/>
    <w:rsid w:val="66774239"/>
    <w:rsid w:val="66C84152"/>
    <w:rsid w:val="6714083F"/>
    <w:rsid w:val="67FC7D68"/>
    <w:rsid w:val="68476448"/>
    <w:rsid w:val="68552394"/>
    <w:rsid w:val="68684D3C"/>
    <w:rsid w:val="68C77CB4"/>
    <w:rsid w:val="68E436A7"/>
    <w:rsid w:val="699D27C3"/>
    <w:rsid w:val="6A07719C"/>
    <w:rsid w:val="6A2B6021"/>
    <w:rsid w:val="6A3D18F3"/>
    <w:rsid w:val="6A5B488F"/>
    <w:rsid w:val="6AC30FE4"/>
    <w:rsid w:val="6B5B46E4"/>
    <w:rsid w:val="6B982B45"/>
    <w:rsid w:val="6BC24763"/>
    <w:rsid w:val="6C3A0656"/>
    <w:rsid w:val="6CAC61C2"/>
    <w:rsid w:val="6D042B59"/>
    <w:rsid w:val="6D580D3A"/>
    <w:rsid w:val="6D633D24"/>
    <w:rsid w:val="6D943EDD"/>
    <w:rsid w:val="6DFC6A35"/>
    <w:rsid w:val="6E331948"/>
    <w:rsid w:val="6E690CD6"/>
    <w:rsid w:val="6EBC06F4"/>
    <w:rsid w:val="6F0D03EB"/>
    <w:rsid w:val="6F4216DC"/>
    <w:rsid w:val="6FCF744E"/>
    <w:rsid w:val="6FF46EB5"/>
    <w:rsid w:val="702324A5"/>
    <w:rsid w:val="70235CAC"/>
    <w:rsid w:val="715E4F2E"/>
    <w:rsid w:val="71771B4C"/>
    <w:rsid w:val="71BE59CD"/>
    <w:rsid w:val="723E111D"/>
    <w:rsid w:val="72691DDC"/>
    <w:rsid w:val="72E57503"/>
    <w:rsid w:val="731437B8"/>
    <w:rsid w:val="736102C3"/>
    <w:rsid w:val="73FE2024"/>
    <w:rsid w:val="760A7432"/>
    <w:rsid w:val="76242E62"/>
    <w:rsid w:val="767D5E56"/>
    <w:rsid w:val="76C450FA"/>
    <w:rsid w:val="76D57A40"/>
    <w:rsid w:val="76EB4163"/>
    <w:rsid w:val="7771703D"/>
    <w:rsid w:val="77C27899"/>
    <w:rsid w:val="77C43611"/>
    <w:rsid w:val="77D623AA"/>
    <w:rsid w:val="785E75C1"/>
    <w:rsid w:val="787578B0"/>
    <w:rsid w:val="787C5C9A"/>
    <w:rsid w:val="78A552D4"/>
    <w:rsid w:val="790D4A2F"/>
    <w:rsid w:val="79877399"/>
    <w:rsid w:val="79F6234E"/>
    <w:rsid w:val="7A102B3D"/>
    <w:rsid w:val="7A124B07"/>
    <w:rsid w:val="7A7579C6"/>
    <w:rsid w:val="7B1342CC"/>
    <w:rsid w:val="7BF30969"/>
    <w:rsid w:val="7BF32717"/>
    <w:rsid w:val="7C06069C"/>
    <w:rsid w:val="7C080A39"/>
    <w:rsid w:val="7C72598F"/>
    <w:rsid w:val="7DE92023"/>
    <w:rsid w:val="7E2748F9"/>
    <w:rsid w:val="7E3E035F"/>
    <w:rsid w:val="7E7A0ECD"/>
    <w:rsid w:val="7EFD65B5"/>
    <w:rsid w:val="7F4C286A"/>
    <w:rsid w:val="7F737DF6"/>
    <w:rsid w:val="7FC927C8"/>
    <w:rsid w:val="7FDB2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autoRedefine/>
    <w:semiHidden/>
    <w:qFormat/>
    <w:uiPriority w:val="0"/>
    <w:pPr>
      <w:spacing w:beforeAutospacing="1" w:afterAutospacing="1"/>
      <w:jc w:val="left"/>
      <w:outlineLvl w:val="1"/>
    </w:pPr>
    <w:rPr>
      <w:rFonts w:ascii="宋体" w:hAnsi="宋体"/>
      <w:b/>
      <w:kern w:val="0"/>
      <w:sz w:val="36"/>
      <w:szCs w:val="36"/>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customStyle="1" w:styleId="2">
    <w:name w:val="正文（缩进）"/>
    <w:basedOn w:val="3"/>
    <w:autoRedefine/>
    <w:qFormat/>
    <w:uiPriority w:val="0"/>
    <w:pPr>
      <w:spacing w:line="360" w:lineRule="auto"/>
      <w:ind w:firstLine="480" w:firstLineChars="200"/>
    </w:pPr>
    <w:rPr>
      <w:sz w:val="24"/>
      <w:szCs w:val="24"/>
    </w:rPr>
  </w:style>
  <w:style w:type="paragraph" w:customStyle="1" w:styleId="3">
    <w:name w:val="正文(首行缩进)"/>
    <w:basedOn w:val="1"/>
    <w:autoRedefine/>
    <w:qFormat/>
    <w:uiPriority w:val="0"/>
    <w:pPr>
      <w:spacing w:line="460" w:lineRule="exact"/>
      <w:ind w:firstLine="560" w:firstLineChars="200"/>
    </w:pPr>
    <w:rPr>
      <w:rFonts w:ascii="宋体" w:hAnsi="宋体"/>
      <w:snapToGrid w:val="0"/>
      <w:color w:val="000000"/>
      <w:kern w:val="0"/>
      <w:szCs w:val="24"/>
    </w:rPr>
  </w:style>
  <w:style w:type="paragraph" w:styleId="6">
    <w:name w:val="Normal Indent"/>
    <w:basedOn w:val="1"/>
    <w:autoRedefine/>
    <w:qFormat/>
    <w:uiPriority w:val="0"/>
    <w:pPr>
      <w:ind w:firstLine="420" w:firstLineChars="200"/>
    </w:pPr>
  </w:style>
  <w:style w:type="paragraph" w:styleId="7">
    <w:name w:val="Body Text Indent"/>
    <w:basedOn w:val="1"/>
    <w:next w:val="8"/>
    <w:autoRedefine/>
    <w:qFormat/>
    <w:uiPriority w:val="0"/>
    <w:pPr>
      <w:snapToGrid w:val="0"/>
      <w:spacing w:before="120" w:line="360" w:lineRule="atLeast"/>
      <w:ind w:firstLine="539"/>
    </w:pPr>
  </w:style>
  <w:style w:type="paragraph" w:styleId="8">
    <w:name w:val="Body Text First Indent 2"/>
    <w:basedOn w:val="7"/>
    <w:next w:val="1"/>
    <w:autoRedefine/>
    <w:qFormat/>
    <w:uiPriority w:val="0"/>
    <w:pPr>
      <w:ind w:firstLine="420" w:firstLineChars="200"/>
    </w:pPr>
  </w:style>
  <w:style w:type="paragraph" w:styleId="9">
    <w:name w:val="Plain Text"/>
    <w:basedOn w:val="1"/>
    <w:next w:val="10"/>
    <w:autoRedefine/>
    <w:qFormat/>
    <w:uiPriority w:val="0"/>
    <w:rPr>
      <w:rFonts w:ascii="宋体" w:hAnsi="Courier New"/>
    </w:rPr>
  </w:style>
  <w:style w:type="paragraph" w:styleId="10">
    <w:name w:val="toc 1"/>
    <w:basedOn w:val="1"/>
    <w:next w:val="1"/>
    <w:autoRedefine/>
    <w:qFormat/>
    <w:uiPriority w:val="0"/>
  </w:style>
  <w:style w:type="paragraph" w:styleId="11">
    <w:name w:val="footer"/>
    <w:basedOn w:val="1"/>
    <w:autoRedefine/>
    <w:qFormat/>
    <w:uiPriority w:val="0"/>
    <w:pPr>
      <w:tabs>
        <w:tab w:val="center" w:pos="4153"/>
        <w:tab w:val="right" w:pos="8306"/>
      </w:tabs>
      <w:snapToGrid w:val="0"/>
      <w:jc w:val="left"/>
    </w:pPr>
    <w:rPr>
      <w:rFonts w:ascii="Calibri" w:hAnsi="Calibri" w:cs="Calibri"/>
      <w:sz w:val="18"/>
      <w:szCs w:val="18"/>
    </w:rPr>
  </w:style>
  <w:style w:type="paragraph" w:styleId="12">
    <w:name w:val="Body Text 2"/>
    <w:basedOn w:val="1"/>
    <w:autoRedefine/>
    <w:qFormat/>
    <w:uiPriority w:val="0"/>
    <w:pPr>
      <w:spacing w:after="120" w:line="480" w:lineRule="auto"/>
    </w:pPr>
  </w:style>
  <w:style w:type="paragraph" w:styleId="13">
    <w:name w:val="Normal (Web)"/>
    <w:basedOn w:val="1"/>
    <w:autoRedefine/>
    <w:qFormat/>
    <w:uiPriority w:val="0"/>
    <w:pPr>
      <w:spacing w:beforeAutospacing="1" w:afterAutospacing="1"/>
      <w:jc w:val="left"/>
    </w:pPr>
    <w:rPr>
      <w:kern w:val="0"/>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rFonts w:cs="Times New Roman"/>
      <w:b/>
    </w:rPr>
  </w:style>
  <w:style w:type="paragraph" w:customStyle="1" w:styleId="18">
    <w:name w:val="表格"/>
    <w:basedOn w:val="6"/>
    <w:next w:val="1"/>
    <w:autoRedefine/>
    <w:qFormat/>
    <w:uiPriority w:val="0"/>
    <w:pPr>
      <w:spacing w:line="240" w:lineRule="atLeast"/>
      <w:jc w:val="center"/>
    </w:pPr>
  </w:style>
  <w:style w:type="paragraph" w:customStyle="1" w:styleId="19">
    <w:name w:val="表头"/>
    <w:basedOn w:val="9"/>
    <w:next w:val="1"/>
    <w:autoRedefine/>
    <w:qFormat/>
    <w:uiPriority w:val="0"/>
    <w:pPr>
      <w:snapToGrid w:val="0"/>
      <w:spacing w:before="60" w:beforeLines="25"/>
    </w:pPr>
    <w:rPr>
      <w:rFonts w:hAnsi="宋体" w:eastAsia="仿宋_GB2312"/>
      <w:b/>
      <w:sz w:val="28"/>
      <w:szCs w:val="28"/>
    </w:rPr>
  </w:style>
  <w:style w:type="paragraph" w:customStyle="1" w:styleId="20">
    <w:name w:val="表格2"/>
    <w:next w:val="12"/>
    <w:autoRedefine/>
    <w:qFormat/>
    <w:uiPriority w:val="0"/>
    <w:pPr>
      <w:widowControl/>
      <w:jc w:val="center"/>
    </w:pPr>
    <w:rPr>
      <w:rFonts w:ascii="Times New Roman" w:hAnsi="Courier New" w:eastAsia="宋体" w:cs="Courier New"/>
      <w:color w:val="000000"/>
      <w:sz w:val="24"/>
      <w:szCs w:val="24"/>
      <w:lang w:val="en-US" w:eastAsia="zh-CN" w:bidi="ar-SA"/>
    </w:rPr>
  </w:style>
  <w:style w:type="paragraph" w:customStyle="1" w:styleId="2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p0"/>
    <w:basedOn w:val="1"/>
    <w:autoRedefine/>
    <w:qFormat/>
    <w:uiPriority w:val="0"/>
    <w:pPr>
      <w:widowControl/>
    </w:pPr>
    <w:rPr>
      <w:kern w:val="0"/>
      <w:szCs w:val="21"/>
    </w:rPr>
  </w:style>
  <w:style w:type="paragraph" w:customStyle="1" w:styleId="23">
    <w:name w:val="报告表正文"/>
    <w:basedOn w:val="1"/>
    <w:autoRedefine/>
    <w:qFormat/>
    <w:uiPriority w:val="0"/>
    <w:pPr>
      <w:overflowPunct w:val="0"/>
      <w:adjustRightInd w:val="0"/>
      <w:snapToGrid w:val="0"/>
      <w:spacing w:line="360" w:lineRule="auto"/>
      <w:ind w:firstLine="200" w:firstLineChars="200"/>
    </w:pPr>
    <w:rPr>
      <w:rFonts w:ascii="Times New Roman" w:hAnsi="Times New Roman" w:eastAsia="仿宋_GB2312"/>
      <w:color w:val="000000"/>
      <w:kern w:val="16"/>
      <w:sz w:val="24"/>
      <w:szCs w:val="24"/>
    </w:rPr>
  </w:style>
  <w:style w:type="paragraph" w:customStyle="1" w:styleId="24">
    <w:name w:val="样式 正文缩进正文缩进2正文缩进 Char Char正文缩进 Char Char Char Char正文缩进 Char ..."/>
    <w:basedOn w:val="6"/>
    <w:autoRedefine/>
    <w:qFormat/>
    <w:uiPriority w:val="0"/>
    <w:pPr>
      <w:spacing w:line="360" w:lineRule="auto"/>
      <w:ind w:firstLine="200"/>
    </w:pPr>
    <w:rPr>
      <w:rFonts w:cs="宋体"/>
      <w:sz w:val="24"/>
    </w:rPr>
  </w:style>
  <w:style w:type="paragraph" w:customStyle="1" w:styleId="2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2840</Words>
  <Characters>3003</Characters>
  <Lines>0</Lines>
  <Paragraphs>0</Paragraphs>
  <TotalTime>0</TotalTime>
  <ScaleCrop>false</ScaleCrop>
  <LinksUpToDate>false</LinksUpToDate>
  <CharactersWithSpaces>3082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2020-08-05T07:22:00Z</dcterms:created>
  <dc:creator>鱼儿</dc:creator>
  <cp:lastModifiedBy>鱼儿</cp:lastModifiedBy>
  <cp:lastPrinted>2024-01-29T08:07:00Z</cp:lastPrinted>
  <dcterms:modified xsi:type="dcterms:W3CDTF">2025-11-28T07:52:57Z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520C81DA3F364CB98B7175746C5928F2</vt:lpwstr>
  </property>
  <property fmtid="{D5CDD505-2E9C-101B-9397-08002B2CF9AE}" pid="4" name="KSOTemplateDocerSaveRecord">
    <vt:lpwstr>eyJoZGlkIjoiZTY5MGFlNTdlZjkzNjdlYzUyMzQ3OTY0OTRlZmU5N2IiLCJ1c2VySWQiOiI0NjI0MTY4NzQifQ==</vt:lpwstr>
  </property>
</Properties>
</file>