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B2EF9E">
      <w:pPr>
        <w:pStyle w:val="22"/>
        <w:ind w:left="0" w:leftChars="0" w:firstLine="0" w:firstLineChars="0"/>
        <w:rPr>
          <w:rFonts w:hint="default" w:eastAsia="宋体"/>
          <w:color w:val="000000" w:themeColor="text1"/>
          <w:lang w:val="en-US" w:eastAsia="zh-CN"/>
          <w14:textFill>
            <w14:solidFill>
              <w14:schemeClr w14:val="tx1"/>
            </w14:solidFill>
          </w14:textFill>
        </w:rPr>
      </w:pPr>
    </w:p>
    <w:p w14:paraId="5B844ECD">
      <w:pPr>
        <w:rPr>
          <w:color w:val="000000" w:themeColor="text1"/>
          <w14:textFill>
            <w14:solidFill>
              <w14:schemeClr w14:val="tx1"/>
            </w14:solidFill>
          </w14:textFill>
        </w:rPr>
      </w:pPr>
    </w:p>
    <w:p w14:paraId="024ACD93">
      <w:pPr>
        <w:rPr>
          <w:color w:val="000000" w:themeColor="text1"/>
          <w14:textFill>
            <w14:solidFill>
              <w14:schemeClr w14:val="tx1"/>
            </w14:solidFill>
          </w14:textFill>
        </w:rPr>
      </w:pPr>
    </w:p>
    <w:p w14:paraId="016A3D99">
      <w:pPr>
        <w:rPr>
          <w:color w:val="000000" w:themeColor="text1"/>
          <w14:textFill>
            <w14:solidFill>
              <w14:schemeClr w14:val="tx1"/>
            </w14:solidFill>
          </w14:textFill>
        </w:rPr>
      </w:pPr>
    </w:p>
    <w:p w14:paraId="090878A7">
      <w:pPr>
        <w:keepLines w:val="0"/>
        <w:pageBreakBefore w:val="0"/>
        <w:widowControl/>
        <w:kinsoku/>
        <w:wordWrap/>
        <w:overflowPunct/>
        <w:topLinePunct w:val="0"/>
        <w:autoSpaceDE/>
        <w:autoSpaceDN/>
        <w:bidi w:val="0"/>
        <w:adjustRightInd w:val="0"/>
        <w:snapToGrid w:val="0"/>
        <w:ind w:left="0" w:leftChars="0" w:firstLine="0" w:firstLineChars="0"/>
        <w:jc w:val="center"/>
        <w:outlineLvl w:val="0"/>
        <w:rPr>
          <w:rFonts w:hint="eastAsia" w:ascii="方正小标宋_GBK" w:eastAsia="方正小标宋_GBK"/>
          <w:bCs/>
          <w:color w:val="000000" w:themeColor="text1"/>
          <w:sz w:val="72"/>
          <w:szCs w:val="72"/>
          <w14:textFill>
            <w14:solidFill>
              <w14:schemeClr w14:val="tx1"/>
            </w14:solidFill>
          </w14:textFill>
        </w:rPr>
      </w:pPr>
      <w:r>
        <w:rPr>
          <w:rFonts w:hint="eastAsia" w:ascii="方正小标宋_GBK" w:eastAsia="方正小标宋_GBK"/>
          <w:bCs/>
          <w:color w:val="000000" w:themeColor="text1"/>
          <w:sz w:val="72"/>
          <w:szCs w:val="72"/>
          <w14:textFill>
            <w14:solidFill>
              <w14:schemeClr w14:val="tx1"/>
            </w14:solidFill>
          </w14:textFill>
        </w:rPr>
        <w:t>建设项目环境影响报告表</w:t>
      </w:r>
    </w:p>
    <w:p w14:paraId="533BCD74">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r>
        <w:rPr>
          <w:rFonts w:hint="eastAsia" w:ascii="楷体_GB2312" w:eastAsia="楷体_GB2312"/>
          <w:bCs/>
          <w:color w:val="000000" w:themeColor="text1"/>
          <w:sz w:val="48"/>
          <w:szCs w:val="48"/>
          <w14:textFill>
            <w14:solidFill>
              <w14:schemeClr w14:val="tx1"/>
            </w14:solidFill>
          </w14:textFill>
        </w:rPr>
        <w:t>（生态影响类）</w:t>
      </w:r>
      <w:bookmarkStart w:id="0" w:name="_Hlk57883728"/>
    </w:p>
    <w:p w14:paraId="21B6D007">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p w14:paraId="0F123756">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p w14:paraId="316C273C">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p w14:paraId="681AD540">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p w14:paraId="117079D9">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p w14:paraId="38055E92">
      <w:pPr>
        <w:keepLines w:val="0"/>
        <w:pageBreakBefore w:val="0"/>
        <w:widowControl/>
        <w:kinsoku/>
        <w:wordWrap/>
        <w:overflowPunct/>
        <w:topLinePunct w:val="0"/>
        <w:autoSpaceDE/>
        <w:autoSpaceDN/>
        <w:bidi w:val="0"/>
        <w:adjustRightInd w:val="0"/>
        <w:snapToGrid w:val="0"/>
        <w:spacing w:before="372" w:beforeLines="80"/>
        <w:jc w:val="center"/>
        <w:rPr>
          <w:rFonts w:hint="eastAsia" w:ascii="楷体_GB2312" w:eastAsia="楷体_GB2312"/>
          <w:bCs/>
          <w:color w:val="000000" w:themeColor="text1"/>
          <w:sz w:val="48"/>
          <w:szCs w:val="48"/>
          <w14:textFill>
            <w14:solidFill>
              <w14:schemeClr w14:val="tx1"/>
            </w14:solidFill>
          </w14:textFill>
        </w:rPr>
      </w:pPr>
    </w:p>
    <w:bookmarkEnd w:id="0"/>
    <w:p w14:paraId="2444BD01">
      <w:pPr>
        <w:adjustRightInd w:val="0"/>
        <w:snapToGrid w:val="0"/>
        <w:spacing w:line="288" w:lineRule="auto"/>
        <w:ind w:left="2632" w:hanging="2429" w:hangingChars="700"/>
        <w:rPr>
          <w:rFonts w:hint="eastAsia" w:eastAsia="仿宋_GB2312"/>
          <w:color w:val="000000" w:themeColor="text1"/>
          <w:sz w:val="36"/>
          <w:szCs w:val="36"/>
          <w:u w:val="single"/>
          <w:lang w:eastAsia="zh-CN"/>
          <w14:textFill>
            <w14:solidFill>
              <w14:schemeClr w14:val="tx1"/>
            </w14:solidFill>
          </w14:textFill>
        </w:rPr>
      </w:pPr>
      <w:r>
        <w:rPr>
          <w:rFonts w:hint="eastAsia" w:eastAsia="仿宋_GB2312"/>
          <w:color w:val="000000" w:themeColor="text1"/>
          <w:sz w:val="36"/>
          <w:szCs w:val="36"/>
          <w14:textFill>
            <w14:solidFill>
              <w14:schemeClr w14:val="tx1"/>
            </w14:solidFill>
          </w14:textFill>
        </w:rPr>
        <w:t>项目名称：</w:t>
      </w:r>
      <w:r>
        <w:rPr>
          <w:rFonts w:hint="eastAsia" w:eastAsia="仿宋_GB2312"/>
          <w:color w:val="000000" w:themeColor="text1"/>
          <w:sz w:val="36"/>
          <w:szCs w:val="36"/>
          <w:u w:val="single"/>
          <w:lang w:eastAsia="zh-CN"/>
          <w14:textFill>
            <w14:solidFill>
              <w14:schemeClr w14:val="tx1"/>
            </w14:solidFill>
          </w14:textFill>
        </w:rPr>
        <w:t>中卫市沙坡头区迎水桥等镇历史遗留废弃矿</w:t>
      </w:r>
    </w:p>
    <w:p w14:paraId="75B3A99B">
      <w:pPr>
        <w:adjustRightInd w:val="0"/>
        <w:snapToGrid w:val="0"/>
        <w:spacing w:line="288" w:lineRule="auto"/>
        <w:ind w:left="2464" w:leftChars="780" w:hanging="694" w:hangingChars="200"/>
        <w:rPr>
          <w:rFonts w:hint="default" w:eastAsia="仿宋_GB2312"/>
          <w:color w:val="000000" w:themeColor="text1"/>
          <w:sz w:val="36"/>
          <w:szCs w:val="36"/>
          <w:u w:val="single"/>
          <w:lang w:val="en-US" w:eastAsia="zh-CN"/>
          <w14:textFill>
            <w14:solidFill>
              <w14:schemeClr w14:val="tx1"/>
            </w14:solidFill>
          </w14:textFill>
        </w:rPr>
      </w:pPr>
      <w:r>
        <w:rPr>
          <w:rFonts w:hint="eastAsia" w:eastAsia="仿宋_GB2312"/>
          <w:color w:val="000000" w:themeColor="text1"/>
          <w:sz w:val="36"/>
          <w:szCs w:val="36"/>
          <w:u w:val="single"/>
          <w:lang w:val="en-US" w:eastAsia="zh-CN"/>
          <w14:textFill>
            <w14:solidFill>
              <w14:schemeClr w14:val="tx1"/>
            </w14:solidFill>
          </w14:textFill>
        </w:rPr>
        <w:t xml:space="preserve">            </w:t>
      </w:r>
      <w:r>
        <w:rPr>
          <w:rFonts w:hint="eastAsia" w:eastAsia="仿宋_GB2312"/>
          <w:color w:val="000000" w:themeColor="text1"/>
          <w:sz w:val="36"/>
          <w:szCs w:val="36"/>
          <w:u w:val="single"/>
          <w:lang w:eastAsia="zh-CN"/>
          <w14:textFill>
            <w14:solidFill>
              <w14:schemeClr w14:val="tx1"/>
            </w14:solidFill>
          </w14:textFill>
        </w:rPr>
        <w:t>山恢复治理项目</w:t>
      </w:r>
      <w:r>
        <w:rPr>
          <w:rFonts w:hint="eastAsia" w:eastAsia="仿宋_GB2312"/>
          <w:color w:val="000000" w:themeColor="text1"/>
          <w:sz w:val="36"/>
          <w:szCs w:val="36"/>
          <w:u w:val="single"/>
          <w:lang w:val="en-US" w:eastAsia="zh-CN"/>
          <w14:textFill>
            <w14:solidFill>
              <w14:schemeClr w14:val="tx1"/>
            </w14:solidFill>
          </w14:textFill>
        </w:rPr>
        <w:t xml:space="preserve">            </w:t>
      </w:r>
    </w:p>
    <w:p w14:paraId="432CFAD3">
      <w:pPr>
        <w:adjustRightInd w:val="0"/>
        <w:snapToGrid w:val="0"/>
        <w:spacing w:line="288" w:lineRule="auto"/>
        <w:ind w:left="1884" w:hanging="1735" w:hangingChars="500"/>
        <w:rPr>
          <w:rFonts w:eastAsia="仿宋_GB2312"/>
          <w:color w:val="000000" w:themeColor="text1"/>
          <w:sz w:val="36"/>
          <w:szCs w:val="36"/>
          <w14:textFill>
            <w14:solidFill>
              <w14:schemeClr w14:val="tx1"/>
            </w14:solidFill>
          </w14:textFill>
        </w:rPr>
      </w:pPr>
      <w:r>
        <w:rPr>
          <w:rFonts w:hint="eastAsia" w:eastAsia="仿宋_GB2312"/>
          <w:color w:val="000000" w:themeColor="text1"/>
          <w:sz w:val="36"/>
          <w:szCs w:val="36"/>
          <w14:textFill>
            <w14:solidFill>
              <w14:schemeClr w14:val="tx1"/>
            </w14:solidFill>
          </w14:textFill>
        </w:rPr>
        <w:t>建设单位（盖章）：</w:t>
      </w:r>
      <w:r>
        <w:rPr>
          <w:rFonts w:hint="eastAsia" w:eastAsia="仿宋_GB2312"/>
          <w:color w:val="000000" w:themeColor="text1"/>
          <w:sz w:val="36"/>
          <w:szCs w:val="36"/>
          <w:u w:val="single"/>
          <w14:textFill>
            <w14:solidFill>
              <w14:schemeClr w14:val="tx1"/>
            </w14:solidFill>
          </w14:textFill>
        </w:rPr>
        <w:t xml:space="preserve">   中卫市沙坡头区自然资源局   </w:t>
      </w:r>
    </w:p>
    <w:p w14:paraId="5DAF95FD">
      <w:pPr>
        <w:adjustRightInd w:val="0"/>
        <w:snapToGrid w:val="0"/>
        <w:spacing w:line="288" w:lineRule="auto"/>
        <w:ind w:left="1884" w:hanging="1735" w:hangingChars="500"/>
        <w:rPr>
          <w:rFonts w:eastAsia="仿宋_GB2312"/>
          <w:color w:val="000000" w:themeColor="text1"/>
          <w:sz w:val="36"/>
          <w:szCs w:val="36"/>
          <w14:textFill>
            <w14:solidFill>
              <w14:schemeClr w14:val="tx1"/>
            </w14:solidFill>
          </w14:textFill>
        </w:rPr>
      </w:pPr>
      <w:r>
        <w:rPr>
          <w:rFonts w:hint="eastAsia" w:eastAsia="仿宋_GB2312"/>
          <w:color w:val="000000" w:themeColor="text1"/>
          <w:sz w:val="36"/>
          <w:szCs w:val="36"/>
          <w14:textFill>
            <w14:solidFill>
              <w14:schemeClr w14:val="tx1"/>
            </w14:solidFill>
          </w14:textFill>
        </w:rPr>
        <w:t>编制日期：</w:t>
      </w:r>
      <w:r>
        <w:rPr>
          <w:rFonts w:hint="eastAsia" w:eastAsia="仿宋_GB2312"/>
          <w:color w:val="000000" w:themeColor="text1"/>
          <w:sz w:val="36"/>
          <w:szCs w:val="36"/>
          <w:u w:val="single"/>
          <w14:textFill>
            <w14:solidFill>
              <w14:schemeClr w14:val="tx1"/>
            </w14:solidFill>
          </w14:textFill>
        </w:rPr>
        <w:t xml:space="preserve">            202</w:t>
      </w:r>
      <w:r>
        <w:rPr>
          <w:rFonts w:hint="eastAsia" w:eastAsia="仿宋_GB2312"/>
          <w:color w:val="000000" w:themeColor="text1"/>
          <w:sz w:val="36"/>
          <w:szCs w:val="36"/>
          <w:u w:val="single"/>
          <w:lang w:val="en-US" w:eastAsia="zh-CN"/>
          <w14:textFill>
            <w14:solidFill>
              <w14:schemeClr w14:val="tx1"/>
            </w14:solidFill>
          </w14:textFill>
        </w:rPr>
        <w:t>5</w:t>
      </w:r>
      <w:r>
        <w:rPr>
          <w:rFonts w:hint="eastAsia" w:eastAsia="仿宋_GB2312"/>
          <w:color w:val="000000" w:themeColor="text1"/>
          <w:sz w:val="36"/>
          <w:szCs w:val="36"/>
          <w:u w:val="single"/>
          <w14:textFill>
            <w14:solidFill>
              <w14:schemeClr w14:val="tx1"/>
            </w14:solidFill>
          </w14:textFill>
        </w:rPr>
        <w:t>年</w:t>
      </w:r>
      <w:r>
        <w:rPr>
          <w:rFonts w:hint="eastAsia" w:eastAsia="仿宋_GB2312"/>
          <w:color w:val="000000" w:themeColor="text1"/>
          <w:sz w:val="36"/>
          <w:szCs w:val="36"/>
          <w:u w:val="single"/>
          <w:lang w:val="en-US" w:eastAsia="zh-CN"/>
          <w14:textFill>
            <w14:solidFill>
              <w14:schemeClr w14:val="tx1"/>
            </w14:solidFill>
          </w14:textFill>
        </w:rPr>
        <w:t>5</w:t>
      </w:r>
      <w:r>
        <w:rPr>
          <w:rFonts w:hint="eastAsia" w:eastAsia="仿宋_GB2312"/>
          <w:color w:val="000000" w:themeColor="text1"/>
          <w:sz w:val="36"/>
          <w:szCs w:val="36"/>
          <w:u w:val="single"/>
          <w14:textFill>
            <w14:solidFill>
              <w14:schemeClr w14:val="tx1"/>
            </w14:solidFill>
          </w14:textFill>
        </w:rPr>
        <w:t xml:space="preserve">月                </w:t>
      </w:r>
    </w:p>
    <w:p w14:paraId="5F28D86D">
      <w:pPr>
        <w:adjustRightInd w:val="0"/>
        <w:snapToGrid w:val="0"/>
        <w:spacing w:line="288" w:lineRule="auto"/>
        <w:rPr>
          <w:rFonts w:eastAsia="仿宋_GB2312"/>
          <w:color w:val="000000" w:themeColor="text1"/>
          <w:sz w:val="36"/>
          <w:szCs w:val="36"/>
          <w14:textFill>
            <w14:solidFill>
              <w14:schemeClr w14:val="tx1"/>
            </w14:solidFill>
          </w14:textFill>
        </w:rPr>
      </w:pPr>
    </w:p>
    <w:p w14:paraId="399C2304">
      <w:pPr>
        <w:adjustRightInd w:val="0"/>
        <w:snapToGrid w:val="0"/>
        <w:spacing w:line="288" w:lineRule="auto"/>
        <w:jc w:val="center"/>
        <w:rPr>
          <w:rFonts w:eastAsia="楷体_GB2312"/>
          <w:color w:val="000000" w:themeColor="text1"/>
          <w:sz w:val="36"/>
          <w:szCs w:val="36"/>
          <w14:textFill>
            <w14:solidFill>
              <w14:schemeClr w14:val="tx1"/>
            </w14:solidFill>
          </w14:textFill>
        </w:rPr>
      </w:pPr>
      <w:r>
        <w:rPr>
          <w:rFonts w:eastAsia="楷体_GB2312"/>
          <w:color w:val="000000" w:themeColor="text1"/>
          <w:sz w:val="36"/>
          <w:szCs w:val="36"/>
          <w14:textFill>
            <w14:solidFill>
              <w14:schemeClr w14:val="tx1"/>
            </w14:solidFill>
          </w14:textFill>
        </w:rPr>
        <w:t>中华人民共和国生态环境部制</w:t>
      </w:r>
    </w:p>
    <w:p w14:paraId="3DCDCE38">
      <w:pPr>
        <w:adjustRightInd w:val="0"/>
        <w:snapToGrid w:val="0"/>
        <w:spacing w:line="288" w:lineRule="auto"/>
        <w:ind w:firstLine="1040"/>
        <w:rPr>
          <w:rFonts w:eastAsia="仿宋_GB2312"/>
          <w:color w:val="000000" w:themeColor="text1"/>
          <w:sz w:val="36"/>
          <w:szCs w:val="36"/>
          <w14:textFill>
            <w14:solidFill>
              <w14:schemeClr w14:val="tx1"/>
            </w14:solidFill>
          </w14:textFill>
        </w:rPr>
        <w:sectPr>
          <w:footerReference r:id="rId5" w:type="default"/>
          <w:footerReference r:id="rId6" w:type="even"/>
          <w:pgSz w:w="11905" w:h="16838"/>
          <w:pgMar w:top="1417" w:right="850" w:bottom="1417" w:left="1417" w:header="851" w:footer="964" w:gutter="0"/>
          <w:pgBorders>
            <w:top w:val="none" w:sz="0" w:space="0"/>
            <w:left w:val="none" w:sz="0" w:space="0"/>
            <w:bottom w:val="none" w:sz="0" w:space="0"/>
            <w:right w:val="none" w:sz="0" w:space="0"/>
          </w:pgBorders>
          <w:pgNumType w:fmt="numberInDash" w:start="21"/>
          <w:cols w:space="720" w:num="1"/>
          <w:rtlGutter w:val="0"/>
          <w:docGrid w:type="linesAndChars" w:linePitch="466" w:charSpace="-2709"/>
        </w:sectPr>
      </w:pPr>
    </w:p>
    <w:p w14:paraId="4FECB0C3">
      <w:pPr>
        <w:pStyle w:val="4"/>
        <w:bidi w:val="0"/>
        <w:rPr>
          <w:color w:val="000000" w:themeColor="text1"/>
          <w14:textFill>
            <w14:solidFill>
              <w14:schemeClr w14:val="tx1"/>
            </w14:solidFill>
          </w14:textFill>
        </w:rPr>
      </w:pPr>
      <w:r>
        <w:rPr>
          <w:color w:val="000000" w:themeColor="text1"/>
          <w14:textFill>
            <w14:solidFill>
              <w14:schemeClr w14:val="tx1"/>
            </w14:solidFill>
          </w14:textFill>
        </w:rPr>
        <w:t>一、建设项目基本情况</w:t>
      </w:r>
    </w:p>
    <w:tbl>
      <w:tblPr>
        <w:tblStyle w:val="27"/>
        <w:tblW w:w="93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33"/>
        <w:gridCol w:w="3136"/>
        <w:gridCol w:w="2238"/>
        <w:gridCol w:w="2795"/>
      </w:tblGrid>
      <w:tr w14:paraId="2A50A6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33" w:type="dxa"/>
            <w:noWrap w:val="0"/>
            <w:tcMar>
              <w:top w:w="16" w:type="dxa"/>
              <w:left w:w="16" w:type="dxa"/>
              <w:right w:w="16" w:type="dxa"/>
            </w:tcMar>
            <w:vAlign w:val="center"/>
          </w:tcPr>
          <w:p w14:paraId="34F28377">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建设项目名称</w:t>
            </w:r>
          </w:p>
        </w:tc>
        <w:tc>
          <w:tcPr>
            <w:tcW w:w="8169" w:type="dxa"/>
            <w:gridSpan w:val="3"/>
            <w:noWrap w:val="0"/>
            <w:vAlign w:val="center"/>
          </w:tcPr>
          <w:p w14:paraId="2F5F9382">
            <w:pPr>
              <w:keepNext w:val="0"/>
              <w:keepLines w:val="0"/>
              <w:pageBreakBefore w:val="0"/>
              <w:kinsoku/>
              <w:wordWrap/>
              <w:overflowPunct/>
              <w:topLinePunct w:val="0"/>
              <w:bidi w:val="0"/>
              <w:adjustRightInd/>
              <w:snapToGrid/>
              <w:ind w:firstLine="0" w:firstLineChars="0"/>
              <w:jc w:val="center"/>
              <w:textAlignment w:val="auto"/>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中卫市沙坡头区迎水桥等镇历史遗留废弃矿山恢复治理项目</w:t>
            </w:r>
          </w:p>
        </w:tc>
      </w:tr>
      <w:tr w14:paraId="6BD5A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1133" w:type="dxa"/>
            <w:noWrap w:val="0"/>
            <w:tcMar>
              <w:top w:w="16" w:type="dxa"/>
              <w:left w:w="16" w:type="dxa"/>
              <w:right w:w="16" w:type="dxa"/>
            </w:tcMar>
            <w:vAlign w:val="center"/>
          </w:tcPr>
          <w:p w14:paraId="2883E71B">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项目代码</w:t>
            </w:r>
          </w:p>
        </w:tc>
        <w:tc>
          <w:tcPr>
            <w:tcW w:w="8169" w:type="dxa"/>
            <w:gridSpan w:val="3"/>
            <w:noWrap w:val="0"/>
            <w:vAlign w:val="center"/>
          </w:tcPr>
          <w:p w14:paraId="650FC316">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2303-640502-15-05-487140</w:t>
            </w:r>
          </w:p>
        </w:tc>
      </w:tr>
      <w:tr w14:paraId="560E4B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133" w:type="dxa"/>
            <w:noWrap w:val="0"/>
            <w:tcMar>
              <w:top w:w="16" w:type="dxa"/>
              <w:left w:w="16" w:type="dxa"/>
              <w:right w:w="16" w:type="dxa"/>
            </w:tcMar>
            <w:vAlign w:val="center"/>
          </w:tcPr>
          <w:p w14:paraId="7CA99994">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建设单位联系人</w:t>
            </w:r>
          </w:p>
        </w:tc>
        <w:tc>
          <w:tcPr>
            <w:tcW w:w="3136" w:type="dxa"/>
            <w:noWrap w:val="0"/>
            <w:vAlign w:val="center"/>
          </w:tcPr>
          <w:p w14:paraId="208CEB50">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s="Times New Roman"/>
                <w:color w:val="000000" w:themeColor="text1"/>
                <w:sz w:val="24"/>
                <w14:textFill>
                  <w14:solidFill>
                    <w14:schemeClr w14:val="tx1"/>
                  </w14:solidFill>
                </w14:textFill>
              </w:rPr>
              <w:t>吕亚东</w:t>
            </w:r>
          </w:p>
        </w:tc>
        <w:tc>
          <w:tcPr>
            <w:tcW w:w="2238" w:type="dxa"/>
            <w:noWrap w:val="0"/>
            <w:vAlign w:val="center"/>
          </w:tcPr>
          <w:p w14:paraId="36B0EBDB">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b/>
                <w:bCs/>
                <w:color w:val="000000" w:themeColor="text1"/>
                <w:sz w:val="24"/>
                <w14:textFill>
                  <w14:solidFill>
                    <w14:schemeClr w14:val="tx1"/>
                  </w14:solidFill>
                </w14:textFill>
              </w:rPr>
              <w:t>联系方式</w:t>
            </w:r>
          </w:p>
        </w:tc>
        <w:tc>
          <w:tcPr>
            <w:tcW w:w="2795" w:type="dxa"/>
            <w:noWrap w:val="0"/>
            <w:vAlign w:val="center"/>
          </w:tcPr>
          <w:p w14:paraId="129CDABA">
            <w:pPr>
              <w:keepNext w:val="0"/>
              <w:keepLines w:val="0"/>
              <w:pageBreakBefore w:val="0"/>
              <w:kinsoku/>
              <w:wordWrap/>
              <w:overflowPunct/>
              <w:topLinePunct w:val="0"/>
              <w:bidi w:val="0"/>
              <w:adjustRightInd/>
              <w:snapToGrid/>
              <w:ind w:firstLine="0" w:firstLineChars="0"/>
              <w:jc w:val="center"/>
              <w:textAlignment w:val="auto"/>
              <w:rPr>
                <w:rFonts w:hint="eastAsia" w:eastAsia="宋体"/>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w:t>
            </w:r>
            <w:bookmarkStart w:id="4" w:name="_GoBack"/>
            <w:bookmarkEnd w:id="4"/>
          </w:p>
        </w:tc>
      </w:tr>
      <w:tr w14:paraId="01B8D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133" w:type="dxa"/>
            <w:noWrap w:val="0"/>
            <w:tcMar>
              <w:top w:w="16" w:type="dxa"/>
              <w:left w:w="16" w:type="dxa"/>
              <w:right w:w="16" w:type="dxa"/>
            </w:tcMar>
            <w:vAlign w:val="center"/>
          </w:tcPr>
          <w:p w14:paraId="44F74660">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建设地点</w:t>
            </w:r>
          </w:p>
        </w:tc>
        <w:tc>
          <w:tcPr>
            <w:tcW w:w="8169" w:type="dxa"/>
            <w:gridSpan w:val="3"/>
            <w:noWrap w:val="0"/>
            <w:vAlign w:val="center"/>
          </w:tcPr>
          <w:p w14:paraId="1EAB5620">
            <w:pPr>
              <w:keepNext w:val="0"/>
              <w:keepLines w:val="0"/>
              <w:pageBreakBefore w:val="0"/>
              <w:widowControl/>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宁夏</w:t>
            </w:r>
            <w:r>
              <w:rPr>
                <w:rFonts w:hint="default" w:ascii="Times New Roman" w:hAnsi="Times New Roman" w:cs="Times New Roman"/>
                <w:color w:val="000000" w:themeColor="text1"/>
                <w:sz w:val="24"/>
                <w:szCs w:val="24"/>
                <w14:textFill>
                  <w14:solidFill>
                    <w14:schemeClr w14:val="tx1"/>
                  </w14:solidFill>
                </w14:textFill>
              </w:rPr>
              <w:t>省（自治区）</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中卫</w:t>
            </w:r>
            <w:r>
              <w:rPr>
                <w:rFonts w:hint="default" w:ascii="Times New Roman" w:hAnsi="Times New Roman" w:cs="Times New Roman"/>
                <w:color w:val="000000" w:themeColor="text1"/>
                <w:sz w:val="24"/>
                <w:szCs w:val="24"/>
                <w14:textFill>
                  <w14:solidFill>
                    <w14:schemeClr w14:val="tx1"/>
                  </w14:solidFill>
                </w14:textFill>
              </w:rPr>
              <w:t>市</w:t>
            </w:r>
            <w:r>
              <w:rPr>
                <w:rFonts w:hint="default" w:ascii="Times New Roman" w:hAnsi="Times New Roman" w:cs="Times New Roman"/>
                <w:color w:val="000000" w:themeColor="text1"/>
                <w:sz w:val="24"/>
                <w:szCs w:val="24"/>
                <w:u w:val="single"/>
                <w14:textFill>
                  <w14:solidFill>
                    <w14:schemeClr w14:val="tx1"/>
                  </w14:solidFill>
                </w14:textFill>
              </w:rPr>
              <w:t>沙坡头</w:t>
            </w:r>
            <w:r>
              <w:rPr>
                <w:rFonts w:hint="default" w:ascii="Times New Roman" w:hAnsi="Times New Roman" w:cs="Times New Roman"/>
                <w:color w:val="000000" w:themeColor="text1"/>
                <w:sz w:val="24"/>
                <w:szCs w:val="24"/>
                <w14:textFill>
                  <w14:solidFill>
                    <w14:schemeClr w14:val="tx1"/>
                  </w14:solidFill>
                </w14:textFill>
              </w:rPr>
              <w:t>（区）</w:t>
            </w:r>
            <w:r>
              <w:rPr>
                <w:rFonts w:hint="default" w:ascii="Times New Roman" w:hAnsi="Times New Roman" w:cs="Times New Roman"/>
                <w:color w:val="000000" w:themeColor="text1"/>
                <w:sz w:val="24"/>
                <w:szCs w:val="24"/>
                <w:u w:val="single"/>
                <w14:textFill>
                  <w14:solidFill>
                    <w14:schemeClr w14:val="tx1"/>
                  </w14:solidFill>
                </w14:textFill>
              </w:rPr>
              <w:t>东园镇、迎水桥镇、永康镇</w:t>
            </w:r>
            <w:r>
              <w:rPr>
                <w:rFonts w:hint="eastAsia" w:ascii="Times New Roman" w:hAnsi="Times New Roman" w:cs="Times New Roman"/>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szCs w:val="24"/>
                <w:u w:val="single"/>
                <w14:textFill>
                  <w14:solidFill>
                    <w14:schemeClr w14:val="tx1"/>
                  </w14:solidFill>
                </w14:textFill>
              </w:rPr>
              <w:t>常乐镇、兴仁镇</w:t>
            </w:r>
          </w:p>
        </w:tc>
      </w:tr>
      <w:tr w14:paraId="5D8D4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1133" w:type="dxa"/>
            <w:noWrap w:val="0"/>
            <w:tcMar>
              <w:top w:w="16" w:type="dxa"/>
              <w:left w:w="16" w:type="dxa"/>
              <w:right w:w="16" w:type="dxa"/>
            </w:tcMar>
            <w:vAlign w:val="center"/>
          </w:tcPr>
          <w:p w14:paraId="5AE82813">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地理坐标</w:t>
            </w:r>
          </w:p>
        </w:tc>
        <w:tc>
          <w:tcPr>
            <w:tcW w:w="8169" w:type="dxa"/>
            <w:gridSpan w:val="3"/>
            <w:noWrap w:val="0"/>
            <w:vAlign w:val="center"/>
          </w:tcPr>
          <w:p w14:paraId="1E536A7D">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DK-01</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19</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30.119</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40</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23.563</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52D95DCD">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DK-02</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104</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58</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20.40</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1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41.144</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32DDB2A1">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DK-03</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104</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56</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8.77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1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44.579</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7D1F2305">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DK-04</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11</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49.45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4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26</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51.98</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7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4367D854">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DK-05</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16</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45.222</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28</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24.48</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2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213B48C9">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DK-06</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104</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59</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34.597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4.068</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p w14:paraId="4649E9DC">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DK-07</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105</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16</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21.199</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秒， </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37</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度</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0</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分</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33.320</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秒</w:t>
            </w:r>
          </w:p>
        </w:tc>
      </w:tr>
      <w:tr w14:paraId="2308F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15" w:hRule="atLeast"/>
          <w:jc w:val="center"/>
        </w:trPr>
        <w:tc>
          <w:tcPr>
            <w:tcW w:w="1133" w:type="dxa"/>
            <w:noWrap w:val="0"/>
            <w:tcMar>
              <w:top w:w="16" w:type="dxa"/>
              <w:left w:w="16" w:type="dxa"/>
              <w:right w:w="16" w:type="dxa"/>
            </w:tcMar>
            <w:vAlign w:val="center"/>
          </w:tcPr>
          <w:p w14:paraId="17209A60">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建设项目</w:t>
            </w:r>
          </w:p>
          <w:p w14:paraId="12DA8F0E">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行业类别</w:t>
            </w:r>
          </w:p>
        </w:tc>
        <w:tc>
          <w:tcPr>
            <w:tcW w:w="3136" w:type="dxa"/>
            <w:noWrap w:val="0"/>
            <w:vAlign w:val="center"/>
          </w:tcPr>
          <w:p w14:paraId="186A6066">
            <w:pPr>
              <w:pStyle w:val="17"/>
              <w:keepNext w:val="0"/>
              <w:keepLines w:val="0"/>
              <w:pageBreakBefore w:val="0"/>
              <w:kinsoku/>
              <w:wordWrap/>
              <w:overflowPunct/>
              <w:topLinePunct w:val="0"/>
              <w:bidi w:val="0"/>
              <w:adjustRightInd/>
              <w:snapToGrid/>
              <w:ind w:firstLine="0" w:firstLineChars="0"/>
              <w:jc w:val="center"/>
              <w:textAlignment w:val="auto"/>
              <w:rPr>
                <w:rFonts w:hint="default" w:eastAsia="宋体"/>
                <w:color w:val="000000" w:themeColor="text1"/>
                <w:sz w:val="24"/>
                <w:szCs w:val="24"/>
                <w:lang w:val="en-US" w:eastAsia="zh-CN"/>
                <w14:textFill>
                  <w14:solidFill>
                    <w14:schemeClr w14:val="tx1"/>
                  </w14:solidFill>
                </w14:textFill>
              </w:rPr>
            </w:pPr>
            <w:r>
              <w:rPr>
                <w:rFonts w:hint="default" w:cs="Times New Roman"/>
                <w:color w:val="000000" w:themeColor="text1"/>
                <w:sz w:val="24"/>
                <w:szCs w:val="24"/>
                <w14:textFill>
                  <w14:solidFill>
                    <w14:schemeClr w14:val="tx1"/>
                  </w14:solidFill>
                </w14:textFill>
              </w:rPr>
              <w:t>八、非金属矿采选业1</w:t>
            </w:r>
            <w:r>
              <w:rPr>
                <w:rFonts w:hint="eastAsia" w:cs="Times New Roman"/>
                <w:color w:val="000000" w:themeColor="text1"/>
                <w:sz w:val="24"/>
                <w:szCs w:val="24"/>
                <w:lang w:val="en-US" w:eastAsia="zh-CN"/>
                <w14:textFill>
                  <w14:solidFill>
                    <w14:schemeClr w14:val="tx1"/>
                  </w14:solidFill>
                </w14:textFill>
              </w:rPr>
              <w:t>1</w:t>
            </w:r>
            <w:r>
              <w:rPr>
                <w:rFonts w:hint="default" w:cs="Times New Roman"/>
                <w:color w:val="000000" w:themeColor="text1"/>
                <w:sz w:val="24"/>
                <w:szCs w:val="24"/>
                <w14:textFill>
                  <w14:solidFill>
                    <w14:schemeClr w14:val="tx1"/>
                  </w14:solidFill>
                </w14:textFill>
              </w:rPr>
              <w:t>土砂石开采101(不含河道采砂项目)</w:t>
            </w:r>
          </w:p>
        </w:tc>
        <w:tc>
          <w:tcPr>
            <w:tcW w:w="2238" w:type="dxa"/>
            <w:noWrap w:val="0"/>
            <w:vAlign w:val="center"/>
          </w:tcPr>
          <w:p w14:paraId="5D4743E0">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用地（用海）面积（m</w:t>
            </w:r>
            <w:r>
              <w:rPr>
                <w:b/>
                <w:bCs/>
                <w:color w:val="000000" w:themeColor="text1"/>
                <w:sz w:val="24"/>
                <w:highlight w:val="none"/>
                <w:vertAlign w:val="superscript"/>
                <w14:textFill>
                  <w14:solidFill>
                    <w14:schemeClr w14:val="tx1"/>
                  </w14:solidFill>
                </w14:textFill>
              </w:rPr>
              <w:t>2</w:t>
            </w:r>
            <w:r>
              <w:rPr>
                <w:b/>
                <w:bCs/>
                <w:color w:val="000000" w:themeColor="text1"/>
                <w:sz w:val="24"/>
                <w:highlight w:val="none"/>
                <w14:textFill>
                  <w14:solidFill>
                    <w14:schemeClr w14:val="tx1"/>
                  </w14:solidFill>
                </w14:textFill>
              </w:rPr>
              <w:t>）/长度（km</w:t>
            </w:r>
            <w:r>
              <w:rPr>
                <w:color w:val="000000" w:themeColor="text1"/>
                <w:sz w:val="24"/>
                <w:highlight w:val="none"/>
                <w14:textFill>
                  <w14:solidFill>
                    <w14:schemeClr w14:val="tx1"/>
                  </w14:solidFill>
                </w14:textFill>
              </w:rPr>
              <w:t>）</w:t>
            </w:r>
          </w:p>
        </w:tc>
        <w:tc>
          <w:tcPr>
            <w:tcW w:w="2795" w:type="dxa"/>
            <w:noWrap w:val="0"/>
            <w:vAlign w:val="center"/>
          </w:tcPr>
          <w:p w14:paraId="51A90298">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cs="Times New Roman"/>
                <w:b w:val="0"/>
                <w:bCs w:val="0"/>
                <w:color w:val="000000" w:themeColor="text1"/>
                <w:sz w:val="24"/>
                <w:szCs w:val="24"/>
                <w:highlight w:val="none"/>
                <w:vertAlign w:val="superscript"/>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临时占地：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337800</w:t>
            </w:r>
            <w:r>
              <w:rPr>
                <w:rFonts w:hint="default" w:ascii="Times New Roman" w:hAnsi="Times New Roman" w:cs="Times New Roman"/>
                <w:b w:val="0"/>
                <w:bCs w:val="0"/>
                <w:color w:val="000000" w:themeColor="text1"/>
                <w:sz w:val="24"/>
                <w:szCs w:val="24"/>
                <w:highlight w:val="none"/>
                <w14:textFill>
                  <w14:solidFill>
                    <w14:schemeClr w14:val="tx1"/>
                  </w14:solidFill>
                </w14:textFill>
              </w:rPr>
              <w:t>m</w:t>
            </w:r>
            <w:r>
              <w:rPr>
                <w:rFonts w:hint="default" w:ascii="Times New Roman" w:hAnsi="Times New Roman" w:cs="Times New Roman"/>
                <w:b w:val="0"/>
                <w:bCs w:val="0"/>
                <w:color w:val="000000" w:themeColor="text1"/>
                <w:sz w:val="24"/>
                <w:szCs w:val="24"/>
                <w:highlight w:val="none"/>
                <w:vertAlign w:val="superscript"/>
                <w14:textFill>
                  <w14:solidFill>
                    <w14:schemeClr w14:val="tx1"/>
                  </w14:solidFill>
                </w14:textFill>
              </w:rPr>
              <w:t>2</w:t>
            </w:r>
          </w:p>
          <w:p w14:paraId="3984D8FC">
            <w:pPr>
              <w:keepNext w:val="0"/>
              <w:keepLines w:val="0"/>
              <w:pageBreakBefore w:val="0"/>
              <w:kinsoku/>
              <w:wordWrap/>
              <w:overflowPunct/>
              <w:topLinePunct w:val="0"/>
              <w:bidi w:val="0"/>
              <w:adjustRightInd/>
              <w:snapToGrid/>
              <w:ind w:firstLine="0" w:firstLineChars="0"/>
              <w:jc w:val="center"/>
              <w:textAlignment w:val="auto"/>
              <w:rPr>
                <w:rFonts w:hint="default"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highlight w:val="none"/>
                <w:lang w:val="en-US" w:eastAsia="zh-CN"/>
                <w14:textFill>
                  <w14:solidFill>
                    <w14:schemeClr w14:val="tx1"/>
                  </w14:solidFill>
                </w14:textFill>
              </w:rPr>
              <w:t>无永久占地</w:t>
            </w:r>
          </w:p>
        </w:tc>
      </w:tr>
      <w:tr w14:paraId="41B8EE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04" w:hRule="atLeast"/>
          <w:jc w:val="center"/>
        </w:trPr>
        <w:tc>
          <w:tcPr>
            <w:tcW w:w="1133" w:type="dxa"/>
            <w:noWrap w:val="0"/>
            <w:tcMar>
              <w:top w:w="16" w:type="dxa"/>
              <w:left w:w="16" w:type="dxa"/>
              <w:right w:w="16" w:type="dxa"/>
            </w:tcMar>
            <w:vAlign w:val="center"/>
          </w:tcPr>
          <w:p w14:paraId="6D6A40D2">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建设性质</w:t>
            </w:r>
          </w:p>
        </w:tc>
        <w:tc>
          <w:tcPr>
            <w:tcW w:w="3136" w:type="dxa"/>
            <w:noWrap w:val="0"/>
            <w:vAlign w:val="center"/>
          </w:tcPr>
          <w:p w14:paraId="03409055">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52"/>
            </w:r>
            <w:r>
              <w:rPr>
                <w:color w:val="000000" w:themeColor="text1"/>
                <w:sz w:val="24"/>
                <w14:textFill>
                  <w14:solidFill>
                    <w14:schemeClr w14:val="tx1"/>
                  </w14:solidFill>
                </w14:textFill>
              </w:rPr>
              <w:t>新建（迁建）</w:t>
            </w:r>
          </w:p>
          <w:p w14:paraId="55E3219A">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改建</w:t>
            </w:r>
          </w:p>
          <w:p w14:paraId="6C134154">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扩建</w:t>
            </w:r>
          </w:p>
          <w:p w14:paraId="5C7B6E4D">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技术改造</w:t>
            </w:r>
          </w:p>
        </w:tc>
        <w:tc>
          <w:tcPr>
            <w:tcW w:w="2238" w:type="dxa"/>
            <w:noWrap w:val="0"/>
            <w:vAlign w:val="center"/>
          </w:tcPr>
          <w:p w14:paraId="2C9A3DC1">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建设项目</w:t>
            </w:r>
          </w:p>
          <w:p w14:paraId="780DE252">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b/>
                <w:bCs/>
                <w:color w:val="000000" w:themeColor="text1"/>
                <w:sz w:val="24"/>
                <w14:textFill>
                  <w14:solidFill>
                    <w14:schemeClr w14:val="tx1"/>
                  </w14:solidFill>
                </w14:textFill>
              </w:rPr>
              <w:t>申报情形</w:t>
            </w:r>
          </w:p>
        </w:tc>
        <w:tc>
          <w:tcPr>
            <w:tcW w:w="2795" w:type="dxa"/>
            <w:noWrap w:val="0"/>
            <w:vAlign w:val="center"/>
          </w:tcPr>
          <w:p w14:paraId="20E5C9ED">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52"/>
            </w:r>
            <w:r>
              <w:rPr>
                <w:color w:val="000000" w:themeColor="text1"/>
                <w:sz w:val="24"/>
                <w14:textFill>
                  <w14:solidFill>
                    <w14:schemeClr w14:val="tx1"/>
                  </w14:solidFill>
                </w14:textFill>
              </w:rPr>
              <w:t>首次申报项目</w:t>
            </w:r>
          </w:p>
          <w:p w14:paraId="2A0C8BF5">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不予批准后再次申报项目</w:t>
            </w:r>
          </w:p>
          <w:p w14:paraId="3B6C091E">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超五年重新审核项目</w:t>
            </w:r>
          </w:p>
          <w:p w14:paraId="4C974862">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重大变动重新报批项目</w:t>
            </w:r>
          </w:p>
        </w:tc>
      </w:tr>
      <w:tr w14:paraId="4C73F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62" w:hRule="atLeast"/>
          <w:jc w:val="center"/>
        </w:trPr>
        <w:tc>
          <w:tcPr>
            <w:tcW w:w="1133" w:type="dxa"/>
            <w:noWrap w:val="0"/>
            <w:tcMar>
              <w:top w:w="16" w:type="dxa"/>
              <w:left w:w="16" w:type="dxa"/>
              <w:right w:w="16" w:type="dxa"/>
            </w:tcMar>
            <w:vAlign w:val="center"/>
          </w:tcPr>
          <w:p w14:paraId="028799E6">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项目审批（核准/</w:t>
            </w:r>
          </w:p>
          <w:p w14:paraId="1D01F0CB">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备案）部门（选填）</w:t>
            </w:r>
          </w:p>
        </w:tc>
        <w:tc>
          <w:tcPr>
            <w:tcW w:w="3136" w:type="dxa"/>
            <w:noWrap w:val="0"/>
            <w:vAlign w:val="center"/>
          </w:tcPr>
          <w:p w14:paraId="2B52D59D">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中卫市沙坡头区发展和改革局</w:t>
            </w:r>
          </w:p>
        </w:tc>
        <w:tc>
          <w:tcPr>
            <w:tcW w:w="2238" w:type="dxa"/>
            <w:noWrap w:val="0"/>
            <w:vAlign w:val="center"/>
          </w:tcPr>
          <w:p w14:paraId="6F295FB5">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项目审批（核准/</w:t>
            </w:r>
          </w:p>
          <w:p w14:paraId="045C4928">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备案）文号（选填）</w:t>
            </w:r>
          </w:p>
        </w:tc>
        <w:tc>
          <w:tcPr>
            <w:tcW w:w="2795" w:type="dxa"/>
            <w:noWrap w:val="0"/>
            <w:vAlign w:val="center"/>
          </w:tcPr>
          <w:p w14:paraId="790F396E">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卫沙发改(审批)发〔2023</w:t>
            </w:r>
            <w:r>
              <w:rPr>
                <w:rStyle w:val="33"/>
                <w:rFonts w:hint="eastAsia" w:ascii="宋体" w:hAnsi="宋体" w:cs="宋体"/>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178号</w:t>
            </w:r>
          </w:p>
        </w:tc>
      </w:tr>
      <w:tr w14:paraId="1D674D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1133" w:type="dxa"/>
            <w:noWrap w:val="0"/>
            <w:tcMar>
              <w:top w:w="16" w:type="dxa"/>
              <w:left w:w="16" w:type="dxa"/>
              <w:right w:w="16" w:type="dxa"/>
            </w:tcMar>
            <w:vAlign w:val="center"/>
          </w:tcPr>
          <w:p w14:paraId="14D45953">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总投资（万元）</w:t>
            </w:r>
          </w:p>
        </w:tc>
        <w:tc>
          <w:tcPr>
            <w:tcW w:w="3136" w:type="dxa"/>
            <w:noWrap w:val="0"/>
            <w:vAlign w:val="center"/>
          </w:tcPr>
          <w:p w14:paraId="1CC4F0F0">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397.63万元</w:t>
            </w:r>
          </w:p>
        </w:tc>
        <w:tc>
          <w:tcPr>
            <w:tcW w:w="2238" w:type="dxa"/>
            <w:noWrap w:val="0"/>
            <w:tcMar>
              <w:top w:w="16" w:type="dxa"/>
              <w:left w:w="16" w:type="dxa"/>
              <w:right w:w="16" w:type="dxa"/>
            </w:tcMar>
            <w:vAlign w:val="center"/>
          </w:tcPr>
          <w:p w14:paraId="22010535">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环保投资（万元）</w:t>
            </w:r>
          </w:p>
        </w:tc>
        <w:tc>
          <w:tcPr>
            <w:tcW w:w="2795" w:type="dxa"/>
            <w:noWrap w:val="0"/>
            <w:vAlign w:val="center"/>
          </w:tcPr>
          <w:p w14:paraId="11CD99E0">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397.63万元</w:t>
            </w:r>
          </w:p>
        </w:tc>
      </w:tr>
      <w:tr w14:paraId="346C79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1133" w:type="dxa"/>
            <w:noWrap w:val="0"/>
            <w:tcMar>
              <w:top w:w="16" w:type="dxa"/>
              <w:left w:w="16" w:type="dxa"/>
              <w:right w:w="16" w:type="dxa"/>
            </w:tcMar>
            <w:vAlign w:val="center"/>
          </w:tcPr>
          <w:p w14:paraId="09DB8E23">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环保投资占比（%）</w:t>
            </w:r>
          </w:p>
        </w:tc>
        <w:tc>
          <w:tcPr>
            <w:tcW w:w="3136" w:type="dxa"/>
            <w:noWrap w:val="0"/>
            <w:vAlign w:val="center"/>
          </w:tcPr>
          <w:p w14:paraId="3937305B">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100%</w:t>
            </w:r>
          </w:p>
        </w:tc>
        <w:tc>
          <w:tcPr>
            <w:tcW w:w="2238" w:type="dxa"/>
            <w:noWrap w:val="0"/>
            <w:tcMar>
              <w:top w:w="16" w:type="dxa"/>
              <w:left w:w="16" w:type="dxa"/>
              <w:right w:w="16" w:type="dxa"/>
            </w:tcMar>
            <w:vAlign w:val="center"/>
          </w:tcPr>
          <w:p w14:paraId="5C423AA4">
            <w:pPr>
              <w:keepNext w:val="0"/>
              <w:keepLines w:val="0"/>
              <w:pageBreakBefore w:val="0"/>
              <w:kinsoku/>
              <w:wordWrap/>
              <w:overflowPunct/>
              <w:topLinePunct w:val="0"/>
              <w:bidi w:val="0"/>
              <w:adjustRightInd/>
              <w:snapToGrid/>
              <w:ind w:firstLine="0" w:firstLineChars="0"/>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施工工期</w:t>
            </w:r>
          </w:p>
        </w:tc>
        <w:tc>
          <w:tcPr>
            <w:tcW w:w="2795" w:type="dxa"/>
            <w:noWrap w:val="0"/>
            <w:vAlign w:val="center"/>
          </w:tcPr>
          <w:p w14:paraId="5A1A6F8F">
            <w:pPr>
              <w:keepNext w:val="0"/>
              <w:keepLines w:val="0"/>
              <w:pageBreakBefore w:val="0"/>
              <w:kinsoku/>
              <w:wordWrap/>
              <w:overflowPunct/>
              <w:topLinePunct w:val="0"/>
              <w:bidi w:val="0"/>
              <w:adjustRightInd/>
              <w:snapToGrid/>
              <w:ind w:firstLine="0" w:firstLineChars="0"/>
              <w:jc w:val="center"/>
              <w:textAlignment w:val="auto"/>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4</w:t>
            </w:r>
            <w:r>
              <w:rPr>
                <w:color w:val="000000" w:themeColor="text1"/>
                <w:sz w:val="24"/>
                <w:highlight w:val="none"/>
                <w14:textFill>
                  <w14:solidFill>
                    <w14:schemeClr w14:val="tx1"/>
                  </w14:solidFill>
                </w14:textFill>
              </w:rPr>
              <w:t>个月</w:t>
            </w:r>
          </w:p>
        </w:tc>
      </w:tr>
      <w:tr w14:paraId="1B520A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133" w:type="dxa"/>
            <w:noWrap w:val="0"/>
            <w:tcMar>
              <w:top w:w="16" w:type="dxa"/>
              <w:left w:w="16" w:type="dxa"/>
              <w:right w:w="16" w:type="dxa"/>
            </w:tcMar>
            <w:vAlign w:val="center"/>
          </w:tcPr>
          <w:p w14:paraId="323C3CE1">
            <w:pPr>
              <w:keepNext w:val="0"/>
              <w:keepLines w:val="0"/>
              <w:pageBreakBefore w:val="0"/>
              <w:widowControl w:val="0"/>
              <w:kinsoku/>
              <w:wordWrap/>
              <w:overflowPunct/>
              <w:topLinePunct w:val="0"/>
              <w:bidi w:val="0"/>
              <w:adjustRightInd/>
              <w:snapToGrid/>
              <w:ind w:firstLine="0" w:firstLineChars="0"/>
              <w:jc w:val="center"/>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是否开工建设</w:t>
            </w:r>
          </w:p>
        </w:tc>
        <w:tc>
          <w:tcPr>
            <w:tcW w:w="8169" w:type="dxa"/>
            <w:gridSpan w:val="3"/>
            <w:noWrap w:val="0"/>
            <w:vAlign w:val="center"/>
          </w:tcPr>
          <w:p w14:paraId="704B4DA9">
            <w:pPr>
              <w:keepNext w:val="0"/>
              <w:keepLines w:val="0"/>
              <w:pageBreakBefore w:val="0"/>
              <w:kinsoku/>
              <w:wordWrap/>
              <w:overflowPunct/>
              <w:topLinePunct w:val="0"/>
              <w:bidi w:val="0"/>
              <w:adjustRightInd/>
              <w:snapToGrid/>
              <w:ind w:firstLine="0" w:firstLineChars="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52"/>
            </w:r>
            <w:r>
              <w:rPr>
                <w:color w:val="000000" w:themeColor="text1"/>
                <w:sz w:val="24"/>
                <w14:textFill>
                  <w14:solidFill>
                    <w14:schemeClr w14:val="tx1"/>
                  </w14:solidFill>
                </w14:textFill>
              </w:rPr>
              <w:t>否</w:t>
            </w:r>
          </w:p>
          <w:p w14:paraId="7905B33B">
            <w:pPr>
              <w:keepNext w:val="0"/>
              <w:keepLines w:val="0"/>
              <w:pageBreakBefore w:val="0"/>
              <w:kinsoku/>
              <w:wordWrap/>
              <w:overflowPunct/>
              <w:topLinePunct w:val="0"/>
              <w:bidi w:val="0"/>
              <w:adjustRightInd/>
              <w:snapToGrid/>
              <w:ind w:firstLine="0" w:firstLineChars="0"/>
              <w:jc w:val="left"/>
              <w:textAlignment w:val="auto"/>
              <w:rPr>
                <w:color w:val="000000" w:themeColor="text1"/>
                <w:sz w:val="24"/>
                <w14:textFill>
                  <w14:solidFill>
                    <w14:schemeClr w14:val="tx1"/>
                  </w14:solidFill>
                </w14:textFill>
              </w:rPr>
            </w:pPr>
            <w:r>
              <w:rPr>
                <w:color w:val="000000" w:themeColor="text1"/>
                <w:sz w:val="36"/>
                <w:szCs w:val="36"/>
                <w14:textFill>
                  <w14:solidFill>
                    <w14:schemeClr w14:val="tx1"/>
                  </w14:solidFill>
                </w14:textFill>
              </w:rPr>
              <w:t>□</w:t>
            </w:r>
            <w:r>
              <w:rPr>
                <w:color w:val="000000" w:themeColor="text1"/>
                <w:sz w:val="24"/>
                <w14:textFill>
                  <w14:solidFill>
                    <w14:schemeClr w14:val="tx1"/>
                  </w14:solidFill>
                </w14:textFill>
              </w:rPr>
              <w:t>是：</w:t>
            </w:r>
            <w:r>
              <w:rPr>
                <w:color w:val="000000" w:themeColor="text1"/>
                <w:sz w:val="24"/>
                <w:u w:val="single"/>
                <w14:textFill>
                  <w14:solidFill>
                    <w14:schemeClr w14:val="tx1"/>
                  </w14:solidFill>
                </w14:textFill>
              </w:rPr>
              <w:t xml:space="preserve">                             </w:t>
            </w:r>
          </w:p>
        </w:tc>
      </w:tr>
      <w:tr w14:paraId="787A1C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04" w:hRule="atLeast"/>
          <w:jc w:val="center"/>
        </w:trPr>
        <w:tc>
          <w:tcPr>
            <w:tcW w:w="1133" w:type="dxa"/>
            <w:noWrap w:val="0"/>
            <w:tcMar>
              <w:top w:w="16" w:type="dxa"/>
              <w:left w:w="16" w:type="dxa"/>
              <w:right w:w="16" w:type="dxa"/>
            </w:tcMar>
            <w:vAlign w:val="center"/>
          </w:tcPr>
          <w:p w14:paraId="3856F13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专项评价设置情况</w:t>
            </w:r>
          </w:p>
        </w:tc>
        <w:tc>
          <w:tcPr>
            <w:tcW w:w="8169" w:type="dxa"/>
            <w:gridSpan w:val="3"/>
            <w:noWrap w:val="0"/>
            <w:tcMar>
              <w:top w:w="16" w:type="dxa"/>
              <w:left w:w="16" w:type="dxa"/>
              <w:right w:w="16" w:type="dxa"/>
            </w:tcMar>
            <w:vAlign w:val="center"/>
          </w:tcPr>
          <w:p w14:paraId="1E639264">
            <w:pPr>
              <w:keepNext w:val="0"/>
              <w:keepLines w:val="0"/>
              <w:pageBreakBefore w:val="0"/>
              <w:kinsoku/>
              <w:wordWrap/>
              <w:overflowPunct/>
              <w:topLinePunct w:val="0"/>
              <w:autoSpaceDE w:val="0"/>
              <w:autoSpaceDN w:val="0"/>
              <w:bidi w:val="0"/>
              <w:adjustRightInd/>
              <w:snapToGrid/>
              <w:ind w:firstLine="0" w:firstLineChars="0"/>
              <w:jc w:val="center"/>
              <w:textAlignment w:val="auto"/>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无</w:t>
            </w:r>
          </w:p>
        </w:tc>
      </w:tr>
      <w:tr w14:paraId="010A03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33" w:type="dxa"/>
            <w:noWrap w:val="0"/>
            <w:tcMar>
              <w:top w:w="16" w:type="dxa"/>
              <w:left w:w="16" w:type="dxa"/>
              <w:right w:w="16" w:type="dxa"/>
            </w:tcMar>
            <w:vAlign w:val="center"/>
          </w:tcPr>
          <w:p w14:paraId="45179D5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b/>
                <w:bCs/>
                <w:color w:val="000000" w:themeColor="text1"/>
                <w:kern w:val="0"/>
                <w:sz w:val="24"/>
                <w14:textFill>
                  <w14:solidFill>
                    <w14:schemeClr w14:val="tx1"/>
                  </w14:solidFill>
                </w14:textFill>
              </w:rPr>
            </w:pPr>
            <w:r>
              <w:rPr>
                <w:b/>
                <w:bCs/>
                <w:color w:val="000000" w:themeColor="text1"/>
                <w:sz w:val="24"/>
                <w14:textFill>
                  <w14:solidFill>
                    <w14:schemeClr w14:val="tx1"/>
                  </w14:solidFill>
                </w14:textFill>
              </w:rPr>
              <w:t>规划情况</w:t>
            </w:r>
          </w:p>
        </w:tc>
        <w:tc>
          <w:tcPr>
            <w:tcW w:w="8169" w:type="dxa"/>
            <w:gridSpan w:val="3"/>
            <w:noWrap w:val="0"/>
            <w:tcMar>
              <w:top w:w="16" w:type="dxa"/>
              <w:left w:w="16" w:type="dxa"/>
              <w:right w:w="16" w:type="dxa"/>
            </w:tcMar>
            <w:vAlign w:val="center"/>
          </w:tcPr>
          <w:p w14:paraId="33C4C7A6">
            <w:pPr>
              <w:pStyle w:val="2"/>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规划名称：</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《中卫市矿产资源总体规划(2021-2025年)》</w:t>
            </w:r>
          </w:p>
          <w:p w14:paraId="537DF835">
            <w:pPr>
              <w:keepNext w:val="0"/>
              <w:keepLines w:val="0"/>
              <w:suppressLineNumbers w:val="0"/>
              <w:spacing w:before="0" w:beforeAutospacing="0" w:after="0" w:afterAutospacing="0"/>
              <w:ind w:left="0" w:right="0" w:firstLine="454" w:firstLineChars="200"/>
              <w:rPr>
                <w:rStyle w:val="33"/>
                <w:rFonts w:hint="default" w:cs="Times New Roman"/>
                <w:color w:val="000000" w:themeColor="text1"/>
                <w:kern w:val="0"/>
                <w:sz w:val="24"/>
                <w14:textFill>
                  <w14:solidFill>
                    <w14:schemeClr w14:val="tx1"/>
                  </w14:solidFill>
                </w14:textFill>
              </w:rPr>
            </w:pPr>
            <w:r>
              <w:rPr>
                <w:rStyle w:val="33"/>
                <w:rFonts w:hint="default" w:cs="Times New Roman"/>
                <w:color w:val="000000" w:themeColor="text1"/>
                <w:kern w:val="0"/>
                <w:sz w:val="24"/>
                <w14:textFill>
                  <w14:solidFill>
                    <w14:schemeClr w14:val="tx1"/>
                  </w14:solidFill>
                </w14:textFill>
              </w:rPr>
              <w:t>审批</w:t>
            </w:r>
            <w:r>
              <w:rPr>
                <w:rStyle w:val="33"/>
                <w:rFonts w:hint="eastAsia" w:cs="Times New Roman"/>
                <w:color w:val="000000" w:themeColor="text1"/>
                <w:kern w:val="0"/>
                <w:sz w:val="24"/>
                <w14:textFill>
                  <w14:solidFill>
                    <w14:schemeClr w14:val="tx1"/>
                  </w14:solidFill>
                </w14:textFill>
              </w:rPr>
              <w:t>单位</w:t>
            </w:r>
            <w:r>
              <w:rPr>
                <w:rStyle w:val="33"/>
                <w:rFonts w:hint="default" w:cs="Times New Roman"/>
                <w:color w:val="000000" w:themeColor="text1"/>
                <w:kern w:val="0"/>
                <w:sz w:val="24"/>
                <w14:textFill>
                  <w14:solidFill>
                    <w14:schemeClr w14:val="tx1"/>
                  </w14:solidFill>
                </w14:textFill>
              </w:rPr>
              <w:t>：中卫市人民政府办公室；</w:t>
            </w:r>
          </w:p>
          <w:p w14:paraId="3EA92F0B">
            <w:pPr>
              <w:keepNext w:val="0"/>
              <w:keepLines w:val="0"/>
              <w:suppressLineNumbers w:val="0"/>
              <w:spacing w:before="0" w:beforeAutospacing="0" w:after="0" w:afterAutospacing="0"/>
              <w:ind w:left="0" w:right="0" w:firstLine="454" w:firstLineChars="200"/>
              <w:rPr>
                <w:rStyle w:val="33"/>
                <w:rFonts w:hint="eastAsia" w:eastAsia="宋体" w:cs="Times New Roman"/>
                <w:b/>
                <w:bCs/>
                <w:color w:val="000000" w:themeColor="text1"/>
                <w:kern w:val="0"/>
                <w:sz w:val="24"/>
                <w:lang w:eastAsia="zh-CN"/>
                <w14:textFill>
                  <w14:solidFill>
                    <w14:schemeClr w14:val="tx1"/>
                  </w14:solidFill>
                </w14:textFill>
              </w:rPr>
            </w:pPr>
            <w:r>
              <w:rPr>
                <w:rStyle w:val="33"/>
                <w:rFonts w:hint="default" w:cs="Times New Roman"/>
                <w:color w:val="000000" w:themeColor="text1"/>
                <w:kern w:val="0"/>
                <w:sz w:val="24"/>
                <w14:textFill>
                  <w14:solidFill>
                    <w14:schemeClr w14:val="tx1"/>
                  </w14:solidFill>
                </w14:textFill>
              </w:rPr>
              <w:t>批复文件名称及文号：关于印发</w:t>
            </w:r>
            <w:r>
              <w:rPr>
                <w:rStyle w:val="33"/>
                <w:rFonts w:hint="eastAsia" w:cs="Times New Roman"/>
                <w:color w:val="000000" w:themeColor="text1"/>
                <w:kern w:val="0"/>
                <w:sz w:val="24"/>
                <w14:textFill>
                  <w14:solidFill>
                    <w14:schemeClr w14:val="tx1"/>
                  </w14:solidFill>
                </w14:textFill>
              </w:rPr>
              <w:t>《</w:t>
            </w:r>
            <w:r>
              <w:rPr>
                <w:rStyle w:val="33"/>
                <w:rFonts w:hint="default" w:cs="Times New Roman"/>
                <w:color w:val="000000" w:themeColor="text1"/>
                <w:kern w:val="0"/>
                <w:sz w:val="24"/>
                <w14:textFill>
                  <w14:solidFill>
                    <w14:schemeClr w14:val="tx1"/>
                  </w14:solidFill>
                </w14:textFill>
              </w:rPr>
              <w:t>中卫市矿产资源总体规划（2021-2025年）</w:t>
            </w:r>
            <w:r>
              <w:rPr>
                <w:rStyle w:val="33"/>
                <w:rFonts w:hint="eastAsia" w:cs="Times New Roman"/>
                <w:color w:val="000000" w:themeColor="text1"/>
                <w:kern w:val="0"/>
                <w:sz w:val="24"/>
                <w14:textFill>
                  <w14:solidFill>
                    <w14:schemeClr w14:val="tx1"/>
                  </w14:solidFill>
                </w14:textFill>
              </w:rPr>
              <w:t>》</w:t>
            </w:r>
            <w:r>
              <w:rPr>
                <w:rStyle w:val="33"/>
                <w:rFonts w:hint="default" w:cs="Times New Roman"/>
                <w:color w:val="000000" w:themeColor="text1"/>
                <w:kern w:val="0"/>
                <w:sz w:val="24"/>
                <w14:textFill>
                  <w14:solidFill>
                    <w14:schemeClr w14:val="tx1"/>
                  </w14:solidFill>
                </w14:textFill>
              </w:rPr>
              <w:t>的通知</w:t>
            </w:r>
            <w:r>
              <w:rPr>
                <w:rStyle w:val="33"/>
                <w:rFonts w:hint="eastAsia" w:cs="Times New Roman"/>
                <w:color w:val="000000" w:themeColor="text1"/>
                <w:kern w:val="0"/>
                <w:sz w:val="24"/>
                <w14:textFill>
                  <w14:solidFill>
                    <w14:schemeClr w14:val="tx1"/>
                  </w14:solidFill>
                </w14:textFill>
              </w:rPr>
              <w:t>，卫政办发〔2022〕66号</w:t>
            </w:r>
            <w:r>
              <w:rPr>
                <w:rStyle w:val="33"/>
                <w:rFonts w:hint="eastAsia" w:cs="Times New Roman"/>
                <w:color w:val="000000" w:themeColor="text1"/>
                <w:kern w:val="0"/>
                <w:sz w:val="24"/>
                <w:lang w:eastAsia="zh-CN"/>
                <w14:textFill>
                  <w14:solidFill>
                    <w14:schemeClr w14:val="tx1"/>
                  </w14:solidFill>
                </w14:textFill>
              </w:rPr>
              <w:t>。</w:t>
            </w:r>
          </w:p>
          <w:p w14:paraId="2B08B2DF">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14:textFill>
                  <w14:solidFill>
                    <w14:schemeClr w14:val="tx1"/>
                  </w14:solidFill>
                </w14:textFill>
              </w:rPr>
              <w:t>规划名称：</w:t>
            </w:r>
            <w:r>
              <w:rPr>
                <w:rFonts w:hint="eastAsia"/>
                <w:color w:val="000000" w:themeColor="text1"/>
                <w14:textFill>
                  <w14:solidFill>
                    <w14:schemeClr w14:val="tx1"/>
                  </w14:solidFill>
                </w14:textFill>
              </w:rPr>
              <w:t>《全国重要生态系统保护和修复重大工程总体规划（2021-2035年）》</w:t>
            </w:r>
          </w:p>
          <w:p w14:paraId="002BBFAD">
            <w:pPr>
              <w:keepNext w:val="0"/>
              <w:keepLines w:val="0"/>
              <w:suppressLineNumbers w:val="0"/>
              <w:spacing w:before="0" w:beforeAutospacing="0" w:after="0" w:afterAutospacing="0"/>
              <w:ind w:left="0" w:right="0" w:firstLine="454" w:firstLineChars="200"/>
              <w:rPr>
                <w:rStyle w:val="33"/>
                <w:rFonts w:hint="default" w:cs="Times New Roman"/>
                <w:color w:val="000000" w:themeColor="text1"/>
                <w:kern w:val="0"/>
                <w:sz w:val="24"/>
                <w14:textFill>
                  <w14:solidFill>
                    <w14:schemeClr w14:val="tx1"/>
                  </w14:solidFill>
                </w14:textFill>
              </w:rPr>
            </w:pPr>
            <w:r>
              <w:rPr>
                <w:rStyle w:val="33"/>
                <w:rFonts w:hint="default" w:cs="Times New Roman"/>
                <w:color w:val="000000" w:themeColor="text1"/>
                <w:kern w:val="0"/>
                <w:sz w:val="24"/>
                <w14:textFill>
                  <w14:solidFill>
                    <w14:schemeClr w14:val="tx1"/>
                  </w14:solidFill>
                </w14:textFill>
              </w:rPr>
              <w:t>审批单位：发展改革委自然资源部；</w:t>
            </w:r>
          </w:p>
          <w:p w14:paraId="18413FED">
            <w:pPr>
              <w:ind w:firstLine="454" w:firstLineChars="200"/>
              <w:rPr>
                <w:rStyle w:val="33"/>
                <w:rFonts w:hint="eastAsia" w:eastAsia="宋体" w:cs="Times New Roman"/>
                <w:color w:val="000000" w:themeColor="text1"/>
                <w:kern w:val="0"/>
                <w:sz w:val="24"/>
                <w:lang w:eastAsia="zh-CN"/>
                <w14:textFill>
                  <w14:solidFill>
                    <w14:schemeClr w14:val="tx1"/>
                  </w14:solidFill>
                </w14:textFill>
              </w:rPr>
            </w:pPr>
            <w:r>
              <w:rPr>
                <w:rStyle w:val="33"/>
                <w:rFonts w:hint="default" w:cs="Times New Roman"/>
                <w:color w:val="000000" w:themeColor="text1"/>
                <w:kern w:val="0"/>
                <w:sz w:val="24"/>
                <w14:textFill>
                  <w14:solidFill>
                    <w14:schemeClr w14:val="tx1"/>
                  </w14:solidFill>
                </w14:textFill>
              </w:rPr>
              <w:t>批复文件名称及文号：国家发展改革委自然资源部关于印发《全国重要生态系统保护和修复重大工程总体规划（2021-2035年）》的通知，发改农经〔2020〕837号</w:t>
            </w:r>
            <w:r>
              <w:rPr>
                <w:rStyle w:val="33"/>
                <w:rFonts w:hint="eastAsia" w:cs="Times New Roman"/>
                <w:color w:val="000000" w:themeColor="text1"/>
                <w:kern w:val="0"/>
                <w:sz w:val="24"/>
                <w:lang w:eastAsia="zh-CN"/>
                <w14:textFill>
                  <w14:solidFill>
                    <w14:schemeClr w14:val="tx1"/>
                  </w14:solidFill>
                </w14:textFill>
              </w:rPr>
              <w:t>。</w:t>
            </w:r>
          </w:p>
          <w:p w14:paraId="17E7EEDF">
            <w:pPr>
              <w:pStyle w:val="2"/>
              <w:numPr>
                <w:ilvl w:val="0"/>
                <w:numId w:val="1"/>
              </w:numPr>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规划名称：</w:t>
            </w:r>
            <w:r>
              <w:rPr>
                <w:color w:val="000000" w:themeColor="text1"/>
                <w14:textFill>
                  <w14:solidFill>
                    <w14:schemeClr w14:val="tx1"/>
                  </w14:solidFill>
                </w14:textFill>
              </w:rPr>
              <w:t>《宁夏回族自治区矿产资源总体规划（2021-2025年）》</w:t>
            </w:r>
          </w:p>
          <w:p w14:paraId="45D50E74">
            <w:pPr>
              <w:keepNext w:val="0"/>
              <w:keepLines w:val="0"/>
              <w:suppressLineNumbers w:val="0"/>
              <w:spacing w:before="0" w:beforeAutospacing="0" w:after="0" w:afterAutospacing="0"/>
              <w:ind w:left="0" w:right="0" w:firstLine="454" w:firstLineChars="200"/>
              <w:rPr>
                <w:rStyle w:val="33"/>
                <w:rFonts w:hint="eastAsia" w:ascii="Times New Roman" w:hAnsi="Times New Roman" w:eastAsia="宋体" w:cs="Times New Roman"/>
                <w:color w:val="000000" w:themeColor="text1"/>
                <w:kern w:val="0"/>
                <w:sz w:val="24"/>
                <w:lang w:eastAsia="zh-CN"/>
                <w14:textFill>
                  <w14:solidFill>
                    <w14:schemeClr w14:val="tx1"/>
                  </w14:solidFill>
                </w14:textFill>
              </w:rPr>
            </w:pPr>
            <w:r>
              <w:rPr>
                <w:rStyle w:val="33"/>
                <w:rFonts w:hint="default" w:ascii="Times New Roman" w:hAnsi="Times New Roman" w:cs="Times New Roman"/>
                <w:color w:val="000000" w:themeColor="text1"/>
                <w:kern w:val="0"/>
                <w:sz w:val="24"/>
                <w14:textFill>
                  <w14:solidFill>
                    <w14:schemeClr w14:val="tx1"/>
                  </w14:solidFill>
                </w14:textFill>
              </w:rPr>
              <w:t>审批单位：中华人民共和国自然资源部</w:t>
            </w:r>
            <w:r>
              <w:rPr>
                <w:rStyle w:val="33"/>
                <w:rFonts w:hint="eastAsia" w:ascii="Times New Roman" w:hAnsi="Times New Roman" w:cs="Times New Roman"/>
                <w:color w:val="000000" w:themeColor="text1"/>
                <w:kern w:val="0"/>
                <w:sz w:val="24"/>
                <w:lang w:eastAsia="zh-CN"/>
                <w14:textFill>
                  <w14:solidFill>
                    <w14:schemeClr w14:val="tx1"/>
                  </w14:solidFill>
                </w14:textFill>
              </w:rPr>
              <w:t>；</w:t>
            </w:r>
          </w:p>
          <w:p w14:paraId="5A5EBAEA">
            <w:pPr>
              <w:keepNext w:val="0"/>
              <w:keepLines w:val="0"/>
              <w:suppressLineNumbers w:val="0"/>
              <w:spacing w:before="0" w:beforeAutospacing="0" w:after="0" w:afterAutospacing="0"/>
              <w:ind w:left="0" w:right="0" w:firstLine="454" w:firstLineChars="200"/>
              <w:rPr>
                <w:rStyle w:val="33"/>
                <w:rFonts w:hint="eastAsia" w:ascii="Times New Roman" w:hAnsi="Times New Roman" w:eastAsia="宋体" w:cs="Times New Roman"/>
                <w:color w:val="000000" w:themeColor="text1"/>
                <w:kern w:val="0"/>
                <w:sz w:val="24"/>
                <w:lang w:val="en-US" w:eastAsia="zh-CN"/>
                <w14:textFill>
                  <w14:solidFill>
                    <w14:schemeClr w14:val="tx1"/>
                  </w14:solidFill>
                </w14:textFill>
              </w:rPr>
            </w:pPr>
            <w:r>
              <w:rPr>
                <w:rStyle w:val="33"/>
                <w:rFonts w:hint="default" w:cs="Times New Roman"/>
                <w:color w:val="000000" w:themeColor="text1"/>
                <w:kern w:val="0"/>
                <w:sz w:val="24"/>
                <w14:textFill>
                  <w14:solidFill>
                    <w14:schemeClr w14:val="tx1"/>
                  </w14:solidFill>
                </w14:textFill>
              </w:rPr>
              <w:t>批复文件名称及文号：《</w:t>
            </w:r>
            <w:r>
              <w:rPr>
                <w:rFonts w:ascii="宋体" w:hAnsi="宋体" w:eastAsia="宋体" w:cs="宋体"/>
                <w:b w:val="0"/>
                <w:bCs w:val="0"/>
                <w:color w:val="000000" w:themeColor="text1"/>
                <w:sz w:val="24"/>
                <w:szCs w:val="24"/>
                <w14:textFill>
                  <w14:solidFill>
                    <w14:schemeClr w14:val="tx1"/>
                  </w14:solidFill>
                </w14:textFill>
              </w:rPr>
              <w:t>关于〈宁夏回族自治区矿产资源总体规划（</w:t>
            </w:r>
            <w:r>
              <w:rPr>
                <w:rFonts w:ascii="TimesNewRomanPSMT" w:hAnsi="TimesNewRomanPSMT" w:eastAsia="TimesNewRomanPSMT" w:cs="TimesNewRomanPSMT"/>
                <w:b w:val="0"/>
                <w:bCs w:val="0"/>
                <w:color w:val="000000" w:themeColor="text1"/>
                <w:sz w:val="24"/>
                <w:szCs w:val="24"/>
                <w14:textFill>
                  <w14:solidFill>
                    <w14:schemeClr w14:val="tx1"/>
                  </w14:solidFill>
                </w14:textFill>
              </w:rPr>
              <w:t>2021-2025</w:t>
            </w:r>
            <w:r>
              <w:rPr>
                <w:rFonts w:ascii="宋体" w:hAnsi="宋体" w:eastAsia="宋体" w:cs="宋体"/>
                <w:b w:val="0"/>
                <w:bCs w:val="0"/>
                <w:color w:val="000000" w:themeColor="text1"/>
                <w:sz w:val="24"/>
                <w:szCs w:val="24"/>
                <w14:textFill>
                  <w14:solidFill>
                    <w14:schemeClr w14:val="tx1"/>
                  </w14:solidFill>
                </w14:textFill>
              </w:rPr>
              <w:t>年）环境影响报告书〉的审查意见》（环审〔</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2022</w:t>
            </w:r>
            <w:r>
              <w:rPr>
                <w:rFonts w:ascii="宋体" w:hAnsi="宋体" w:eastAsia="宋体" w:cs="宋体"/>
                <w:b w:val="0"/>
                <w:bCs w:val="0"/>
                <w:color w:val="000000" w:themeColor="text1"/>
                <w:sz w:val="24"/>
                <w:szCs w:val="24"/>
                <w14:textFill>
                  <w14:solidFill>
                    <w14:schemeClr w14:val="tx1"/>
                  </w14:solidFill>
                </w14:textFill>
              </w:rPr>
              <w:t>〕</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91</w:t>
            </w:r>
            <w:r>
              <w:rPr>
                <w:rFonts w:ascii="宋体" w:hAnsi="宋体" w:eastAsia="宋体" w:cs="宋体"/>
                <w:b w:val="0"/>
                <w:bCs w:val="0"/>
                <w:color w:val="000000" w:themeColor="text1"/>
                <w:sz w:val="24"/>
                <w:szCs w:val="24"/>
                <w14:textFill>
                  <w14:solidFill>
                    <w14:schemeClr w14:val="tx1"/>
                  </w14:solidFill>
                </w14:textFill>
              </w:rPr>
              <w:t>号</w:t>
            </w:r>
            <w:r>
              <w:rPr>
                <w:rFonts w:hint="eastAsia" w:ascii="宋体" w:hAnsi="宋体" w:cs="宋体"/>
                <w:b w:val="0"/>
                <w:bCs w:val="0"/>
                <w:color w:val="000000" w:themeColor="text1"/>
                <w:sz w:val="24"/>
                <w:szCs w:val="24"/>
                <w:lang w:eastAsia="zh-CN"/>
                <w14:textFill>
                  <w14:solidFill>
                    <w14:schemeClr w14:val="tx1"/>
                  </w14:solidFill>
                </w14:textFill>
              </w:rPr>
              <w:t>。</w:t>
            </w:r>
          </w:p>
        </w:tc>
      </w:tr>
      <w:tr w14:paraId="43D6D4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133" w:type="dxa"/>
            <w:noWrap w:val="0"/>
            <w:tcMar>
              <w:top w:w="16" w:type="dxa"/>
              <w:left w:w="16" w:type="dxa"/>
              <w:right w:w="16" w:type="dxa"/>
            </w:tcMar>
            <w:vAlign w:val="center"/>
          </w:tcPr>
          <w:p w14:paraId="2007B1ED">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b/>
                <w:bCs/>
                <w:color w:val="000000" w:themeColor="text1"/>
                <w:kern w:val="0"/>
                <w:sz w:val="24"/>
                <w14:textFill>
                  <w14:solidFill>
                    <w14:schemeClr w14:val="tx1"/>
                  </w14:solidFill>
                </w14:textFill>
              </w:rPr>
            </w:pPr>
            <w:r>
              <w:rPr>
                <w:b/>
                <w:bCs/>
                <w:color w:val="000000" w:themeColor="text1"/>
                <w:sz w:val="24"/>
                <w14:textFill>
                  <w14:solidFill>
                    <w14:schemeClr w14:val="tx1"/>
                  </w14:solidFill>
                </w14:textFill>
              </w:rPr>
              <w:t>规划环境影响评价情况</w:t>
            </w:r>
          </w:p>
        </w:tc>
        <w:tc>
          <w:tcPr>
            <w:tcW w:w="8169" w:type="dxa"/>
            <w:gridSpan w:val="3"/>
            <w:noWrap w:val="0"/>
            <w:tcMar>
              <w:top w:w="16" w:type="dxa"/>
              <w:left w:w="16" w:type="dxa"/>
              <w:right w:w="16" w:type="dxa"/>
            </w:tcMar>
            <w:vAlign w:val="center"/>
          </w:tcPr>
          <w:p w14:paraId="59D623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无</w:t>
            </w:r>
          </w:p>
        </w:tc>
      </w:tr>
      <w:tr w14:paraId="104A3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23" w:hRule="atLeast"/>
          <w:jc w:val="center"/>
        </w:trPr>
        <w:tc>
          <w:tcPr>
            <w:tcW w:w="1133" w:type="dxa"/>
            <w:noWrap w:val="0"/>
            <w:tcMar>
              <w:top w:w="16" w:type="dxa"/>
              <w:left w:w="16" w:type="dxa"/>
              <w:right w:w="16" w:type="dxa"/>
            </w:tcMar>
            <w:vAlign w:val="center"/>
          </w:tcPr>
          <w:p w14:paraId="5B82186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规划及</w:t>
            </w:r>
            <w:r>
              <w:rPr>
                <w:b/>
                <w:bCs/>
                <w:color w:val="000000" w:themeColor="text1"/>
                <w:sz w:val="24"/>
                <w14:textFill>
                  <w14:solidFill>
                    <w14:schemeClr w14:val="tx1"/>
                  </w14:solidFill>
                </w14:textFill>
              </w:rPr>
              <w:t>规划环境影响评价</w:t>
            </w:r>
            <w:r>
              <w:rPr>
                <w:b/>
                <w:bCs/>
                <w:color w:val="000000" w:themeColor="text1"/>
                <w:kern w:val="0"/>
                <w:sz w:val="24"/>
                <w14:textFill>
                  <w14:solidFill>
                    <w14:schemeClr w14:val="tx1"/>
                  </w14:solidFill>
                </w14:textFill>
              </w:rPr>
              <w:t>符合性分析</w:t>
            </w:r>
          </w:p>
        </w:tc>
        <w:tc>
          <w:tcPr>
            <w:tcW w:w="8169" w:type="dxa"/>
            <w:gridSpan w:val="3"/>
            <w:noWrap w:val="0"/>
            <w:tcMar>
              <w:top w:w="16" w:type="dxa"/>
              <w:left w:w="16" w:type="dxa"/>
              <w:right w:w="16" w:type="dxa"/>
            </w:tcMar>
            <w:vAlign w:val="center"/>
          </w:tcPr>
          <w:p w14:paraId="0B35D66D">
            <w:pPr>
              <w:pStyle w:val="2"/>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项目与《</w:t>
            </w:r>
            <w:bookmarkStart w:id="1" w:name="_Hlk136461871"/>
            <w:r>
              <w:rPr>
                <w:rFonts w:hint="eastAsia"/>
                <w:color w:val="000000" w:themeColor="text1"/>
                <w14:textFill>
                  <w14:solidFill>
                    <w14:schemeClr w14:val="tx1"/>
                  </w14:solidFill>
                </w14:textFill>
              </w:rPr>
              <w:t>中卫市矿产资源总体规划</w:t>
            </w:r>
            <w:r>
              <w:rPr>
                <w:rFonts w:hint="default"/>
                <w:color w:val="000000" w:themeColor="text1"/>
                <w14:textFill>
                  <w14:solidFill>
                    <w14:schemeClr w14:val="tx1"/>
                  </w14:solidFill>
                </w14:textFill>
              </w:rPr>
              <w:t>(2021-2025年)》</w:t>
            </w:r>
            <w:bookmarkEnd w:id="1"/>
            <w:r>
              <w:rPr>
                <w:rFonts w:hint="default"/>
                <w:color w:val="000000" w:themeColor="text1"/>
                <w14:textFill>
                  <w14:solidFill>
                    <w14:schemeClr w14:val="tx1"/>
                  </w14:solidFill>
                </w14:textFill>
              </w:rPr>
              <w:t>的符合性分析</w:t>
            </w:r>
          </w:p>
          <w:p w14:paraId="1BF469EC">
            <w:pPr>
              <w:keepNext w:val="0"/>
              <w:keepLines w:val="0"/>
              <w:suppressLineNumbers w:val="0"/>
              <w:autoSpaceDE w:val="0"/>
              <w:autoSpaceDN w:val="0"/>
              <w:spacing w:before="0" w:beforeAutospacing="0" w:after="0" w:afterAutospacing="0"/>
              <w:ind w:left="0" w:right="0" w:firstLine="454" w:firstLineChars="200"/>
              <w:rPr>
                <w:rFonts w:hint="default" w:cs="Times New Roman"/>
                <w:color w:val="000000" w:themeColor="text1"/>
                <w:sz w:val="24"/>
                <w14:textFill>
                  <w14:solidFill>
                    <w14:schemeClr w14:val="tx1"/>
                  </w14:solidFill>
                </w14:textFill>
              </w:rPr>
            </w:pPr>
            <w:r>
              <w:rPr>
                <w:rFonts w:hint="default" w:cs="Times New Roman"/>
                <w:color w:val="000000" w:themeColor="text1"/>
                <w:sz w:val="24"/>
                <w14:textFill>
                  <w14:solidFill>
                    <w14:schemeClr w14:val="tx1"/>
                  </w14:solidFill>
                </w14:textFill>
              </w:rPr>
              <w:t>《中卫市矿产资源总体规划（2021-2025年）》（以下简称《规划》）依据《中华人民共和国矿产资源法》，《中华人民共和国矿产资源法实施细则》，《宁夏回族自治区矿产资源总体规划（2021-2025年）》和《中卫市国民经济和社会发展第十四个五年规划和二〇三五年远景目标纲要》制定</w:t>
            </w:r>
            <w:r>
              <w:rPr>
                <w:rFonts w:hint="eastAsia" w:cs="Times New Roman"/>
                <w:color w:val="000000" w:themeColor="text1"/>
                <w:sz w:val="24"/>
                <w14:textFill>
                  <w14:solidFill>
                    <w14:schemeClr w14:val="tx1"/>
                  </w14:solidFill>
                </w14:textFill>
              </w:rPr>
              <w:t>而成，是“十四五”时期中卫市行政区内矿产资源勘查、开发利用与保护的指导性文件。</w:t>
            </w:r>
          </w:p>
          <w:p w14:paraId="42A072C0">
            <w:pPr>
              <w:pStyle w:val="34"/>
              <w:keepNext w:val="0"/>
              <w:keepLines w:val="0"/>
              <w:suppressLineNumbers w:val="0"/>
              <w:adjustRightInd/>
              <w:snapToGrid/>
              <w:spacing w:before="46" w:beforeAutospacing="0" w:after="46" w:afterAutospacing="0" w:line="240" w:lineRule="auto"/>
              <w:ind w:left="0" w:right="0" w:firstLine="454" w:firstLineChars="200"/>
              <w:jc w:val="both"/>
              <w:rPr>
                <w:rFonts w:hint="eastAsia" w:ascii="Times New Roman" w:cs="Times New Roman"/>
                <w:color w:val="000000" w:themeColor="text1"/>
                <w:sz w:val="24"/>
                <w14:textFill>
                  <w14:solidFill>
                    <w14:schemeClr w14:val="tx1"/>
                  </w14:solidFill>
                </w14:textFill>
              </w:rPr>
            </w:pPr>
            <w:r>
              <w:rPr>
                <w:rFonts w:hint="eastAsia" w:ascii="Times New Roman" w:cs="Times New Roman"/>
                <w:color w:val="000000" w:themeColor="text1"/>
                <w:sz w:val="24"/>
                <w14:textFill>
                  <w14:solidFill>
                    <w14:schemeClr w14:val="tx1"/>
                  </w14:solidFill>
                </w14:textFill>
              </w:rPr>
              <w:t>规划要求：</w:t>
            </w:r>
            <w:r>
              <w:rPr>
                <w:rFonts w:hint="eastAsia" w:ascii="Times New Roman" w:cs="Times New Roman"/>
                <w:b/>
                <w:color w:val="000000" w:themeColor="text1"/>
                <w:sz w:val="24"/>
                <w14:textFill>
                  <w14:solidFill>
                    <w14:schemeClr w14:val="tx1"/>
                  </w14:solidFill>
                </w14:textFill>
              </w:rPr>
              <w:t>“</w:t>
            </w:r>
            <w:r>
              <w:rPr>
                <w:rFonts w:hint="default" w:ascii="Times New Roman" w:cs="Times New Roman"/>
                <w:b/>
                <w:color w:val="000000" w:themeColor="text1"/>
                <w:sz w:val="24"/>
                <w14:textFill>
                  <w14:solidFill>
                    <w14:schemeClr w14:val="tx1"/>
                  </w14:solidFill>
                </w14:textFill>
              </w:rPr>
              <w:t>六、全面推进矿业绿色发展</w:t>
            </w:r>
            <w:r>
              <w:rPr>
                <w:rFonts w:hint="eastAsia" w:ascii="Times New Roman" w:cs="Times New Roman"/>
                <w:b/>
                <w:color w:val="000000" w:themeColor="text1"/>
                <w:sz w:val="24"/>
                <w14:textFill>
                  <w14:solidFill>
                    <w14:schemeClr w14:val="tx1"/>
                  </w14:solidFill>
                </w14:textFill>
              </w:rPr>
              <w:t>”</w:t>
            </w:r>
            <w:r>
              <w:rPr>
                <w:rFonts w:hint="eastAsia" w:ascii="Times New Roman" w:cs="Times New Roman"/>
                <w:color w:val="000000" w:themeColor="text1"/>
                <w:sz w:val="24"/>
                <w14:textFill>
                  <w14:solidFill>
                    <w14:schemeClr w14:val="tx1"/>
                  </w14:solidFill>
                </w14:textFill>
              </w:rPr>
              <w:t>全面推进绿色勘查、绿色矿山建设、矿区生态保护修复，将绿色发展理念贯穿于矿产资源保护、勘查、开发利用全过程，体现源头管控、过程控制和末端治理。</w:t>
            </w:r>
          </w:p>
          <w:p w14:paraId="516632B1">
            <w:pPr>
              <w:pStyle w:val="34"/>
              <w:keepNext w:val="0"/>
              <w:keepLines w:val="0"/>
              <w:suppressLineNumbers w:val="0"/>
              <w:adjustRightInd/>
              <w:snapToGrid/>
              <w:spacing w:before="46" w:beforeAutospacing="0" w:after="46" w:afterAutospacing="0" w:line="240" w:lineRule="auto"/>
              <w:ind w:left="0" w:right="0" w:firstLine="454" w:firstLineChars="200"/>
              <w:jc w:val="both"/>
              <w:rPr>
                <w:rFonts w:hint="eastAsia" w:ascii="Times New Roman" w:cs="Times New Roman"/>
                <w:color w:val="000000" w:themeColor="text1"/>
                <w:sz w:val="24"/>
                <w14:textFill>
                  <w14:solidFill>
                    <w14:schemeClr w14:val="tx1"/>
                  </w14:solidFill>
                </w14:textFill>
              </w:rPr>
            </w:pPr>
            <w:r>
              <w:rPr>
                <w:rFonts w:hint="eastAsia" w:ascii="Times New Roman" w:cs="Times New Roman"/>
                <w:b/>
                <w:color w:val="000000" w:themeColor="text1"/>
                <w:sz w:val="24"/>
                <w14:textFill>
                  <w14:solidFill>
                    <w14:schemeClr w14:val="tx1"/>
                  </w14:solidFill>
                </w14:textFill>
              </w:rPr>
              <w:t>“加快推进历史遗留废弃矿山生态修复。”</w:t>
            </w:r>
            <w:r>
              <w:rPr>
                <w:rFonts w:hint="eastAsia" w:ascii="Times New Roman" w:cs="Times New Roman"/>
                <w:color w:val="000000" w:themeColor="text1"/>
                <w:sz w:val="24"/>
                <w14:textFill>
                  <w14:solidFill>
                    <w14:schemeClr w14:val="tx1"/>
                  </w14:solidFill>
                </w14:textFill>
              </w:rPr>
              <w:t>加大历史遗留废弃矿山生态修复力度，切实履行矿山生态修复责任。按照集中连片、重点突出、全面治理的原则，以矿山环境问题类似、区域接近的大型矿山或若干小型矿山群采区为单元，部署实施重点治理项目，提升生态环境质量和水土保持能力，筑牢绿色生态安全屏障。</w:t>
            </w:r>
          </w:p>
          <w:p w14:paraId="11EA71E7">
            <w:pPr>
              <w:keepNext w:val="0"/>
              <w:keepLines w:val="0"/>
              <w:suppressLineNumbers w:val="0"/>
              <w:spacing w:before="0" w:beforeAutospacing="0" w:after="0" w:afterAutospacing="0"/>
              <w:ind w:left="0" w:right="0" w:firstLine="454" w:firstLineChars="200"/>
              <w:rPr>
                <w:rFonts w:hint="default"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14:textFill>
                  <w14:solidFill>
                    <w14:schemeClr w14:val="tx1"/>
                  </w14:solidFill>
                </w14:textFill>
              </w:rPr>
              <w:t>本项目主要对历史遗留废弃矿山进行生态修复治理</w:t>
            </w:r>
            <w:r>
              <w:rPr>
                <w:rFonts w:hint="default" w:cs="Times New Roman"/>
                <w:color w:val="000000" w:themeColor="text1"/>
                <w:sz w:val="24"/>
                <w14:textFill>
                  <w14:solidFill>
                    <w14:schemeClr w14:val="tx1"/>
                  </w14:solidFill>
                </w14:textFill>
              </w:rPr>
              <w:t>，总治理面积为</w:t>
            </w:r>
            <w:r>
              <w:rPr>
                <w:rFonts w:hint="eastAsia" w:cs="Times New Roman"/>
                <w:color w:val="000000" w:themeColor="text1"/>
                <w:kern w:val="0"/>
                <w:sz w:val="24"/>
                <w:lang w:val="en-US" w:eastAsia="zh-CN"/>
                <w14:textFill>
                  <w14:solidFill>
                    <w14:schemeClr w14:val="tx1"/>
                  </w14:solidFill>
                </w14:textFill>
              </w:rPr>
              <w:t>33.78</w:t>
            </w:r>
            <w:r>
              <w:rPr>
                <w:rFonts w:hint="default" w:cs="Times New Roman"/>
                <w:color w:val="000000" w:themeColor="text1"/>
                <w:sz w:val="24"/>
                <w14:textFill>
                  <w14:solidFill>
                    <w14:schemeClr w14:val="tx1"/>
                  </w14:solidFill>
                </w14:textFill>
              </w:rPr>
              <w:t>hm</w:t>
            </w:r>
            <w:r>
              <w:rPr>
                <w:rFonts w:hint="default" w:cs="Times New Roman"/>
                <w:color w:val="000000" w:themeColor="text1"/>
                <w:sz w:val="24"/>
                <w:vertAlign w:val="superscript"/>
                <w14:textFill>
                  <w14:solidFill>
                    <w14:schemeClr w14:val="tx1"/>
                  </w14:solidFill>
                </w14:textFill>
              </w:rPr>
              <w:t>2</w:t>
            </w:r>
            <w:r>
              <w:rPr>
                <w:rFonts w:hint="default" w:cs="Times New Roman"/>
                <w:color w:val="000000" w:themeColor="text1"/>
                <w:sz w:val="24"/>
                <w14:textFill>
                  <w14:solidFill>
                    <w14:schemeClr w14:val="tx1"/>
                  </w14:solidFill>
                </w14:textFill>
              </w:rPr>
              <w:t>。项目的实施，有效提高区域生态环境自我修复能力，提高区域植被覆盖率，对建设黄河流域生态保护和高质量发展先行区具有重要意义。</w:t>
            </w:r>
            <w:r>
              <w:rPr>
                <w:rFonts w:hint="eastAsia" w:cs="Times New Roman"/>
                <w:color w:val="000000" w:themeColor="text1"/>
                <w:sz w:val="24"/>
                <w14:textFill>
                  <w14:solidFill>
                    <w14:schemeClr w14:val="tx1"/>
                  </w14:solidFill>
                </w14:textFill>
              </w:rPr>
              <w:t>因此本项目符合</w:t>
            </w:r>
            <w:r>
              <w:rPr>
                <w:rFonts w:hint="default" w:cs="Times New Roman"/>
                <w:color w:val="000000" w:themeColor="text1"/>
                <w:sz w:val="24"/>
                <w14:textFill>
                  <w14:solidFill>
                    <w14:schemeClr w14:val="tx1"/>
                  </w14:solidFill>
                </w14:textFill>
              </w:rPr>
              <w:t>《</w:t>
            </w:r>
            <w:r>
              <w:rPr>
                <w:rFonts w:hint="eastAsia" w:cs="Times New Roman"/>
                <w:color w:val="000000" w:themeColor="text1"/>
                <w:sz w:val="24"/>
                <w14:textFill>
                  <w14:solidFill>
                    <w14:schemeClr w14:val="tx1"/>
                  </w14:solidFill>
                </w14:textFill>
              </w:rPr>
              <w:t>中卫市矿产资源总体规划</w:t>
            </w:r>
            <w:r>
              <w:rPr>
                <w:rFonts w:hint="default" w:cs="Times New Roman"/>
                <w:color w:val="000000" w:themeColor="text1"/>
                <w:sz w:val="24"/>
                <w14:textFill>
                  <w14:solidFill>
                    <w14:schemeClr w14:val="tx1"/>
                  </w14:solidFill>
                </w14:textFill>
              </w:rPr>
              <w:t>(2021-2025年)》</w:t>
            </w:r>
            <w:r>
              <w:rPr>
                <w:rFonts w:hint="eastAsia" w:cs="Times New Roman"/>
                <w:color w:val="000000" w:themeColor="text1"/>
                <w:sz w:val="24"/>
                <w14:textFill>
                  <w14:solidFill>
                    <w14:schemeClr w14:val="tx1"/>
                  </w14:solidFill>
                </w14:textFill>
              </w:rPr>
              <w:t>中相关要求。</w:t>
            </w:r>
          </w:p>
          <w:p w14:paraId="185D0841">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项目与《全国重要生态系统保护和修复重大工程总体规划（2021-2035年）》的符合性分析</w:t>
            </w:r>
          </w:p>
          <w:p w14:paraId="3A475AB7">
            <w:pPr>
              <w:keepNext w:val="0"/>
              <w:keepLines w:val="0"/>
              <w:suppressLineNumbers w:val="0"/>
              <w:autoSpaceDE w:val="0"/>
              <w:autoSpaceDN w:val="0"/>
              <w:spacing w:before="0" w:beforeAutospacing="0" w:after="0" w:afterAutospacing="0"/>
              <w:ind w:left="0" w:right="0" w:firstLine="454" w:firstLineChars="200"/>
              <w:rPr>
                <w:rFonts w:hint="eastAsia" w:cs="Times New Roman"/>
                <w:color w:val="000000" w:themeColor="text1"/>
                <w:sz w:val="24"/>
                <w14:textFill>
                  <w14:solidFill>
                    <w14:schemeClr w14:val="tx1"/>
                  </w14:solidFill>
                </w14:textFill>
              </w:rPr>
            </w:pPr>
            <w:r>
              <w:rPr>
                <w:rFonts w:hint="eastAsia" w:cs="Times New Roman"/>
                <w:color w:val="000000" w:themeColor="text1"/>
                <w:sz w:val="24"/>
                <w14:textFill>
                  <w14:solidFill>
                    <w14:schemeClr w14:val="tx1"/>
                  </w14:solidFill>
                </w14:textFill>
              </w:rPr>
              <w:t>《全国重要生态系统保护和修复重大工程总体规划（2021-2035年）》（以下简称《规划》）研究提出：到2035年推进森林、草原、荒漠、河流、湖泊、湿地、海洋等自然生态系统保护和修复工作的主要目标，以及统筹山水林田湖草一体化保护和修复的总体布局、重点任务、重大工程和政策举措。《规划》是当前和今后一段时期推进全国重要生态系统保护和修复重大工程的指导性规划，是编制和实施有关重大工程建设规划的主要依据。</w:t>
            </w:r>
          </w:p>
          <w:p w14:paraId="609C70B8">
            <w:pPr>
              <w:keepNext w:val="0"/>
              <w:keepLines w:val="0"/>
              <w:suppressLineNumbers w:val="0"/>
              <w:autoSpaceDE w:val="0"/>
              <w:autoSpaceDN w:val="0"/>
              <w:spacing w:before="0" w:beforeAutospacing="0" w:after="0" w:afterAutospacing="0"/>
              <w:ind w:left="0" w:right="0" w:firstLine="454" w:firstLineChars="200"/>
              <w:rPr>
                <w:rFonts w:hint="eastAsia" w:cs="Times New Roman"/>
                <w:color w:val="000000" w:themeColor="text1"/>
                <w:sz w:val="24"/>
                <w14:textFill>
                  <w14:solidFill>
                    <w14:schemeClr w14:val="tx1"/>
                  </w14:solidFill>
                </w14:textFill>
              </w:rPr>
            </w:pPr>
            <w:r>
              <w:rPr>
                <w:rFonts w:hint="eastAsia" w:cs="Times New Roman"/>
                <w:color w:val="000000" w:themeColor="text1"/>
                <w:sz w:val="24"/>
                <w14:textFill>
                  <w14:solidFill>
                    <w14:schemeClr w14:val="tx1"/>
                  </w14:solidFill>
                </w14:textFill>
              </w:rPr>
              <w:t>本项目位于宁夏回族自治区中卫市沙坡头区</w:t>
            </w:r>
            <w:r>
              <w:rPr>
                <w:rFonts w:hint="default" w:ascii="Times New Roman" w:hAnsi="Times New Roman" w:cs="Times New Roman"/>
                <w:color w:val="000000" w:themeColor="text1"/>
                <w:sz w:val="24"/>
                <w:szCs w:val="24"/>
                <w:u w:val="none"/>
                <w14:textFill>
                  <w14:solidFill>
                    <w14:schemeClr w14:val="tx1"/>
                  </w14:solidFill>
                </w14:textFill>
              </w:rPr>
              <w:t>东园镇、迎水桥镇、永康镇</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常乐镇、兴仁镇</w:t>
            </w:r>
            <w:r>
              <w:rPr>
                <w:rFonts w:hint="eastAsia" w:cs="Times New Roman"/>
                <w:color w:val="000000" w:themeColor="text1"/>
                <w:sz w:val="24"/>
                <w14:textFill>
                  <w14:solidFill>
                    <w14:schemeClr w14:val="tx1"/>
                  </w14:solidFill>
                </w14:textFill>
              </w:rPr>
              <w:t>，属于《规划》中黄河重点生态区，该区域主要生态问题有“矿产资源开采对生态系统破坏面大、破坏程度高、治理难度大”</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14:textFill>
                  <w14:solidFill>
                    <w14:schemeClr w14:val="tx1"/>
                  </w14:solidFill>
                </w14:textFill>
              </w:rPr>
              <w:t>并提出主攻方向：加强矿区综合治理和生态修复，使区域内水土流失状况得到有效控制，完善自然保护地体系建设并保护区域内生物多样性。《规划》专栏4-2黄河重点生态区（含黄土高原生态屏障）生态保护和修复重点工程提出“5黄河重点生态区矿山生态修复：大力开展历史遗留矿山生态修复，实施地质环境治理、地形重塑、土壤重构、植被重建等综合治理，恢复矿山生态”。</w:t>
            </w:r>
          </w:p>
          <w:p w14:paraId="3C4370EC">
            <w:pPr>
              <w:bidi w:val="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14:textFill>
                  <w14:solidFill>
                    <w14:schemeClr w14:val="tx1"/>
                  </w14:solidFill>
                </w14:textFill>
              </w:rPr>
              <w:t>本项目治理历史遗留矿山面积</w:t>
            </w:r>
            <w:r>
              <w:rPr>
                <w:rFonts w:hint="eastAsia" w:cs="Times New Roman"/>
                <w:color w:val="000000" w:themeColor="text1"/>
                <w:sz w:val="24"/>
                <w:lang w:val="en-US" w:eastAsia="zh-CN"/>
                <w14:textFill>
                  <w14:solidFill>
                    <w14:schemeClr w14:val="tx1"/>
                  </w14:solidFill>
                </w14:textFill>
              </w:rPr>
              <w:t>33.78</w:t>
            </w:r>
            <w:r>
              <w:rPr>
                <w:rFonts w:hint="eastAsia" w:cs="Times New Roman"/>
                <w:color w:val="000000" w:themeColor="text1"/>
                <w:sz w:val="24"/>
                <w14:textFill>
                  <w14:solidFill>
                    <w14:schemeClr w14:val="tx1"/>
                  </w14:solidFill>
                </w14:textFill>
              </w:rPr>
              <w:t>hm</w:t>
            </w:r>
            <w:r>
              <w:rPr>
                <w:rFonts w:hint="eastAsia" w:cs="Times New Roman"/>
                <w:color w:val="000000" w:themeColor="text1"/>
                <w:sz w:val="24"/>
                <w:vertAlign w:val="superscript"/>
                <w14:textFill>
                  <w14:solidFill>
                    <w14:schemeClr w14:val="tx1"/>
                  </w14:solidFill>
                </w14:textFill>
              </w:rPr>
              <w:t>2</w:t>
            </w:r>
            <w:r>
              <w:rPr>
                <w:rFonts w:hint="eastAsia" w:cs="Times New Roman"/>
                <w:color w:val="000000" w:themeColor="text1"/>
                <w:sz w:val="24"/>
                <w14:textFill>
                  <w14:solidFill>
                    <w14:schemeClr w14:val="tx1"/>
                  </w14:solidFill>
                </w14:textFill>
              </w:rPr>
              <w:t>，本项目实施</w:t>
            </w:r>
            <w:r>
              <w:rPr>
                <w:rFonts w:hint="eastAsia" w:cs="Times New Roman"/>
                <w:color w:val="000000" w:themeColor="text1"/>
                <w:sz w:val="24"/>
                <w:lang w:val="en-US" w:eastAsia="zh-CN"/>
                <w14:textFill>
                  <w14:solidFill>
                    <w14:schemeClr w14:val="tx1"/>
                  </w14:solidFill>
                </w14:textFill>
              </w:rPr>
              <w:t>边坡削坡治理工程、地形</w:t>
            </w:r>
          </w:p>
          <w:p w14:paraId="2EE41709">
            <w:pPr>
              <w:pStyle w:val="17"/>
              <w:bidi w:val="0"/>
              <w:rPr>
                <w:rFonts w:hint="eastAsia"/>
                <w:color w:val="000000" w:themeColor="text1"/>
                <w:lang w:val="en-US" w:eastAsia="zh-CN"/>
                <w14:textFill>
                  <w14:solidFill>
                    <w14:schemeClr w14:val="tx1"/>
                  </w14:solidFill>
                </w14:textFill>
              </w:rPr>
            </w:pPr>
          </w:p>
          <w:p w14:paraId="4348748D">
            <w:pPr>
              <w:bidi w:val="0"/>
              <w:ind w:left="0" w:leftChars="0" w:firstLine="0" w:firstLineChars="0"/>
              <w:rPr>
                <w:rFonts w:hint="eastAsia"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地貌恢复工程、基础设施配置等生态修复措施</w:t>
            </w:r>
            <w:r>
              <w:rPr>
                <w:rFonts w:hint="eastAsia" w:cs="Times New Roman"/>
                <w:color w:val="000000" w:themeColor="text1"/>
                <w:sz w:val="24"/>
                <w14:textFill>
                  <w14:solidFill>
                    <w14:schemeClr w14:val="tx1"/>
                  </w14:solidFill>
                </w14:textFill>
              </w:rPr>
              <w:t>，可有效提高区域生态环境自我修复能力。因此，本项目符合《全国重要生态系统保护和修复重大工程总体规划（2021-2035年）》中的相关要求。</w:t>
            </w:r>
          </w:p>
          <w:p w14:paraId="3705E469">
            <w:pPr>
              <w:pStyle w:val="2"/>
              <w:numPr>
                <w:ilvl w:val="0"/>
                <w:numId w:val="0"/>
              </w:numPr>
              <w:bidi w:val="0"/>
              <w:ind w:leftChars="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项目与</w:t>
            </w:r>
            <w:r>
              <w:rPr>
                <w:color w:val="000000" w:themeColor="text1"/>
                <w14:textFill>
                  <w14:solidFill>
                    <w14:schemeClr w14:val="tx1"/>
                  </w14:solidFill>
                </w14:textFill>
              </w:rPr>
              <w:t>《宁夏回族自治区矿产资源总体规划（2021-2025年）》</w:t>
            </w:r>
            <w:r>
              <w:rPr>
                <w:rFonts w:hint="eastAsia"/>
                <w:color w:val="000000" w:themeColor="text1"/>
                <w14:textFill>
                  <w14:solidFill>
                    <w14:schemeClr w14:val="tx1"/>
                  </w14:solidFill>
                </w14:textFill>
              </w:rPr>
              <w:t>符合性分析符合性分析</w:t>
            </w:r>
          </w:p>
          <w:p w14:paraId="28FFBD87">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w:t>
            </w:r>
            <w:r>
              <w:rPr>
                <w:color w:val="000000" w:themeColor="text1"/>
                <w14:textFill>
                  <w14:solidFill>
                    <w14:schemeClr w14:val="tx1"/>
                  </w14:solidFill>
                </w14:textFill>
              </w:rPr>
              <w:t>《宁夏回族自治区矿产资源总体规划（2021-2025年）》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六、全面推进矿业绿色发展</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三）强化生态保护修复加快推进历史遗留废弃矿山生态修复。通过政府引导，按照市场运作模式，建立多元化矿山生态修复资金投入和补偿机制，加大历史遗留废弃矿山生态修复力度。坚持“边开采、边治理”，督促采矿权人采取消除地质灾害隐患、土地复垦、恢复植被等措施，切实履行矿山生态修复责任。按照集中连片、重点突出、全面治理的原则，以矿山环境问题类似、区域接近的大型矿山或若干小型矿山群采区为单元，部署实施重点治理项目，提升生态环境质量和水土保持能力，筑牢绿色生态安全屏障。</w:t>
            </w:r>
          </w:p>
          <w:p w14:paraId="1E80A946">
            <w:pPr>
              <w:keepNext w:val="0"/>
              <w:keepLines w:val="0"/>
              <w:suppressLineNumbers w:val="0"/>
              <w:spacing w:before="0" w:beforeAutospacing="0" w:after="0" w:afterAutospacing="0"/>
              <w:ind w:left="0" w:right="0" w:firstLine="454" w:firstLineChars="200"/>
              <w:rPr>
                <w:rFonts w:hint="default" w:cs="Times New Roman"/>
                <w:color w:val="000000" w:themeColor="text1"/>
                <w:sz w:val="24"/>
                <w14:textFill>
                  <w14:solidFill>
                    <w14:schemeClr w14:val="tx1"/>
                  </w14:solidFill>
                </w14:textFill>
              </w:rPr>
            </w:pPr>
            <w:r>
              <w:rPr>
                <w:rFonts w:hint="eastAsia" w:cs="Times New Roman"/>
                <w:color w:val="000000" w:themeColor="text1"/>
                <w:sz w:val="24"/>
                <w14:textFill>
                  <w14:solidFill>
                    <w14:schemeClr w14:val="tx1"/>
                  </w14:solidFill>
                </w14:textFill>
              </w:rPr>
              <w:t>本项目主要对历史遗留废弃矿山进行生态修复治理</w:t>
            </w:r>
            <w:r>
              <w:rPr>
                <w:rFonts w:hint="default" w:cs="Times New Roman"/>
                <w:color w:val="000000" w:themeColor="text1"/>
                <w:sz w:val="24"/>
                <w14:textFill>
                  <w14:solidFill>
                    <w14:schemeClr w14:val="tx1"/>
                  </w14:solidFill>
                </w14:textFill>
              </w:rPr>
              <w:t>，总治理面积为</w:t>
            </w:r>
            <w:r>
              <w:rPr>
                <w:rFonts w:hint="eastAsia" w:cs="Times New Roman"/>
                <w:color w:val="000000" w:themeColor="text1"/>
                <w:kern w:val="0"/>
                <w:sz w:val="24"/>
                <w:lang w:val="en-US" w:eastAsia="zh-CN"/>
                <w14:textFill>
                  <w14:solidFill>
                    <w14:schemeClr w14:val="tx1"/>
                  </w14:solidFill>
                </w14:textFill>
              </w:rPr>
              <w:t>33.78</w:t>
            </w:r>
            <w:r>
              <w:rPr>
                <w:rFonts w:hint="default" w:cs="Times New Roman"/>
                <w:color w:val="000000" w:themeColor="text1"/>
                <w:sz w:val="24"/>
                <w14:textFill>
                  <w14:solidFill>
                    <w14:schemeClr w14:val="tx1"/>
                  </w14:solidFill>
                </w14:textFill>
              </w:rPr>
              <w:t>hm</w:t>
            </w:r>
            <w:r>
              <w:rPr>
                <w:rFonts w:hint="default" w:cs="Times New Roman"/>
                <w:color w:val="000000" w:themeColor="text1"/>
                <w:sz w:val="24"/>
                <w:vertAlign w:val="superscript"/>
                <w14:textFill>
                  <w14:solidFill>
                    <w14:schemeClr w14:val="tx1"/>
                  </w14:solidFill>
                </w14:textFill>
              </w:rPr>
              <w:t>2</w:t>
            </w:r>
            <w:r>
              <w:rPr>
                <w:rFonts w:hint="default" w:cs="Times New Roman"/>
                <w:color w:val="000000" w:themeColor="text1"/>
                <w:sz w:val="24"/>
                <w14:textFill>
                  <w14:solidFill>
                    <w14:schemeClr w14:val="tx1"/>
                  </w14:solidFill>
                </w14:textFill>
              </w:rPr>
              <w:t>。</w:t>
            </w:r>
          </w:p>
          <w:p w14:paraId="0A541786">
            <w:pPr>
              <w:keepNext w:val="0"/>
              <w:keepLines w:val="0"/>
              <w:suppressLineNumbers w:val="0"/>
              <w:spacing w:before="0" w:beforeAutospacing="0" w:after="0" w:afterAutospacing="0"/>
              <w:ind w:left="0" w:leftChars="0" w:right="0" w:firstLine="0" w:firstLineChars="0"/>
              <w:rPr>
                <w:rFonts w:hint="eastAsia"/>
                <w:color w:val="000000" w:themeColor="text1"/>
                <w:lang w:val="en-US" w:eastAsia="zh-CN"/>
                <w14:textFill>
                  <w14:solidFill>
                    <w14:schemeClr w14:val="tx1"/>
                  </w14:solidFill>
                </w14:textFill>
              </w:rPr>
            </w:pPr>
            <w:r>
              <w:rPr>
                <w:rFonts w:hint="eastAsia" w:cs="Times New Roman"/>
                <w:color w:val="000000" w:themeColor="text1"/>
                <w:sz w:val="24"/>
                <w14:textFill>
                  <w14:solidFill>
                    <w14:schemeClr w14:val="tx1"/>
                  </w14:solidFill>
                </w14:textFill>
              </w:rPr>
              <w:t>项目实施</w:t>
            </w:r>
            <w:r>
              <w:rPr>
                <w:rFonts w:hint="eastAsia" w:cs="Times New Roman"/>
                <w:color w:val="000000" w:themeColor="text1"/>
                <w:sz w:val="24"/>
                <w:lang w:val="en-US" w:eastAsia="zh-CN"/>
                <w14:textFill>
                  <w14:solidFill>
                    <w14:schemeClr w14:val="tx1"/>
                  </w14:solidFill>
                </w14:textFill>
              </w:rPr>
              <w:t>边坡削坡治理工程、地形地貌恢复工程、基础设施配置等生态修复措施，</w:t>
            </w:r>
            <w:r>
              <w:rPr>
                <w:color w:val="000000" w:themeColor="text1"/>
                <w14:textFill>
                  <w14:solidFill>
                    <w14:schemeClr w14:val="tx1"/>
                  </w14:solidFill>
                </w14:textFill>
              </w:rPr>
              <w:t>切实履行矿山生态修复责任</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符合</w:t>
            </w:r>
            <w:r>
              <w:rPr>
                <w:color w:val="000000" w:themeColor="text1"/>
                <w14:textFill>
                  <w14:solidFill>
                    <w14:schemeClr w14:val="tx1"/>
                  </w14:solidFill>
                </w14:textFill>
              </w:rPr>
              <w:t>《宁夏回族自治区矿产资源总体规划（2021-2025年）》</w:t>
            </w:r>
            <w:r>
              <w:rPr>
                <w:rFonts w:hint="eastAsia"/>
                <w:color w:val="000000" w:themeColor="text1"/>
                <w:lang w:val="en-US" w:eastAsia="zh-CN"/>
                <w14:textFill>
                  <w14:solidFill>
                    <w14:schemeClr w14:val="tx1"/>
                  </w14:solidFill>
                </w14:textFill>
              </w:rPr>
              <w:t>要求。</w:t>
            </w:r>
          </w:p>
          <w:p w14:paraId="620D5005">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项目与《宁夏回族自治区矿产资源总体规划（</w:t>
            </w:r>
            <w:r>
              <w:rPr>
                <w:rFonts w:hint="default"/>
                <w:color w:val="000000" w:themeColor="text1"/>
                <w:lang w:val="en-US" w:eastAsia="zh-CN"/>
                <w14:textFill>
                  <w14:solidFill>
                    <w14:schemeClr w14:val="tx1"/>
                  </w14:solidFill>
                </w14:textFill>
              </w:rPr>
              <w:t xml:space="preserve">2021-2025 </w:t>
            </w:r>
            <w:r>
              <w:rPr>
                <w:rFonts w:hint="eastAsia"/>
                <w:color w:val="000000" w:themeColor="text1"/>
                <w:lang w:val="en-US" w:eastAsia="zh-CN"/>
                <w14:textFill>
                  <w14:solidFill>
                    <w14:schemeClr w14:val="tx1"/>
                  </w14:solidFill>
                </w14:textFill>
              </w:rPr>
              <w:t>年）环境影响报告书》及其审查意见符合性分析见表1-1。</w:t>
            </w:r>
          </w:p>
          <w:p w14:paraId="425B4364">
            <w:pPr>
              <w:pStyle w:val="3"/>
              <w:bidi w:val="0"/>
              <w:rPr>
                <w:rFonts w:hint="default" w:cs="Times New Roman"/>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表1-1  项目与宁夏矿产资源规划环评及审查意见符合性分析</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9"/>
              <w:gridCol w:w="4660"/>
              <w:gridCol w:w="1949"/>
              <w:gridCol w:w="819"/>
            </w:tblGrid>
            <w:tr w14:paraId="7A1A3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025A8424">
                  <w:pPr>
                    <w:pStyle w:val="34"/>
                    <w:bidi w:val="0"/>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序号</w:t>
                  </w:r>
                </w:p>
              </w:tc>
              <w:tc>
                <w:tcPr>
                  <w:tcW w:w="4660" w:type="dxa"/>
                  <w:tcBorders>
                    <w:tl2br w:val="nil"/>
                    <w:tr2bl w:val="nil"/>
                  </w:tcBorders>
                  <w:vAlign w:val="center"/>
                </w:tcPr>
                <w:p w14:paraId="19ECC112">
                  <w:pPr>
                    <w:pStyle w:val="34"/>
                    <w:bidi w:val="0"/>
                    <w:rPr>
                      <w:rFonts w:hint="eastAsia"/>
                      <w:b/>
                      <w:bCs/>
                      <w:color w:val="000000" w:themeColor="text1"/>
                      <w:lang w:val="en-US" w:eastAsia="zh-CN"/>
                      <w14:textFill>
                        <w14:solidFill>
                          <w14:schemeClr w14:val="tx1"/>
                        </w14:solidFill>
                      </w14:textFill>
                    </w:rPr>
                  </w:pPr>
                  <w:r>
                    <w:rPr>
                      <w:b/>
                      <w:bCs/>
                      <w:color w:val="000000" w:themeColor="text1"/>
                      <w14:textFill>
                        <w14:solidFill>
                          <w14:schemeClr w14:val="tx1"/>
                        </w14:solidFill>
                      </w14:textFill>
                    </w:rPr>
                    <w:t>相关要求</w:t>
                  </w:r>
                </w:p>
              </w:tc>
              <w:tc>
                <w:tcPr>
                  <w:tcW w:w="1949" w:type="dxa"/>
                  <w:tcBorders>
                    <w:tl2br w:val="nil"/>
                    <w:tr2bl w:val="nil"/>
                  </w:tcBorders>
                  <w:vAlign w:val="center"/>
                </w:tcPr>
                <w:p w14:paraId="480F1DF0">
                  <w:pPr>
                    <w:pStyle w:val="34"/>
                    <w:bidi w:val="0"/>
                    <w:rPr>
                      <w:rFonts w:hint="eastAsia"/>
                      <w:b/>
                      <w:bCs/>
                      <w:color w:val="000000" w:themeColor="text1"/>
                      <w:lang w:val="en-US" w:eastAsia="zh-CN"/>
                      <w14:textFill>
                        <w14:solidFill>
                          <w14:schemeClr w14:val="tx1"/>
                        </w14:solidFill>
                      </w14:textFill>
                    </w:rPr>
                  </w:pPr>
                  <w:r>
                    <w:rPr>
                      <w:b/>
                      <w:bCs/>
                      <w:color w:val="000000" w:themeColor="text1"/>
                      <w14:textFill>
                        <w14:solidFill>
                          <w14:schemeClr w14:val="tx1"/>
                        </w14:solidFill>
                      </w14:textFill>
                    </w:rPr>
                    <w:t>本项目情况</w:t>
                  </w:r>
                </w:p>
              </w:tc>
              <w:tc>
                <w:tcPr>
                  <w:tcW w:w="819" w:type="dxa"/>
                  <w:tcBorders>
                    <w:tl2br w:val="nil"/>
                    <w:tr2bl w:val="nil"/>
                  </w:tcBorders>
                  <w:vAlign w:val="center"/>
                </w:tcPr>
                <w:p w14:paraId="7672A0D6">
                  <w:pPr>
                    <w:pStyle w:val="34"/>
                    <w:bidi w:val="0"/>
                    <w:rPr>
                      <w:rFonts w:hint="eastAsia"/>
                      <w:b/>
                      <w:bCs/>
                      <w:color w:val="000000" w:themeColor="text1"/>
                      <w:lang w:val="en-US" w:eastAsia="zh-CN"/>
                      <w14:textFill>
                        <w14:solidFill>
                          <w14:schemeClr w14:val="tx1"/>
                        </w14:solidFill>
                      </w14:textFill>
                    </w:rPr>
                  </w:pPr>
                  <w:r>
                    <w:rPr>
                      <w:b/>
                      <w:bCs/>
                      <w:color w:val="000000" w:themeColor="text1"/>
                      <w14:textFill>
                        <w14:solidFill>
                          <w14:schemeClr w14:val="tx1"/>
                        </w14:solidFill>
                      </w14:textFill>
                    </w:rPr>
                    <w:t>符合性</w:t>
                  </w:r>
                </w:p>
              </w:tc>
            </w:tr>
            <w:tr w14:paraId="6CF94F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07" w:type="dxa"/>
                  <w:gridSpan w:val="4"/>
                  <w:tcBorders>
                    <w:tl2br w:val="nil"/>
                    <w:tr2bl w:val="nil"/>
                  </w:tcBorders>
                  <w:vAlign w:val="center"/>
                </w:tcPr>
                <w:p w14:paraId="7ED7C84A">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《宁夏回族自治区矿产资源总体规划（2021-2025年）环境影响报告书》</w:t>
                  </w:r>
                </w:p>
              </w:tc>
            </w:tr>
            <w:tr w14:paraId="6D0560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382D03F7">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428" w:type="dxa"/>
                  <w:gridSpan w:val="3"/>
                  <w:tcBorders>
                    <w:tl2br w:val="nil"/>
                    <w:tr2bl w:val="nil"/>
                  </w:tcBorders>
                  <w:vAlign w:val="center"/>
                </w:tcPr>
                <w:p w14:paraId="5568517D">
                  <w:pPr>
                    <w:pStyle w:val="34"/>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t>规划内容/三、矿业绿色发展</w:t>
                  </w:r>
                </w:p>
              </w:tc>
            </w:tr>
            <w:tr w14:paraId="0856A7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17" w:hRule="atLeast"/>
              </w:trPr>
              <w:tc>
                <w:tcPr>
                  <w:tcW w:w="679" w:type="dxa"/>
                  <w:tcBorders>
                    <w:tl2br w:val="nil"/>
                    <w:tr2bl w:val="nil"/>
                  </w:tcBorders>
                  <w:vAlign w:val="center"/>
                </w:tcPr>
                <w:p w14:paraId="6784AA37">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w:t>
                  </w:r>
                </w:p>
              </w:tc>
              <w:tc>
                <w:tcPr>
                  <w:tcW w:w="4660" w:type="dxa"/>
                  <w:tcBorders>
                    <w:tl2br w:val="nil"/>
                    <w:tr2bl w:val="nil"/>
                  </w:tcBorders>
                  <w:vAlign w:val="center"/>
                </w:tcPr>
                <w:p w14:paraId="4645A7E5">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全面深入落实绿色勘查、绿色矿山建设、矿区生态保护修复各项政策，加快构建全区矿业绿色发展新格局。将绿色发展理念贯穿于矿产资源勘查、开发利用与保护全过程，体现源头管控、过程控制和末端治理。建立绿色矿业发展的工作体系、政策体系、监管体系和利益共享体系，健全绿色矿业发展长效机制，加强矿山环境保护法治宣传，增强绿色发展意识</w:t>
                  </w:r>
                </w:p>
              </w:tc>
              <w:tc>
                <w:tcPr>
                  <w:tcW w:w="1949" w:type="dxa"/>
                  <w:tcBorders>
                    <w:tl2br w:val="nil"/>
                    <w:tr2bl w:val="nil"/>
                  </w:tcBorders>
                  <w:vAlign w:val="center"/>
                </w:tcPr>
                <w:p w14:paraId="233E21CB">
                  <w:pPr>
                    <w:pStyle w:val="34"/>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通过边坡削坡治理工程、地形地貌恢复工程、基础设施配置等生态修复措施</w:t>
                  </w:r>
                  <w:r>
                    <w:rPr>
                      <w:rFonts w:hint="eastAsia"/>
                      <w:color w:val="000000" w:themeColor="text1"/>
                      <w14:textFill>
                        <w14:solidFill>
                          <w14:schemeClr w14:val="tx1"/>
                        </w14:solidFill>
                      </w14:textFill>
                    </w:rPr>
                    <w:t>对历史遗留废弃矿山进行生态修复治理</w:t>
                  </w:r>
                </w:p>
              </w:tc>
              <w:tc>
                <w:tcPr>
                  <w:tcW w:w="819" w:type="dxa"/>
                  <w:tcBorders>
                    <w:tl2br w:val="nil"/>
                    <w:tr2bl w:val="nil"/>
                  </w:tcBorders>
                  <w:vAlign w:val="center"/>
                </w:tcPr>
                <w:p w14:paraId="2332C63E">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598C1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5F96167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w:t>
                  </w:r>
                </w:p>
              </w:tc>
              <w:tc>
                <w:tcPr>
                  <w:tcW w:w="4660" w:type="dxa"/>
                  <w:tcBorders>
                    <w:tl2br w:val="nil"/>
                    <w:tr2bl w:val="nil"/>
                  </w:tcBorders>
                  <w:vAlign w:val="center"/>
                </w:tcPr>
                <w:p w14:paraId="6803FE6E">
                  <w:pPr>
                    <w:pStyle w:val="34"/>
                    <w:bidi w:val="0"/>
                    <w:rPr>
                      <w:color w:val="000000" w:themeColor="text1"/>
                      <w14:textFill>
                        <w14:solidFill>
                          <w14:schemeClr w14:val="tx1"/>
                        </w14:solidFill>
                      </w14:textFill>
                    </w:rPr>
                  </w:pPr>
                  <w:r>
                    <w:rPr>
                      <w:color w:val="000000" w:themeColor="text1"/>
                      <w14:textFill>
                        <w14:solidFill>
                          <w14:schemeClr w14:val="tx1"/>
                        </w14:solidFill>
                      </w14:textFill>
                    </w:rPr>
                    <w:t>1.生态保护红线</w:t>
                  </w:r>
                </w:p>
                <w:p w14:paraId="6BD0CA92">
                  <w:pPr>
                    <w:pStyle w:val="34"/>
                    <w:bidi w:val="0"/>
                    <w:rPr>
                      <w:color w:val="000000" w:themeColor="text1"/>
                      <w14:textFill>
                        <w14:solidFill>
                          <w14:schemeClr w14:val="tx1"/>
                        </w14:solidFill>
                      </w14:textFill>
                    </w:rPr>
                  </w:pPr>
                  <w:r>
                    <w:rPr>
                      <w:color w:val="000000" w:themeColor="text1"/>
                      <w14:textFill>
                        <w14:solidFill>
                          <w14:schemeClr w14:val="tx1"/>
                        </w14:solidFill>
                      </w14:textFill>
                    </w:rPr>
                    <w:t>按照《关于在国土空间规划中统筹划定落实三条控制线的指导意见》的要求，生态保护红线内，自然保护地核心保护区原则上禁止人为活动，其他区域严格禁止开发性、生产性建设活动，在符合现行法律法规前提下，除国家重大战略项目外，仅允许对生态功能不造成破坏的有限人为活动。生态保护红线原则上按禁止开发区域的要求进行管理，严禁不符合主体功能定位的各类开发活动，严禁任意改变用途，确保区域生态保护红线的生态功能不降低、面积不减少、性质不改变，维护国家生态安全。</w:t>
                  </w:r>
                </w:p>
                <w:p w14:paraId="7B043121">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认真贯彻落实《中办国办关于划定并严守生态保护红线的若干意见》，严守生态保护红线，依法遵守环境敏感区规定，加强规划空间管制，合法开展矿产资源勘查和开发利用与保护。加强矿山地质环境恢复治理，促进矿业绿色发展。重点推进贺兰山矿山地质环境恢复治理依法退出生态空间内损害生态功能的产业和采矿等工业项目</w:t>
                  </w:r>
                </w:p>
              </w:tc>
              <w:tc>
                <w:tcPr>
                  <w:tcW w:w="1949" w:type="dxa"/>
                  <w:tcBorders>
                    <w:tl2br w:val="nil"/>
                    <w:tr2bl w:val="nil"/>
                  </w:tcBorders>
                  <w:vAlign w:val="center"/>
                </w:tcPr>
                <w:p w14:paraId="48A3204E">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本项目不涉及</w:t>
                  </w:r>
                  <w:r>
                    <w:rPr>
                      <w:color w:val="000000" w:themeColor="text1"/>
                      <w14:textFill>
                        <w14:solidFill>
                          <w14:schemeClr w14:val="tx1"/>
                        </w14:solidFill>
                      </w14:textFill>
                    </w:rPr>
                    <w:t>生态保护红线</w:t>
                  </w:r>
                </w:p>
              </w:tc>
              <w:tc>
                <w:tcPr>
                  <w:tcW w:w="819" w:type="dxa"/>
                  <w:tcBorders>
                    <w:tl2br w:val="nil"/>
                    <w:tr2bl w:val="nil"/>
                  </w:tcBorders>
                  <w:vAlign w:val="center"/>
                </w:tcPr>
                <w:p w14:paraId="1519462B">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661F1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67BCB10A">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③</w:t>
                  </w:r>
                </w:p>
              </w:tc>
              <w:tc>
                <w:tcPr>
                  <w:tcW w:w="4660" w:type="dxa"/>
                  <w:tcBorders>
                    <w:tl2br w:val="nil"/>
                    <w:tr2bl w:val="nil"/>
                  </w:tcBorders>
                  <w:vAlign w:val="center"/>
                </w:tcPr>
                <w:p w14:paraId="3FE729AD">
                  <w:pPr>
                    <w:pStyle w:val="34"/>
                    <w:bidi w:val="0"/>
                    <w:rPr>
                      <w:color w:val="000000" w:themeColor="text1"/>
                      <w14:textFill>
                        <w14:solidFill>
                          <w14:schemeClr w14:val="tx1"/>
                        </w14:solidFill>
                      </w14:textFill>
                    </w:rPr>
                  </w:pPr>
                  <w:r>
                    <w:rPr>
                      <w:color w:val="000000" w:themeColor="text1"/>
                      <w14:textFill>
                        <w14:solidFill>
                          <w14:schemeClr w14:val="tx1"/>
                        </w14:solidFill>
                      </w14:textFill>
                    </w:rPr>
                    <w:t>2.环境质量底线</w:t>
                  </w:r>
                </w:p>
                <w:p w14:paraId="14E67AA6">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规划实施应以改善环境质量为核心，严守空气、地表水、地下水、声和土壤等环境质量底线，落实评价提出的规划环境质量底线管控要求，提高废水和固体废弃物综合利用水平，最大化实现废弃物的资源化利用。矿产开发企业应当对产生的全部高盐废水、矿井废水进行处理，达到国家或者宁夏规定的污染物排放标准后方可排放，严禁将未经处理的废水直接排入外环境。矿山开采区应进行必要的防渗处理，防控地下水污染。对农用地实行严格保护，确保其面积不减少、土壤环境质量不下降，禁止任何单位和个人在基本农田保护区内挖砂、采石、采矿、取土、堆放固体废弃物或者进行其他破坏基本农田的活动</w:t>
                  </w:r>
                </w:p>
              </w:tc>
              <w:tc>
                <w:tcPr>
                  <w:tcW w:w="1949" w:type="dxa"/>
                  <w:tcBorders>
                    <w:tl2br w:val="nil"/>
                    <w:tr2bl w:val="nil"/>
                  </w:tcBorders>
                  <w:vAlign w:val="center"/>
                </w:tcPr>
                <w:p w14:paraId="3CBA5F23">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val="en-US" w:eastAsia="zh-CN"/>
                      <w14:textFill>
                        <w14:solidFill>
                          <w14:schemeClr w14:val="tx1"/>
                        </w14:solidFill>
                      </w14:textFill>
                    </w:rPr>
                    <w:t>，属于生态修复治理项目；项目运营期无废气、废水、噪声及固体废弃物等的产生，本项目的实施相对于项目实施前是更有利于周边的生态和水环境恢复，不会对区域空气、地表水、地下水、声和土壤等环境质量产生影响</w:t>
                  </w:r>
                </w:p>
              </w:tc>
              <w:tc>
                <w:tcPr>
                  <w:tcW w:w="819" w:type="dxa"/>
                  <w:tcBorders>
                    <w:tl2br w:val="nil"/>
                    <w:tr2bl w:val="nil"/>
                  </w:tcBorders>
                  <w:vAlign w:val="center"/>
                </w:tcPr>
                <w:p w14:paraId="03361ADE">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3998B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57BB6426">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④</w:t>
                  </w:r>
                </w:p>
              </w:tc>
              <w:tc>
                <w:tcPr>
                  <w:tcW w:w="4660" w:type="dxa"/>
                  <w:tcBorders>
                    <w:tl2br w:val="nil"/>
                    <w:tr2bl w:val="nil"/>
                  </w:tcBorders>
                  <w:vAlign w:val="center"/>
                </w:tcPr>
                <w:p w14:paraId="108BBA32">
                  <w:pPr>
                    <w:pStyle w:val="34"/>
                    <w:bidi w:val="0"/>
                    <w:rPr>
                      <w:color w:val="000000" w:themeColor="text1"/>
                      <w14:textFill>
                        <w14:solidFill>
                          <w14:schemeClr w14:val="tx1"/>
                        </w14:solidFill>
                      </w14:textFill>
                    </w:rPr>
                  </w:pPr>
                  <w:r>
                    <w:rPr>
                      <w:color w:val="000000" w:themeColor="text1"/>
                      <w14:textFill>
                        <w14:solidFill>
                          <w14:schemeClr w14:val="tx1"/>
                        </w14:solidFill>
                      </w14:textFill>
                    </w:rPr>
                    <w:t>3.资源利用上线</w:t>
                  </w:r>
                </w:p>
                <w:p w14:paraId="35FAD913">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采矿权区块实施必须严格执行规划要求，不得超越矿权范围从事采矿活动，不得突破区块矿产资源利用上线。认真贯彻落实《宁夏回族自治区水资源管理条例》《宁夏回族自治区关于实施最严格水资源管理制度的意见》，实行用水总量控制和定额管理，严格执行水资源开发利用控制红线，严格取水制度，加强污废水无害化处理和资源化再利用，建设节水型社会。严格控制建设用地总量，优先保障重点开发区域土地供给，适度控制限制开发区域土地供给。推进节能降耗，严格能耗准入门槛。坚持节约优先，严控资源利用上线，降低资源消耗强度，建设资源节约型社会</w:t>
                  </w:r>
                </w:p>
              </w:tc>
              <w:tc>
                <w:tcPr>
                  <w:tcW w:w="1949" w:type="dxa"/>
                  <w:tcBorders>
                    <w:tl2br w:val="nil"/>
                    <w:tr2bl w:val="nil"/>
                  </w:tcBorders>
                  <w:vAlign w:val="center"/>
                </w:tcPr>
                <w:p w14:paraId="56676943">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val="en-US" w:eastAsia="zh-CN"/>
                      <w14:textFill>
                        <w14:solidFill>
                          <w14:schemeClr w14:val="tx1"/>
                        </w14:solidFill>
                      </w14:textFill>
                    </w:rPr>
                    <w:t>，属于生态修复治理项目；项目不从事采矿活动，项目运营期不产生污废水，项目不涉及永久占地，运营期不涉及使用水资源</w:t>
                  </w:r>
                </w:p>
              </w:tc>
              <w:tc>
                <w:tcPr>
                  <w:tcW w:w="819" w:type="dxa"/>
                  <w:tcBorders>
                    <w:tl2br w:val="nil"/>
                    <w:tr2bl w:val="nil"/>
                  </w:tcBorders>
                  <w:vAlign w:val="center"/>
                </w:tcPr>
                <w:p w14:paraId="036FB706">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62E9B2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75C705FB">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⑤</w:t>
                  </w:r>
                </w:p>
              </w:tc>
              <w:tc>
                <w:tcPr>
                  <w:tcW w:w="4660" w:type="dxa"/>
                  <w:tcBorders>
                    <w:tl2br w:val="nil"/>
                    <w:tr2bl w:val="nil"/>
                  </w:tcBorders>
                  <w:vAlign w:val="center"/>
                </w:tcPr>
                <w:p w14:paraId="03DE5999">
                  <w:pPr>
                    <w:pStyle w:val="34"/>
                    <w:bidi w:val="0"/>
                    <w:rPr>
                      <w:color w:val="000000" w:themeColor="text1"/>
                      <w14:textFill>
                        <w14:solidFill>
                          <w14:schemeClr w14:val="tx1"/>
                        </w14:solidFill>
                      </w14:textFill>
                    </w:rPr>
                  </w:pPr>
                  <w:r>
                    <w:rPr>
                      <w:color w:val="000000" w:themeColor="text1"/>
                      <w14:textFill>
                        <w14:solidFill>
                          <w14:schemeClr w14:val="tx1"/>
                        </w14:solidFill>
                      </w14:textFill>
                    </w:rPr>
                    <w:t>4.生态环境准入清单</w:t>
                  </w:r>
                </w:p>
                <w:p w14:paraId="2DB789E6">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规划》应加强空间管控，严格执行《关于划定并严守生态保护红线的若干意见》《矿山生态环境保护与恢复治理技术规范（试行）》（HJ651-2013）《风景名胜区条例》《国家级森林公园管理办法》《森林公园管理办法》《基本农田保护条例》《饮用水水源保护区污染防治管理规定》等法律法规有关矿产资源勘查开发的准入要求。严格矿产资源开采项目准入，推进矿产资源开发利用布局与结构优化调整，落实《关于加快建设绿色矿山的实施意见》（国土资规（2017）4号）等相关规定和要求，推动矿业绿色发展，实现资源开发利用与环境保护相协调的绿色发展格局。根据生态保护红线、环境质量底线、资源利用上线的管控要求，从空间布局约束、污染物排放管控、环境风险防控等方面，针对《规划》提出了优化布局、调整结构、控制规模等调控策略及导向性的环境治理要求，分类明确了禁止和限制的环境准入要求。</w:t>
                  </w:r>
                </w:p>
              </w:tc>
              <w:tc>
                <w:tcPr>
                  <w:tcW w:w="1949" w:type="dxa"/>
                  <w:tcBorders>
                    <w:tl2br w:val="nil"/>
                    <w:tr2bl w:val="nil"/>
                  </w:tcBorders>
                  <w:vAlign w:val="center"/>
                </w:tcPr>
                <w:p w14:paraId="10ECD8E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val="en-US" w:eastAsia="zh-CN"/>
                      <w14:textFill>
                        <w14:solidFill>
                          <w14:schemeClr w14:val="tx1"/>
                        </w14:solidFill>
                      </w14:textFill>
                    </w:rPr>
                    <w:t>，属于生态修复治理项目；项目运营期无废气、废水、噪声及固体废弃物等的产生，项目的实施相对于项目实施前是更有利于周边的生态和水环境恢复；项目建设符合规划中生态保护红线、环境质量底线、资源利用上线的管控要求，从空间布局约束、污染物排放管控、环境风险防控等方面要求</w:t>
                  </w:r>
                </w:p>
              </w:tc>
              <w:tc>
                <w:tcPr>
                  <w:tcW w:w="819" w:type="dxa"/>
                  <w:tcBorders>
                    <w:tl2br w:val="nil"/>
                    <w:tr2bl w:val="nil"/>
                  </w:tcBorders>
                  <w:vAlign w:val="center"/>
                </w:tcPr>
                <w:p w14:paraId="07A650EB">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3F79BF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228C3CDC">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428" w:type="dxa"/>
                  <w:gridSpan w:val="3"/>
                  <w:tcBorders>
                    <w:tl2br w:val="nil"/>
                    <w:tr2bl w:val="nil"/>
                  </w:tcBorders>
                  <w:vAlign w:val="center"/>
                </w:tcPr>
                <w:p w14:paraId="760D592C">
                  <w:pPr>
                    <w:pStyle w:val="34"/>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《关于&lt;宁夏回族自治区矿产资源总体规划（2021-2025年）环境影响报告书&gt;的审查意见》（环审〔2022〕91号）</w:t>
                  </w:r>
                </w:p>
              </w:tc>
            </w:tr>
            <w:tr w14:paraId="6C17D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1DDC1EE9">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w:t>
                  </w:r>
                </w:p>
              </w:tc>
              <w:tc>
                <w:tcPr>
                  <w:tcW w:w="4660" w:type="dxa"/>
                  <w:tcBorders>
                    <w:tl2br w:val="nil"/>
                    <w:tr2bl w:val="nil"/>
                  </w:tcBorders>
                  <w:vAlign w:val="center"/>
                </w:tcPr>
                <w:p w14:paraId="6FE2FB78">
                  <w:pPr>
                    <w:pStyle w:val="34"/>
                    <w:bidi w:val="0"/>
                    <w:rPr>
                      <w:color w:val="000000" w:themeColor="text1"/>
                      <w14:textFill>
                        <w14:solidFill>
                          <w14:schemeClr w14:val="tx1"/>
                        </w14:solidFill>
                      </w14:textFill>
                    </w:rPr>
                  </w:pPr>
                  <w:r>
                    <w:rPr>
                      <w:color w:val="000000" w:themeColor="text1"/>
                      <w14:textFill>
                        <w14:solidFill>
                          <w14:schemeClr w14:val="tx1"/>
                        </w14:solidFill>
                      </w14:textFill>
                    </w:rPr>
                    <w:t>（一）坚持生态优先、绿色发展。坚持以习近平生态文明思想为指导，严格落实《黄河流域生态保护和高质量发展规划纲要》和维护西北生态安全的总体要求，立足于生态系统稳定和生态环境质量改善，处理好生态环境保护与矿产资源开发的关系，合理控制矿产资源开发规模与强度，不得占用依法应当禁止开发的区域，优先避让生态环境敏感区域。进一步强化《规划》的生态环境保护总体要求，将细化后的绿色开发、生态修复等相关目标、指标作为《规划》实施的硬约束</w:t>
                  </w:r>
                </w:p>
                <w:p w14:paraId="6C285529">
                  <w:pPr>
                    <w:pStyle w:val="34"/>
                    <w:bidi w:val="0"/>
                    <w:rPr>
                      <w:color w:val="000000" w:themeColor="text1"/>
                      <w14:textFill>
                        <w14:solidFill>
                          <w14:schemeClr w14:val="tx1"/>
                        </w14:solidFill>
                      </w14:textFill>
                    </w:rPr>
                  </w:pPr>
                  <w:r>
                    <w:rPr>
                      <w:color w:val="000000" w:themeColor="text1"/>
                      <w14:textFill>
                        <w14:solidFill>
                          <w14:schemeClr w14:val="tx1"/>
                        </w14:solidFill>
                      </w14:textFill>
                    </w:rPr>
                    <w:t>《规划》应严格执行国家矿产资源合理开发利用“三率”（即开采回采率、选矿回收率、综合利用率）水平标准，确保原煤入选率达到80%以上，综合利用率达到90%以上，全区矿山整体“三率”水平达标率85%以上。合理确定布局、规模、结构和开发时序，采取严格的生态保护和修复措施，确保优化后的《规划》符合绿色发展要求，推动生态环境保护与矿产资源开发目标同步实现</w:t>
                  </w:r>
                </w:p>
              </w:tc>
              <w:tc>
                <w:tcPr>
                  <w:tcW w:w="1949" w:type="dxa"/>
                  <w:tcBorders>
                    <w:tl2br w:val="nil"/>
                    <w:tr2bl w:val="nil"/>
                  </w:tcBorders>
                  <w:vAlign w:val="center"/>
                </w:tcPr>
                <w:p w14:paraId="1E2D8ECB">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val="en-US" w:eastAsia="zh-CN"/>
                      <w14:textFill>
                        <w14:solidFill>
                          <w14:schemeClr w14:val="tx1"/>
                        </w14:solidFill>
                      </w14:textFill>
                    </w:rPr>
                    <w:t>，不涉及</w:t>
                  </w:r>
                  <w:r>
                    <w:rPr>
                      <w:color w:val="000000" w:themeColor="text1"/>
                      <w14:textFill>
                        <w14:solidFill>
                          <w14:schemeClr w14:val="tx1"/>
                        </w14:solidFill>
                      </w14:textFill>
                    </w:rPr>
                    <w:t>矿产资源开发</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w:t>
                  </w:r>
                  <w:r>
                    <w:rPr>
                      <w:color w:val="000000" w:themeColor="text1"/>
                      <w14:textFill>
                        <w14:solidFill>
                          <w14:schemeClr w14:val="tx1"/>
                        </w14:solidFill>
                      </w14:textFill>
                    </w:rPr>
                    <w:t>禁止开发的区域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w:t>
                  </w:r>
                  <w:r>
                    <w:rPr>
                      <w:color w:val="000000" w:themeColor="text1"/>
                      <w14:textFill>
                        <w14:solidFill>
                          <w14:schemeClr w14:val="tx1"/>
                        </w14:solidFill>
                      </w14:textFill>
                    </w:rPr>
                    <w:t>生态环境敏感区域</w:t>
                  </w:r>
                </w:p>
              </w:tc>
              <w:tc>
                <w:tcPr>
                  <w:tcW w:w="819" w:type="dxa"/>
                  <w:tcBorders>
                    <w:tl2br w:val="nil"/>
                    <w:tr2bl w:val="nil"/>
                  </w:tcBorders>
                  <w:vAlign w:val="center"/>
                </w:tcPr>
                <w:p w14:paraId="48A04533">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5CEE2F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140F7FFE">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w:t>
                  </w:r>
                </w:p>
              </w:tc>
              <w:tc>
                <w:tcPr>
                  <w:tcW w:w="4660" w:type="dxa"/>
                  <w:tcBorders>
                    <w:tl2br w:val="nil"/>
                    <w:tr2bl w:val="nil"/>
                  </w:tcBorders>
                  <w:vAlign w:val="center"/>
                </w:tcPr>
                <w:p w14:paraId="28956374">
                  <w:pPr>
                    <w:pStyle w:val="34"/>
                    <w:bidi w:val="0"/>
                    <w:rPr>
                      <w:color w:val="000000" w:themeColor="text1"/>
                      <w14:textFill>
                        <w14:solidFill>
                          <w14:schemeClr w14:val="tx1"/>
                        </w14:solidFill>
                      </w14:textFill>
                    </w:rPr>
                  </w:pPr>
                  <w:r>
                    <w:rPr>
                      <w:color w:val="000000" w:themeColor="text1"/>
                      <w14:textFill>
                        <w14:solidFill>
                          <w14:schemeClr w14:val="tx1"/>
                        </w14:solidFill>
                      </w14:textFill>
                    </w:rPr>
                    <w:t>（二）严格保护生态空间，优化《规划》空间布局。将生态保护红线作为保障和维护区域生态安全的底线，应进一步优化矿业权设置和空间布局，依法依规对生态空间实施严格保护。与生态保护红线存在空间冲突的能源资源基地NY001，国家规划矿区GK001~GK004、GK006、GK008，重点勘査区KZ002、KZ004~KZ006，重点开采区CZ001~CZ004、CZ006，勘查规划区块KO005、KO007、KO027和开采规划区块CO012、CO051、CO056等，应进一步优化布局，确保满足生态保护红线相关管控要求。与永久基本农田存在空间冲突的非战略性矿产资源勘查规划区块KQ015、KO021~KQ025，KQ029~KQ033和开采规划区块C0034~C0039、C0047、C0056等，应进一步优化规划布局，确保满足永久基本农田相关管控要求。与饮用水水源保护区存在空间冲突的勘查规划区块KO014、KQ029和开采规划区块CQ027等区块，应进一步优化规划布局，强化生态环境保护措施，确保满足饮用水水源保护区相关管控要求</w:t>
                  </w:r>
                </w:p>
              </w:tc>
              <w:tc>
                <w:tcPr>
                  <w:tcW w:w="1949" w:type="dxa"/>
                  <w:tcBorders>
                    <w:tl2br w:val="nil"/>
                    <w:tr2bl w:val="nil"/>
                  </w:tcBorders>
                  <w:vAlign w:val="center"/>
                </w:tcPr>
                <w:p w14:paraId="42212644">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不涉及生态保护红线</w:t>
                  </w:r>
                </w:p>
              </w:tc>
              <w:tc>
                <w:tcPr>
                  <w:tcW w:w="819" w:type="dxa"/>
                  <w:tcBorders>
                    <w:tl2br w:val="nil"/>
                    <w:tr2bl w:val="nil"/>
                  </w:tcBorders>
                  <w:vAlign w:val="center"/>
                </w:tcPr>
                <w:p w14:paraId="2790F170">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75927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53246B63">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③</w:t>
                  </w:r>
                </w:p>
              </w:tc>
              <w:tc>
                <w:tcPr>
                  <w:tcW w:w="4660" w:type="dxa"/>
                  <w:tcBorders>
                    <w:tl2br w:val="nil"/>
                    <w:tr2bl w:val="nil"/>
                  </w:tcBorders>
                  <w:vAlign w:val="center"/>
                </w:tcPr>
                <w:p w14:paraId="0049DE23">
                  <w:pPr>
                    <w:pStyle w:val="34"/>
                    <w:bidi w:val="0"/>
                    <w:rPr>
                      <w:color w:val="000000" w:themeColor="text1"/>
                      <w14:textFill>
                        <w14:solidFill>
                          <w14:schemeClr w14:val="tx1"/>
                        </w14:solidFill>
                      </w14:textFill>
                    </w:rPr>
                  </w:pPr>
                  <w:r>
                    <w:rPr>
                      <w:color w:val="000000" w:themeColor="text1"/>
                      <w14:textFill>
                        <w14:solidFill>
                          <w14:schemeClr w14:val="tx1"/>
                        </w14:solidFill>
                      </w14:textFill>
                    </w:rPr>
                    <w:t>（三）严格产业准入，合理控制矿山开采种类和规模。严格落实《规划》目标和准入要求，矿山总数控制在260个左右，大中型矿山比例达到85~90%，重点矿种矿山执行最低开采规模准入。加大低效产能压减、无效产能腾退力度，逐步关闭退出安全隐患突出、生态环境问题明显、违法违规问题多的“小弱散”矿山和未达到最低生产规模的矿山。原则上不再批准新建露天煤矿，新建井工煤矿、技改、资源整合煤矿最低开采规模不低于60万吨/年；坚持“先立后破”和保障能源安全要求，引导现有开采规模60万吨/年以下煤矿逐步稳妥退出。依法关闭严重破坏生态环境、严重浪费水资源、限期整改仍未达到环保和安全标准的矿山。严格尾矿库的新建和管理，确保符合相关要求</w:t>
                  </w:r>
                </w:p>
              </w:tc>
              <w:tc>
                <w:tcPr>
                  <w:tcW w:w="1949" w:type="dxa"/>
                  <w:tcBorders>
                    <w:tl2br w:val="nil"/>
                    <w:tr2bl w:val="nil"/>
                  </w:tcBorders>
                  <w:vAlign w:val="center"/>
                </w:tcPr>
                <w:p w14:paraId="47B79D4A">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w:t>
                  </w:r>
                  <w:r>
                    <w:rPr>
                      <w:color w:val="000000" w:themeColor="text1"/>
                      <w14:textFill>
                        <w14:solidFill>
                          <w14:schemeClr w14:val="tx1"/>
                        </w14:solidFill>
                      </w14:textFill>
                    </w:rPr>
                    <w:t>矿山开采</w:t>
                  </w:r>
                </w:p>
              </w:tc>
              <w:tc>
                <w:tcPr>
                  <w:tcW w:w="819" w:type="dxa"/>
                  <w:tcBorders>
                    <w:tl2br w:val="nil"/>
                    <w:tr2bl w:val="nil"/>
                  </w:tcBorders>
                  <w:vAlign w:val="center"/>
                </w:tcPr>
                <w:p w14:paraId="2B1332E0">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17ED4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7F6F0E27">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④</w:t>
                  </w:r>
                </w:p>
              </w:tc>
              <w:tc>
                <w:tcPr>
                  <w:tcW w:w="4660" w:type="dxa"/>
                  <w:tcBorders>
                    <w:tl2br w:val="nil"/>
                    <w:tr2bl w:val="nil"/>
                  </w:tcBorders>
                  <w:vAlign w:val="center"/>
                </w:tcPr>
                <w:p w14:paraId="59BB8FF8">
                  <w:pPr>
                    <w:pStyle w:val="34"/>
                    <w:bidi w:val="0"/>
                    <w:rPr>
                      <w:color w:val="000000" w:themeColor="text1"/>
                      <w14:textFill>
                        <w14:solidFill>
                          <w14:schemeClr w14:val="tx1"/>
                        </w14:solidFill>
                      </w14:textFill>
                    </w:rPr>
                  </w:pPr>
                  <w:r>
                    <w:rPr>
                      <w:color w:val="000000" w:themeColor="text1"/>
                      <w14:textFill>
                        <w14:solidFill>
                          <w14:schemeClr w14:val="tx1"/>
                        </w14:solidFill>
                      </w14:textFill>
                    </w:rPr>
                    <w:t>（四）严格环境准入，保护区域生态功能。按照宁夏回族自治区生态环境分区管控方案、生态环境保护规划等要求，与一般生态空间存在冲突的24个勘查规划区块和40个开采规划区块，应按照一般生态空间管控要求，严格控制勘查、开采活动范围和强度，严格落实绿色勘查、绿色开采及矿山环境保护、生态修复相关要求，确保生态系统结构稳定和生态功能不退化。严格控制涉及生物多样性保护优先区域、国家重点生态功能区、水土流失重点防治区等具有重要生态功能的区域矿产开采活动，并采取严格有针对性的保护措施，防止对区域生态功能产生不良环境影响</w:t>
                  </w:r>
                </w:p>
              </w:tc>
              <w:tc>
                <w:tcPr>
                  <w:tcW w:w="1949" w:type="dxa"/>
                  <w:tcBorders>
                    <w:tl2br w:val="nil"/>
                    <w:tr2bl w:val="nil"/>
                  </w:tcBorders>
                  <w:vAlign w:val="center"/>
                </w:tcPr>
                <w:p w14:paraId="77730B4E">
                  <w:pPr>
                    <w:pStyle w:val="34"/>
                    <w:bidi w:val="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w:t>
                  </w:r>
                  <w:r>
                    <w:rPr>
                      <w:color w:val="000000" w:themeColor="text1"/>
                      <w14:textFill>
                        <w14:solidFill>
                          <w14:schemeClr w14:val="tx1"/>
                        </w14:solidFill>
                      </w14:textFill>
                    </w:rPr>
                    <w:t>矿山开采</w:t>
                  </w:r>
                </w:p>
              </w:tc>
              <w:tc>
                <w:tcPr>
                  <w:tcW w:w="819" w:type="dxa"/>
                  <w:tcBorders>
                    <w:tl2br w:val="nil"/>
                    <w:tr2bl w:val="nil"/>
                  </w:tcBorders>
                  <w:vAlign w:val="center"/>
                </w:tcPr>
                <w:p w14:paraId="5F8CA022">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359B65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30B11A3C">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⑤</w:t>
                  </w:r>
                </w:p>
              </w:tc>
              <w:tc>
                <w:tcPr>
                  <w:tcW w:w="4660" w:type="dxa"/>
                  <w:tcBorders>
                    <w:tl2br w:val="nil"/>
                    <w:tr2bl w:val="nil"/>
                  </w:tcBorders>
                  <w:vAlign w:val="center"/>
                </w:tcPr>
                <w:p w14:paraId="231964A1">
                  <w:pPr>
                    <w:pStyle w:val="34"/>
                    <w:bidi w:val="0"/>
                    <w:rPr>
                      <w:color w:val="000000" w:themeColor="text1"/>
                      <w14:textFill>
                        <w14:solidFill>
                          <w14:schemeClr w14:val="tx1"/>
                        </w14:solidFill>
                      </w14:textFill>
                    </w:rPr>
                  </w:pPr>
                  <w:r>
                    <w:rPr>
                      <w:color w:val="000000" w:themeColor="text1"/>
                      <w14:textFill>
                        <w14:solidFill>
                          <w14:schemeClr w14:val="tx1"/>
                        </w14:solidFill>
                      </w14:textFill>
                    </w:rPr>
                    <w:t>（五）加强矿山生态修复和环境治理。结合区域生态环境质量改善目标和主要生态环境问题，分区域、分矿种确定矿山生态修复和环境治理总体要求，强化生态环境保护。严格落实《黄河流域宁夏段历史遗留废弃矿山生态修复治理实施方案（2020~2023年）》《贺兰山生态保护修复专项规划》《罗山生态保护修复专项规划》《六盘山生态保护修复专项规划》等相关要求，重视关闭矿山及历史遗留矿山的生态环境问题，明确污染治理、生态修复的任务、要求和时限</w:t>
                  </w:r>
                </w:p>
              </w:tc>
              <w:tc>
                <w:tcPr>
                  <w:tcW w:w="1949" w:type="dxa"/>
                  <w:tcBorders>
                    <w:tl2br w:val="nil"/>
                    <w:tr2bl w:val="nil"/>
                  </w:tcBorders>
                  <w:vAlign w:val="center"/>
                </w:tcPr>
                <w:p w14:paraId="2D67564B">
                  <w:pPr>
                    <w:pStyle w:val="34"/>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通过边坡削坡治理工程、地形地貌恢复工程、基础设施配置等生态修复措施</w:t>
                  </w:r>
                  <w:r>
                    <w:rPr>
                      <w:rFonts w:hint="eastAsia"/>
                      <w:color w:val="000000" w:themeColor="text1"/>
                      <w14:textFill>
                        <w14:solidFill>
                          <w14:schemeClr w14:val="tx1"/>
                        </w14:solidFill>
                      </w14:textFill>
                    </w:rPr>
                    <w:t>对历史遗留废弃矿山进行生态修复治理</w:t>
                  </w:r>
                </w:p>
              </w:tc>
              <w:tc>
                <w:tcPr>
                  <w:tcW w:w="819" w:type="dxa"/>
                  <w:tcBorders>
                    <w:tl2br w:val="nil"/>
                    <w:tr2bl w:val="nil"/>
                  </w:tcBorders>
                  <w:vAlign w:val="center"/>
                </w:tcPr>
                <w:p w14:paraId="0413752D">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r w14:paraId="678394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dxa"/>
                  <w:tcBorders>
                    <w:tl2br w:val="nil"/>
                    <w:tr2bl w:val="nil"/>
                  </w:tcBorders>
                  <w:vAlign w:val="center"/>
                </w:tcPr>
                <w:p w14:paraId="2607A67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6 \* GB3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⑥</w:t>
                  </w:r>
                  <w:r>
                    <w:rPr>
                      <w:rFonts w:hint="eastAsia"/>
                      <w:color w:val="000000" w:themeColor="text1"/>
                      <w:lang w:val="en-US" w:eastAsia="zh-CN"/>
                      <w14:textFill>
                        <w14:solidFill>
                          <w14:schemeClr w14:val="tx1"/>
                        </w14:solidFill>
                      </w14:textFill>
                    </w:rPr>
                    <w:fldChar w:fldCharType="end"/>
                  </w:r>
                </w:p>
              </w:tc>
              <w:tc>
                <w:tcPr>
                  <w:tcW w:w="4660" w:type="dxa"/>
                  <w:tcBorders>
                    <w:tl2br w:val="nil"/>
                    <w:tr2bl w:val="nil"/>
                  </w:tcBorders>
                  <w:vAlign w:val="center"/>
                </w:tcPr>
                <w:p w14:paraId="667A2F4C">
                  <w:pPr>
                    <w:pStyle w:val="34"/>
                    <w:bidi w:val="0"/>
                    <w:rPr>
                      <w:color w:val="000000" w:themeColor="text1"/>
                      <w14:textFill>
                        <w14:solidFill>
                          <w14:schemeClr w14:val="tx1"/>
                        </w14:solidFill>
                      </w14:textFill>
                    </w:rPr>
                  </w:pPr>
                  <w:r>
                    <w:rPr>
                      <w:color w:val="000000" w:themeColor="text1"/>
                      <w14:textFill>
                        <w14:solidFill>
                          <w14:schemeClr w14:val="tx1"/>
                        </w14:solidFill>
                      </w14:textFill>
                    </w:rPr>
                    <w:t>（六）加强生态环境保护监测和预警。结合生态保护、饮用水水源保护区及水环境功能区水质保护及改善要求、土壤污染防治目标等，推进重点矿区建立生态、地表水、地下水、土壤等环境要素的长期监测监控体系，在用尾矿库100%安装在线监测装置，明确责任主体、强化资金保障；组织开展主要矿种集中开采区域生态修复效果评估，并根据监测和评估结果增加或优化必要的保护措施。针对地表水环境及土壤环境累积影响、地下水环境质量下降、生态退化等情形，建立预警机制</w:t>
                  </w:r>
                </w:p>
              </w:tc>
              <w:tc>
                <w:tcPr>
                  <w:tcW w:w="1949" w:type="dxa"/>
                  <w:tcBorders>
                    <w:tl2br w:val="nil"/>
                    <w:tr2bl w:val="nil"/>
                  </w:tcBorders>
                  <w:vAlign w:val="center"/>
                </w:tcPr>
                <w:p w14:paraId="25BD3E17">
                  <w:pPr>
                    <w:pStyle w:val="34"/>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通过边坡削坡治理工程、地形地貌恢复工程、基础设施配置等生态修复措施</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不涉及矿山开采，不会对</w:t>
                  </w:r>
                  <w:r>
                    <w:rPr>
                      <w:color w:val="000000" w:themeColor="text1"/>
                      <w14:textFill>
                        <w14:solidFill>
                          <w14:schemeClr w14:val="tx1"/>
                        </w14:solidFill>
                      </w14:textFill>
                    </w:rPr>
                    <w:t>地表水环境</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土壤环境</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地下水环境质量</w:t>
                  </w:r>
                  <w:r>
                    <w:rPr>
                      <w:rFonts w:hint="eastAsia"/>
                      <w:color w:val="000000" w:themeColor="text1"/>
                      <w:lang w:val="en-US" w:eastAsia="zh-CN"/>
                      <w14:textFill>
                        <w14:solidFill>
                          <w14:schemeClr w14:val="tx1"/>
                        </w14:solidFill>
                      </w14:textFill>
                    </w:rPr>
                    <w:t>产生影响</w:t>
                  </w:r>
                </w:p>
              </w:tc>
              <w:tc>
                <w:tcPr>
                  <w:tcW w:w="819" w:type="dxa"/>
                  <w:tcBorders>
                    <w:tl2br w:val="nil"/>
                    <w:tr2bl w:val="nil"/>
                  </w:tcBorders>
                  <w:vAlign w:val="center"/>
                </w:tcPr>
                <w:p w14:paraId="7C3877B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bl>
          <w:p w14:paraId="3A0BD360">
            <w:pPr>
              <w:bidi w:val="0"/>
              <w:rPr>
                <w:rFonts w:hint="default"/>
                <w:color w:val="000000" w:themeColor="text1"/>
                <w:lang w:val="en-US" w:eastAsia="zh-CN"/>
                <w14:textFill>
                  <w14:solidFill>
                    <w14:schemeClr w14:val="tx1"/>
                  </w14:solidFill>
                </w14:textFill>
              </w:rPr>
            </w:pPr>
          </w:p>
        </w:tc>
      </w:tr>
      <w:tr w14:paraId="76ABD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431" w:hRule="atLeast"/>
          <w:jc w:val="center"/>
        </w:trPr>
        <w:tc>
          <w:tcPr>
            <w:tcW w:w="1133" w:type="dxa"/>
            <w:noWrap w:val="0"/>
            <w:tcMar>
              <w:top w:w="16" w:type="dxa"/>
              <w:left w:w="16" w:type="dxa"/>
              <w:right w:w="16" w:type="dxa"/>
            </w:tcMar>
            <w:vAlign w:val="center"/>
          </w:tcPr>
          <w:p w14:paraId="35ED2D8A">
            <w:pPr>
              <w:autoSpaceDE w:val="0"/>
              <w:autoSpaceDN w:val="0"/>
              <w:ind w:left="0" w:leftChars="0" w:firstLine="0" w:firstLineChars="0"/>
              <w:jc w:val="center"/>
              <w:rPr>
                <w:b/>
                <w:bCs/>
                <w:color w:val="000000" w:themeColor="text1"/>
                <w:kern w:val="0"/>
                <w:sz w:val="24"/>
                <w14:textFill>
                  <w14:solidFill>
                    <w14:schemeClr w14:val="tx1"/>
                  </w14:solidFill>
                </w14:textFill>
              </w:rPr>
            </w:pPr>
            <w:bookmarkStart w:id="2" w:name="_Hlk56690880"/>
            <w:r>
              <w:rPr>
                <w:b/>
                <w:bCs/>
                <w:color w:val="000000" w:themeColor="text1"/>
                <w:kern w:val="0"/>
                <w:sz w:val="24"/>
                <w14:textFill>
                  <w14:solidFill>
                    <w14:schemeClr w14:val="tx1"/>
                  </w14:solidFill>
                </w14:textFill>
              </w:rPr>
              <w:t>其他符合性分析</w:t>
            </w:r>
            <w:bookmarkEnd w:id="2"/>
          </w:p>
        </w:tc>
        <w:tc>
          <w:tcPr>
            <w:tcW w:w="8169" w:type="dxa"/>
            <w:gridSpan w:val="3"/>
            <w:noWrap w:val="0"/>
            <w:tcMar>
              <w:top w:w="16" w:type="dxa"/>
              <w:left w:w="16" w:type="dxa"/>
              <w:right w:w="16" w:type="dxa"/>
            </w:tcMar>
            <w:vAlign w:val="center"/>
          </w:tcPr>
          <w:p w14:paraId="5B19A7CA">
            <w:pPr>
              <w:pStyle w:val="2"/>
              <w:bidi w:val="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产业政策符合性分析</w:t>
            </w:r>
          </w:p>
          <w:p w14:paraId="309D5966">
            <w:pPr>
              <w:keepNext w:val="0"/>
              <w:keepLines w:val="0"/>
              <w:widowControl/>
              <w:suppressLineNumbers w:val="0"/>
              <w:spacing w:before="0" w:beforeAutospacing="0" w:after="0" w:afterAutospacing="0"/>
              <w:ind w:left="0" w:right="0"/>
              <w:jc w:val="left"/>
              <w:rPr>
                <w:color w:val="000000" w:themeColor="text1"/>
                <w:sz w:val="24"/>
                <w14:textFill>
                  <w14:solidFill>
                    <w14:schemeClr w14:val="tx1"/>
                  </w14:solidFill>
                </w14:textFill>
              </w:rPr>
            </w:pPr>
            <w:r>
              <w:rPr>
                <w:rFonts w:hint="eastAsia" w:ascii="Times New Roman" w:hAnsi="Times New Roman" w:cs="Times New Roman"/>
                <w:color w:val="000000" w:themeColor="text1"/>
                <w:kern w:val="0"/>
                <w:sz w:val="24"/>
                <w14:textFill>
                  <w14:solidFill>
                    <w14:schemeClr w14:val="tx1"/>
                  </w14:solidFill>
                </w14:textFill>
              </w:rPr>
              <w:t>根据中华人民共和国国家发展和改革委员会第7号令《产业结构调整指导目录（</w:t>
            </w:r>
            <w:r>
              <w:rPr>
                <w:rFonts w:hint="default" w:ascii="Times New Roman" w:hAnsi="Times New Roman" w:cs="Times New Roman"/>
                <w:color w:val="000000" w:themeColor="text1"/>
                <w:kern w:val="0"/>
                <w:sz w:val="24"/>
                <w14:textFill>
                  <w14:solidFill>
                    <w14:schemeClr w14:val="tx1"/>
                  </w14:solidFill>
                </w14:textFill>
              </w:rPr>
              <w:t>20</w:t>
            </w:r>
            <w:r>
              <w:rPr>
                <w:rFonts w:hint="eastAsia" w:ascii="Times New Roman" w:hAnsi="Times New Roman" w:cs="Times New Roman"/>
                <w:color w:val="000000" w:themeColor="text1"/>
                <w:kern w:val="0"/>
                <w:sz w:val="24"/>
                <w14:textFill>
                  <w14:solidFill>
                    <w14:schemeClr w14:val="tx1"/>
                  </w14:solidFill>
                </w14:textFill>
              </w:rPr>
              <w:t>24年本）》</w:t>
            </w:r>
            <w:r>
              <w:rPr>
                <w:rFonts w:hint="default" w:cs="Times New Roman"/>
                <w:color w:val="000000" w:themeColor="text1"/>
                <w:sz w:val="24"/>
                <w:highlight w:val="none"/>
                <w14:textFill>
                  <w14:solidFill>
                    <w14:schemeClr w14:val="tx1"/>
                  </w14:solidFill>
                </w14:textFill>
              </w:rPr>
              <w:t>，本项目属于鼓励类：四十二、环境保护与资源节约综合利用—2、生态环境修复和资源利用：矿山生态环境恢复工程。</w:t>
            </w:r>
            <w:r>
              <w:rPr>
                <w:rFonts w:hint="eastAsia" w:cs="Times New Roman"/>
                <w:color w:val="000000" w:themeColor="text1"/>
                <w:sz w:val="24"/>
                <w:highlight w:val="none"/>
                <w:lang w:val="en-US" w:eastAsia="zh-CN"/>
                <w14:textFill>
                  <w14:solidFill>
                    <w14:schemeClr w14:val="tx1"/>
                  </w14:solidFill>
                </w14:textFill>
              </w:rPr>
              <w:t>且本项目已取得中卫市沙坡头区发展和改革局“关于</w:t>
            </w:r>
            <w:r>
              <w:rPr>
                <w:rFonts w:hint="eastAsia"/>
                <w:color w:val="000000" w:themeColor="text1"/>
                <w:sz w:val="24"/>
                <w:lang w:eastAsia="zh-CN"/>
                <w14:textFill>
                  <w14:solidFill>
                    <w14:schemeClr w14:val="tx1"/>
                  </w14:solidFill>
                </w14:textFill>
              </w:rPr>
              <w:t>中卫市沙坡头区迎水桥等镇历史遗留废弃矿山恢复治理项目</w:t>
            </w:r>
            <w:r>
              <w:rPr>
                <w:rFonts w:hint="eastAsia" w:cs="Times New Roman"/>
                <w:color w:val="000000" w:themeColor="text1"/>
                <w:sz w:val="24"/>
                <w:highlight w:val="none"/>
                <w:lang w:val="en-US" w:eastAsia="zh-CN"/>
                <w14:textFill>
                  <w14:solidFill>
                    <w14:schemeClr w14:val="tx1"/>
                  </w14:solidFill>
                </w14:textFill>
              </w:rPr>
              <w:t>初步设计的批复，批复文号为：</w:t>
            </w:r>
            <w:r>
              <w:rPr>
                <w:rFonts w:hint="eastAsia"/>
                <w:color w:val="000000" w:themeColor="text1"/>
                <w:sz w:val="24"/>
                <w14:textFill>
                  <w14:solidFill>
                    <w14:schemeClr w14:val="tx1"/>
                  </w14:solidFill>
                </w14:textFill>
              </w:rPr>
              <w:t>卫沙发改(审批)发〔2023</w:t>
            </w:r>
            <w:r>
              <w:rPr>
                <w:rStyle w:val="33"/>
                <w:rFonts w:hint="eastAsia" w:ascii="宋体" w:hAnsi="宋体" w:cs="宋体"/>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178号</w:t>
            </w:r>
            <w:r>
              <w:rPr>
                <w:rFonts w:hint="eastAsia" w:cs="Times New Roman"/>
                <w:color w:val="000000" w:themeColor="text1"/>
                <w:sz w:val="24"/>
                <w:highlight w:val="none"/>
                <w:lang w:val="en-US" w:eastAsia="zh-CN"/>
                <w14:textFill>
                  <w14:solidFill>
                    <w14:schemeClr w14:val="tx1"/>
                  </w14:solidFill>
                </w14:textFill>
              </w:rPr>
              <w:t>”。</w:t>
            </w:r>
          </w:p>
          <w:p w14:paraId="2A249572">
            <w:pPr>
              <w:pStyle w:val="2"/>
              <w:bidi w:val="0"/>
              <w:rPr>
                <w:rFonts w:hint="default"/>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三线一单</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符合性分析</w:t>
            </w:r>
          </w:p>
          <w:p w14:paraId="0247DC7E">
            <w:pPr>
              <w:keepNext w:val="0"/>
              <w:keepLines w:val="0"/>
              <w:suppressLineNumbers w:val="0"/>
              <w:bidi w:val="0"/>
              <w:spacing w:before="0" w:beforeAutospacing="0" w:after="0" w:afterAutospacing="0"/>
              <w:ind w:left="0" w:right="0"/>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⑴生态保护红线与生态空间</w:t>
            </w:r>
          </w:p>
          <w:p w14:paraId="375E4235">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号），本项目不在中卫市生态保护红线范围内，符合生态保护红线相关要求。项目与中卫市生态保护红线位置关系见附图</w:t>
            </w:r>
            <w:r>
              <w:rPr>
                <w:rFonts w:hint="default"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w:t>
            </w:r>
          </w:p>
          <w:p w14:paraId="3C304432">
            <w:pPr>
              <w:keepNext w:val="0"/>
              <w:keepLines w:val="0"/>
              <w:suppressLineNumbers w:val="0"/>
              <w:bidi w:val="0"/>
              <w:spacing w:before="0" w:beforeAutospacing="0" w:after="0" w:afterAutospacing="0"/>
              <w:ind w:left="0" w:right="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根据《市人民政府办公室关于发布</w:t>
            </w:r>
            <w:r>
              <w:rPr>
                <w:rFonts w:hint="default"/>
                <w:color w:val="000000" w:themeColor="text1"/>
                <w:lang w:val="en-US" w:eastAsia="zh-CN"/>
                <w14:textFill>
                  <w14:solidFill>
                    <w14:schemeClr w14:val="tx1"/>
                  </w14:solidFill>
                </w14:textFill>
              </w:rPr>
              <w:t>&lt;</w:t>
            </w:r>
            <w:r>
              <w:rPr>
                <w:rFonts w:hint="eastAsia"/>
                <w:color w:val="000000" w:themeColor="text1"/>
                <w:lang w:val="en-US" w:eastAsia="zh-CN"/>
                <w14:textFill>
                  <w14:solidFill>
                    <w14:schemeClr w14:val="tx1"/>
                  </w14:solidFill>
                </w14:textFill>
              </w:rPr>
              <w:t>中卫市生态环境分区管控动态更新成果</w:t>
            </w:r>
            <w:r>
              <w:rPr>
                <w:rFonts w:hint="default"/>
                <w:color w:val="000000" w:themeColor="text1"/>
                <w:lang w:val="en-US" w:eastAsia="zh-CN"/>
                <w14:textFill>
                  <w14:solidFill>
                    <w14:schemeClr w14:val="tx1"/>
                  </w14:solidFill>
                </w14:textFill>
              </w:rPr>
              <w:t>&gt;</w:t>
            </w:r>
            <w:r>
              <w:rPr>
                <w:rFonts w:hint="eastAsia"/>
                <w:color w:val="000000" w:themeColor="text1"/>
                <w:lang w:val="en-US" w:eastAsia="zh-CN"/>
                <w14:textFill>
                  <w14:solidFill>
                    <w14:schemeClr w14:val="tx1"/>
                  </w14:solidFill>
                </w14:textFill>
              </w:rPr>
              <w:t>的通知》（卫政办发〔</w:t>
            </w:r>
            <w:r>
              <w:rPr>
                <w:rFonts w:hint="default"/>
                <w:color w:val="000000" w:themeColor="text1"/>
                <w:lang w:val="en-US" w:eastAsia="zh-CN"/>
                <w14:textFill>
                  <w14:solidFill>
                    <w14:schemeClr w14:val="tx1"/>
                  </w14:solidFill>
                </w14:textFill>
              </w:rPr>
              <w:t>2024</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33</w:t>
            </w:r>
            <w:r>
              <w:rPr>
                <w:rFonts w:hint="eastAsia"/>
                <w:color w:val="000000" w:themeColor="text1"/>
                <w:lang w:val="en-US" w:eastAsia="zh-CN"/>
                <w14:textFill>
                  <w14:solidFill>
                    <w14:schemeClr w14:val="tx1"/>
                  </w14:solidFill>
                </w14:textFill>
              </w:rPr>
              <w:t>号），本项目部分治理区位于一般生态空间。一般生态空间管控要求为：</w:t>
            </w:r>
            <w:r>
              <w:rPr>
                <w:rFonts w:hint="default"/>
                <w:color w:val="000000" w:themeColor="text1"/>
                <w14:textFill>
                  <w14:solidFill>
                    <w14:schemeClr w14:val="tx1"/>
                  </w14:solidFill>
                </w14:textFill>
              </w:rPr>
              <w:t>原则上按照限制开发区域的要求进行管理。严格控制新增建设用地占用一般生态空间。符合区域准入条件的建设项目，涉及占用生态空间中的林地、草原等，按有关法律法规规定办理；涉及占用生态空间中其他未作明确规定的用地，应当加强论证和管理，严格限制农业开发占用生态空间，符合条件的农业开发项目，须依法由县级及以上地方人民政府统筹安排，有序引导生态空间用途之间的相互转换，鼓励向有利于生态功能提升的方向转变，严格限制不符合生态保护要求或有损生态功能的转换</w:t>
            </w:r>
            <w:r>
              <w:rPr>
                <w:rFonts w:hint="eastAsia"/>
                <w:color w:val="000000" w:themeColor="text1"/>
                <w:lang w:eastAsia="zh-CN"/>
                <w14:textFill>
                  <w14:solidFill>
                    <w14:schemeClr w14:val="tx1"/>
                  </w14:solidFill>
                </w14:textFill>
              </w:rPr>
              <w:t>。</w:t>
            </w:r>
          </w:p>
          <w:p w14:paraId="290F4D8A">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本项目主要对历史遗留废弃矿山进行生态修复治理，</w:t>
            </w:r>
            <w:r>
              <w:rPr>
                <w:rFonts w:hint="default"/>
                <w:color w:val="000000" w:themeColor="text1"/>
                <w14:textFill>
                  <w14:solidFill>
                    <w14:schemeClr w14:val="tx1"/>
                  </w14:solidFill>
                </w14:textFill>
              </w:rPr>
              <w:t>有利于</w:t>
            </w:r>
            <w:r>
              <w:rPr>
                <w:rFonts w:hint="eastAsia"/>
                <w:color w:val="000000" w:themeColor="text1"/>
                <w:lang w:val="en-US" w:eastAsia="zh-CN"/>
                <w14:textFill>
                  <w14:solidFill>
                    <w14:schemeClr w14:val="tx1"/>
                  </w14:solidFill>
                </w14:textFill>
              </w:rPr>
              <w:t>向</w:t>
            </w:r>
            <w:r>
              <w:rPr>
                <w:rFonts w:hint="default"/>
                <w:color w:val="000000" w:themeColor="text1"/>
                <w14:textFill>
                  <w14:solidFill>
                    <w14:schemeClr w14:val="tx1"/>
                  </w14:solidFill>
                </w14:textFill>
              </w:rPr>
              <w:t>生态功能提升的方向转变</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符合</w:t>
            </w:r>
            <w:r>
              <w:rPr>
                <w:rFonts w:hint="default"/>
                <w:color w:val="000000" w:themeColor="text1"/>
                <w14:textFill>
                  <w14:solidFill>
                    <w14:schemeClr w14:val="tx1"/>
                  </w14:solidFill>
                </w14:textFill>
              </w:rPr>
              <w:t>一般生态空间</w:t>
            </w:r>
            <w:r>
              <w:rPr>
                <w:rFonts w:hint="eastAsia"/>
                <w:color w:val="000000" w:themeColor="text1"/>
                <w:lang w:val="en-US" w:eastAsia="zh-CN"/>
                <w14:textFill>
                  <w14:solidFill>
                    <w14:schemeClr w14:val="tx1"/>
                  </w14:solidFill>
                </w14:textFill>
              </w:rPr>
              <w:t>管控要求。本</w:t>
            </w:r>
            <w:r>
              <w:rPr>
                <w:rFonts w:hint="eastAsia" w:cs="Times New Roman"/>
                <w:color w:val="000000" w:themeColor="text1"/>
                <w:lang w:val="en-US" w:eastAsia="zh-CN"/>
                <w14:textFill>
                  <w14:solidFill>
                    <w14:schemeClr w14:val="tx1"/>
                  </w14:solidFill>
                </w14:textFill>
              </w:rPr>
              <w:t>项目与</w:t>
            </w:r>
            <w:r>
              <w:rPr>
                <w:rFonts w:hint="eastAsia"/>
                <w:color w:val="000000" w:themeColor="text1"/>
                <w:lang w:val="en-US" w:eastAsia="zh-CN"/>
                <w14:textFill>
                  <w14:solidFill>
                    <w14:schemeClr w14:val="tx1"/>
                  </w14:solidFill>
                </w14:textFill>
              </w:rPr>
              <w:t>中卫市生态空间分布图位置关系见</w:t>
            </w:r>
            <w:r>
              <w:rPr>
                <w:rFonts w:hint="eastAsia" w:cs="Times New Roman"/>
                <w:color w:val="000000" w:themeColor="text1"/>
                <w:lang w:val="en-US" w:eastAsia="zh-CN"/>
                <w14:textFill>
                  <w14:solidFill>
                    <w14:schemeClr w14:val="tx1"/>
                  </w14:solidFill>
                </w14:textFill>
              </w:rPr>
              <w:t>附</w:t>
            </w:r>
            <w:r>
              <w:rPr>
                <w:rFonts w:hint="eastAsia"/>
                <w:color w:val="000000" w:themeColor="text1"/>
                <w:lang w:val="en-US" w:eastAsia="zh-CN"/>
                <w14:textFill>
                  <w14:solidFill>
                    <w14:schemeClr w14:val="tx1"/>
                  </w14:solidFill>
                </w14:textFill>
              </w:rPr>
              <w:t>图1-2。</w:t>
            </w:r>
          </w:p>
          <w:p w14:paraId="5F8DB3DB">
            <w:pPr>
              <w:bidi w:val="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⑵环境质量底线及分区管控</w:t>
            </w:r>
          </w:p>
          <w:p w14:paraId="41F0D89C">
            <w:pPr>
              <w:keepNext w:val="0"/>
              <w:keepLines w:val="0"/>
              <w:suppressLineNumbers w:val="0"/>
              <w:bidi w:val="0"/>
              <w:spacing w:before="0" w:beforeAutospacing="0" w:after="0" w:afterAutospacing="0"/>
              <w:ind w:left="0" w:right="0"/>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①大气环境质量底线及分区管控</w:t>
            </w:r>
          </w:p>
          <w:p w14:paraId="75B2BA01">
            <w:pPr>
              <w:keepNext w:val="0"/>
              <w:keepLines w:val="0"/>
              <w:suppressLineNumbers w:val="0"/>
              <w:bidi w:val="0"/>
              <w:spacing w:before="0" w:beforeAutospacing="0" w:after="0" w:afterAutospacing="0"/>
              <w:ind w:left="0" w:right="0"/>
              <w:rPr>
                <w:rFonts w:hint="eastAsia" w:cs="Times New Roman"/>
                <w:color w:val="000000" w:themeColor="text1"/>
                <w:lang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大气环境质量底线：根据《市人民政府办公室关于发布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号）中大气环境质量底线，到2025年，沙坡头区细颗粒物（PM</w:t>
            </w:r>
            <w:r>
              <w:rPr>
                <w:rFonts w:hint="eastAsia" w:cs="Times New Roman"/>
                <w:color w:val="000000" w:themeColor="text1"/>
                <w:vertAlign w:val="subscript"/>
                <w:lang w:val="en-US" w:eastAsia="zh-CN"/>
                <w14:textFill>
                  <w14:solidFill>
                    <w14:schemeClr w14:val="tx1"/>
                  </w14:solidFill>
                </w14:textFill>
              </w:rPr>
              <w:t>2.5</w:t>
            </w:r>
            <w:r>
              <w:rPr>
                <w:rFonts w:hint="eastAsia" w:cs="Times New Roman"/>
                <w:color w:val="000000" w:themeColor="text1"/>
                <w:lang w:val="en-US" w:eastAsia="zh-CN"/>
                <w14:textFill>
                  <w14:solidFill>
                    <w14:schemeClr w14:val="tx1"/>
                  </w14:solidFill>
                </w14:textFill>
              </w:rPr>
              <w:t>）浓度达到30.0微克/立方米、可吸入颗粒物（PM</w:t>
            </w:r>
            <w:r>
              <w:rPr>
                <w:rFonts w:hint="eastAsia" w:cs="Times New Roman"/>
                <w:color w:val="000000" w:themeColor="text1"/>
                <w:vertAlign w:val="subscript"/>
                <w:lang w:val="en-US" w:eastAsia="zh-CN"/>
                <w14:textFill>
                  <w14:solidFill>
                    <w14:schemeClr w14:val="tx1"/>
                  </w14:solidFill>
                </w14:textFill>
              </w:rPr>
              <w:t>10</w:t>
            </w:r>
            <w:r>
              <w:rPr>
                <w:rFonts w:hint="eastAsia" w:cs="Times New Roman"/>
                <w:color w:val="000000" w:themeColor="text1"/>
                <w:lang w:val="en-US" w:eastAsia="zh-CN"/>
                <w14:textFill>
                  <w14:solidFill>
                    <w14:schemeClr w14:val="tx1"/>
                  </w14:solidFill>
                </w14:textFill>
              </w:rPr>
              <w:t>）浓度达到63.5微克/立方米。根据《2023年宁夏生态环境质量状况》评价结论，扣除沙尘天气影响，沙坡头区属于达标区。本项目运营期不排放废气，不会影响</w:t>
            </w:r>
            <w:r>
              <w:rPr>
                <w:rFonts w:hint="eastAsia" w:cs="Times New Roman"/>
                <w:color w:val="000000" w:themeColor="text1"/>
                <w14:textFill>
                  <w14:solidFill>
                    <w14:schemeClr w14:val="tx1"/>
                  </w14:solidFill>
                </w14:textFill>
              </w:rPr>
              <w:t>大气环境质量底线</w:t>
            </w:r>
            <w:r>
              <w:rPr>
                <w:rFonts w:hint="eastAsia" w:cs="Times New Roman"/>
                <w:color w:val="000000" w:themeColor="text1"/>
                <w:lang w:eastAsia="zh-CN"/>
                <w14:textFill>
                  <w14:solidFill>
                    <w14:schemeClr w14:val="tx1"/>
                  </w14:solidFill>
                </w14:textFill>
              </w:rPr>
              <w:t>。</w:t>
            </w:r>
          </w:p>
          <w:p w14:paraId="7A42CFAC">
            <w:pPr>
              <w:keepNext w:val="0"/>
              <w:keepLines w:val="0"/>
              <w:suppressLineNumbers w:val="0"/>
              <w:bidi w:val="0"/>
              <w:spacing w:before="0" w:beforeAutospacing="0" w:after="0" w:afterAutospacing="0"/>
              <w:ind w:left="0" w:right="0"/>
              <w:rPr>
                <w:rFonts w:hint="default" w:ascii="黑体" w:hAnsi="宋体" w:eastAsia="黑体" w:cs="黑体"/>
                <w:color w:val="000000" w:themeColor="text1"/>
                <w:kern w:val="0"/>
                <w:sz w:val="24"/>
                <w:szCs w:val="24"/>
                <w:lang w:val="en-US" w:eastAsia="zh-CN" w:bidi="ar"/>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中卫市生态环境分区管控方案图集》及《中卫市生态环境分区管控方案文本》，基于大气环境脆弱性、敏感性、重要性评价结果，考虑大气污染传输规律和城市用地特征，识别网格单元主导属性，将中卫市划分为大气环境优先保护区、大气环境重点管控区和大气环境一般管控区，本项目位于沙坡头区，涉及大气环境一般管控区。分区管控符合性分析见表1-2。项目与中卫市大气环境分区管控图位置关系图见附图</w:t>
            </w:r>
            <w:r>
              <w:rPr>
                <w:rFonts w:hint="default"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3。</w:t>
            </w:r>
          </w:p>
          <w:p w14:paraId="412C7F4A">
            <w:pPr>
              <w:pStyle w:val="3"/>
              <w:keepNext w:val="0"/>
              <w:keepLines w:val="0"/>
              <w:suppressLineNumbers w:val="0"/>
              <w:bidi w:val="0"/>
              <w:spacing w:before="0" w:beforeAutospacing="0" w:after="0" w:afterAutospacing="0"/>
              <w:ind w:left="0" w:right="0"/>
              <w:rPr>
                <w:rFonts w:hint="default"/>
                <w:color w:val="000000" w:themeColor="text1"/>
                <w:vertAlign w:val="baseline"/>
                <w14:textFill>
                  <w14:solidFill>
                    <w14:schemeClr w14:val="tx1"/>
                  </w14:solidFill>
                </w14:textFill>
              </w:rPr>
            </w:pPr>
            <w:r>
              <w:rPr>
                <w:rFonts w:hint="default" w:ascii="黑体" w:hAnsi="宋体" w:eastAsia="黑体" w:cs="黑体"/>
                <w:color w:val="000000" w:themeColor="text1"/>
                <w:kern w:val="0"/>
                <w:sz w:val="24"/>
                <w:szCs w:val="24"/>
                <w:lang w:val="en-US" w:eastAsia="zh-CN" w:bidi="ar"/>
                <w14:textFill>
                  <w14:solidFill>
                    <w14:schemeClr w14:val="tx1"/>
                  </w14:solidFill>
                </w14:textFill>
              </w:rPr>
              <w:t>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eastAsia="宋体" w:cs="Times New Roman"/>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 </w:t>
            </w:r>
            <w:r>
              <w:rPr>
                <w:rFonts w:hint="eastAsia" w:cs="Times New Roman"/>
                <w:color w:val="000000" w:themeColor="text1"/>
                <w:kern w:val="0"/>
                <w:sz w:val="24"/>
                <w:szCs w:val="24"/>
                <w:lang w:val="en-US" w:eastAsia="zh-CN" w:bidi="ar"/>
                <w14:textFill>
                  <w14:solidFill>
                    <w14:schemeClr w14:val="tx1"/>
                  </w14:solidFill>
                </w14:textFill>
              </w:rPr>
              <w:t xml:space="preserve"> </w:t>
            </w:r>
            <w:r>
              <w:rPr>
                <w:rFonts w:hint="eastAsia" w:ascii="黑体" w:hAnsi="宋体" w:eastAsia="黑体" w:cs="黑体"/>
                <w:color w:val="000000" w:themeColor="text1"/>
                <w:kern w:val="0"/>
                <w:sz w:val="24"/>
                <w:szCs w:val="24"/>
                <w:lang w:val="en-US" w:eastAsia="zh-CN" w:bidi="ar"/>
                <w14:textFill>
                  <w14:solidFill>
                    <w14:schemeClr w14:val="tx1"/>
                  </w14:solidFill>
                </w14:textFill>
              </w:rPr>
              <w:t>大气环境分区管符合性分析</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6"/>
              <w:gridCol w:w="4373"/>
              <w:gridCol w:w="2526"/>
              <w:gridCol w:w="692"/>
            </w:tblGrid>
            <w:tr w14:paraId="371EE1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15E40FC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类</w:t>
                  </w:r>
                </w:p>
                <w:p w14:paraId="0DFFBF6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别</w:t>
                  </w:r>
                </w:p>
              </w:tc>
              <w:tc>
                <w:tcPr>
                  <w:tcW w:w="4357" w:type="dxa"/>
                  <w:tcBorders>
                    <w:tl2br w:val="nil"/>
                    <w:tr2bl w:val="nil"/>
                  </w:tcBorders>
                  <w:noWrap w:val="0"/>
                  <w:vAlign w:val="center"/>
                </w:tcPr>
                <w:p w14:paraId="6A0C213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分区管控要求</w:t>
                  </w:r>
                </w:p>
              </w:tc>
              <w:tc>
                <w:tcPr>
                  <w:tcW w:w="2517" w:type="dxa"/>
                  <w:tcBorders>
                    <w:tl2br w:val="nil"/>
                    <w:tr2bl w:val="nil"/>
                  </w:tcBorders>
                  <w:noWrap w:val="0"/>
                  <w:vAlign w:val="center"/>
                </w:tcPr>
                <w:p w14:paraId="29B423E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本项目情况</w:t>
                  </w:r>
                </w:p>
              </w:tc>
              <w:tc>
                <w:tcPr>
                  <w:tcW w:w="689" w:type="dxa"/>
                  <w:tcBorders>
                    <w:tl2br w:val="nil"/>
                    <w:tr2bl w:val="nil"/>
                  </w:tcBorders>
                  <w:noWrap w:val="0"/>
                  <w:vAlign w:val="center"/>
                </w:tcPr>
                <w:p w14:paraId="710AF8E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符合</w:t>
                  </w:r>
                </w:p>
                <w:p w14:paraId="6BDDD6D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情况</w:t>
                  </w:r>
                </w:p>
              </w:tc>
            </w:tr>
            <w:tr w14:paraId="5E2E7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622E0EF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一般管控区</w:t>
                  </w:r>
                </w:p>
              </w:tc>
              <w:tc>
                <w:tcPr>
                  <w:tcW w:w="4357" w:type="dxa"/>
                  <w:tcBorders>
                    <w:tl2br w:val="nil"/>
                    <w:tr2bl w:val="nil"/>
                  </w:tcBorders>
                  <w:noWrap w:val="0"/>
                  <w:vAlign w:val="center"/>
                </w:tcPr>
                <w:p w14:paraId="07F6F8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落实《中华人民共和国大气污染防治法》等相关法律法规的一般要求，在满足区域基本的污染物排放标准和污染防治要求基础上，进一步采用更清洁的生产方式和更有效的污染治理措施，推动区域环境空气质量持续改善。毗邻大气环境优先保护区的新建项目，还应特别注意污染物排放对优先保护区的影响，应优化选址方案或采取有效的污染防治措施，避免对一类区空气质量造成不利影响</w:t>
                  </w:r>
                </w:p>
              </w:tc>
              <w:tc>
                <w:tcPr>
                  <w:tcW w:w="2517" w:type="dxa"/>
                  <w:tcBorders>
                    <w:tl2br w:val="nil"/>
                    <w:tr2bl w:val="nil"/>
                  </w:tcBorders>
                  <w:noWrap w:val="0"/>
                  <w:vAlign w:val="center"/>
                </w:tcPr>
                <w:p w14:paraId="68E4271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本项目主要对历史遗留废弃矿山进行生态修复治理。营运期无废气产生，项目废气主要为施工期废气，其中施工扬尘采取措施为施工场地设置施工围挡、定期洒水降尘、运输车辆加盖篷布；临时堆土场采取措施为施工期临时堆土堆放在治理区内，并采用纤维网苫盖，定期洒水保湿；机械废气采取措施为加强机械设备管理和保养维修，合理降低使用次数</w:t>
                  </w:r>
                  <w:r>
                    <w:rPr>
                      <w:rFonts w:hint="eastAsia" w:cs="Times New Roman"/>
                      <w:color w:val="000000" w:themeColor="text1"/>
                      <w:lang w:val="en-US" w:eastAsia="zh-CN"/>
                      <w14:textFill>
                        <w14:solidFill>
                          <w14:schemeClr w14:val="tx1"/>
                        </w14:solidFill>
                      </w14:textFill>
                    </w:rPr>
                    <w:t>。且随着施工期结束后，施工期废气影响也会消失。对环境影响较小</w:t>
                  </w:r>
                </w:p>
              </w:tc>
              <w:tc>
                <w:tcPr>
                  <w:tcW w:w="689" w:type="dxa"/>
                  <w:tcBorders>
                    <w:tl2br w:val="nil"/>
                    <w:tr2bl w:val="nil"/>
                  </w:tcBorders>
                  <w:noWrap w:val="0"/>
                  <w:vAlign w:val="center"/>
                </w:tcPr>
                <w:p w14:paraId="616C1B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符合</w:t>
                  </w:r>
                </w:p>
              </w:tc>
            </w:tr>
          </w:tbl>
          <w:p w14:paraId="09A009EF">
            <w:pPr>
              <w:keepNext w:val="0"/>
              <w:keepLines w:val="0"/>
              <w:suppressLineNumbers w:val="0"/>
              <w:bidi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②水环境质量底线及分区管控</w:t>
            </w:r>
          </w:p>
          <w:p w14:paraId="1B45B63F">
            <w:pPr>
              <w:keepNext w:val="0"/>
              <w:keepLines w:val="0"/>
              <w:suppressLineNumbers w:val="0"/>
              <w:spacing w:before="0" w:beforeAutospacing="0" w:after="0" w:afterAutospacing="0"/>
              <w:ind w:left="0" w:right="0" w:firstLine="454" w:firstLineChars="200"/>
              <w:rPr>
                <w:rFonts w:hint="default" w:cs="Times New Roman"/>
                <w:b/>
                <w:bCs/>
                <w:snapToGrid w:val="0"/>
                <w:color w:val="000000" w:themeColor="text1"/>
                <w:kern w:val="0"/>
                <w:sz w:val="24"/>
                <w:szCs w:val="22"/>
                <w:highlight w:val="none"/>
                <w14:textFill>
                  <w14:solidFill>
                    <w14:schemeClr w14:val="tx1"/>
                  </w14:solidFill>
                </w14:textFill>
              </w:rPr>
            </w:pPr>
            <w:r>
              <w:rPr>
                <w:rFonts w:hint="eastAsia" w:cs="Times New Roman"/>
                <w:color w:val="000000" w:themeColor="text1"/>
                <w:lang w:val="en-US" w:eastAsia="zh-CN"/>
                <w14:textFill>
                  <w14:solidFill>
                    <w14:schemeClr w14:val="tx1"/>
                  </w14:solidFill>
                </w14:textFill>
              </w:rPr>
              <w:t>水环境质量底线：根据《市人民政府办公室关于发布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号）中水环境质量底线，黄河干流-</w:t>
            </w:r>
            <w:r>
              <w:rPr>
                <w:rFonts w:hint="default" w:cs="Times New Roman"/>
                <w:color w:val="000000" w:themeColor="text1"/>
                <w:sz w:val="24"/>
                <w:highlight w:val="none"/>
                <w14:textFill>
                  <w14:solidFill>
                    <w14:schemeClr w14:val="tx1"/>
                  </w14:solidFill>
                </w14:textFill>
              </w:rPr>
              <w:t>下河沿断面</w:t>
            </w:r>
            <w:r>
              <w:rPr>
                <w:rFonts w:hint="eastAsia" w:cs="Times New Roman"/>
                <w:color w:val="000000" w:themeColor="text1"/>
                <w:sz w:val="24"/>
                <w:highlight w:val="none"/>
                <w:lang w:val="en-US" w:eastAsia="zh-CN"/>
                <w14:textFill>
                  <w14:solidFill>
                    <w14:schemeClr w14:val="tx1"/>
                  </w14:solidFill>
                </w14:textFill>
              </w:rPr>
              <w:t>2025年水质目标为</w:t>
            </w:r>
            <w:r>
              <w:rPr>
                <w:rFonts w:hint="default" w:cs="Times New Roman"/>
                <w:color w:val="000000" w:themeColor="text1"/>
                <w:sz w:val="24"/>
                <w:highlight w:val="none"/>
                <w14:textFill>
                  <w14:solidFill>
                    <w14:schemeClr w14:val="tx1"/>
                  </w14:solidFill>
                </w14:textFill>
              </w:rPr>
              <w:t>Ⅱ类水质</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本</w:t>
            </w:r>
            <w:r>
              <w:rPr>
                <w:rFonts w:hint="eastAsia" w:cs="Times New Roman"/>
                <w:color w:val="000000" w:themeColor="text1"/>
                <w:lang w:val="en-US" w:eastAsia="zh-CN"/>
                <w14:textFill>
                  <w14:solidFill>
                    <w14:schemeClr w14:val="tx1"/>
                  </w14:solidFill>
                </w14:textFill>
              </w:rPr>
              <w:t>项目位于沙坡头区，</w:t>
            </w:r>
            <w:r>
              <w:rPr>
                <w:rFonts w:hint="default" w:cs="Times New Roman"/>
                <w:color w:val="000000" w:themeColor="text1"/>
                <w:sz w:val="24"/>
                <w:highlight w:val="none"/>
                <w14:textFill>
                  <w14:solidFill>
                    <w14:schemeClr w14:val="tx1"/>
                  </w14:solidFill>
                </w14:textFill>
              </w:rPr>
              <w:t>黄河</w:t>
            </w:r>
            <w:r>
              <w:rPr>
                <w:rFonts w:hint="eastAsia" w:cs="Times New Roman"/>
                <w:color w:val="000000" w:themeColor="text1"/>
                <w:sz w:val="24"/>
                <w:highlight w:val="none"/>
                <w:lang w:val="en-US" w:eastAsia="zh-CN"/>
                <w14:textFill>
                  <w14:solidFill>
                    <w14:schemeClr w14:val="tx1"/>
                  </w14:solidFill>
                </w14:textFill>
              </w:rPr>
              <w:t>位于DK-02治理区南侧，</w:t>
            </w:r>
            <w:r>
              <w:rPr>
                <w:rFonts w:hint="eastAsia" w:cs="Times New Roman"/>
                <w:color w:val="000000" w:themeColor="text1"/>
                <w:sz w:val="24"/>
                <w:highlight w:val="none"/>
                <w14:textFill>
                  <w14:solidFill>
                    <w14:schemeClr w14:val="tx1"/>
                  </w14:solidFill>
                </w14:textFill>
              </w:rPr>
              <w:t>距离</w:t>
            </w:r>
            <w:r>
              <w:rPr>
                <w:rFonts w:hint="eastAsia" w:cs="Times New Roman"/>
                <w:color w:val="000000" w:themeColor="text1"/>
                <w:sz w:val="24"/>
                <w:highlight w:val="none"/>
                <w:lang w:val="en-US" w:eastAsia="zh-CN"/>
                <w14:textFill>
                  <w14:solidFill>
                    <w14:schemeClr w14:val="tx1"/>
                  </w14:solidFill>
                </w14:textFill>
              </w:rPr>
              <w:t>190</w:t>
            </w:r>
            <w:r>
              <w:rPr>
                <w:rFonts w:hint="eastAsia" w:cs="Times New Roman"/>
                <w:color w:val="000000" w:themeColor="text1"/>
                <w:sz w:val="24"/>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14:textFill>
                  <w14:solidFill>
                    <w14:schemeClr w14:val="tx1"/>
                  </w14:solidFill>
                </w14:textFill>
              </w:rPr>
              <w:t>，引用</w:t>
            </w:r>
            <w:r>
              <w:rPr>
                <w:rFonts w:hint="default" w:cs="Times New Roman"/>
                <w:color w:val="000000" w:themeColor="text1"/>
                <w:sz w:val="24"/>
                <w:highlight w:val="none"/>
                <w14:textFill>
                  <w14:solidFill>
                    <w14:schemeClr w14:val="tx1"/>
                  </w14:solidFill>
                </w14:textFill>
              </w:rPr>
              <w:t>《202</w:t>
            </w:r>
            <w:r>
              <w:rPr>
                <w:rFonts w:hint="eastAsia" w:cs="Times New Roman"/>
                <w:color w:val="000000" w:themeColor="text1"/>
                <w:sz w:val="24"/>
                <w:highlight w:val="none"/>
                <w:lang w:val="en-US" w:eastAsia="zh-CN"/>
                <w14:textFill>
                  <w14:solidFill>
                    <w14:schemeClr w14:val="tx1"/>
                  </w14:solidFill>
                </w14:textFill>
              </w:rPr>
              <w:t>3</w:t>
            </w:r>
            <w:r>
              <w:rPr>
                <w:rFonts w:hint="default" w:cs="Times New Roman"/>
                <w:color w:val="000000" w:themeColor="text1"/>
                <w:sz w:val="24"/>
                <w:highlight w:val="none"/>
                <w14:textFill>
                  <w14:solidFill>
                    <w14:schemeClr w14:val="tx1"/>
                  </w14:solidFill>
                </w14:textFill>
              </w:rPr>
              <w:t>年宁夏生态环境质量状况报告》黄河中卫下河沿断面</w:t>
            </w:r>
            <w:r>
              <w:rPr>
                <w:rFonts w:hint="eastAsia" w:cs="Times New Roman"/>
                <w:color w:val="000000" w:themeColor="text1"/>
                <w:sz w:val="24"/>
                <w:highlight w:val="none"/>
                <w14:textFill>
                  <w14:solidFill>
                    <w14:schemeClr w14:val="tx1"/>
                  </w14:solidFill>
                </w14:textFill>
              </w:rPr>
              <w:t>（甘肃一宁夏省界）</w:t>
            </w:r>
            <w:r>
              <w:rPr>
                <w:rFonts w:hint="default" w:cs="Times New Roman"/>
                <w:color w:val="000000" w:themeColor="text1"/>
                <w:sz w:val="24"/>
                <w:highlight w:val="none"/>
                <w14:textFill>
                  <w14:solidFill>
                    <w14:schemeClr w14:val="tx1"/>
                  </w14:solidFill>
                </w14:textFill>
              </w:rPr>
              <w:t>的监测数据来评价本项目所在区域的地表水环境质量，202</w:t>
            </w:r>
            <w:r>
              <w:rPr>
                <w:rFonts w:hint="eastAsia" w:cs="Times New Roman"/>
                <w:color w:val="000000" w:themeColor="text1"/>
                <w:sz w:val="24"/>
                <w:highlight w:val="none"/>
                <w:lang w:val="en-US" w:eastAsia="zh-CN"/>
                <w14:textFill>
                  <w14:solidFill>
                    <w14:schemeClr w14:val="tx1"/>
                  </w14:solidFill>
                </w14:textFill>
              </w:rPr>
              <w:t>3</w:t>
            </w:r>
            <w:r>
              <w:rPr>
                <w:rFonts w:hint="default" w:cs="Times New Roman"/>
                <w:color w:val="000000" w:themeColor="text1"/>
                <w:sz w:val="24"/>
                <w:highlight w:val="none"/>
                <w14:textFill>
                  <w14:solidFill>
                    <w14:schemeClr w14:val="tx1"/>
                  </w14:solidFill>
                </w14:textFill>
              </w:rPr>
              <w:t>年黄河中卫下河沿断面的水质</w:t>
            </w:r>
            <w:r>
              <w:rPr>
                <w:rFonts w:hint="eastAsia" w:cs="Times New Roman"/>
                <w:color w:val="000000" w:themeColor="text1"/>
                <w:sz w:val="24"/>
                <w:highlight w:val="none"/>
                <w:lang w:val="en-US" w:eastAsia="zh-CN"/>
                <w14:textFill>
                  <w14:solidFill>
                    <w14:schemeClr w14:val="tx1"/>
                  </w14:solidFill>
                </w14:textFill>
              </w:rPr>
              <w:t>为</w:t>
            </w:r>
            <w:r>
              <w:rPr>
                <w:rFonts w:hint="default" w:cs="Times New Roman"/>
                <w:color w:val="000000" w:themeColor="text1"/>
                <w:sz w:val="24"/>
                <w:highlight w:val="none"/>
                <w14:textFill>
                  <w14:solidFill>
                    <w14:schemeClr w14:val="tx1"/>
                  </w14:solidFill>
                </w14:textFill>
              </w:rPr>
              <w:t>《地表水环境质量标准》Ⅱ类水质</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满足</w:t>
            </w:r>
            <w:r>
              <w:rPr>
                <w:rFonts w:hint="default" w:cs="Times New Roman"/>
                <w:color w:val="000000" w:themeColor="text1"/>
                <w:sz w:val="24"/>
                <w:highlight w:val="none"/>
                <w14:textFill>
                  <w14:solidFill>
                    <w14:schemeClr w14:val="tx1"/>
                  </w14:solidFill>
                </w14:textFill>
              </w:rPr>
              <w:t>Ⅱ类</w:t>
            </w:r>
            <w:r>
              <w:rPr>
                <w:rFonts w:hint="eastAsia" w:cs="Times New Roman"/>
                <w:color w:val="000000" w:themeColor="text1"/>
                <w:sz w:val="24"/>
                <w:highlight w:val="none"/>
                <w:lang w:val="en-US" w:eastAsia="zh-CN"/>
                <w14:textFill>
                  <w14:solidFill>
                    <w14:schemeClr w14:val="tx1"/>
                  </w14:solidFill>
                </w14:textFill>
              </w:rPr>
              <w:t>考核标准</w:t>
            </w:r>
            <w:r>
              <w:rPr>
                <w:rFonts w:hint="eastAsia" w:cs="Times New Roman"/>
                <w:color w:val="000000" w:themeColor="text1"/>
                <w:sz w:val="24"/>
                <w:highlight w:val="none"/>
                <w14:textFill>
                  <w14:solidFill>
                    <w14:schemeClr w14:val="tx1"/>
                  </w14:solidFill>
                </w14:textFill>
              </w:rPr>
              <w:t>。</w:t>
            </w:r>
          </w:p>
          <w:p w14:paraId="595A5933">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号）中《中卫市生态环境分区管控方案图集》及《中卫市生态环境分区管控方案文本》</w:t>
            </w:r>
            <w:r>
              <w:rPr>
                <w:rFonts w:hint="eastAsia" w:cs="Times New Roman"/>
                <w:color w:val="000000" w:themeColor="text1"/>
                <w:lang w:eastAsia="zh-CN"/>
                <w14:textFill>
                  <w14:solidFill>
                    <w14:schemeClr w14:val="tx1"/>
                  </w14:solidFill>
                </w14:textFill>
              </w:rPr>
              <w:t>，中卫市水环境管控分区共分为三大类：水环境优先保护区、水环境重点管控区（含水环境工业污染源重点管控区、水环境农业污染源重点管控区、水环境城镇生活污染源重点管控区）和水环境一般管控区。</w:t>
            </w:r>
            <w:r>
              <w:rPr>
                <w:rFonts w:hint="eastAsia" w:cs="Times New Roman"/>
                <w:color w:val="000000" w:themeColor="text1"/>
                <w:sz w:val="24"/>
                <w:highlight w:val="none"/>
                <w:lang w:val="en-US" w:eastAsia="zh-CN"/>
                <w14:textFill>
                  <w14:solidFill>
                    <w14:schemeClr w14:val="tx1"/>
                  </w14:solidFill>
                </w14:textFill>
              </w:rPr>
              <w:t>本</w:t>
            </w:r>
            <w:r>
              <w:rPr>
                <w:rFonts w:hint="eastAsia" w:cs="Times New Roman"/>
                <w:color w:val="000000" w:themeColor="text1"/>
                <w:lang w:val="en-US" w:eastAsia="zh-CN"/>
                <w14:textFill>
                  <w14:solidFill>
                    <w14:schemeClr w14:val="tx1"/>
                  </w14:solidFill>
                </w14:textFill>
              </w:rPr>
              <w:t>项目位于沙坡头区，涉及水环境一般管控区。分区管控符合性分析见表1-3。项目与中卫市水环境分区管控图位置关系图见附图</w:t>
            </w:r>
            <w:r>
              <w:rPr>
                <w:rFonts w:hint="default"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4。</w:t>
            </w:r>
          </w:p>
          <w:p w14:paraId="2164841E">
            <w:pPr>
              <w:pStyle w:val="3"/>
              <w:bidi w:val="0"/>
              <w:rPr>
                <w:rFonts w:hint="default"/>
                <w:color w:val="000000" w:themeColor="text1"/>
                <w:vertAlign w:val="baseline"/>
                <w14:textFill>
                  <w14:solidFill>
                    <w14:schemeClr w14:val="tx1"/>
                  </w14:solidFill>
                </w14:textFill>
              </w:rPr>
            </w:pPr>
            <w:r>
              <w:rPr>
                <w:rFonts w:hint="default"/>
                <w:color w:val="000000" w:themeColor="text1"/>
                <w:lang w:val="en-US" w:eastAsia="zh-CN"/>
                <w14:textFill>
                  <w14:solidFill>
                    <w14:schemeClr w14:val="tx1"/>
                  </w14:solidFill>
                </w14:textFill>
              </w:rPr>
              <w:t>表1-</w:t>
            </w: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水环境分区管符合性分析</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6"/>
              <w:gridCol w:w="5460"/>
              <w:gridCol w:w="1439"/>
              <w:gridCol w:w="692"/>
            </w:tblGrid>
            <w:tr w14:paraId="2EC8AF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61566FF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类</w:t>
                  </w:r>
                </w:p>
                <w:p w14:paraId="376DD66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别</w:t>
                  </w:r>
                </w:p>
              </w:tc>
              <w:tc>
                <w:tcPr>
                  <w:tcW w:w="5440" w:type="dxa"/>
                  <w:tcBorders>
                    <w:tl2br w:val="nil"/>
                    <w:tr2bl w:val="nil"/>
                  </w:tcBorders>
                  <w:noWrap w:val="0"/>
                  <w:vAlign w:val="center"/>
                </w:tcPr>
                <w:p w14:paraId="1163A44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分区管控要求</w:t>
                  </w:r>
                </w:p>
              </w:tc>
              <w:tc>
                <w:tcPr>
                  <w:tcW w:w="1434" w:type="dxa"/>
                  <w:tcBorders>
                    <w:tl2br w:val="nil"/>
                    <w:tr2bl w:val="nil"/>
                  </w:tcBorders>
                  <w:noWrap w:val="0"/>
                  <w:vAlign w:val="center"/>
                </w:tcPr>
                <w:p w14:paraId="5BE87B0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本项目情况</w:t>
                  </w:r>
                </w:p>
              </w:tc>
              <w:tc>
                <w:tcPr>
                  <w:tcW w:w="689" w:type="dxa"/>
                  <w:tcBorders>
                    <w:tl2br w:val="nil"/>
                    <w:tr2bl w:val="nil"/>
                  </w:tcBorders>
                  <w:noWrap w:val="0"/>
                  <w:vAlign w:val="center"/>
                </w:tcPr>
                <w:p w14:paraId="23215C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符合</w:t>
                  </w:r>
                </w:p>
                <w:p w14:paraId="098362D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情况</w:t>
                  </w:r>
                </w:p>
              </w:tc>
            </w:tr>
            <w:tr w14:paraId="42A286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7EEA3DC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一般管控区</w:t>
                  </w:r>
                </w:p>
              </w:tc>
              <w:tc>
                <w:tcPr>
                  <w:tcW w:w="5440" w:type="dxa"/>
                  <w:tcBorders>
                    <w:tl2br w:val="nil"/>
                    <w:tr2bl w:val="nil"/>
                  </w:tcBorders>
                  <w:noWrap w:val="0"/>
                  <w:vAlign w:val="center"/>
                </w:tcPr>
                <w:p w14:paraId="2EC3EDD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对于水环境优先保护区、重点管控区以外，现状水质达标的控制断面所对应的一般管控区，应落实《中华人民共和国水污染防治法》等相关法律法规的总体要求，加强水资源节约和保护，积极推动水生态修复治理，持续深入推进水污染防治，改善水环境质量</w:t>
                  </w:r>
                </w:p>
              </w:tc>
              <w:tc>
                <w:tcPr>
                  <w:tcW w:w="1434" w:type="dxa"/>
                  <w:tcBorders>
                    <w:tl2br w:val="nil"/>
                    <w:tr2bl w:val="nil"/>
                  </w:tcBorders>
                  <w:noWrap w:val="0"/>
                  <w:vAlign w:val="center"/>
                </w:tcPr>
                <w:p w14:paraId="2340608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本项目运营期不仅使用少量养护用水，不排放污水</w:t>
                  </w:r>
                </w:p>
              </w:tc>
              <w:tc>
                <w:tcPr>
                  <w:tcW w:w="689" w:type="dxa"/>
                  <w:tcBorders>
                    <w:tl2br w:val="nil"/>
                    <w:tr2bl w:val="nil"/>
                  </w:tcBorders>
                  <w:noWrap w:val="0"/>
                  <w:vAlign w:val="center"/>
                </w:tcPr>
                <w:p w14:paraId="521CDB9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符合</w:t>
                  </w:r>
                </w:p>
              </w:tc>
            </w:tr>
          </w:tbl>
          <w:p w14:paraId="7C679F2B">
            <w:pPr>
              <w:keepNext w:val="0"/>
              <w:keepLines w:val="0"/>
              <w:suppressLineNumbers w:val="0"/>
              <w:bidi w:val="0"/>
              <w:spacing w:before="0" w:beforeAutospacing="0" w:after="0" w:afterAutospacing="0"/>
              <w:ind w:left="0" w:right="0"/>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③土壤环境风险管控底线及分区管控</w:t>
            </w:r>
          </w:p>
          <w:p w14:paraId="7BF0B105">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zh-CN"/>
                <w14:textFill>
                  <w14:solidFill>
                    <w14:schemeClr w14:val="tx1"/>
                  </w14:solidFill>
                </w14:textFill>
              </w:rPr>
              <w:t>土壤环境质量底线：</w:t>
            </w: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w:t>
            </w:r>
            <w:r>
              <w:rPr>
                <w:rFonts w:hint="eastAsia" w:cs="Times New Roman"/>
                <w:color w:val="000000" w:themeColor="text1"/>
                <w:lang w:val="zh-CN"/>
                <w14:textFill>
                  <w14:solidFill>
                    <w14:schemeClr w14:val="tx1"/>
                  </w14:solidFill>
                </w14:textFill>
              </w:rPr>
              <w:t>土壤</w:t>
            </w:r>
            <w:r>
              <w:rPr>
                <w:rFonts w:hint="eastAsia" w:cs="Times New Roman"/>
                <w:color w:val="000000" w:themeColor="text1"/>
                <w:lang w:val="en-US" w:eastAsia="zh-CN"/>
                <w14:textFill>
                  <w14:solidFill>
                    <w14:schemeClr w14:val="tx1"/>
                  </w14:solidFill>
                </w14:textFill>
              </w:rPr>
              <w:t>环境质量底线，</w:t>
            </w:r>
            <w:r>
              <w:rPr>
                <w:rFonts w:hint="eastAsia" w:cs="Times New Roman"/>
                <w:color w:val="000000" w:themeColor="text1"/>
                <w:lang w:val="zh-CN"/>
                <w14:textFill>
                  <w14:solidFill>
                    <w14:schemeClr w14:val="tx1"/>
                  </w14:solidFill>
                </w14:textFill>
              </w:rPr>
              <w:t>到2025年，全市土壤环境质量总体持续稳中向好，重点建设用地安全利用得到有效保障，受污染耕地和污染地块安全利用率完成自治区“十四五”考核目标。</w:t>
            </w:r>
          </w:p>
          <w:p w14:paraId="4A7A32F2">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中卫市生态环境分区管控方案图集》及《中卫市生态环境分区管控方案文本》，根据土壤环境质量现状、土地利用现状，综合考虑全市农用地土壤污染状况详查和重点行业企业用地详查结果，衔接现有污染地块名录、土壤环境重点监管企业清单等，将全市划分为农用地优先保护区、建设用地污染风险重点管控区和土壤环境一般管控区。</w:t>
            </w:r>
            <w:r>
              <w:rPr>
                <w:rFonts w:hint="eastAsia" w:cs="Times New Roman"/>
                <w:color w:val="000000" w:themeColor="text1"/>
                <w:sz w:val="24"/>
                <w:highlight w:val="none"/>
                <w:lang w:val="en-US" w:eastAsia="zh-CN"/>
                <w14:textFill>
                  <w14:solidFill>
                    <w14:schemeClr w14:val="tx1"/>
                  </w14:solidFill>
                </w14:textFill>
              </w:rPr>
              <w:t>本</w:t>
            </w:r>
            <w:r>
              <w:rPr>
                <w:rFonts w:hint="eastAsia" w:cs="Times New Roman"/>
                <w:color w:val="000000" w:themeColor="text1"/>
                <w:lang w:val="en-US" w:eastAsia="zh-CN"/>
                <w14:textFill>
                  <w14:solidFill>
                    <w14:schemeClr w14:val="tx1"/>
                  </w14:solidFill>
                </w14:textFill>
              </w:rPr>
              <w:t>项目位于沙坡头区，本项目涉及</w:t>
            </w:r>
            <w:r>
              <w:rPr>
                <w:rFonts w:hint="eastAsia" w:cs="Times New Roman"/>
                <w:color w:val="000000" w:themeColor="text1"/>
                <w:lang w:eastAsia="zh-CN"/>
                <w14:textFill>
                  <w14:solidFill>
                    <w14:schemeClr w14:val="tx1"/>
                  </w14:solidFill>
                </w14:textFill>
              </w:rPr>
              <w:t>土壤污染风险</w:t>
            </w:r>
            <w:r>
              <w:rPr>
                <w:rFonts w:hint="eastAsia" w:cs="Times New Roman"/>
                <w:color w:val="000000" w:themeColor="text1"/>
                <w:lang w:val="en-US" w:eastAsia="zh-CN"/>
                <w14:textFill>
                  <w14:solidFill>
                    <w14:schemeClr w14:val="tx1"/>
                  </w14:solidFill>
                </w14:textFill>
              </w:rPr>
              <w:t>一般管控单元。分区管控符合性分析见表1-4。项目与中卫市</w:t>
            </w:r>
            <w:r>
              <w:rPr>
                <w:rFonts w:hint="eastAsia" w:cs="Times New Roman"/>
                <w:color w:val="000000" w:themeColor="text1"/>
                <w:lang w:eastAsia="zh-CN"/>
                <w14:textFill>
                  <w14:solidFill>
                    <w14:schemeClr w14:val="tx1"/>
                  </w14:solidFill>
                </w14:textFill>
              </w:rPr>
              <w:t>土壤污染风险</w:t>
            </w:r>
            <w:r>
              <w:rPr>
                <w:rFonts w:hint="eastAsia" w:cs="Times New Roman"/>
                <w:color w:val="000000" w:themeColor="text1"/>
                <w:lang w:val="en-US" w:eastAsia="zh-CN"/>
                <w14:textFill>
                  <w14:solidFill>
                    <w14:schemeClr w14:val="tx1"/>
                  </w14:solidFill>
                </w14:textFill>
              </w:rPr>
              <w:t>分区管控图位置关系图见附图</w:t>
            </w:r>
            <w:r>
              <w:rPr>
                <w:rFonts w:hint="default"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5。</w:t>
            </w:r>
          </w:p>
          <w:p w14:paraId="651CACD5">
            <w:pPr>
              <w:pStyle w:val="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表1-4  </w:t>
            </w:r>
            <w:r>
              <w:rPr>
                <w:rFonts w:hint="eastAsia"/>
                <w:color w:val="000000" w:themeColor="text1"/>
                <w:lang w:eastAsia="zh-CN"/>
                <w14:textFill>
                  <w14:solidFill>
                    <w14:schemeClr w14:val="tx1"/>
                  </w14:solidFill>
                </w14:textFill>
              </w:rPr>
              <w:t>土壤污染风险</w:t>
            </w:r>
            <w:r>
              <w:rPr>
                <w:rFonts w:hint="eastAsia"/>
                <w:color w:val="000000" w:themeColor="text1"/>
                <w:lang w:val="en-US" w:eastAsia="zh-CN"/>
                <w14:textFill>
                  <w14:solidFill>
                    <w14:schemeClr w14:val="tx1"/>
                  </w14:solidFill>
                </w14:textFill>
              </w:rPr>
              <w:t>分区管符合性分析</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5"/>
              <w:gridCol w:w="5351"/>
              <w:gridCol w:w="1549"/>
              <w:gridCol w:w="692"/>
            </w:tblGrid>
            <w:tr w14:paraId="20A87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17FD63F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类</w:t>
                  </w:r>
                </w:p>
                <w:p w14:paraId="6F0CD30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别</w:t>
                  </w:r>
                </w:p>
              </w:tc>
              <w:tc>
                <w:tcPr>
                  <w:tcW w:w="5331" w:type="dxa"/>
                  <w:tcBorders>
                    <w:tl2br w:val="nil"/>
                    <w:tr2bl w:val="nil"/>
                  </w:tcBorders>
                  <w:noWrap w:val="0"/>
                  <w:vAlign w:val="center"/>
                </w:tcPr>
                <w:p w14:paraId="4419A59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分区管控要求</w:t>
                  </w:r>
                </w:p>
              </w:tc>
              <w:tc>
                <w:tcPr>
                  <w:tcW w:w="1543" w:type="dxa"/>
                  <w:tcBorders>
                    <w:tl2br w:val="nil"/>
                    <w:tr2bl w:val="nil"/>
                  </w:tcBorders>
                  <w:noWrap w:val="0"/>
                  <w:vAlign w:val="center"/>
                </w:tcPr>
                <w:p w14:paraId="4F2924C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本项目情况</w:t>
                  </w:r>
                </w:p>
              </w:tc>
              <w:tc>
                <w:tcPr>
                  <w:tcW w:w="689" w:type="dxa"/>
                  <w:tcBorders>
                    <w:tl2br w:val="nil"/>
                    <w:tr2bl w:val="nil"/>
                  </w:tcBorders>
                  <w:noWrap w:val="0"/>
                  <w:vAlign w:val="center"/>
                </w:tcPr>
                <w:p w14:paraId="5663EA7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符合</w:t>
                  </w:r>
                </w:p>
                <w:p w14:paraId="1649574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情况</w:t>
                  </w:r>
                </w:p>
              </w:tc>
            </w:tr>
            <w:tr w14:paraId="72ADF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4" w:type="dxa"/>
                  <w:tcBorders>
                    <w:tl2br w:val="nil"/>
                    <w:tr2bl w:val="nil"/>
                  </w:tcBorders>
                  <w:noWrap w:val="0"/>
                  <w:vAlign w:val="center"/>
                </w:tcPr>
                <w:p w14:paraId="070AB85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一般管控单元</w:t>
                  </w:r>
                </w:p>
              </w:tc>
              <w:tc>
                <w:tcPr>
                  <w:tcW w:w="5331" w:type="dxa"/>
                  <w:tcBorders>
                    <w:tl2br w:val="nil"/>
                    <w:tr2bl w:val="nil"/>
                  </w:tcBorders>
                  <w:noWrap w:val="0"/>
                  <w:vAlign w:val="center"/>
                </w:tcPr>
                <w:p w14:paraId="245C44F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在编制国土空间规划等相关规划时，应充分考虑污染地块的环境风险，合理确定土地用途。禁止在居民区、学校、医疗和养老机构等周边新建有色金属冶炼、焦化等行业企业。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1543" w:type="dxa"/>
                  <w:tcBorders>
                    <w:tl2br w:val="nil"/>
                    <w:tr2bl w:val="nil"/>
                  </w:tcBorders>
                  <w:noWrap w:val="0"/>
                  <w:vAlign w:val="center"/>
                </w:tcPr>
                <w:p w14:paraId="3FBA929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本项目不涉及</w:t>
                  </w:r>
                  <w:r>
                    <w:rPr>
                      <w:rFonts w:hint="default" w:cs="Times New Roman"/>
                      <w:color w:val="000000" w:themeColor="text1"/>
                      <w14:textFill>
                        <w14:solidFill>
                          <w14:schemeClr w14:val="tx1"/>
                        </w14:solidFill>
                      </w14:textFill>
                    </w:rPr>
                    <w:t>有色金属冶炼、焦化等行业企业</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不排放</w:t>
                  </w:r>
                  <w:r>
                    <w:rPr>
                      <w:rFonts w:hint="default" w:cs="Times New Roman"/>
                      <w:color w:val="000000" w:themeColor="text1"/>
                      <w14:textFill>
                        <w14:solidFill>
                          <w14:schemeClr w14:val="tx1"/>
                        </w14:solidFill>
                      </w14:textFill>
                    </w:rPr>
                    <w:t>重点污染物</w:t>
                  </w:r>
                </w:p>
              </w:tc>
              <w:tc>
                <w:tcPr>
                  <w:tcW w:w="689" w:type="dxa"/>
                  <w:tcBorders>
                    <w:tl2br w:val="nil"/>
                    <w:tr2bl w:val="nil"/>
                  </w:tcBorders>
                  <w:noWrap w:val="0"/>
                  <w:vAlign w:val="center"/>
                </w:tcPr>
                <w:p w14:paraId="5800F48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符合</w:t>
                  </w:r>
                </w:p>
              </w:tc>
            </w:tr>
          </w:tbl>
          <w:p w14:paraId="69DDF126">
            <w:pPr>
              <w:bidi w:val="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⑶资源利用上线及分区管控</w:t>
            </w:r>
          </w:p>
          <w:p w14:paraId="064BDFB9">
            <w:pPr>
              <w:keepNext w:val="0"/>
              <w:keepLines w:val="0"/>
              <w:suppressLineNumbers w:val="0"/>
              <w:bidi w:val="0"/>
              <w:spacing w:before="0" w:beforeAutospacing="0" w:after="0" w:afterAutospacing="0"/>
              <w:ind w:left="0" w:right="0"/>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①能源（煤炭）资源利用上线及分区管控</w:t>
            </w:r>
          </w:p>
          <w:p w14:paraId="53C8C164">
            <w:pPr>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本项目运营期不涉及煤炭能源消耗。因此，项目的建设符合能源（煤炭）资源利用上线及分区管控要求</w:t>
            </w:r>
            <w:r>
              <w:rPr>
                <w:rFonts w:hint="eastAsia" w:cs="Times New Roman"/>
                <w:color w:val="000000" w:themeColor="text1"/>
                <w14:textFill>
                  <w14:solidFill>
                    <w14:schemeClr w14:val="tx1"/>
                  </w14:solidFill>
                </w14:textFill>
              </w:rPr>
              <w:t>。</w:t>
            </w:r>
          </w:p>
          <w:p w14:paraId="022ADC18">
            <w:pPr>
              <w:keepNext w:val="0"/>
              <w:keepLines w:val="0"/>
              <w:suppressLineNumbers w:val="0"/>
              <w:bidi w:val="0"/>
              <w:spacing w:before="0" w:beforeAutospacing="0" w:after="0" w:afterAutospacing="0"/>
              <w:ind w:left="0" w:right="0"/>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②</w:t>
            </w:r>
            <w:r>
              <w:rPr>
                <w:rFonts w:hint="eastAsia" w:cs="Times New Roman"/>
                <w:b/>
                <w:bCs/>
                <w:color w:val="000000" w:themeColor="text1"/>
                <w:lang w:val="en-US" w:eastAsia="zh-CN"/>
                <w14:textFill>
                  <w14:solidFill>
                    <w14:schemeClr w14:val="tx1"/>
                  </w14:solidFill>
                </w14:textFill>
              </w:rPr>
              <w:t>水资源利用上线及分区管控</w:t>
            </w:r>
          </w:p>
          <w:p w14:paraId="7409AB75">
            <w:pPr>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本项目仅施工期使用生活用水，用水量较少，不会对区域水资源利用造成影响，因此，本项目符合水资源利用上线及分区管控要求。</w:t>
            </w:r>
          </w:p>
          <w:p w14:paraId="6EFE7D61">
            <w:pPr>
              <w:keepNext w:val="0"/>
              <w:keepLines w:val="0"/>
              <w:suppressLineNumbers w:val="0"/>
              <w:bidi w:val="0"/>
              <w:spacing w:before="0" w:beforeAutospacing="0" w:after="0" w:afterAutospacing="0"/>
              <w:ind w:left="0" w:right="0"/>
              <w:rPr>
                <w:rFonts w:hint="eastAsia"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③土地资源利用上线及分区管控</w:t>
            </w:r>
          </w:p>
          <w:p w14:paraId="702254D7">
            <w:pPr>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w:t>
            </w:r>
            <w:r>
              <w:rPr>
                <w:rFonts w:hint="eastAsia" w:cs="Times New Roman"/>
                <w:color w:val="000000" w:themeColor="text1"/>
                <w:lang w:val="en-US" w:eastAsia="zh-CN"/>
                <w14:textFill>
                  <w14:solidFill>
                    <w14:schemeClr w14:val="tx1"/>
                  </w14:solidFill>
                </w14:textFill>
              </w:rPr>
              <w:t>《市人民政府办公室关于发布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号）中《中卫市生态环境分区管控方案图集》及《中卫市生态环境分区管控方案文本》</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，中卫市无土地资源重点管控区，所以本项目所在区域不属于土地资源重点管控区。本项目不新增临时占地</w:t>
            </w:r>
            <w:r>
              <w:rPr>
                <w:rFonts w:hint="eastAsia" w:cs="Times New Roman"/>
                <w:color w:val="000000" w:themeColor="text1"/>
                <w:lang w:val="en-US" w:eastAsia="zh-CN"/>
                <w14:textFill>
                  <w14:solidFill>
                    <w14:schemeClr w14:val="tx1"/>
                  </w14:solidFill>
                </w14:textFill>
              </w:rPr>
              <w:t>。</w:t>
            </w:r>
          </w:p>
          <w:p w14:paraId="5DA605B0">
            <w:pPr>
              <w:keepNext w:val="0"/>
              <w:keepLines w:val="0"/>
              <w:suppressLineNumbers w:val="0"/>
              <w:bidi w:val="0"/>
              <w:spacing w:before="0" w:beforeAutospacing="0" w:after="0" w:afterAutospacing="0"/>
              <w:ind w:left="0" w:right="0"/>
              <w:rPr>
                <w:rFonts w:hint="default"/>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⑷环境管控单元与准入清单</w:t>
            </w:r>
          </w:p>
          <w:p w14:paraId="41F0A8D7">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根据《市人民政府办公室关于发布</w:t>
            </w:r>
            <w:r>
              <w:rPr>
                <w:rFonts w:hint="default" w:cs="Times New Roman"/>
                <w:color w:val="000000" w:themeColor="text1"/>
                <w:lang w:val="en-US" w:eastAsia="zh-CN"/>
                <w14:textFill>
                  <w14:solidFill>
                    <w14:schemeClr w14:val="tx1"/>
                  </w14:solidFill>
                </w14:textFill>
              </w:rPr>
              <w:t>&lt;</w:t>
            </w:r>
            <w:r>
              <w:rPr>
                <w:rFonts w:hint="eastAsia" w:cs="Times New Roman"/>
                <w:color w:val="000000" w:themeColor="text1"/>
                <w:lang w:val="en-US" w:eastAsia="zh-CN"/>
                <w14:textFill>
                  <w14:solidFill>
                    <w14:schemeClr w14:val="tx1"/>
                  </w14:solidFill>
                </w14:textFill>
              </w:rPr>
              <w:t>中卫市生态环境分区管控动态更新成果</w:t>
            </w:r>
            <w:r>
              <w:rPr>
                <w:rFonts w:hint="default" w:cs="Times New Roman"/>
                <w:color w:val="000000" w:themeColor="text1"/>
                <w:lang w:val="en-US" w:eastAsia="zh-CN"/>
                <w14:textFill>
                  <w14:solidFill>
                    <w14:schemeClr w14:val="tx1"/>
                  </w14:solidFill>
                </w14:textFill>
              </w:rPr>
              <w:t>&gt;</w:t>
            </w:r>
            <w:r>
              <w:rPr>
                <w:rFonts w:hint="eastAsia" w:cs="Times New Roman"/>
                <w:color w:val="000000" w:themeColor="text1"/>
                <w:lang w:val="en-US" w:eastAsia="zh-CN"/>
                <w14:textFill>
                  <w14:solidFill>
                    <w14:schemeClr w14:val="tx1"/>
                  </w14:solidFill>
                </w14:textFill>
              </w:rPr>
              <w:t>的通知》（卫政办发〔</w:t>
            </w:r>
            <w:r>
              <w:rPr>
                <w:rFonts w:hint="default" w:cs="Times New Roman"/>
                <w:color w:val="000000" w:themeColor="text1"/>
                <w:lang w:val="en-US" w:eastAsia="zh-CN"/>
                <w14:textFill>
                  <w14:solidFill>
                    <w14:schemeClr w14:val="tx1"/>
                  </w14:solidFill>
                </w14:textFill>
              </w:rPr>
              <w:t>2024</w:t>
            </w:r>
            <w:r>
              <w:rPr>
                <w:rFonts w:hint="eastAsia" w:cs="Times New Roman"/>
                <w:color w:val="000000" w:themeColor="text1"/>
                <w:lang w:val="en-US" w:eastAsia="zh-CN"/>
                <w14:textFill>
                  <w14:solidFill>
                    <w14:schemeClr w14:val="tx1"/>
                  </w14:solidFill>
                </w14:textFill>
              </w:rPr>
              <w:t>〕</w:t>
            </w:r>
            <w:r>
              <w:rPr>
                <w:rFonts w:hint="default" w:cs="Times New Roman"/>
                <w:color w:val="000000" w:themeColor="text1"/>
                <w:lang w:val="en-US" w:eastAsia="zh-CN"/>
                <w14:textFill>
                  <w14:solidFill>
                    <w14:schemeClr w14:val="tx1"/>
                  </w14:solidFill>
                </w14:textFill>
              </w:rPr>
              <w:t>33</w:t>
            </w:r>
            <w:r>
              <w:rPr>
                <w:rFonts w:hint="eastAsia" w:cs="Times New Roman"/>
                <w:color w:val="000000" w:themeColor="text1"/>
                <w:lang w:val="en-US" w:eastAsia="zh-CN"/>
                <w14:textFill>
                  <w14:solidFill>
                    <w14:schemeClr w14:val="tx1"/>
                  </w14:solidFill>
                </w14:textFill>
              </w:rPr>
              <w:t>号）中《中卫市生态环境分区管控方案图集》及《中卫市生态环境分区管控方案文本》可知本项目涉及生态环境</w:t>
            </w:r>
            <w:r>
              <w:rPr>
                <w:rFonts w:hint="eastAsia" w:cs="Times New Roman"/>
                <w:color w:val="000000" w:themeColor="text1"/>
                <w:lang w:eastAsia="zh-CN"/>
                <w14:textFill>
                  <w14:solidFill>
                    <w14:schemeClr w14:val="tx1"/>
                  </w14:solidFill>
                </w14:textFill>
              </w:rPr>
              <w:t>优先保护单元、一般管控单元</w:t>
            </w:r>
            <w:r>
              <w:rPr>
                <w:rFonts w:hint="eastAsia" w:cs="Times New Roman"/>
                <w:color w:val="000000" w:themeColor="text1"/>
                <w:lang w:val="en-US" w:eastAsia="zh-CN"/>
                <w14:textFill>
                  <w14:solidFill>
                    <w14:schemeClr w14:val="tx1"/>
                  </w14:solidFill>
                </w14:textFill>
              </w:rPr>
              <w:t>。项目与中卫市生态环境分区管控图位置关系图见附图</w:t>
            </w:r>
            <w:r>
              <w:rPr>
                <w:rFonts w:hint="default" w:cs="Times New Roman"/>
                <w:color w:val="000000" w:themeColor="text1"/>
                <w:lang w:val="en-US" w:eastAsia="zh-CN"/>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6。</w:t>
            </w:r>
          </w:p>
          <w:p w14:paraId="36F639EE">
            <w:pPr>
              <w:keepNext w:val="0"/>
              <w:keepLines w:val="0"/>
              <w:suppressLineNumbers w:val="0"/>
              <w:bidi w:val="0"/>
              <w:spacing w:before="0" w:beforeAutospacing="0" w:after="0" w:afterAutospacing="0"/>
              <w:ind w:left="0" w:right="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14:textFill>
                  <w14:solidFill>
                    <w14:schemeClr w14:val="tx1"/>
                  </w14:solidFill>
                </w14:textFill>
              </w:rPr>
              <w:t>项目与</w:t>
            </w:r>
            <w:r>
              <w:rPr>
                <w:rFonts w:hint="eastAsia" w:cs="Times New Roman"/>
                <w:color w:val="000000" w:themeColor="text1"/>
                <w:lang w:val="en-US" w:eastAsia="zh-CN"/>
                <w14:textFill>
                  <w14:solidFill>
                    <w14:schemeClr w14:val="tx1"/>
                  </w14:solidFill>
                </w14:textFill>
              </w:rPr>
              <w:t>中卫</w:t>
            </w:r>
            <w:r>
              <w:rPr>
                <w:rFonts w:hint="eastAsia" w:cs="Times New Roman"/>
                <w:color w:val="000000" w:themeColor="text1"/>
                <w14:textFill>
                  <w14:solidFill>
                    <w14:schemeClr w14:val="tx1"/>
                  </w14:solidFill>
                </w14:textFill>
              </w:rPr>
              <w:t>市市级生态环境准入清单符合性分析见下表1-</w:t>
            </w:r>
            <w:r>
              <w:rPr>
                <w:rFonts w:hint="eastAsia" w:cs="Times New Roman"/>
                <w:color w:val="000000" w:themeColor="text1"/>
                <w:lang w:val="en-US" w:eastAsia="zh-CN"/>
                <w14:textFill>
                  <w14:solidFill>
                    <w14:schemeClr w14:val="tx1"/>
                  </w14:solidFill>
                </w14:textFill>
              </w:rPr>
              <w:t>5</w:t>
            </w:r>
            <w:r>
              <w:rPr>
                <w:rFonts w:hint="eastAsia" w:cs="Times New Roman"/>
                <w:color w:val="000000" w:themeColor="text1"/>
                <w14:textFill>
                  <w14:solidFill>
                    <w14:schemeClr w14:val="tx1"/>
                  </w14:solidFill>
                </w14:textFill>
              </w:rPr>
              <w:t>，</w:t>
            </w:r>
            <w:r>
              <w:rPr>
                <w:rFonts w:hint="eastAsia" w:cs="Times New Roman"/>
                <w:color w:val="000000" w:themeColor="text1"/>
                <w:highlight w:val="none"/>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沙坡头区环境管控单元生态环境准入清单符合性</w:t>
            </w:r>
            <w:r>
              <w:rPr>
                <w:rFonts w:hint="eastAsia" w:cs="Times New Roman"/>
                <w:color w:val="000000" w:themeColor="text1"/>
                <w:highlight w:val="none"/>
                <w14:textFill>
                  <w14:solidFill>
                    <w14:schemeClr w14:val="tx1"/>
                  </w14:solidFill>
                </w14:textFill>
              </w:rPr>
              <w:t>分析见下表1-</w:t>
            </w:r>
            <w:r>
              <w:rPr>
                <w:rFonts w:hint="eastAsia" w:cs="Times New Roman"/>
                <w:color w:val="000000" w:themeColor="text1"/>
                <w:highlight w:val="none"/>
                <w:lang w:val="en-US" w:eastAsia="zh-CN"/>
                <w14:textFill>
                  <w14:solidFill>
                    <w14:schemeClr w14:val="tx1"/>
                  </w14:solidFill>
                </w14:textFill>
              </w:rPr>
              <w:t>6</w:t>
            </w:r>
            <w:r>
              <w:rPr>
                <w:rFonts w:hint="eastAsia" w:cs="Times New Roman"/>
                <w:color w:val="000000" w:themeColor="text1"/>
                <w:highlight w:val="none"/>
                <w14:textFill>
                  <w14:solidFill>
                    <w14:schemeClr w14:val="tx1"/>
                  </w14:solidFill>
                </w14:textFill>
              </w:rPr>
              <w:t>。</w:t>
            </w:r>
          </w:p>
          <w:p w14:paraId="67047421">
            <w:pPr>
              <w:pStyle w:val="3"/>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表1-5  </w:t>
            </w:r>
            <w:r>
              <w:rPr>
                <w:rFonts w:hint="default"/>
                <w:color w:val="000000" w:themeColor="text1"/>
                <w14:textFill>
                  <w14:solidFill>
                    <w14:schemeClr w14:val="tx1"/>
                  </w14:solidFill>
                </w14:textFill>
              </w:rPr>
              <w:t>本项目与</w:t>
            </w:r>
            <w:r>
              <w:rPr>
                <w:rFonts w:hint="eastAsia"/>
                <w:color w:val="000000" w:themeColor="text1"/>
                <w:lang w:val="en-US" w:eastAsia="zh-CN"/>
                <w14:textFill>
                  <w14:solidFill>
                    <w14:schemeClr w14:val="tx1"/>
                  </w14:solidFill>
                </w14:textFill>
              </w:rPr>
              <w:t>中卫</w:t>
            </w:r>
            <w:r>
              <w:rPr>
                <w:rFonts w:hint="eastAsia"/>
                <w:color w:val="000000" w:themeColor="text1"/>
                <w14:textFill>
                  <w14:solidFill>
                    <w14:schemeClr w14:val="tx1"/>
                  </w14:solidFill>
                </w14:textFill>
              </w:rPr>
              <w:t>市市级生态环境准入清单</w:t>
            </w:r>
            <w:r>
              <w:rPr>
                <w:rFonts w:hint="default"/>
                <w:color w:val="000000" w:themeColor="text1"/>
                <w14:textFill>
                  <w14:solidFill>
                    <w14:schemeClr w14:val="tx1"/>
                  </w14:solidFill>
                </w14:textFill>
              </w:rPr>
              <w:t>符合性分析表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4"/>
              <w:gridCol w:w="712"/>
              <w:gridCol w:w="3672"/>
              <w:gridCol w:w="2503"/>
              <w:gridCol w:w="706"/>
            </w:tblGrid>
            <w:tr w14:paraId="39E6B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3" w:type="dxa"/>
                  <w:gridSpan w:val="2"/>
                  <w:noWrap w:val="0"/>
                  <w:vAlign w:val="center"/>
                </w:tcPr>
                <w:p w14:paraId="300A885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管控维度</w:t>
                  </w:r>
                </w:p>
              </w:tc>
              <w:tc>
                <w:tcPr>
                  <w:tcW w:w="3632" w:type="dxa"/>
                  <w:noWrap w:val="0"/>
                  <w:vAlign w:val="center"/>
                </w:tcPr>
                <w:p w14:paraId="7407A51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准入要求</w:t>
                  </w:r>
                </w:p>
              </w:tc>
              <w:tc>
                <w:tcPr>
                  <w:tcW w:w="2476" w:type="dxa"/>
                  <w:noWrap w:val="0"/>
                  <w:vAlign w:val="center"/>
                </w:tcPr>
                <w:p w14:paraId="4FC4259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本项目情况</w:t>
                  </w:r>
                </w:p>
              </w:tc>
              <w:tc>
                <w:tcPr>
                  <w:tcW w:w="698" w:type="dxa"/>
                  <w:noWrap w:val="0"/>
                  <w:vAlign w:val="center"/>
                </w:tcPr>
                <w:p w14:paraId="384E596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符合性</w:t>
                  </w:r>
                </w:p>
              </w:tc>
            </w:tr>
            <w:tr w14:paraId="2E2D3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restart"/>
                  <w:noWrap w:val="0"/>
                  <w:vAlign w:val="center"/>
                </w:tcPr>
                <w:p w14:paraId="5032509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A1空间布局约束</w:t>
                  </w:r>
                </w:p>
              </w:tc>
              <w:tc>
                <w:tcPr>
                  <w:tcW w:w="704" w:type="dxa"/>
                  <w:vMerge w:val="restart"/>
                  <w:noWrap w:val="0"/>
                  <w:vAlign w:val="center"/>
                </w:tcPr>
                <w:p w14:paraId="4445C6B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A1.1禁止开发建设活动的要求</w:t>
                  </w:r>
                </w:p>
              </w:tc>
              <w:tc>
                <w:tcPr>
                  <w:tcW w:w="3632" w:type="dxa"/>
                  <w:noWrap w:val="0"/>
                  <w:vAlign w:val="center"/>
                </w:tcPr>
                <w:p w14:paraId="759FADC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严禁在黄河干流及主要支流临岸1公里范围内新建</w:t>
                  </w:r>
                  <w:r>
                    <w:rPr>
                      <w:rFonts w:hint="eastAsia" w:cs="Times New Roman"/>
                      <w:color w:val="000000" w:themeColor="text1"/>
                      <w14:textFill>
                        <w14:solidFill>
                          <w14:schemeClr w14:val="tx1"/>
                        </w14:solidFill>
                      </w14:textFill>
                    </w:rPr>
                    <w:t>“两高一资”</w:t>
                  </w:r>
                  <w:r>
                    <w:rPr>
                      <w:rFonts w:hint="default" w:cs="Times New Roman"/>
                      <w:color w:val="000000" w:themeColor="text1"/>
                      <w14:textFill>
                        <w14:solidFill>
                          <w14:schemeClr w14:val="tx1"/>
                        </w14:solidFill>
                      </w14:textFill>
                    </w:rPr>
                    <w:t>项目及相关产业园区</w:t>
                  </w:r>
                </w:p>
              </w:tc>
              <w:tc>
                <w:tcPr>
                  <w:tcW w:w="2476" w:type="dxa"/>
                  <w:noWrap w:val="0"/>
                  <w:vAlign w:val="center"/>
                </w:tcPr>
                <w:p w14:paraId="2EF2FC7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3483A5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170D81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1F1DA56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5689BDA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792D5B2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黄河沿线两岸3公里范围内不再新建养殖场</w:t>
                  </w:r>
                </w:p>
              </w:tc>
              <w:tc>
                <w:tcPr>
                  <w:tcW w:w="2476" w:type="dxa"/>
                  <w:noWrap w:val="0"/>
                  <w:vAlign w:val="center"/>
                </w:tcPr>
                <w:p w14:paraId="5440F78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2B22725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141E77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0648C1B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71982BA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2437E9C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所有工业企业原则上一律入园，工业园区及产业集聚区外不再建设工业项目</w:t>
                  </w:r>
                </w:p>
              </w:tc>
              <w:tc>
                <w:tcPr>
                  <w:tcW w:w="2476" w:type="dxa"/>
                  <w:noWrap w:val="0"/>
                  <w:vAlign w:val="center"/>
                </w:tcPr>
                <w:p w14:paraId="4540785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165AD2A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1FC1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78F2B58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1584062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3DA2F59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禁止露天焚烧产生有毒有害烟尘和恶臭气体的物质或将其用作燃料</w:t>
                  </w:r>
                </w:p>
              </w:tc>
              <w:tc>
                <w:tcPr>
                  <w:tcW w:w="2476" w:type="dxa"/>
                  <w:noWrap w:val="0"/>
                  <w:vAlign w:val="center"/>
                </w:tcPr>
                <w:p w14:paraId="44B9363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107723E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57A67B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65F180B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75B0A43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566DDA5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除已列入计划内项目，“十四五”期间不再新增燃煤自备电厂（区域背压式供热机组除外）</w:t>
                  </w:r>
                </w:p>
              </w:tc>
              <w:tc>
                <w:tcPr>
                  <w:tcW w:w="2476" w:type="dxa"/>
                  <w:noWrap w:val="0"/>
                  <w:vAlign w:val="center"/>
                </w:tcPr>
                <w:p w14:paraId="5D029C9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67B32B5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0769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42A12B0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614AEAB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19FE251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严禁在优先保护类耕地集中区域新建污染土壤的行业企业</w:t>
                  </w:r>
                </w:p>
              </w:tc>
              <w:tc>
                <w:tcPr>
                  <w:tcW w:w="2476" w:type="dxa"/>
                  <w:noWrap w:val="0"/>
                  <w:vAlign w:val="center"/>
                </w:tcPr>
                <w:p w14:paraId="60BB55F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3B22713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2CE48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18AC1B7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noWrap w:val="0"/>
                  <w:vAlign w:val="center"/>
                </w:tcPr>
                <w:p w14:paraId="0399934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A1.2限制开发建设活动的要求</w:t>
                  </w:r>
                </w:p>
              </w:tc>
              <w:tc>
                <w:tcPr>
                  <w:tcW w:w="3632" w:type="dxa"/>
                  <w:noWrap w:val="0"/>
                  <w:vAlign w:val="center"/>
                </w:tcPr>
                <w:p w14:paraId="4FA275F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严格产业准入标准，建立联合审查机制，对新建项目进行综合评价，对不符合产业规划、产业政策、“三线一单”、规划环评、产能置换、污染物排放区域削减等要求的项目不予办理相关审批手续。严格“两高”项目节能审查，对纳入目录的落后产能过剩行业原则上不再新增产能，对经过评估论证确有必要建设的“两高”项目，必须符合国家、自治区产业政策和产能及能耗等量减量置换要求</w:t>
                  </w:r>
                </w:p>
              </w:tc>
              <w:tc>
                <w:tcPr>
                  <w:tcW w:w="2476" w:type="dxa"/>
                  <w:noWrap w:val="0"/>
                  <w:vAlign w:val="center"/>
                </w:tcPr>
                <w:p w14:paraId="0F18FB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eastAsia="zh-CN"/>
                      <w14:textFill>
                        <w14:solidFill>
                          <w14:schemeClr w14:val="tx1"/>
                        </w14:solidFill>
                      </w14:textFill>
                    </w:rPr>
                  </w:pPr>
                  <w:r>
                    <w:rPr>
                      <w:rFonts w:hint="eastAsia" w:cs="Times New Roman"/>
                      <w:color w:val="000000" w:themeColor="text1"/>
                      <w14:textFill>
                        <w14:solidFill>
                          <w14:schemeClr w14:val="tx1"/>
                        </w14:solidFill>
                      </w14:textFill>
                    </w:rPr>
                    <w:t>本项目不涉及“两高”</w:t>
                  </w:r>
                  <w:r>
                    <w:rPr>
                      <w:rFonts w:hint="default" w:cs="Times New Roman"/>
                      <w:color w:val="000000" w:themeColor="text1"/>
                      <w14:textFill>
                        <w14:solidFill>
                          <w14:schemeClr w14:val="tx1"/>
                        </w14:solidFill>
                      </w14:textFill>
                    </w:rPr>
                    <w:t>行业和产能过剩行业用地、用电等</w:t>
                  </w:r>
                </w:p>
              </w:tc>
              <w:tc>
                <w:tcPr>
                  <w:tcW w:w="698" w:type="dxa"/>
                  <w:noWrap w:val="0"/>
                  <w:vAlign w:val="center"/>
                </w:tcPr>
                <w:p w14:paraId="75BC3B1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2872B9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58B4AD9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restart"/>
                  <w:noWrap w:val="0"/>
                  <w:vAlign w:val="center"/>
                </w:tcPr>
                <w:p w14:paraId="304435E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A1.3不符合空间布局要求活动的退出要求</w:t>
                  </w:r>
                </w:p>
              </w:tc>
              <w:tc>
                <w:tcPr>
                  <w:tcW w:w="3632" w:type="dxa"/>
                  <w:noWrap w:val="0"/>
                  <w:vAlign w:val="center"/>
                </w:tcPr>
                <w:p w14:paraId="0039166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对列入建设用地土壤污染风险管控和修复名录需要实施修复的地块，土壤污染责任人应当按照规定编制修复方案，报所在地生态环境主管部门备案并实施</w:t>
                  </w:r>
                </w:p>
              </w:tc>
              <w:tc>
                <w:tcPr>
                  <w:tcW w:w="2476" w:type="dxa"/>
                  <w:noWrap w:val="0"/>
                  <w:vAlign w:val="center"/>
                </w:tcPr>
                <w:p w14:paraId="277647D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w:t>
                  </w:r>
                  <w:r>
                    <w:rPr>
                      <w:rFonts w:hint="eastAsia" w:cs="Times New Roman"/>
                      <w:color w:val="000000" w:themeColor="text1"/>
                      <w:lang w:val="en-US" w:eastAsia="zh-CN"/>
                      <w14:textFill>
                        <w14:solidFill>
                          <w14:schemeClr w14:val="tx1"/>
                        </w14:solidFill>
                      </w14:textFill>
                    </w:rPr>
                    <w:t>涉及</w:t>
                  </w:r>
                  <w:r>
                    <w:rPr>
                      <w:rFonts w:hint="eastAsia" w:cs="Times New Roman"/>
                      <w:color w:val="000000" w:themeColor="text1"/>
                      <w14:textFill>
                        <w14:solidFill>
                          <w14:schemeClr w14:val="tx1"/>
                        </w14:solidFill>
                      </w14:textFill>
                    </w:rPr>
                    <w:t>建设用地土壤污染风险管控和修复名录需要实施修复的地块</w:t>
                  </w:r>
                </w:p>
              </w:tc>
              <w:tc>
                <w:tcPr>
                  <w:tcW w:w="698" w:type="dxa"/>
                  <w:noWrap w:val="0"/>
                  <w:vAlign w:val="center"/>
                </w:tcPr>
                <w:p w14:paraId="721C897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2EE04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29E2FD9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42C99CD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4BC2AD3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严格管控自然保护地范围内非生态活动，稳妥推进核心区内居民、耕地、矿权有序退出</w:t>
                  </w:r>
                </w:p>
              </w:tc>
              <w:tc>
                <w:tcPr>
                  <w:tcW w:w="2476" w:type="dxa"/>
                  <w:noWrap w:val="0"/>
                  <w:vAlign w:val="center"/>
                </w:tcPr>
                <w:p w14:paraId="0E17036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74CF7E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650444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0E95991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0F1EDB3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38597F1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对所有现状不达标的养殖场，明确治理时限和治理措施，在规定时间内不能完成污染治理的养殖场，要按照有关规定实施严肃处罚</w:t>
                  </w:r>
                </w:p>
              </w:tc>
              <w:tc>
                <w:tcPr>
                  <w:tcW w:w="2476" w:type="dxa"/>
                  <w:noWrap w:val="0"/>
                  <w:vAlign w:val="center"/>
                </w:tcPr>
                <w:p w14:paraId="2E63236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1D8B8A8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4ECDDC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7121168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19BA01A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09AB6C3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按照“一园区一热源”原则，全面淘汰工业园区(产业集聚区)内35蒸吨/小时及以下燃煤锅炉。城市建成区、集中供热覆盖区及天然气管网覆盖区一律禁止新建燃煤锅炉，逐步淘汰35蒸吨/小时及以下燃煤锅炉，保留及新建锅炉需达到特别排放限值要求</w:t>
                  </w:r>
                </w:p>
              </w:tc>
              <w:tc>
                <w:tcPr>
                  <w:tcW w:w="2476" w:type="dxa"/>
                  <w:noWrap w:val="0"/>
                  <w:vAlign w:val="center"/>
                </w:tcPr>
                <w:p w14:paraId="1478BED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4753ABD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3F913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restart"/>
                  <w:noWrap w:val="0"/>
                  <w:vAlign w:val="center"/>
                </w:tcPr>
                <w:p w14:paraId="7DDA5B6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A2污染物排放管控</w:t>
                  </w:r>
                </w:p>
              </w:tc>
              <w:tc>
                <w:tcPr>
                  <w:tcW w:w="704" w:type="dxa"/>
                  <w:vMerge w:val="restart"/>
                  <w:noWrap w:val="0"/>
                  <w:vAlign w:val="center"/>
                </w:tcPr>
                <w:p w14:paraId="0B80113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A2.1允许排放量要求</w:t>
                  </w:r>
                </w:p>
              </w:tc>
              <w:tc>
                <w:tcPr>
                  <w:tcW w:w="3632" w:type="dxa"/>
                  <w:noWrap w:val="0"/>
                  <w:vAlign w:val="center"/>
                </w:tcPr>
                <w:p w14:paraId="7BB020A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化学需氧量、氨氮、氮氧化物和挥发性有机物排放总量完成自治区下达任务</w:t>
                  </w:r>
                </w:p>
              </w:tc>
              <w:tc>
                <w:tcPr>
                  <w:tcW w:w="2476" w:type="dxa"/>
                  <w:noWrap w:val="0"/>
                  <w:vAlign w:val="center"/>
                </w:tcPr>
                <w:p w14:paraId="3CAC04E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38F7A3F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6C407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56D5DA6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6978EFF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64951D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PM</w:t>
                  </w:r>
                  <w:r>
                    <w:rPr>
                      <w:rFonts w:hint="eastAsia" w:cs="Times New Roman"/>
                      <w:color w:val="000000" w:themeColor="text1"/>
                      <w:vertAlign w:val="subscript"/>
                      <w:lang w:val="en-US" w:eastAsia="zh-CN"/>
                      <w14:textFill>
                        <w14:solidFill>
                          <w14:schemeClr w14:val="tx1"/>
                        </w14:solidFill>
                      </w14:textFill>
                    </w:rPr>
                    <w:t>2.5</w:t>
                  </w:r>
                  <w:r>
                    <w:rPr>
                      <w:rFonts w:hint="eastAsia" w:cs="Times New Roman"/>
                      <w:color w:val="000000" w:themeColor="text1"/>
                      <w14:textFill>
                        <w14:solidFill>
                          <w14:schemeClr w14:val="tx1"/>
                        </w14:solidFill>
                      </w14:textFill>
                    </w:rPr>
                    <w:t>和</w:t>
                  </w:r>
                  <w:r>
                    <w:rPr>
                      <w:rFonts w:hint="eastAsia" w:cs="Times New Roman"/>
                      <w:color w:val="000000" w:themeColor="text1"/>
                      <w:lang w:val="en-US" w:eastAsia="zh-CN"/>
                      <w14:textFill>
                        <w14:solidFill>
                          <w14:schemeClr w14:val="tx1"/>
                        </w14:solidFill>
                      </w14:textFill>
                    </w:rPr>
                    <w:t>O</w:t>
                  </w:r>
                  <w:r>
                    <w:rPr>
                      <w:rFonts w:hint="eastAsia" w:cs="Times New Roman"/>
                      <w:color w:val="000000" w:themeColor="text1"/>
                      <w:vertAlign w:val="subscript"/>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未达标城市，新、改、扩建项目实施更严格的污染物排放总量控制要求，所需二氧化硫、NOx、VO</w:t>
                  </w:r>
                  <w:r>
                    <w:rPr>
                      <w:rFonts w:hint="eastAsia" w:cs="Times New Roman"/>
                      <w:color w:val="000000" w:themeColor="text1"/>
                      <w:lang w:val="en-US" w:eastAsia="zh-CN"/>
                      <w14:textFill>
                        <w14:solidFill>
                          <w14:schemeClr w14:val="tx1"/>
                        </w14:solidFill>
                      </w14:textFill>
                    </w:rPr>
                    <w:t>C</w:t>
                  </w:r>
                  <w:r>
                    <w:rPr>
                      <w:rFonts w:hint="eastAsia" w:cs="Times New Roman"/>
                      <w:color w:val="000000" w:themeColor="text1"/>
                      <w14:textFill>
                        <w14:solidFill>
                          <w14:schemeClr w14:val="tx1"/>
                        </w14:solidFill>
                      </w14:textFill>
                    </w:rPr>
                    <w:t>s排放量指标要进行减量替代</w:t>
                  </w:r>
                </w:p>
              </w:tc>
              <w:tc>
                <w:tcPr>
                  <w:tcW w:w="2476" w:type="dxa"/>
                  <w:noWrap w:val="0"/>
                  <w:vAlign w:val="center"/>
                </w:tcPr>
                <w:p w14:paraId="768B6E1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不涉及</w:t>
                  </w:r>
                </w:p>
              </w:tc>
              <w:tc>
                <w:tcPr>
                  <w:tcW w:w="698" w:type="dxa"/>
                  <w:noWrap w:val="0"/>
                  <w:vAlign w:val="center"/>
                </w:tcPr>
                <w:p w14:paraId="2C1284A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7C6605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7932948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3B0578E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3108D4B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新、改、扩建重点行业建设项目按照《宁夏回族自治区建设项目重金属污染物排放指标核定办法》要求，遵循重点重金属污染物排放“等量替代”原则，各地级市可自行确定重点区域，重点区域遵循“减量替代”原则，减量替代比例不低于 1.2</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1</w:t>
                  </w:r>
                </w:p>
              </w:tc>
              <w:tc>
                <w:tcPr>
                  <w:tcW w:w="2476" w:type="dxa"/>
                  <w:noWrap w:val="0"/>
                  <w:vAlign w:val="center"/>
                </w:tcPr>
                <w:p w14:paraId="2FC965C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本项目不属于</w:t>
                  </w:r>
                  <w:r>
                    <w:rPr>
                      <w:rFonts w:hint="default" w:cs="Times New Roman"/>
                      <w:color w:val="000000" w:themeColor="text1"/>
                      <w14:textFill>
                        <w14:solidFill>
                          <w14:schemeClr w14:val="tx1"/>
                        </w14:solidFill>
                      </w14:textFill>
                    </w:rPr>
                    <w:t>重金属重点行业建设项目</w:t>
                  </w:r>
                </w:p>
              </w:tc>
              <w:tc>
                <w:tcPr>
                  <w:tcW w:w="698" w:type="dxa"/>
                  <w:noWrap w:val="0"/>
                  <w:vAlign w:val="center"/>
                </w:tcPr>
                <w:p w14:paraId="41F81EA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1A9AB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580F83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359099C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5D5FAA3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到2025年，中卫市畜禽养殖废物综合利用率达到95%，规模养殖场粪污处理设施装备配套率达到100%</w:t>
                  </w:r>
                </w:p>
              </w:tc>
              <w:tc>
                <w:tcPr>
                  <w:tcW w:w="2476" w:type="dxa"/>
                  <w:noWrap w:val="0"/>
                  <w:vAlign w:val="center"/>
                </w:tcPr>
                <w:p w14:paraId="04DD23A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0371ED8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EE6E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33E1D85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restart"/>
                  <w:noWrap w:val="0"/>
                  <w:vAlign w:val="center"/>
                </w:tcPr>
                <w:p w14:paraId="30ED3D2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A2.2现有源提标升级改造</w:t>
                  </w:r>
                </w:p>
              </w:tc>
              <w:tc>
                <w:tcPr>
                  <w:tcW w:w="3632" w:type="dxa"/>
                  <w:noWrap w:val="0"/>
                  <w:vAlign w:val="center"/>
                </w:tcPr>
                <w:p w14:paraId="139C8B7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力争到2024年底，所有钢铁企业主要大气污染物基本达到超低排放指标限值</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有序推进水泥行业超低排放改造计划，水泥熟料窑改造后氮氧化物排放浓度不高于100毫克/立方米</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焦化企业参照《关于推进实施钢铁行业超低排放的意见》要求实施升级改造，改造后氮氧化物排放浓度不高于150毫克/立方米</w:t>
                  </w:r>
                </w:p>
              </w:tc>
              <w:tc>
                <w:tcPr>
                  <w:tcW w:w="2476" w:type="dxa"/>
                  <w:noWrap w:val="0"/>
                  <w:vAlign w:val="center"/>
                </w:tcPr>
                <w:p w14:paraId="16CA62F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r>
                    <w:rPr>
                      <w:rFonts w:hint="eastAsia" w:cs="Times New Roman"/>
                      <w:color w:val="000000" w:themeColor="text1"/>
                      <w:lang w:val="en-US" w:eastAsia="zh-CN"/>
                      <w14:textFill>
                        <w14:solidFill>
                          <w14:schemeClr w14:val="tx1"/>
                        </w14:solidFill>
                      </w14:textFill>
                    </w:rPr>
                    <w:t>相关企业</w:t>
                  </w:r>
                </w:p>
              </w:tc>
              <w:tc>
                <w:tcPr>
                  <w:tcW w:w="698" w:type="dxa"/>
                  <w:noWrap w:val="0"/>
                  <w:vAlign w:val="center"/>
                </w:tcPr>
                <w:p w14:paraId="4BB34E0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161B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069180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1F6BDE7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53ECCC4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2024年底前，烧结、炼铁、炼钢轧钢、自备电厂等有组织排放污染物实行超低排放限值</w:t>
                  </w:r>
                </w:p>
              </w:tc>
              <w:tc>
                <w:tcPr>
                  <w:tcW w:w="2476" w:type="dxa"/>
                  <w:noWrap w:val="0"/>
                  <w:vAlign w:val="center"/>
                </w:tcPr>
                <w:p w14:paraId="17B7769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本项目不涉及</w:t>
                  </w:r>
                </w:p>
              </w:tc>
              <w:tc>
                <w:tcPr>
                  <w:tcW w:w="698" w:type="dxa"/>
                  <w:noWrap w:val="0"/>
                  <w:vAlign w:val="center"/>
                </w:tcPr>
                <w:p w14:paraId="557A514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符合</w:t>
                  </w:r>
                </w:p>
              </w:tc>
            </w:tr>
            <w:tr w14:paraId="61248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restart"/>
                  <w:noWrap w:val="0"/>
                  <w:vAlign w:val="center"/>
                </w:tcPr>
                <w:p w14:paraId="65E29A8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A3环境风险防控</w:t>
                  </w:r>
                </w:p>
              </w:tc>
              <w:tc>
                <w:tcPr>
                  <w:tcW w:w="704" w:type="dxa"/>
                  <w:vMerge w:val="restart"/>
                  <w:noWrap w:val="0"/>
                  <w:vAlign w:val="center"/>
                </w:tcPr>
                <w:p w14:paraId="092B440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A3.1联防联控要求</w:t>
                  </w:r>
                </w:p>
              </w:tc>
              <w:tc>
                <w:tcPr>
                  <w:tcW w:w="3632" w:type="dxa"/>
                  <w:noWrap w:val="0"/>
                  <w:vAlign w:val="center"/>
                </w:tcPr>
                <w:p w14:paraId="5DA77D6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健全市生态环境局与公安、交通、应急、气象、水务等部门联动机制，细化落实各相关部门之间联防联控责任与任务分工，联合开展突发环境污染事件处置应急演练，提高联防联控实战能力</w:t>
                  </w:r>
                </w:p>
              </w:tc>
              <w:tc>
                <w:tcPr>
                  <w:tcW w:w="2476" w:type="dxa"/>
                  <w:noWrap w:val="0"/>
                  <w:vAlign w:val="center"/>
                </w:tcPr>
                <w:p w14:paraId="7DA8B52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585C7D4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543F7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16B73ED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54482B9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53829C6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以黄河干流和主要支流为重点，严控石化、化工、有色金属、印染、原料药制造等行业企业环境风险，加强油气管道环境风险防范，开展新污染物环境调査监测和环境风险评估，推进流域突发环境风险调査与监控预警体系建设，构建市-县(区)-区城-企业四级应急物资储备网络</w:t>
                  </w:r>
                </w:p>
              </w:tc>
              <w:tc>
                <w:tcPr>
                  <w:tcW w:w="2476" w:type="dxa"/>
                  <w:noWrap w:val="0"/>
                  <w:vAlign w:val="center"/>
                </w:tcPr>
                <w:p w14:paraId="2DD7C61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6A3CF02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2FA8F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0ECF4B6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noWrap w:val="0"/>
                  <w:vAlign w:val="center"/>
                </w:tcPr>
                <w:p w14:paraId="5FDA59A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A3.2企业环境风险防控要求</w:t>
                  </w:r>
                </w:p>
              </w:tc>
              <w:tc>
                <w:tcPr>
                  <w:tcW w:w="3632" w:type="dxa"/>
                  <w:noWrap w:val="0"/>
                  <w:vAlign w:val="center"/>
                </w:tcPr>
                <w:p w14:paraId="24E84AA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紧盯涉危险废物涉重金属企业、化工园区、水源地，强化环境应急三级防控体系建设，落实企业环境安全主体责任，推行企业突发环境事件应急预案电子备案</w:t>
                  </w:r>
                </w:p>
              </w:tc>
              <w:tc>
                <w:tcPr>
                  <w:tcW w:w="2476" w:type="dxa"/>
                  <w:noWrap w:val="0"/>
                  <w:vAlign w:val="center"/>
                </w:tcPr>
                <w:p w14:paraId="0EA603E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7B6470F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39F7E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restart"/>
                  <w:noWrap w:val="0"/>
                  <w:vAlign w:val="center"/>
                </w:tcPr>
                <w:p w14:paraId="3048686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A4资源利用效率要求</w:t>
                  </w:r>
                </w:p>
              </w:tc>
              <w:tc>
                <w:tcPr>
                  <w:tcW w:w="704" w:type="dxa"/>
                  <w:vMerge w:val="restart"/>
                  <w:noWrap w:val="0"/>
                  <w:vAlign w:val="center"/>
                </w:tcPr>
                <w:p w14:paraId="692D64B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A4.1能源利用总量及效率要求</w:t>
                  </w:r>
                </w:p>
              </w:tc>
              <w:tc>
                <w:tcPr>
                  <w:tcW w:w="3632" w:type="dxa"/>
                  <w:noWrap w:val="0"/>
                  <w:vAlign w:val="center"/>
                </w:tcPr>
                <w:p w14:paraId="476C798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全面贯彻落实国家和自治区下达煤炭消费总量目标，严格控制耗煤行业煤炭新增量，优先保障民生供暖新增用煤需求</w:t>
                  </w:r>
                </w:p>
              </w:tc>
              <w:tc>
                <w:tcPr>
                  <w:tcW w:w="2476" w:type="dxa"/>
                  <w:noWrap w:val="0"/>
                  <w:vAlign w:val="center"/>
                </w:tcPr>
                <w:p w14:paraId="688608A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1C6EC29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5EAFF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460DEBD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41FDE16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5C20B89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新增产能必须符合国内先进能效标准</w:t>
                  </w:r>
                </w:p>
              </w:tc>
              <w:tc>
                <w:tcPr>
                  <w:tcW w:w="2476" w:type="dxa"/>
                  <w:noWrap w:val="0"/>
                  <w:vAlign w:val="center"/>
                </w:tcPr>
                <w:p w14:paraId="10D4BEA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65A6ECF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D82F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5008BF4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vMerge w:val="continue"/>
                  <w:noWrap w:val="0"/>
                  <w:vAlign w:val="center"/>
                </w:tcPr>
                <w:p w14:paraId="4E25C4F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632" w:type="dxa"/>
                  <w:noWrap w:val="0"/>
                  <w:vAlign w:val="center"/>
                </w:tcPr>
                <w:p w14:paraId="25B9055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国家大气污染防治重点区域内新建耗煤项目应严格按规定采取煤炭消费减量普代措施，不得使用高污染燃料作为煤炭减量替代措施</w:t>
                  </w:r>
                </w:p>
              </w:tc>
              <w:tc>
                <w:tcPr>
                  <w:tcW w:w="2476" w:type="dxa"/>
                  <w:noWrap w:val="0"/>
                  <w:vAlign w:val="center"/>
                </w:tcPr>
                <w:p w14:paraId="24F8B04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w:t>
                  </w:r>
                </w:p>
              </w:tc>
              <w:tc>
                <w:tcPr>
                  <w:tcW w:w="698" w:type="dxa"/>
                  <w:noWrap w:val="0"/>
                  <w:vAlign w:val="center"/>
                </w:tcPr>
                <w:p w14:paraId="59DDFDC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7375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Merge w:val="continue"/>
                  <w:noWrap w:val="0"/>
                  <w:vAlign w:val="center"/>
                </w:tcPr>
                <w:p w14:paraId="2F4CA35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704" w:type="dxa"/>
                  <w:noWrap w:val="0"/>
                  <w:vAlign w:val="center"/>
                </w:tcPr>
                <w:p w14:paraId="72245EF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A4.2水资源利用总量及效率要求</w:t>
                  </w:r>
                </w:p>
              </w:tc>
              <w:tc>
                <w:tcPr>
                  <w:tcW w:w="3632" w:type="dxa"/>
                  <w:noWrap w:val="0"/>
                  <w:vAlign w:val="center"/>
                </w:tcPr>
                <w:p w14:paraId="3884AA4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建立水资源刚性约束制度，严格准入条件，按照地区取水总量限值审核新、改、扩建项目，取水总量不得超过地区水资源取用上限或承载能力</w:t>
                  </w:r>
                </w:p>
              </w:tc>
              <w:tc>
                <w:tcPr>
                  <w:tcW w:w="2476" w:type="dxa"/>
                  <w:noWrap w:val="0"/>
                  <w:vAlign w:val="center"/>
                </w:tcPr>
                <w:p w14:paraId="424B112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本项目运营期不涉及取水</w:t>
                  </w:r>
                </w:p>
              </w:tc>
              <w:tc>
                <w:tcPr>
                  <w:tcW w:w="698" w:type="dxa"/>
                  <w:noWrap w:val="0"/>
                  <w:vAlign w:val="center"/>
                </w:tcPr>
                <w:p w14:paraId="3B3E0FF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bl>
          <w:p w14:paraId="24DF0727">
            <w:pPr>
              <w:pStyle w:val="3"/>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表1-6  本项目</w:t>
            </w:r>
            <w:r>
              <w:rPr>
                <w:rFonts w:hint="eastAsia"/>
                <w:color w:val="000000" w:themeColor="text1"/>
                <w14:textFill>
                  <w14:solidFill>
                    <w14:schemeClr w14:val="tx1"/>
                  </w14:solidFill>
                </w14:textFill>
              </w:rPr>
              <w:t>与</w:t>
            </w:r>
            <w:r>
              <w:rPr>
                <w:rFonts w:hint="eastAsia"/>
                <w:color w:val="000000" w:themeColor="text1"/>
                <w:lang w:val="en-US" w:eastAsia="zh-CN"/>
                <w14:textFill>
                  <w14:solidFill>
                    <w14:schemeClr w14:val="tx1"/>
                  </w14:solidFill>
                </w14:textFill>
              </w:rPr>
              <w:t>沙坡头环境管控单元生态环境准入清单符合性</w:t>
            </w:r>
            <w:r>
              <w:rPr>
                <w:rFonts w:hint="eastAsia"/>
                <w:color w:val="000000" w:themeColor="text1"/>
                <w14:textFill>
                  <w14:solidFill>
                    <w14:schemeClr w14:val="tx1"/>
                  </w14:solidFill>
                </w14:textFill>
              </w:rPr>
              <w:t>分析</w:t>
            </w:r>
          </w:p>
          <w:tbl>
            <w:tblPr>
              <w:tblStyle w:val="27"/>
              <w:tblpPr w:leftFromText="180" w:rightFromText="180" w:vertAnchor="text" w:tblpX="1"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927"/>
              <w:gridCol w:w="708"/>
              <w:gridCol w:w="813"/>
              <w:gridCol w:w="3066"/>
              <w:gridCol w:w="1943"/>
              <w:gridCol w:w="650"/>
            </w:tblGrid>
            <w:tr w14:paraId="45063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tcBorders>
                    <w:tl2br w:val="nil"/>
                    <w:tr2bl w:val="nil"/>
                  </w:tcBorders>
                  <w:noWrap w:val="0"/>
                  <w:vAlign w:val="center"/>
                </w:tcPr>
                <w:p w14:paraId="3966785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环境管控单元名称</w:t>
                  </w:r>
                </w:p>
              </w:tc>
              <w:tc>
                <w:tcPr>
                  <w:tcW w:w="708" w:type="dxa"/>
                  <w:tcBorders>
                    <w:tl2br w:val="nil"/>
                    <w:tr2bl w:val="nil"/>
                  </w:tcBorders>
                  <w:noWrap w:val="0"/>
                  <w:vAlign w:val="center"/>
                </w:tcPr>
                <w:p w14:paraId="6E873B2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要素属性</w:t>
                  </w:r>
                </w:p>
              </w:tc>
              <w:tc>
                <w:tcPr>
                  <w:tcW w:w="3879" w:type="dxa"/>
                  <w:gridSpan w:val="2"/>
                  <w:tcBorders>
                    <w:tl2br w:val="nil"/>
                    <w:tr2bl w:val="nil"/>
                  </w:tcBorders>
                  <w:noWrap w:val="0"/>
                  <w:vAlign w:val="center"/>
                </w:tcPr>
                <w:p w14:paraId="5FE2AA3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管控要求</w:t>
                  </w:r>
                </w:p>
              </w:tc>
              <w:tc>
                <w:tcPr>
                  <w:tcW w:w="1943" w:type="dxa"/>
                  <w:tcBorders>
                    <w:tl2br w:val="nil"/>
                    <w:tr2bl w:val="nil"/>
                  </w:tcBorders>
                  <w:noWrap w:val="0"/>
                  <w:vAlign w:val="center"/>
                </w:tcPr>
                <w:p w14:paraId="29D5939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本项目情况</w:t>
                  </w:r>
                </w:p>
              </w:tc>
              <w:tc>
                <w:tcPr>
                  <w:tcW w:w="650" w:type="dxa"/>
                  <w:tcBorders>
                    <w:tl2br w:val="nil"/>
                    <w:tr2bl w:val="nil"/>
                  </w:tcBorders>
                  <w:noWrap w:val="0"/>
                  <w:vAlign w:val="center"/>
                </w:tcPr>
                <w:p w14:paraId="10E9B39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是否符合</w:t>
                  </w:r>
                </w:p>
              </w:tc>
            </w:tr>
            <w:tr w14:paraId="2F4CEB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restart"/>
                  <w:tcBorders>
                    <w:tl2br w:val="nil"/>
                    <w:tr2bl w:val="nil"/>
                  </w:tcBorders>
                  <w:noWrap w:val="0"/>
                  <w:vAlign w:val="center"/>
                </w:tcPr>
                <w:p w14:paraId="00E35A0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eastAsia="宋体"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ZH6405021000</w:t>
                  </w:r>
                  <w:r>
                    <w:rPr>
                      <w:rFonts w:hint="eastAsia" w:cs="Times New Roman"/>
                      <w:color w:val="000000" w:themeColor="text1"/>
                      <w:lang w:val="en-US" w:eastAsia="zh-CN"/>
                      <w14:textFill>
                        <w14:solidFill>
                          <w14:schemeClr w14:val="tx1"/>
                        </w14:solidFill>
                      </w14:textFill>
                    </w:rPr>
                    <w:t>5</w:t>
                  </w:r>
                  <w:r>
                    <w:rPr>
                      <w:rFonts w:hint="default" w:cs="Times New Roman"/>
                      <w:color w:val="000000" w:themeColor="text1"/>
                      <w14:textFill>
                        <w14:solidFill>
                          <w14:schemeClr w14:val="tx1"/>
                        </w14:solidFill>
                      </w14:textFill>
                    </w:rPr>
                    <w:t>沙坡头区优先保护单元</w:t>
                  </w:r>
                  <w:r>
                    <w:rPr>
                      <w:rFonts w:hint="eastAsia" w:cs="Times New Roman"/>
                      <w:color w:val="000000" w:themeColor="text1"/>
                      <w:lang w:val="en-US" w:eastAsia="zh-CN"/>
                      <w14:textFill>
                        <w14:solidFill>
                          <w14:schemeClr w14:val="tx1"/>
                        </w14:solidFill>
                      </w14:textFill>
                    </w:rPr>
                    <w:t>3</w:t>
                  </w:r>
                </w:p>
              </w:tc>
              <w:tc>
                <w:tcPr>
                  <w:tcW w:w="708" w:type="dxa"/>
                  <w:vMerge w:val="restart"/>
                  <w:tcBorders>
                    <w:tl2br w:val="nil"/>
                    <w:tr2bl w:val="nil"/>
                  </w:tcBorders>
                  <w:noWrap w:val="0"/>
                  <w:vAlign w:val="center"/>
                </w:tcPr>
                <w:p w14:paraId="5262595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生态保护红线</w:t>
                  </w:r>
                </w:p>
                <w:p w14:paraId="4907D83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+生态空间</w:t>
                  </w:r>
                </w:p>
              </w:tc>
              <w:tc>
                <w:tcPr>
                  <w:tcW w:w="813" w:type="dxa"/>
                  <w:tcBorders>
                    <w:tl2br w:val="nil"/>
                    <w:tr2bl w:val="nil"/>
                  </w:tcBorders>
                  <w:noWrap w:val="0"/>
                  <w:vAlign w:val="center"/>
                </w:tcPr>
                <w:p w14:paraId="5A213B3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空间布局约束</w:t>
                  </w:r>
                </w:p>
              </w:tc>
              <w:tc>
                <w:tcPr>
                  <w:tcW w:w="3066" w:type="dxa"/>
                  <w:tcBorders>
                    <w:tl2br w:val="nil"/>
                    <w:tr2bl w:val="nil"/>
                  </w:tcBorders>
                  <w:noWrap w:val="0"/>
                  <w:vAlign w:val="center"/>
                </w:tcPr>
                <w:p w14:paraId="0F39C62B">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Chars="0" w:right="0" w:right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cs="Times New Roman"/>
                      <w:color w:val="000000" w:themeColor="text1"/>
                      <w:lang w:val="en-US" w:eastAsia="zh-CN"/>
                      <w14:textFill>
                        <w14:solidFill>
                          <w14:schemeClr w14:val="tx1"/>
                        </w14:solidFill>
                      </w14:textFill>
                    </w:rPr>
                    <w:t>生态保护红线内自然保护地核心保护区外，禁止开发性、生产性建设活动，在符合法律法规的前提下，仅允许十类对生态功能不造成破坏的有限人为活动</w:t>
                  </w:r>
                </w:p>
                <w:p w14:paraId="7C141296">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Chars="0" w:right="0" w:rightChars="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2.加快开展自然保护地内违法违规人类活动的清退工作，开展生态恢复与治理</w:t>
                  </w:r>
                </w:p>
              </w:tc>
              <w:tc>
                <w:tcPr>
                  <w:tcW w:w="1943" w:type="dxa"/>
                  <w:tcBorders>
                    <w:tl2br w:val="nil"/>
                    <w:tr2bl w:val="nil"/>
                  </w:tcBorders>
                  <w:noWrap w:val="0"/>
                  <w:vAlign w:val="center"/>
                </w:tcPr>
                <w:p w14:paraId="3DBC5922">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Chars="0" w:right="0" w:right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1.本项目主要对历史遗留废弃矿山进行生态修复治理，属于十类</w:t>
                  </w:r>
                  <w:r>
                    <w:rPr>
                      <w:rFonts w:hint="default" w:cs="Times New Roman"/>
                      <w:color w:val="000000" w:themeColor="text1"/>
                      <w:lang w:val="en-US" w:eastAsia="zh-CN"/>
                      <w14:textFill>
                        <w14:solidFill>
                          <w14:schemeClr w14:val="tx1"/>
                        </w14:solidFill>
                      </w14:textFill>
                    </w:rPr>
                    <w:t>对生态功能不造成破坏的有限人为活动</w:t>
                  </w:r>
                  <w:r>
                    <w:rPr>
                      <w:rFonts w:hint="eastAsia" w:cs="Times New Roman"/>
                      <w:color w:val="000000" w:themeColor="text1"/>
                      <w:lang w:val="en-US" w:eastAsia="zh-CN"/>
                      <w14:textFill>
                        <w14:solidFill>
                          <w14:schemeClr w14:val="tx1"/>
                        </w14:solidFill>
                      </w14:textFill>
                    </w:rPr>
                    <w:t>之一</w:t>
                  </w:r>
                </w:p>
                <w:p w14:paraId="1F7D6E4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2.本项目不涉及</w:t>
                  </w:r>
                  <w:r>
                    <w:rPr>
                      <w:rFonts w:hint="default" w:cs="Times New Roman"/>
                      <w:color w:val="000000" w:themeColor="text1"/>
                      <w:lang w:val="en-US" w:eastAsia="zh-CN"/>
                      <w14:textFill>
                        <w14:solidFill>
                          <w14:schemeClr w14:val="tx1"/>
                        </w14:solidFill>
                      </w14:textFill>
                    </w:rPr>
                    <w:t>自然保护地</w:t>
                  </w:r>
                </w:p>
              </w:tc>
              <w:tc>
                <w:tcPr>
                  <w:tcW w:w="650" w:type="dxa"/>
                  <w:tcBorders>
                    <w:tl2br w:val="nil"/>
                    <w:tr2bl w:val="nil"/>
                  </w:tcBorders>
                  <w:noWrap w:val="0"/>
                  <w:vAlign w:val="center"/>
                </w:tcPr>
                <w:p w14:paraId="1F69CAE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4C7450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48520B5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3701B86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4A9B9E9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污染物排放管控</w:t>
                  </w:r>
                </w:p>
              </w:tc>
              <w:tc>
                <w:tcPr>
                  <w:tcW w:w="3066" w:type="dxa"/>
                  <w:tcBorders>
                    <w:tl2br w:val="nil"/>
                    <w:tr2bl w:val="nil"/>
                  </w:tcBorders>
                  <w:noWrap w:val="0"/>
                  <w:vAlign w:val="center"/>
                </w:tcPr>
                <w:p w14:paraId="2DF8AEC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06A5B82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189DEC3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35BE0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4B40C37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51E6C2E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2A631CB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环境风险防控</w:t>
                  </w:r>
                </w:p>
              </w:tc>
              <w:tc>
                <w:tcPr>
                  <w:tcW w:w="3066" w:type="dxa"/>
                  <w:tcBorders>
                    <w:tl2br w:val="nil"/>
                    <w:tr2bl w:val="nil"/>
                  </w:tcBorders>
                  <w:noWrap w:val="0"/>
                  <w:vAlign w:val="center"/>
                </w:tcPr>
                <w:p w14:paraId="7178516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47049CA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6A4219C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76A0FC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0DF9DA2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12FB276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32F06DA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资源开发效率</w:t>
                  </w:r>
                </w:p>
              </w:tc>
              <w:tc>
                <w:tcPr>
                  <w:tcW w:w="3066" w:type="dxa"/>
                  <w:tcBorders>
                    <w:tl2br w:val="nil"/>
                    <w:tr2bl w:val="nil"/>
                  </w:tcBorders>
                  <w:noWrap w:val="0"/>
                  <w:vAlign w:val="center"/>
                </w:tcPr>
                <w:p w14:paraId="35A38C2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3626600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76F8784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708BF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497C738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74793E0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3B5064C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污染物排放管控</w:t>
                  </w:r>
                </w:p>
              </w:tc>
              <w:tc>
                <w:tcPr>
                  <w:tcW w:w="3066" w:type="dxa"/>
                  <w:tcBorders>
                    <w:tl2br w:val="nil"/>
                    <w:tr2bl w:val="nil"/>
                  </w:tcBorders>
                  <w:noWrap w:val="0"/>
                  <w:vAlign w:val="center"/>
                </w:tcPr>
                <w:p w14:paraId="6DD99EEB">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cs="Times New Roman"/>
                      <w:color w:val="000000" w:themeColor="text1"/>
                      <w14:textFill>
                        <w14:solidFill>
                          <w14:schemeClr w14:val="tx1"/>
                        </w14:solidFill>
                      </w14:textFill>
                    </w:rPr>
                    <w:t>现有产生大气污染物的工业企业应持续开展节能减排</w:t>
                  </w:r>
                </w:p>
                <w:p w14:paraId="4838E995">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2.新建项目实施主要大气污染物和VOCS排放减量替代</w:t>
                  </w:r>
                </w:p>
                <w:p w14:paraId="0D3B6A74">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3.新建项目严格执行环境影响评价制度，污染物排放应符合园区执行标准，并符合行政主管部门下达的总量指标</w:t>
                  </w:r>
                </w:p>
                <w:p w14:paraId="63FD66A4">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4.列入重点排污单位名录的企业应加强污染治理设施的运行管理，确保稳定达标排放</w:t>
                  </w:r>
                </w:p>
              </w:tc>
              <w:tc>
                <w:tcPr>
                  <w:tcW w:w="1943" w:type="dxa"/>
                  <w:tcBorders>
                    <w:tl2br w:val="nil"/>
                    <w:tr2bl w:val="nil"/>
                  </w:tcBorders>
                  <w:noWrap w:val="0"/>
                  <w:vAlign w:val="center"/>
                </w:tcPr>
                <w:p w14:paraId="1C86AA5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1.本项目不涉及</w:t>
                  </w:r>
                </w:p>
                <w:p w14:paraId="29B7DAD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2.本项目不涉及</w:t>
                  </w:r>
                </w:p>
                <w:p w14:paraId="4961D08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3.本项目不涉及</w:t>
                  </w:r>
                </w:p>
                <w:p w14:paraId="555BF98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4.本项目不涉及</w:t>
                  </w:r>
                </w:p>
              </w:tc>
              <w:tc>
                <w:tcPr>
                  <w:tcW w:w="650" w:type="dxa"/>
                  <w:tcBorders>
                    <w:tl2br w:val="nil"/>
                    <w:tr2bl w:val="nil"/>
                  </w:tcBorders>
                  <w:noWrap w:val="0"/>
                  <w:vAlign w:val="center"/>
                </w:tcPr>
                <w:p w14:paraId="4B2744F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6CCE33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554CCCC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39270E7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5129474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环境风险防控</w:t>
                  </w:r>
                </w:p>
              </w:tc>
              <w:tc>
                <w:tcPr>
                  <w:tcW w:w="3066" w:type="dxa"/>
                  <w:tcBorders>
                    <w:tl2br w:val="nil"/>
                    <w:tr2bl w:val="nil"/>
                  </w:tcBorders>
                  <w:noWrap w:val="0"/>
                  <w:vAlign w:val="center"/>
                </w:tcPr>
                <w:p w14:paraId="266B06BE">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cs="Times New Roman"/>
                      <w:color w:val="000000" w:themeColor="text1"/>
                      <w14:textFill>
                        <w14:solidFill>
                          <w14:schemeClr w14:val="tx1"/>
                        </w14:solidFill>
                      </w14:textFill>
                    </w:rPr>
                    <w:t>原宁夏明盛染化有限公司场地在修复治理后，应符合相关土壤环境质量标准后，严格控制土地用途。土壤环境污染重点监管企业应加强用地土壤环境监测和土壤污染风险防控</w:t>
                  </w:r>
                </w:p>
                <w:p w14:paraId="4E6B0371">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2.园区应建立严格的环境风险防控体系。应特别防控园区企业对腾格里沙漠及沙坡头自然保护区的侵占和污染事件</w:t>
                  </w:r>
                </w:p>
                <w:p w14:paraId="2F37793C">
                  <w:pPr>
                    <w:pStyle w:val="3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3.危险废物处理处置企业在贮存、转移、利用、处置危险废物过程中，应配套防扬散、防流失、防渗漏及其他防治污染环境的措施</w:t>
                  </w:r>
                </w:p>
              </w:tc>
              <w:tc>
                <w:tcPr>
                  <w:tcW w:w="1943" w:type="dxa"/>
                  <w:tcBorders>
                    <w:tl2br w:val="nil"/>
                    <w:tr2bl w:val="nil"/>
                  </w:tcBorders>
                  <w:noWrap w:val="0"/>
                  <w:vAlign w:val="center"/>
                </w:tcPr>
                <w:p w14:paraId="0F94ADF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1.本项目不涉及</w:t>
                  </w:r>
                </w:p>
                <w:p w14:paraId="2F91AAB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2.本项目不涉及</w:t>
                  </w:r>
                </w:p>
                <w:p w14:paraId="538E053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3.本项目不涉及</w:t>
                  </w:r>
                </w:p>
              </w:tc>
              <w:tc>
                <w:tcPr>
                  <w:tcW w:w="650" w:type="dxa"/>
                  <w:tcBorders>
                    <w:tl2br w:val="nil"/>
                    <w:tr2bl w:val="nil"/>
                  </w:tcBorders>
                  <w:noWrap w:val="0"/>
                  <w:vAlign w:val="center"/>
                </w:tcPr>
                <w:p w14:paraId="458C768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2C171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58F2BE8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25B76C5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18578EB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资源开发效率</w:t>
                  </w:r>
                </w:p>
              </w:tc>
              <w:tc>
                <w:tcPr>
                  <w:tcW w:w="3066" w:type="dxa"/>
                  <w:tcBorders>
                    <w:tl2br w:val="nil"/>
                    <w:tr2bl w:val="nil"/>
                  </w:tcBorders>
                  <w:noWrap w:val="0"/>
                  <w:vAlign w:val="center"/>
                </w:tcPr>
                <w:p w14:paraId="155D92E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1.2025年前园区黄河水工业取水上限为1991.22万吨/年，其余新增工业用水均需利用再生水作为生产用水</w:t>
                  </w:r>
                </w:p>
                <w:p w14:paraId="5D76F62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2.到2025年，园区煤炭资源利用上线为474.71万t（不含4×660MW热电项目），不包括原料煤</w:t>
                  </w:r>
                </w:p>
              </w:tc>
              <w:tc>
                <w:tcPr>
                  <w:tcW w:w="1943" w:type="dxa"/>
                  <w:tcBorders>
                    <w:tl2br w:val="nil"/>
                    <w:tr2bl w:val="nil"/>
                  </w:tcBorders>
                  <w:noWrap w:val="0"/>
                  <w:vAlign w:val="center"/>
                </w:tcPr>
                <w:p w14:paraId="78AF2A8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1.本项目运营期不涉及取水</w:t>
                  </w:r>
                </w:p>
                <w:p w14:paraId="7778F97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2.本项目不涉及</w:t>
                  </w:r>
                </w:p>
              </w:tc>
              <w:tc>
                <w:tcPr>
                  <w:tcW w:w="650" w:type="dxa"/>
                  <w:tcBorders>
                    <w:tl2br w:val="nil"/>
                    <w:tr2bl w:val="nil"/>
                  </w:tcBorders>
                  <w:noWrap w:val="0"/>
                  <w:vAlign w:val="center"/>
                </w:tcPr>
                <w:p w14:paraId="022D51E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20598C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restart"/>
                  <w:tcBorders>
                    <w:tl2br w:val="nil"/>
                    <w:tr2bl w:val="nil"/>
                  </w:tcBorders>
                  <w:noWrap w:val="0"/>
                  <w:vAlign w:val="center"/>
                </w:tcPr>
                <w:p w14:paraId="6F5A544C">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ZH64050230001沙坡头区一般管控单元</w:t>
                  </w:r>
                  <w:r>
                    <w:rPr>
                      <w:rFonts w:hint="eastAsia" w:cs="Times New Roman"/>
                      <w:color w:val="000000" w:themeColor="text1"/>
                      <w:lang w:val="en-US" w:eastAsia="zh-CN"/>
                      <w14:textFill>
                        <w14:solidFill>
                          <w14:schemeClr w14:val="tx1"/>
                        </w14:solidFill>
                      </w14:textFill>
                    </w:rPr>
                    <w:t>1</w:t>
                  </w:r>
                </w:p>
              </w:tc>
              <w:tc>
                <w:tcPr>
                  <w:tcW w:w="708" w:type="dxa"/>
                  <w:vMerge w:val="restart"/>
                  <w:tcBorders>
                    <w:tl2br w:val="nil"/>
                    <w:tr2bl w:val="nil"/>
                  </w:tcBorders>
                  <w:noWrap w:val="0"/>
                  <w:vAlign w:val="center"/>
                </w:tcPr>
                <w:p w14:paraId="5CF64DC1">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水环境工业污染重点管控区、大气环境高排放重点管控区</w:t>
                  </w:r>
                </w:p>
              </w:tc>
              <w:tc>
                <w:tcPr>
                  <w:tcW w:w="813" w:type="dxa"/>
                  <w:tcBorders>
                    <w:tl2br w:val="nil"/>
                    <w:tr2bl w:val="nil"/>
                  </w:tcBorders>
                  <w:noWrap w:val="0"/>
                  <w:vAlign w:val="center"/>
                </w:tcPr>
                <w:p w14:paraId="3F2AB2CC">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空间布局约束</w:t>
                  </w:r>
                </w:p>
              </w:tc>
              <w:tc>
                <w:tcPr>
                  <w:tcW w:w="3066" w:type="dxa"/>
                  <w:tcBorders>
                    <w:tl2br w:val="nil"/>
                    <w:tr2bl w:val="nil"/>
                  </w:tcBorders>
                  <w:noWrap w:val="0"/>
                  <w:vAlign w:val="center"/>
                </w:tcPr>
                <w:p w14:paraId="5B7F9508">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1.禁止新建项目乱征滥占草地、破坏沙生植被，严格限制在区域内采砂取土</w:t>
                  </w:r>
                </w:p>
                <w:p w14:paraId="62019C38">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both"/>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r>
                    <w:rPr>
                      <w:rFonts w:hint="default" w:cs="Times New Roman"/>
                      <w:color w:val="000000" w:themeColor="text1"/>
                      <w14:textFill>
                        <w14:solidFill>
                          <w14:schemeClr w14:val="tx1"/>
                        </w14:solidFill>
                      </w14:textFill>
                    </w:rPr>
                    <w:t>限制无序发展光伏产业。严格限制在农用地优先保护区集中区域新建医药、垃圾焚烧、铅酸蓄电池制造回收、电子废弃物拆解、危险废物处置和危险化学品生产、储存、使用等行业项目</w:t>
                  </w:r>
                </w:p>
                <w:p w14:paraId="039A77ED">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3.在满足产业准入、总量控制、排放标准等国家和地方相关管理制度要求的前提下，集约发展</w:t>
                  </w:r>
                </w:p>
                <w:p w14:paraId="63C5314D">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4.深入推进“散乱污”工业企业整治工作，对不符合国家或自治区产业政策、依法应办理而未办理相关审批或登记手续、违法排污严重的工业企业，限期关停拆除</w:t>
                  </w:r>
                </w:p>
              </w:tc>
              <w:tc>
                <w:tcPr>
                  <w:tcW w:w="1943" w:type="dxa"/>
                  <w:tcBorders>
                    <w:tl2br w:val="nil"/>
                    <w:tr2bl w:val="nil"/>
                  </w:tcBorders>
                  <w:noWrap w:val="0"/>
                  <w:vAlign w:val="center"/>
                </w:tcPr>
                <w:p w14:paraId="2280055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1.本项目主要对历史遗留废弃矿山进行生态修复治理，不</w:t>
                  </w:r>
                  <w:r>
                    <w:rPr>
                      <w:rFonts w:hint="default" w:cs="Times New Roman"/>
                      <w:color w:val="000000" w:themeColor="text1"/>
                      <w14:textFill>
                        <w14:solidFill>
                          <w14:schemeClr w14:val="tx1"/>
                        </w14:solidFill>
                      </w14:textFill>
                    </w:rPr>
                    <w:t>占草地</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不会破坏</w:t>
                  </w:r>
                  <w:r>
                    <w:rPr>
                      <w:rFonts w:hint="default" w:cs="Times New Roman"/>
                      <w:color w:val="000000" w:themeColor="text1"/>
                      <w14:textFill>
                        <w14:solidFill>
                          <w14:schemeClr w14:val="tx1"/>
                        </w14:solidFill>
                      </w14:textFill>
                    </w:rPr>
                    <w:t>沙生植被</w:t>
                  </w:r>
                </w:p>
                <w:p w14:paraId="32ECFE8A">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2.本项目不涉及</w:t>
                  </w:r>
                </w:p>
                <w:p w14:paraId="5C4A8A4F">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3.本项目不涉及</w:t>
                  </w:r>
                </w:p>
                <w:p w14:paraId="255038B6">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4.本项目不涉及</w:t>
                  </w:r>
                </w:p>
              </w:tc>
              <w:tc>
                <w:tcPr>
                  <w:tcW w:w="650" w:type="dxa"/>
                  <w:tcBorders>
                    <w:tl2br w:val="nil"/>
                    <w:tr2bl w:val="nil"/>
                  </w:tcBorders>
                  <w:noWrap w:val="0"/>
                  <w:vAlign w:val="center"/>
                </w:tcPr>
                <w:p w14:paraId="6C3E3488">
                  <w:pPr>
                    <w:pStyle w:val="34"/>
                    <w:keepNext w:val="0"/>
                    <w:keepLines/>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561BB5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7060998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2637BDA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1827D0A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污染物排放管控</w:t>
                  </w:r>
                </w:p>
              </w:tc>
              <w:tc>
                <w:tcPr>
                  <w:tcW w:w="3066" w:type="dxa"/>
                  <w:tcBorders>
                    <w:tl2br w:val="nil"/>
                    <w:tr2bl w:val="nil"/>
                  </w:tcBorders>
                  <w:noWrap w:val="0"/>
                  <w:vAlign w:val="center"/>
                </w:tcPr>
                <w:p w14:paraId="0CB8C1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0488064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49D4F4E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0533C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387F123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66AE808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5AFF92F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环境风险防控</w:t>
                  </w:r>
                </w:p>
              </w:tc>
              <w:tc>
                <w:tcPr>
                  <w:tcW w:w="3066" w:type="dxa"/>
                  <w:tcBorders>
                    <w:tl2br w:val="nil"/>
                    <w:tr2bl w:val="nil"/>
                  </w:tcBorders>
                  <w:noWrap w:val="0"/>
                  <w:vAlign w:val="center"/>
                </w:tcPr>
                <w:p w14:paraId="1B4381D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29F51F6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0A6101C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r w14:paraId="5656F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927" w:type="dxa"/>
                  <w:vMerge w:val="continue"/>
                  <w:tcBorders>
                    <w:tl2br w:val="nil"/>
                    <w:tr2bl w:val="nil"/>
                  </w:tcBorders>
                  <w:noWrap w:val="0"/>
                  <w:vAlign w:val="center"/>
                </w:tcPr>
                <w:p w14:paraId="0B5FB37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708" w:type="dxa"/>
                  <w:vMerge w:val="continue"/>
                  <w:tcBorders>
                    <w:tl2br w:val="nil"/>
                    <w:tr2bl w:val="nil"/>
                  </w:tcBorders>
                  <w:noWrap w:val="0"/>
                  <w:vAlign w:val="center"/>
                </w:tcPr>
                <w:p w14:paraId="284E99C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813" w:type="dxa"/>
                  <w:tcBorders>
                    <w:tl2br w:val="nil"/>
                    <w:tr2bl w:val="nil"/>
                  </w:tcBorders>
                  <w:noWrap w:val="0"/>
                  <w:vAlign w:val="center"/>
                </w:tcPr>
                <w:p w14:paraId="7F57F57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资源开发效率</w:t>
                  </w:r>
                </w:p>
              </w:tc>
              <w:tc>
                <w:tcPr>
                  <w:tcW w:w="3066" w:type="dxa"/>
                  <w:tcBorders>
                    <w:tl2br w:val="nil"/>
                    <w:tr2bl w:val="nil"/>
                  </w:tcBorders>
                  <w:noWrap w:val="0"/>
                  <w:vAlign w:val="center"/>
                </w:tcPr>
                <w:p w14:paraId="5AE2ED2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943" w:type="dxa"/>
                  <w:tcBorders>
                    <w:tl2br w:val="nil"/>
                    <w:tr2bl w:val="nil"/>
                  </w:tcBorders>
                  <w:noWrap w:val="0"/>
                  <w:vAlign w:val="center"/>
                </w:tcPr>
                <w:p w14:paraId="58C875C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50" w:type="dxa"/>
                  <w:tcBorders>
                    <w:tl2br w:val="nil"/>
                    <w:tr2bl w:val="nil"/>
                  </w:tcBorders>
                  <w:noWrap w:val="0"/>
                  <w:vAlign w:val="center"/>
                </w:tcPr>
                <w:p w14:paraId="424DAD1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符合</w:t>
                  </w:r>
                </w:p>
              </w:tc>
            </w:tr>
          </w:tbl>
          <w:p w14:paraId="22B4971E">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项目与《矿山生态环境保护与恢复治理技术规范（试行）》（HJ651-2013）相符性分析</w:t>
            </w:r>
          </w:p>
          <w:p w14:paraId="428F8FFE">
            <w:pPr>
              <w:keepNext w:val="0"/>
              <w:keepLines w:val="0"/>
              <w:suppressLineNumbers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本项目与</w:t>
            </w:r>
            <w:r>
              <w:rPr>
                <w:rFonts w:hint="eastAsia"/>
                <w:color w:val="000000" w:themeColor="text1"/>
                <w14:textFill>
                  <w14:solidFill>
                    <w14:schemeClr w14:val="tx1"/>
                  </w14:solidFill>
                </w14:textFill>
              </w:rPr>
              <w:t>《矿山生态环境保护与恢复治理技术规范（试行）》（HJ651-2013）相符性分析</w:t>
            </w:r>
            <w:r>
              <w:rPr>
                <w:rFonts w:hint="eastAsia"/>
                <w:color w:val="000000" w:themeColor="text1"/>
                <w:lang w:val="en-US" w:eastAsia="zh-CN"/>
                <w14:textFill>
                  <w14:solidFill>
                    <w14:schemeClr w14:val="tx1"/>
                  </w14:solidFill>
                </w14:textFill>
              </w:rPr>
              <w:t>见表1-7。</w:t>
            </w:r>
          </w:p>
          <w:p w14:paraId="36AE3C92">
            <w:pPr>
              <w:pStyle w:val="3"/>
              <w:bidi w:val="0"/>
              <w:ind w:left="0" w:leftChars="0" w:firstLine="0" w:firstLineChars="0"/>
              <w:jc w:val="both"/>
              <w:rPr>
                <w:rFonts w:hint="eastAsia"/>
                <w:color w:val="000000" w:themeColor="text1"/>
                <w14:textFill>
                  <w14:solidFill>
                    <w14:schemeClr w14:val="tx1"/>
                  </w14:solidFill>
                </w14:textFill>
              </w:rPr>
            </w:pPr>
            <w:r>
              <w:rPr>
                <w:rFonts w:hint="default"/>
                <w:color w:val="000000" w:themeColor="text1"/>
                <w14:textFill>
                  <w14:solidFill>
                    <w14:schemeClr w14:val="tx1"/>
                  </w14:solidFill>
                </w14:textFill>
              </w:rPr>
              <w:t>表1-</w:t>
            </w:r>
            <w:r>
              <w:rPr>
                <w:rFonts w:hint="eastAsia"/>
                <w:color w:val="000000" w:themeColor="text1"/>
                <w:lang w:val="en-US" w:eastAsia="zh-CN"/>
                <w14:textFill>
                  <w14:solidFill>
                    <w14:schemeClr w14:val="tx1"/>
                  </w14:solidFill>
                </w14:textFill>
              </w:rPr>
              <w:t>7</w:t>
            </w:r>
            <w:r>
              <w:rPr>
                <w:rFonts w:hint="default"/>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rFonts w:hint="default"/>
                <w:color w:val="000000" w:themeColor="text1"/>
                <w14:textFill>
                  <w14:solidFill>
                    <w14:schemeClr w14:val="tx1"/>
                  </w14:solidFill>
                </w14:textFill>
              </w:rPr>
              <w:t>本项目与《矿山生态环境保护与恢复治理技术规范（试行）》相符性分析</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98"/>
              <w:gridCol w:w="2903"/>
              <w:gridCol w:w="806"/>
            </w:tblGrid>
            <w:tr w14:paraId="3192BF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350" w:type="dxa"/>
                  <w:noWrap w:val="0"/>
                  <w:vAlign w:val="center"/>
                </w:tcPr>
                <w:p w14:paraId="183BB4BE">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矿山生态环境保护与恢复治理的一般要求</w:t>
                  </w:r>
                </w:p>
              </w:tc>
              <w:tc>
                <w:tcPr>
                  <w:tcW w:w="2871" w:type="dxa"/>
                  <w:noWrap w:val="0"/>
                  <w:vAlign w:val="center"/>
                </w:tcPr>
                <w:p w14:paraId="76B8207F">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本项目</w:t>
                  </w:r>
                </w:p>
              </w:tc>
              <w:tc>
                <w:tcPr>
                  <w:tcW w:w="797" w:type="dxa"/>
                  <w:noWrap w:val="0"/>
                  <w:vAlign w:val="center"/>
                </w:tcPr>
                <w:p w14:paraId="272266F2">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是否符合</w:t>
                  </w:r>
                </w:p>
              </w:tc>
            </w:tr>
            <w:tr w14:paraId="4B38B9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50" w:type="dxa"/>
                  <w:noWrap w:val="0"/>
                  <w:vAlign w:val="center"/>
                </w:tcPr>
                <w:p w14:paraId="083057F1">
                  <w:pPr>
                    <w:pStyle w:val="34"/>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禁止在依法划定的自然保护区、风景名胜区、森林公园、饮用水水源保护区、文物古迹所在地、地质遗迹保护区、基本农田保护区等重要生态保护地以及其他法律法规规定的禁采区域内采矿。禁止在重要道路、航道两侧及重要生态环境敏感目标可视范围内进行对景观破坏明显的露天开采</w:t>
                  </w:r>
                </w:p>
              </w:tc>
              <w:tc>
                <w:tcPr>
                  <w:tcW w:w="2871" w:type="dxa"/>
                  <w:noWrap w:val="0"/>
                  <w:vAlign w:val="center"/>
                </w:tcPr>
                <w:p w14:paraId="62DB514D">
                  <w:pPr>
                    <w:pStyle w:val="34"/>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本项目不属于采矿项目，属于</w:t>
                  </w:r>
                  <w:r>
                    <w:rPr>
                      <w:rFonts w:hint="default" w:cs="Times New Roman"/>
                      <w:color w:val="000000" w:themeColor="text1"/>
                      <w14:textFill>
                        <w14:solidFill>
                          <w14:schemeClr w14:val="tx1"/>
                        </w14:solidFill>
                      </w14:textFill>
                    </w:rPr>
                    <w:t>矿山生态环境恢复</w:t>
                  </w:r>
                  <w:r>
                    <w:rPr>
                      <w:rFonts w:hint="eastAsia" w:cs="Times New Roman"/>
                      <w:color w:val="000000" w:themeColor="text1"/>
                      <w14:textFill>
                        <w14:solidFill>
                          <w14:schemeClr w14:val="tx1"/>
                        </w14:solidFill>
                      </w14:textFill>
                    </w:rPr>
                    <w:t>项目</w:t>
                  </w:r>
                </w:p>
              </w:tc>
              <w:tc>
                <w:tcPr>
                  <w:tcW w:w="797" w:type="dxa"/>
                  <w:noWrap w:val="0"/>
                  <w:vAlign w:val="center"/>
                </w:tcPr>
                <w:p w14:paraId="25F288D5">
                  <w:pPr>
                    <w:pStyle w:val="34"/>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9B40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50" w:type="dxa"/>
                  <w:noWrap w:val="0"/>
                  <w:vAlign w:val="center"/>
                </w:tcPr>
                <w:p w14:paraId="5D80025F">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矿产资源开发活动应符合国家和区域主体功能区规划、生态功能区划、生态环境保护规划的要求，采取有效预防和保护措施，避免或减轻矿产资源开发活动造成的生态破坏和环境污染</w:t>
                  </w:r>
                </w:p>
              </w:tc>
              <w:tc>
                <w:tcPr>
                  <w:tcW w:w="2871" w:type="dxa"/>
                  <w:noWrap w:val="0"/>
                  <w:vAlign w:val="center"/>
                </w:tcPr>
                <w:p w14:paraId="603B7BF3">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本项目不涉及矿产资源开发活动</w:t>
                  </w:r>
                </w:p>
              </w:tc>
              <w:tc>
                <w:tcPr>
                  <w:tcW w:w="797" w:type="dxa"/>
                  <w:noWrap w:val="0"/>
                  <w:vAlign w:val="center"/>
                </w:tcPr>
                <w:p w14:paraId="6B79106B">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C5EC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50" w:type="dxa"/>
                  <w:noWrap w:val="0"/>
                  <w:vAlign w:val="center"/>
                </w:tcPr>
                <w:p w14:paraId="4374255A">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坚持“预防为主、防治结合、过程控制”的原则，将矿山生态环境保护与恢复治理贯穿矿产资源开采的全过程。根据矿山生态环境保护与恢复治理的重点任务，合理确定矿山生态保护与恢复治理分区优化矿区生产与生活空间格局。采用新技术、新方法、新工艺提高矿山生态环境保护和恢复治理水平</w:t>
                  </w:r>
                </w:p>
              </w:tc>
              <w:tc>
                <w:tcPr>
                  <w:tcW w:w="2871" w:type="dxa"/>
                  <w:noWrap w:val="0"/>
                  <w:vAlign w:val="center"/>
                </w:tcPr>
                <w:p w14:paraId="71DC0772">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w:t>
                  </w:r>
                  <w:r>
                    <w:rPr>
                      <w:rFonts w:hint="default" w:cs="Times New Roman"/>
                      <w:color w:val="000000" w:themeColor="text1"/>
                      <w:highlight w:val="none"/>
                      <w14:textFill>
                        <w14:solidFill>
                          <w14:schemeClr w14:val="tx1"/>
                        </w14:solidFill>
                      </w14:textFill>
                    </w:rPr>
                    <w:t>项目通过</w:t>
                  </w:r>
                  <w:r>
                    <w:rPr>
                      <w:rFonts w:hint="eastAsia" w:cs="Times New Roman"/>
                      <w:color w:val="000000" w:themeColor="text1"/>
                      <w:highlight w:val="none"/>
                      <w:lang w:val="en-US" w:eastAsia="zh-CN"/>
                      <w14:textFill>
                        <w14:solidFill>
                          <w14:schemeClr w14:val="tx1"/>
                        </w14:solidFill>
                      </w14:textFill>
                    </w:rPr>
                    <w:t>高边坡治理工程、地形地貌恢复工程、标识牌及卡口设立等生态修复措施</w:t>
                  </w:r>
                  <w:r>
                    <w:rPr>
                      <w:rFonts w:hint="eastAsia" w:cs="Times New Roman"/>
                      <w:color w:val="000000" w:themeColor="text1"/>
                      <w:highlight w:val="none"/>
                      <w14:textFill>
                        <w14:solidFill>
                          <w14:schemeClr w14:val="tx1"/>
                        </w14:solidFill>
                      </w14:textFill>
                    </w:rPr>
                    <w:t>，恢复区域内的地形地貌，防止水土流失，减轻地质灾害，消除生态环境问题及隐患</w:t>
                  </w:r>
                </w:p>
              </w:tc>
              <w:tc>
                <w:tcPr>
                  <w:tcW w:w="797" w:type="dxa"/>
                  <w:noWrap w:val="0"/>
                  <w:vAlign w:val="center"/>
                </w:tcPr>
                <w:p w14:paraId="689471E6">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r w14:paraId="027272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50" w:type="dxa"/>
                  <w:noWrap w:val="0"/>
                  <w:vAlign w:val="center"/>
                </w:tcPr>
                <w:p w14:paraId="2DD5AA5A">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恢复治理后的各类场地应实现，安全稳定，对人类和动植物不造成威胁；对周边环境不产生污染，与周边自然环境和景观相协调；恢复土地基本功能，因地制宜实现士地可持续利用；区域整体生态功能得到保护和恢复</w:t>
                  </w:r>
                </w:p>
              </w:tc>
              <w:tc>
                <w:tcPr>
                  <w:tcW w:w="2871" w:type="dxa"/>
                  <w:noWrap w:val="0"/>
                  <w:vAlign w:val="center"/>
                </w:tcPr>
                <w:p w14:paraId="688B2CEC">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恢复治理后的各类场地对周边环境不会产生污染，区域整体生态功能得到保护和恢复</w:t>
                  </w:r>
                </w:p>
              </w:tc>
              <w:tc>
                <w:tcPr>
                  <w:tcW w:w="797" w:type="dxa"/>
                  <w:noWrap w:val="0"/>
                  <w:vAlign w:val="center"/>
                </w:tcPr>
                <w:p w14:paraId="787D41BA">
                  <w:pPr>
                    <w:pStyle w:val="34"/>
                    <w:keepNext w:val="0"/>
                    <w:keepLines/>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符合</w:t>
                  </w:r>
                </w:p>
              </w:tc>
            </w:tr>
          </w:tbl>
          <w:p w14:paraId="3E6D54A3">
            <w:pPr>
              <w:pStyle w:val="51"/>
              <w:keepNext w:val="0"/>
              <w:keepLines w:val="0"/>
              <w:suppressLineNumbers w:val="0"/>
              <w:spacing w:before="0" w:beforeAutospacing="0" w:after="0" w:afterAutospacing="0"/>
              <w:ind w:left="0" w:right="0" w:firstLine="454" w:firstLineChars="200"/>
              <w:rPr>
                <w:rFonts w:hint="eastAsia" w:cs="Times New Roman"/>
                <w:color w:val="000000" w:themeColor="text1"/>
                <w:kern w:val="0"/>
                <w14:textFill>
                  <w14:solidFill>
                    <w14:schemeClr w14:val="tx1"/>
                  </w14:solidFill>
                </w14:textFill>
              </w:rPr>
            </w:pPr>
            <w:r>
              <w:rPr>
                <w:rFonts w:hint="eastAsia" w:cs="Times New Roman"/>
                <w:color w:val="000000" w:themeColor="text1"/>
                <w14:textFill>
                  <w14:solidFill>
                    <w14:schemeClr w14:val="tx1"/>
                  </w14:solidFill>
                </w14:textFill>
              </w:rPr>
              <w:t>综上，本项目符合《矿山生态环境保护与恢复治理技术规范（试行）》（HJ651-2013）中的相关要求。</w:t>
            </w:r>
          </w:p>
          <w:p w14:paraId="1CB50074">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default"/>
                <w:color w:val="000000" w:themeColor="text1"/>
                <w14:textFill>
                  <w14:solidFill>
                    <w14:schemeClr w14:val="tx1"/>
                  </w14:solidFill>
                </w14:textFill>
              </w:rPr>
              <w:t>与《宁夏回族自治区建设黄河流域生态保护和高质量发展先行区促进条例》符合性分析</w:t>
            </w:r>
          </w:p>
          <w:p w14:paraId="4B65A8A7">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根据《宁夏回族自治区建设黄河流域生态保护和高质量发展先行又促进条例》第三章生态环境保护和治理、第十八条</w:t>
            </w:r>
            <w:r>
              <w:rPr>
                <w:rFonts w:hint="eastAsia" w:ascii="TimesNewRomanPSMT" w:hAnsi="TimesNewRomanPSMT" w:eastAsia="宋体" w:cs="TimesNewRomanPSMT"/>
                <w:b w:val="0"/>
                <w:bCs w:val="0"/>
                <w:color w:val="000000" w:themeColor="text1"/>
                <w:sz w:val="24"/>
                <w:szCs w:val="24"/>
                <w:lang w:eastAsia="zh-CN"/>
                <w14:textFill>
                  <w14:solidFill>
                    <w14:schemeClr w14:val="tx1"/>
                  </w14:solidFill>
                </w14:textFill>
              </w:rPr>
              <w:t>：</w:t>
            </w:r>
            <w:r>
              <w:rPr>
                <w:rFonts w:hint="default" w:ascii="宋体" w:hAnsi="宋体" w:eastAsia="宋体" w:cs="宋体"/>
                <w:b w:val="0"/>
                <w:bCs w:val="0"/>
                <w:color w:val="000000" w:themeColor="text1"/>
                <w:sz w:val="24"/>
                <w:szCs w:val="24"/>
                <w14:textFill>
                  <w14:solidFill>
                    <w14:schemeClr w14:val="tx1"/>
                  </w14:solidFill>
                </w14:textFill>
              </w:rPr>
              <w:t>“具县级以上人民政府应当因地制宜采取消除地质灾害隐患、土地复垦、恢复植被防治污染等措施，加快开展历史遗留矿山生态环境治理和恢复，加强对在建和生产矿山的监督管理，督促采矿权人履行矿山污染防治和生态修复责任。”</w:t>
            </w:r>
          </w:p>
          <w:p w14:paraId="78099B6C">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本项目</w:t>
            </w:r>
            <w:r>
              <w:rPr>
                <w:rFonts w:hint="eastAsia" w:ascii="宋体" w:hAnsi="宋体" w:cs="宋体"/>
                <w:b w:val="0"/>
                <w:bCs w:val="0"/>
                <w:color w:val="000000" w:themeColor="text1"/>
                <w:sz w:val="24"/>
                <w:szCs w:val="24"/>
                <w:lang w:val="en-US" w:eastAsia="zh-CN"/>
                <w14:textFill>
                  <w14:solidFill>
                    <w14:schemeClr w14:val="tx1"/>
                  </w14:solidFill>
                </w14:textFill>
              </w:rPr>
              <w:t>位于沙坡头区，拟对</w:t>
            </w:r>
            <w:r>
              <w:rPr>
                <w:rFonts w:hint="eastAsia"/>
                <w:color w:val="000000" w:themeColor="text1"/>
                <w:sz w:val="24"/>
                <w:lang w:val="en-US" w:eastAsia="zh-CN"/>
                <w14:textFill>
                  <w14:solidFill>
                    <w14:schemeClr w14:val="tx1"/>
                  </w14:solidFill>
                </w14:textFill>
              </w:rPr>
              <w:t>历史遗留矿山进行</w:t>
            </w:r>
            <w:r>
              <w:rPr>
                <w:rFonts w:hint="eastAsia" w:cs="Times New Roman"/>
                <w:color w:val="000000" w:themeColor="text1"/>
                <w:lang w:val="en-US" w:eastAsia="zh-CN"/>
                <w14:textFill>
                  <w14:solidFill>
                    <w14:schemeClr w14:val="tx1"/>
                  </w14:solidFill>
                </w14:textFill>
              </w:rPr>
              <w:t>边坡削坡治理工程、地形地貌恢复工程、基础设施配置</w:t>
            </w:r>
            <w:r>
              <w:rPr>
                <w:rFonts w:hint="eastAsia" w:ascii="宋体" w:hAnsi="宋体" w:eastAsia="宋体" w:cs="宋体"/>
                <w:color w:val="000000" w:themeColor="text1"/>
                <w:kern w:val="0"/>
                <w:sz w:val="24"/>
                <w:szCs w:val="24"/>
                <w:lang w:val="en-US" w:eastAsia="zh-CN" w:bidi="ar"/>
                <w14:textFill>
                  <w14:solidFill>
                    <w14:schemeClr w14:val="tx1"/>
                  </w14:solidFill>
                </w14:textFill>
              </w:rPr>
              <w:t>等工程措施</w:t>
            </w:r>
            <w:r>
              <w:rPr>
                <w:rFonts w:hint="eastAsia" w:cs="Times New Roman"/>
                <w:color w:val="000000" w:themeColor="text1"/>
                <w:lang w:val="en-US" w:eastAsia="zh-CN"/>
                <w14:textFill>
                  <w14:solidFill>
                    <w14:schemeClr w14:val="tx1"/>
                  </w14:solidFill>
                </w14:textFill>
              </w:rPr>
              <w:t>，</w:t>
            </w:r>
            <w:r>
              <w:rPr>
                <w:rFonts w:hint="default" w:ascii="宋体" w:hAnsi="宋体" w:eastAsia="宋体" w:cs="宋体"/>
                <w:b w:val="0"/>
                <w:bCs w:val="0"/>
                <w:color w:val="000000" w:themeColor="text1"/>
                <w:sz w:val="24"/>
                <w:szCs w:val="24"/>
                <w14:textFill>
                  <w14:solidFill>
                    <w14:schemeClr w14:val="tx1"/>
                  </w14:solidFill>
                </w14:textFill>
              </w:rPr>
              <w:t>建设完成后可消除滑坡等地质灾害影响，恢复自然地形地貌，使地貌与周边环境相协调。符合《宁夏回族自治区建设黄河流域生态保护和高质量发展先行区促进条例》相关要求。</w:t>
            </w:r>
          </w:p>
          <w:p w14:paraId="5CCA60B8">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5、与《中卫市生态环境保护“十四五”规划》符合性分析</w:t>
            </w:r>
          </w:p>
          <w:p w14:paraId="2554EC76">
            <w:pPr>
              <w:keepNext w:val="0"/>
              <w:keepLines w:val="0"/>
              <w:suppressLineNumbers w:val="0"/>
              <w:bidi w:val="0"/>
              <w:spacing w:before="0" w:beforeAutospacing="0" w:after="0" w:afterAutospacing="0"/>
              <w:ind w:left="0" w:right="0"/>
              <w:rPr>
                <w:rFonts w:hint="default" w:ascii="宋体" w:hAnsi="宋体" w:cs="宋体"/>
                <w:b w:val="0"/>
                <w:bCs w:val="0"/>
                <w:color w:val="000000" w:themeColor="text1"/>
                <w:sz w:val="24"/>
                <w:szCs w:val="24"/>
                <w:lang w:val="en-US" w:eastAsia="zh-CN"/>
                <w14:textFill>
                  <w14:solidFill>
                    <w14:schemeClr w14:val="tx1"/>
                  </w14:solidFill>
                </w14:textFill>
              </w:rPr>
            </w:pPr>
            <w:r>
              <w:rPr>
                <w:rFonts w:hint="default" w:ascii="宋体" w:hAnsi="宋体" w:cs="宋体"/>
                <w:b w:val="0"/>
                <w:bCs w:val="0"/>
                <w:color w:val="000000" w:themeColor="text1"/>
                <w:sz w:val="24"/>
                <w:szCs w:val="24"/>
                <w:lang w:val="en-US" w:eastAsia="zh-CN"/>
                <w14:textFill>
                  <w14:solidFill>
                    <w14:schemeClr w14:val="tx1"/>
                  </w14:solidFill>
                </w14:textFill>
              </w:rPr>
              <w:t>《中卫市生态环境保护“十四五”规划》第七章第二节要求</w:t>
            </w:r>
            <w:r>
              <w:rPr>
                <w:rFonts w:hint="eastAsia" w:ascii="宋体" w:hAnsi="宋体" w:cs="宋体"/>
                <w:b w:val="0"/>
                <w:bCs w:val="0"/>
                <w:color w:val="000000" w:themeColor="text1"/>
                <w:sz w:val="24"/>
                <w:szCs w:val="24"/>
                <w:lang w:val="en-US" w:eastAsia="zh-CN"/>
                <w14:textFill>
                  <w14:solidFill>
                    <w14:schemeClr w14:val="tx1"/>
                  </w14:solidFill>
                </w14:textFill>
              </w:rPr>
              <w:t>：</w:t>
            </w:r>
            <w:r>
              <w:rPr>
                <w:rFonts w:hint="default" w:ascii="宋体" w:hAnsi="宋体" w:cs="宋体"/>
                <w:b w:val="0"/>
                <w:bCs w:val="0"/>
                <w:color w:val="000000" w:themeColor="text1"/>
                <w:sz w:val="24"/>
                <w:szCs w:val="24"/>
                <w:lang w:val="en-US" w:eastAsia="zh-CN"/>
                <w14:textFill>
                  <w14:solidFill>
                    <w14:schemeClr w14:val="tx1"/>
                  </w14:solidFill>
                </w14:textFill>
              </w:rPr>
              <w:t>加强矿山地质环境保护与生态恢复，推进绿色矿山建设，督促矿山企业依法依规编制矿山地质环境保护与土地复垦方案，制定落实露天矿山生态修复计划</w:t>
            </w:r>
            <w:r>
              <w:rPr>
                <w:rFonts w:hint="eastAsia" w:ascii="宋体" w:hAnsi="宋体" w:cs="宋体"/>
                <w:b w:val="0"/>
                <w:bCs w:val="0"/>
                <w:color w:val="000000" w:themeColor="text1"/>
                <w:sz w:val="24"/>
                <w:szCs w:val="24"/>
                <w:lang w:val="en-US" w:eastAsia="zh-CN"/>
                <w14:textFill>
                  <w14:solidFill>
                    <w14:schemeClr w14:val="tx1"/>
                  </w14:solidFill>
                </w14:textFill>
              </w:rPr>
              <w:t>。</w:t>
            </w:r>
          </w:p>
          <w:p w14:paraId="70AD8039">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本项目通过高边坡治理工程、地形地貌恢复工程、标识碑与警示牌设置等工程措施对项目区</w:t>
            </w:r>
            <w:r>
              <w:rPr>
                <w:rFonts w:hint="eastAsia" w:cs="Times New Roman"/>
                <w:color w:val="000000" w:themeColor="text1"/>
                <w:sz w:val="24"/>
                <w:lang w:eastAsia="zh-CN"/>
                <w14:textFill>
                  <w14:solidFill>
                    <w14:schemeClr w14:val="tx1"/>
                  </w14:solidFill>
                </w14:textFill>
              </w:rPr>
              <w:t>历史遗留废弃矿山</w:t>
            </w:r>
            <w:r>
              <w:rPr>
                <w:rFonts w:hint="eastAsia" w:cs="Times New Roman"/>
                <w:color w:val="000000" w:themeColor="text1"/>
                <w:sz w:val="24"/>
                <w:lang w:val="en-US" w:eastAsia="zh-CN"/>
                <w14:textFill>
                  <w14:solidFill>
                    <w14:schemeClr w14:val="tx1"/>
                  </w14:solidFill>
                </w14:textFill>
              </w:rPr>
              <w:t>进行</w:t>
            </w:r>
            <w:r>
              <w:rPr>
                <w:rFonts w:hint="eastAsia" w:cs="Times New Roman"/>
                <w:color w:val="000000" w:themeColor="text1"/>
                <w:sz w:val="24"/>
                <w:lang w:eastAsia="zh-CN"/>
                <w14:textFill>
                  <w14:solidFill>
                    <w14:schemeClr w14:val="tx1"/>
                  </w14:solidFill>
                </w14:textFill>
              </w:rPr>
              <w:t>恢复治理，</w:t>
            </w:r>
            <w:r>
              <w:rPr>
                <w:rFonts w:hint="eastAsia" w:cs="Times New Roman"/>
                <w:b w:val="0"/>
                <w:bCs w:val="0"/>
                <w:snapToGrid w:val="0"/>
                <w:color w:val="000000" w:themeColor="text1"/>
                <w:kern w:val="0"/>
                <w:sz w:val="24"/>
                <w:szCs w:val="22"/>
                <w:lang w:val="en-US" w:eastAsia="zh-CN"/>
                <w14:textFill>
                  <w14:solidFill>
                    <w14:schemeClr w14:val="tx1"/>
                  </w14:solidFill>
                </w14:textFill>
              </w:rPr>
              <w:t>有利于</w:t>
            </w:r>
            <w:r>
              <w:rPr>
                <w:rFonts w:hint="default" w:ascii="宋体" w:hAnsi="宋体" w:cs="宋体"/>
                <w:b w:val="0"/>
                <w:bCs w:val="0"/>
                <w:color w:val="000000" w:themeColor="text1"/>
                <w:sz w:val="24"/>
                <w:szCs w:val="24"/>
                <w:lang w:val="en-US" w:eastAsia="zh-CN"/>
                <w14:textFill>
                  <w14:solidFill>
                    <w14:schemeClr w14:val="tx1"/>
                  </w14:solidFill>
                </w14:textFill>
              </w:rPr>
              <w:t>加强</w:t>
            </w:r>
            <w:r>
              <w:rPr>
                <w:rFonts w:hint="eastAsia" w:cs="Times New Roman"/>
                <w:b w:val="0"/>
                <w:bCs w:val="0"/>
                <w:snapToGrid w:val="0"/>
                <w:color w:val="000000" w:themeColor="text1"/>
                <w:kern w:val="0"/>
                <w:sz w:val="24"/>
                <w:szCs w:val="22"/>
                <w14:textFill>
                  <w14:solidFill>
                    <w14:schemeClr w14:val="tx1"/>
                  </w14:solidFill>
                </w14:textFill>
              </w:rPr>
              <w:t>中卫市沙坡头区</w:t>
            </w:r>
            <w:r>
              <w:rPr>
                <w:rFonts w:hint="default" w:ascii="宋体" w:hAnsi="宋体" w:cs="宋体"/>
                <w:b w:val="0"/>
                <w:bCs w:val="0"/>
                <w:color w:val="000000" w:themeColor="text1"/>
                <w:sz w:val="24"/>
                <w:szCs w:val="24"/>
                <w:lang w:val="en-US" w:eastAsia="zh-CN"/>
                <w14:textFill>
                  <w14:solidFill>
                    <w14:schemeClr w14:val="tx1"/>
                  </w14:solidFill>
                </w14:textFill>
              </w:rPr>
              <w:t>矿山地质环境保护与生态恢复</w:t>
            </w:r>
            <w:r>
              <w:rPr>
                <w:rFonts w:hint="eastAsia" w:ascii="宋体" w:hAnsi="宋体" w:cs="宋体"/>
                <w:b w:val="0"/>
                <w:bCs w:val="0"/>
                <w:color w:val="000000" w:themeColor="text1"/>
                <w:sz w:val="24"/>
                <w:szCs w:val="24"/>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项目符合《规划》要求。</w:t>
            </w:r>
          </w:p>
          <w:p w14:paraId="30C22301">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6、与《中卫市沙坡头区生态环境保护“十四五”规划》符合性分析</w:t>
            </w:r>
          </w:p>
          <w:p w14:paraId="18F698DD">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《中卫市沙坡头区生态环境保护“十四五”规划》第八节</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系统修复，筑牢生态安全屏障</w:t>
            </w:r>
            <w:r>
              <w:rPr>
                <w:rFonts w:hint="eastAsia"/>
                <w:color w:val="000000" w:themeColor="text1"/>
                <w:lang w:val="en-US" w:eastAsia="zh-CN"/>
                <w14:textFill>
                  <w14:solidFill>
                    <w14:schemeClr w14:val="tx1"/>
                  </w14:solidFill>
                </w14:textFill>
              </w:rPr>
              <w:t>中“</w:t>
            </w:r>
            <w:r>
              <w:rPr>
                <w:rFonts w:hint="default"/>
                <w:color w:val="000000" w:themeColor="text1"/>
                <w:lang w:val="en-US" w:eastAsia="zh-CN"/>
                <w14:textFill>
                  <w14:solidFill>
                    <w14:schemeClr w14:val="tx1"/>
                  </w14:solidFill>
                </w14:textFill>
              </w:rPr>
              <w:t>三、推进矿山综合治理</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在沙坡头区东园北山铁矿区、东园郑口水铁矿区、镇罗镇涩井沟铁矿区、迎水桥镇甘塘石膏矿区、东园镇北山二人山膨润土铁矿区、宣和镇寺口子天景山矿区、永康镇校育川煤矿区实施矿山生态环境保护，防治过度开采，改善采矿区生态环境，对废水、废渣、粉尘等污染物进行综合防治，加强矿山生态环境保护修复制度建设和监督管理工作，进一步规范采矿活动，减少矿业生产对环境的影响，以矿山资源整合为契机，使矿山企业走经营规模化、集约化和清洁化的道路。</w:t>
            </w:r>
          </w:p>
          <w:p w14:paraId="6337BB80">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本项目通过高边坡治理工程、地形地貌恢复工程、标识碑与警示牌设置等工程措施对项目区</w:t>
            </w:r>
            <w:r>
              <w:rPr>
                <w:rFonts w:hint="eastAsia" w:cs="Times New Roman"/>
                <w:color w:val="000000" w:themeColor="text1"/>
                <w:sz w:val="24"/>
                <w:lang w:eastAsia="zh-CN"/>
                <w14:textFill>
                  <w14:solidFill>
                    <w14:schemeClr w14:val="tx1"/>
                  </w14:solidFill>
                </w14:textFill>
              </w:rPr>
              <w:t>历史遗留废弃矿山</w:t>
            </w:r>
            <w:r>
              <w:rPr>
                <w:rFonts w:hint="eastAsia" w:cs="Times New Roman"/>
                <w:color w:val="000000" w:themeColor="text1"/>
                <w:sz w:val="24"/>
                <w:lang w:val="en-US" w:eastAsia="zh-CN"/>
                <w14:textFill>
                  <w14:solidFill>
                    <w14:schemeClr w14:val="tx1"/>
                  </w14:solidFill>
                </w14:textFill>
              </w:rPr>
              <w:t>进行</w:t>
            </w:r>
            <w:r>
              <w:rPr>
                <w:rFonts w:hint="eastAsia" w:cs="Times New Roman"/>
                <w:color w:val="000000" w:themeColor="text1"/>
                <w:sz w:val="24"/>
                <w:lang w:eastAsia="zh-CN"/>
                <w14:textFill>
                  <w14:solidFill>
                    <w14:schemeClr w14:val="tx1"/>
                  </w14:solidFill>
                </w14:textFill>
              </w:rPr>
              <w:t>恢复治理</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项目符合《规划》要求。</w:t>
            </w:r>
          </w:p>
          <w:p w14:paraId="727FC607">
            <w:pPr>
              <w:pStyle w:val="2"/>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7、与《关于印发黄河流域宁夏历史遗留矿山生态破坏与污染状况调查评价工作方案的通知》符合性分析</w:t>
            </w:r>
          </w:p>
          <w:p w14:paraId="0C228D40">
            <w:pPr>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根据《关于印发黄河流域宁夏历史遗留矿山生态破坏与污染状况调查评价工作方案的通知》，对全区历史遗留矿山图斑及其造成的生态破坏污染影响的区域的地质安全隐患、地形地貌破坏、土地资源破坏、土壤破坏等问题开展调查，形成标准统一的历史遗留矿山生态破坏基本状况数据库。重点查明矿山（图斑）范围内的崩塌、滑坡、地面塌陷、和地裂缝等地质安全隐患的数量、规模、基本特征、威胁对象等；重点查明矿山（图斑）范围内的山体破坏、地表堆积、露天采坑等的位置、面积、基本特征等；重点查明矿山（图斑）现状地类型因挖损、塌陷、压占造成的土地损毁的面积等；重点查明矿山（图斑）范围内及周边采矿活动破坏区域的表层土壤质地类型等。</w:t>
            </w:r>
          </w:p>
          <w:p w14:paraId="228CF05D">
            <w:pPr>
              <w:pStyle w:val="51"/>
              <w:ind w:firstLine="454" w:firstLineChars="20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通过边坡削坡治理工程、地形地貌恢复工程、基础设施配置等生态修复措施</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从而恢复被破坏的地形地貌，减轻地质灾害，消除生态环境问题及隐患。符合《关于印发黄河流域宁夏历史遗留矿山生态破坏与污染状况调查评价工作方案的通知》要求。</w:t>
            </w:r>
          </w:p>
          <w:p w14:paraId="4B4D09B7">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8、与</w:t>
            </w:r>
            <w:r>
              <w:rPr>
                <w:rFonts w:hint="eastAsia"/>
                <w:color w:val="000000" w:themeColor="text1"/>
                <w14:textFill>
                  <w14:solidFill>
                    <w14:schemeClr w14:val="tx1"/>
                  </w14:solidFill>
                </w14:textFill>
              </w:rPr>
              <w:t>《宁夏非金属矿绿色矿山建设规范》（DB64/T1751-2020）</w:t>
            </w:r>
            <w:r>
              <w:rPr>
                <w:rFonts w:hint="eastAsia"/>
                <w:color w:val="000000" w:themeColor="text1"/>
                <w:lang w:val="en-US" w:eastAsia="zh-CN"/>
                <w14:textFill>
                  <w14:solidFill>
                    <w14:schemeClr w14:val="tx1"/>
                  </w14:solidFill>
                </w14:textFill>
              </w:rPr>
              <w:t>符合性分析</w:t>
            </w:r>
          </w:p>
          <w:p w14:paraId="07C41DAF">
            <w:pPr>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根据《</w:t>
            </w:r>
            <w:r>
              <w:rPr>
                <w:rFonts w:hint="eastAsia"/>
                <w:color w:val="000000" w:themeColor="text1"/>
                <w14:textFill>
                  <w14:solidFill>
                    <w14:schemeClr w14:val="tx1"/>
                  </w14:solidFill>
                </w14:textFill>
              </w:rPr>
              <w:t>宁夏非金属矿绿色矿山建设规范》（DB64/T1751-2020）</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 xml:space="preserve">8.1.1 </w:t>
            </w:r>
            <w:r>
              <w:rPr>
                <w:rFonts w:hint="eastAsia"/>
                <w:color w:val="000000" w:themeColor="text1"/>
                <w:lang w:val="en-US" w:eastAsia="zh-CN"/>
                <w14:textFill>
                  <w14:solidFill>
                    <w14:schemeClr w14:val="tx1"/>
                  </w14:solidFill>
                </w14:textFill>
              </w:rPr>
              <w:t>矿山应根据矿产资源勘査开采活动造成的矿区地面崩塌、滑坡、地形地貌景观破坏、地表植被损毁、预防和修复治理以及矿山地质环境监测等方面的实际情况，因矿制宜编制矿山地质环境保护与土地复垦方案，并严格实施，做到资源开发利用方案、矿山地质环境保护与土地复垦方案同时设计、同时施工、同时管理。</w:t>
            </w:r>
            <w:r>
              <w:rPr>
                <w:rFonts w:hint="default"/>
                <w:color w:val="000000" w:themeColor="text1"/>
                <w:lang w:val="en-US" w:eastAsia="zh-CN"/>
                <w14:textFill>
                  <w14:solidFill>
                    <w14:schemeClr w14:val="tx1"/>
                  </w14:solidFill>
                </w14:textFill>
              </w:rPr>
              <w:t xml:space="preserve">8.1.2 </w:t>
            </w:r>
            <w:r>
              <w:rPr>
                <w:rFonts w:hint="eastAsia"/>
                <w:color w:val="000000" w:themeColor="text1"/>
                <w:lang w:val="en-US" w:eastAsia="zh-CN"/>
                <w14:textFill>
                  <w14:solidFill>
                    <w14:schemeClr w14:val="tx1"/>
                  </w14:solidFill>
                </w14:textFill>
              </w:rPr>
              <w:t>矿山企业应按照满足实际需求的原则，根据矿山地质环境保护与土地复垦方案制定完善的治理措施和年度计划，切实履行矿山地质环境保护与土地复垦义务。</w:t>
            </w:r>
          </w:p>
          <w:p w14:paraId="2401FE0F">
            <w:pPr>
              <w:pStyle w:val="51"/>
              <w:ind w:firstLine="454" w:firstLineChars="20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通过边坡削坡治理工程、地形地貌恢复工程、基础设施配置等生态修复措施</w:t>
            </w:r>
            <w:r>
              <w:rPr>
                <w:rFonts w:hint="eastAsia"/>
                <w:color w:val="000000" w:themeColor="text1"/>
                <w14:textFill>
                  <w14:solidFill>
                    <w14:schemeClr w14:val="tx1"/>
                  </w14:solidFill>
                </w14:textFill>
              </w:rPr>
              <w:t>对历史遗留废弃矿山进行生态修复治理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符合《</w:t>
            </w:r>
            <w:r>
              <w:rPr>
                <w:rFonts w:hint="eastAsia"/>
                <w:color w:val="000000" w:themeColor="text1"/>
                <w14:textFill>
                  <w14:solidFill>
                    <w14:schemeClr w14:val="tx1"/>
                  </w14:solidFill>
                </w14:textFill>
              </w:rPr>
              <w:t>宁夏非金属矿绿色矿山建设规范》（DB64/T1751-2020）</w:t>
            </w:r>
            <w:r>
              <w:rPr>
                <w:rFonts w:hint="eastAsia"/>
                <w:color w:val="000000" w:themeColor="text1"/>
                <w:lang w:val="en-US" w:eastAsia="zh-CN"/>
                <w14:textFill>
                  <w14:solidFill>
                    <w14:schemeClr w14:val="tx1"/>
                  </w14:solidFill>
                </w14:textFill>
              </w:rPr>
              <w:t>要求。</w:t>
            </w:r>
          </w:p>
          <w:p w14:paraId="14619A48">
            <w:pPr>
              <w:pStyle w:val="51"/>
              <w:ind w:firstLine="454" w:firstLineChars="200"/>
              <w:rPr>
                <w:rFonts w:hint="eastAsia" w:ascii="宋体" w:hAnsi="宋体" w:eastAsia="宋体" w:cs="宋体"/>
                <w:b w:val="0"/>
                <w:bCs w:val="0"/>
                <w:color w:val="000000" w:themeColor="text1"/>
                <w:sz w:val="24"/>
                <w:szCs w:val="24"/>
                <w:lang w:val="en-US" w:eastAsia="zh-CN"/>
                <w14:textFill>
                  <w14:solidFill>
                    <w14:schemeClr w14:val="tx1"/>
                  </w14:solidFill>
                </w14:textFill>
              </w:rPr>
            </w:pPr>
          </w:p>
          <w:p w14:paraId="409C955D">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p>
          <w:p w14:paraId="77C12497">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p>
          <w:p w14:paraId="6EA47B5C">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p>
          <w:p w14:paraId="14724FC5">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p>
          <w:p w14:paraId="3DCF3042">
            <w:pPr>
              <w:pStyle w:val="51"/>
              <w:ind w:firstLine="454" w:firstLineChars="200"/>
              <w:rPr>
                <w:rFonts w:hint="default" w:ascii="宋体" w:hAnsi="宋体" w:eastAsia="宋体" w:cs="宋体"/>
                <w:b w:val="0"/>
                <w:bCs w:val="0"/>
                <w:color w:val="000000" w:themeColor="text1"/>
                <w:sz w:val="24"/>
                <w:szCs w:val="24"/>
                <w14:textFill>
                  <w14:solidFill>
                    <w14:schemeClr w14:val="tx1"/>
                  </w14:solidFill>
                </w14:textFill>
              </w:rPr>
            </w:pPr>
          </w:p>
          <w:p w14:paraId="0C7C80D3">
            <w:pPr>
              <w:pStyle w:val="51"/>
              <w:ind w:left="0" w:leftChars="0" w:firstLine="0" w:firstLineChars="0"/>
              <w:rPr>
                <w:rFonts w:hint="default" w:ascii="宋体" w:hAnsi="宋体" w:eastAsia="宋体" w:cs="宋体"/>
                <w:b w:val="0"/>
                <w:bCs w:val="0"/>
                <w:color w:val="000000" w:themeColor="text1"/>
                <w:sz w:val="24"/>
                <w:szCs w:val="24"/>
                <w14:textFill>
                  <w14:solidFill>
                    <w14:schemeClr w14:val="tx1"/>
                  </w14:solidFill>
                </w14:textFill>
              </w:rPr>
            </w:pPr>
          </w:p>
        </w:tc>
      </w:tr>
    </w:tbl>
    <w:p w14:paraId="5EAEA333">
      <w:pPr>
        <w:spacing w:line="360" w:lineRule="auto"/>
        <w:outlineLvl w:val="0"/>
        <w:rPr>
          <w:rFonts w:eastAsia="黑体"/>
          <w:color w:val="000000" w:themeColor="text1"/>
          <w:sz w:val="30"/>
          <w14:textFill>
            <w14:solidFill>
              <w14:schemeClr w14:val="tx1"/>
            </w14:solidFill>
          </w14:textFill>
        </w:rPr>
        <w:sectPr>
          <w:footerReference r:id="rId7" w:type="default"/>
          <w:pgSz w:w="11905" w:h="16838"/>
          <w:pgMar w:top="1417" w:right="1417" w:bottom="1417" w:left="1417" w:header="851" w:footer="964" w:gutter="0"/>
          <w:pgBorders>
            <w:top w:val="none" w:sz="0" w:space="0"/>
            <w:left w:val="none" w:sz="0" w:space="0"/>
            <w:bottom w:val="none" w:sz="0" w:space="0"/>
            <w:right w:val="none" w:sz="0" w:space="0"/>
          </w:pgBorders>
          <w:pgNumType w:fmt="numberInDash" w:start="1"/>
          <w:cols w:space="720" w:num="1"/>
          <w:rtlGutter w:val="0"/>
          <w:docGrid w:type="linesAndChars" w:linePitch="466" w:charSpace="-2709"/>
        </w:sectPr>
      </w:pPr>
    </w:p>
    <w:p w14:paraId="110F9034">
      <w:pPr>
        <w:pStyle w:val="4"/>
        <w:bidi w:val="0"/>
        <w:rPr>
          <w:color w:val="000000" w:themeColor="text1"/>
          <w14:textFill>
            <w14:solidFill>
              <w14:schemeClr w14:val="tx1"/>
            </w14:solidFill>
          </w14:textFill>
        </w:rPr>
      </w:pPr>
      <w:r>
        <w:rPr>
          <w:color w:val="000000" w:themeColor="text1"/>
          <w14:textFill>
            <w14:solidFill>
              <w14:schemeClr w14:val="tx1"/>
            </w14:solidFill>
          </w14:textFill>
        </w:rPr>
        <w:t>二、建设内容</w:t>
      </w:r>
    </w:p>
    <w:tbl>
      <w:tblPr>
        <w:tblStyle w:val="27"/>
        <w:tblW w:w="90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444"/>
      </w:tblGrid>
      <w:tr w14:paraId="5B397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646" w:type="dxa"/>
            <w:noWrap w:val="0"/>
            <w:vAlign w:val="center"/>
          </w:tcPr>
          <w:p w14:paraId="7217513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地理位置</w:t>
            </w:r>
          </w:p>
        </w:tc>
        <w:tc>
          <w:tcPr>
            <w:tcW w:w="8444" w:type="dxa"/>
            <w:noWrap w:val="0"/>
            <w:vAlign w:val="center"/>
          </w:tcPr>
          <w:p w14:paraId="464B09D0">
            <w:pPr>
              <w:ind w:firstLine="454" w:firstLineChars="200"/>
              <w:rPr>
                <w:rFonts w:hint="default" w:eastAsia="宋体"/>
                <w:color w:val="000000" w:themeColor="text1"/>
                <w:kern w:val="0"/>
                <w:sz w:val="24"/>
                <w:lang w:val="en-US" w:eastAsia="zh-CN"/>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本</w:t>
            </w:r>
            <w:r>
              <w:rPr>
                <w:color w:val="000000" w:themeColor="text1"/>
                <w:kern w:val="0"/>
                <w:sz w:val="24"/>
                <w14:textFill>
                  <w14:solidFill>
                    <w14:schemeClr w14:val="tx1"/>
                  </w14:solidFill>
                </w14:textFill>
              </w:rPr>
              <w:t>项目位于</w:t>
            </w:r>
            <w:r>
              <w:rPr>
                <w:rFonts w:hint="eastAsia"/>
                <w:color w:val="000000" w:themeColor="text1"/>
                <w:sz w:val="24"/>
                <w:lang w:eastAsia="zh-CN"/>
                <w14:textFill>
                  <w14:solidFill>
                    <w14:schemeClr w14:val="tx1"/>
                  </w14:solidFill>
                </w14:textFill>
              </w:rPr>
              <w:t>中</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卫</w:t>
            </w:r>
            <w:r>
              <w:rPr>
                <w:rFonts w:hint="default" w:ascii="Times New Roman" w:hAnsi="Times New Roman" w:cs="Times New Roman"/>
                <w:color w:val="000000" w:themeColor="text1"/>
                <w:sz w:val="24"/>
                <w:szCs w:val="24"/>
                <w:u w:val="none"/>
                <w14:textFill>
                  <w14:solidFill>
                    <w14:schemeClr w14:val="tx1"/>
                  </w14:solidFill>
                </w14:textFill>
              </w:rPr>
              <w:t>市沙坡头区东园镇、迎水桥镇、永康镇</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常乐镇、兴仁镇</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项目区涉及范围较广，各个治理区分散分布</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共有7个治理</w:t>
            </w:r>
            <w:r>
              <w:rPr>
                <w:rFonts w:hint="eastAsia"/>
                <w:color w:val="000000" w:themeColor="text1"/>
                <w:kern w:val="0"/>
                <w:sz w:val="24"/>
                <w:lang w:val="en-US" w:eastAsia="zh-CN"/>
                <w14:textFill>
                  <w14:solidFill>
                    <w14:schemeClr w14:val="tx1"/>
                  </w14:solidFill>
                </w14:textFill>
              </w:rPr>
              <w:t>区，总治理面积33.78hm</w:t>
            </w:r>
            <w:r>
              <w:rPr>
                <w:rFonts w:hint="eastAsia"/>
                <w:color w:val="000000" w:themeColor="text1"/>
                <w:kern w:val="0"/>
                <w:sz w:val="24"/>
                <w:vertAlign w:val="superscript"/>
                <w:lang w:val="en-US" w:eastAsia="zh-CN"/>
                <w14:textFill>
                  <w14:solidFill>
                    <w14:schemeClr w14:val="tx1"/>
                  </w14:solidFill>
                </w14:textFill>
              </w:rPr>
              <w:t>2</w:t>
            </w:r>
            <w:r>
              <w:rPr>
                <w:rFonts w:hint="eastAsia"/>
                <w:color w:val="000000" w:themeColor="text1"/>
                <w:kern w:val="0"/>
                <w:sz w:val="24"/>
                <w:lang w:val="en-US" w:eastAsia="zh-CN"/>
                <w14:textFill>
                  <w14:solidFill>
                    <w14:schemeClr w14:val="tx1"/>
                  </w14:solidFill>
                </w14:textFill>
              </w:rPr>
              <w:t>，均为临时占地。</w:t>
            </w:r>
            <w:r>
              <w:rPr>
                <w:rFonts w:hint="eastAsia" w:cs="Times New Roman"/>
                <w:color w:val="000000" w:themeColor="text1"/>
                <w:kern w:val="0"/>
                <w:sz w:val="24"/>
                <w:highlight w:val="none"/>
                <w:lang w:val="en-US" w:eastAsia="zh-CN"/>
                <w14:textFill>
                  <w14:solidFill>
                    <w14:schemeClr w14:val="tx1"/>
                  </w14:solidFill>
                </w14:textFill>
              </w:rPr>
              <w:t>各治理区所在位置见表2-1，地理位置图见附图2-1</w:t>
            </w:r>
            <w:r>
              <w:rPr>
                <w:rFonts w:hint="eastAsia"/>
                <w:color w:val="000000" w:themeColor="text1"/>
                <w:kern w:val="0"/>
                <w:sz w:val="24"/>
                <w:lang w:val="en-US" w:eastAsia="zh-CN"/>
                <w14:textFill>
                  <w14:solidFill>
                    <w14:schemeClr w14:val="tx1"/>
                  </w14:solidFill>
                </w14:textFill>
              </w:rPr>
              <w:t>。</w:t>
            </w:r>
          </w:p>
          <w:p w14:paraId="2C552EC8">
            <w:pPr>
              <w:pStyle w:val="3"/>
              <w:bidi w:val="0"/>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 xml:space="preserve">  各治理区</w:t>
            </w:r>
            <w:r>
              <w:rPr>
                <w:rFonts w:hint="eastAsia"/>
                <w:color w:val="000000" w:themeColor="text1"/>
                <w:lang w:val="en-US" w:eastAsia="zh-CN"/>
                <w14:textFill>
                  <w14:solidFill>
                    <w14:schemeClr w14:val="tx1"/>
                  </w14:solidFill>
                </w14:textFill>
              </w:rPr>
              <w:t>所在位置一览表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522"/>
              <w:gridCol w:w="5330"/>
            </w:tblGrid>
            <w:tr w14:paraId="422B85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7B432D2D">
                  <w:pPr>
                    <w:pStyle w:val="34"/>
                    <w:bidi w:val="0"/>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治理点位</w:t>
                  </w:r>
                </w:p>
              </w:tc>
              <w:tc>
                <w:tcPr>
                  <w:tcW w:w="1522" w:type="dxa"/>
                  <w:noWrap w:val="0"/>
                  <w:vAlign w:val="center"/>
                </w:tcPr>
                <w:p w14:paraId="38AEA543">
                  <w:pPr>
                    <w:pStyle w:val="34"/>
                    <w:bidi w:val="0"/>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行政区</w:t>
                  </w:r>
                </w:p>
              </w:tc>
              <w:tc>
                <w:tcPr>
                  <w:tcW w:w="5330" w:type="dxa"/>
                  <w:noWrap w:val="0"/>
                  <w:vAlign w:val="center"/>
                </w:tcPr>
                <w:p w14:paraId="4B37E10C">
                  <w:pPr>
                    <w:pStyle w:val="34"/>
                    <w:bidi w:val="0"/>
                    <w:rPr>
                      <w:b/>
                      <w:bCs/>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治理点位</w:t>
                  </w:r>
                </w:p>
              </w:tc>
            </w:tr>
            <w:tr w14:paraId="3F0D02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39A96AE6">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DK-01</w:t>
                  </w:r>
                </w:p>
              </w:tc>
              <w:tc>
                <w:tcPr>
                  <w:tcW w:w="1522" w:type="dxa"/>
                  <w:noWrap w:val="0"/>
                  <w:vAlign w:val="center"/>
                </w:tcPr>
                <w:p w14:paraId="52CDA08C">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东园镇</w:t>
                  </w:r>
                </w:p>
              </w:tc>
              <w:tc>
                <w:tcPr>
                  <w:tcW w:w="5330" w:type="dxa"/>
                  <w:noWrap w:val="0"/>
                  <w:vAlign w:val="center"/>
                </w:tcPr>
                <w:p w14:paraId="66C47DD5">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105</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19</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30.119</w:t>
                  </w:r>
                  <w:r>
                    <w:rPr>
                      <w:rFonts w:hint="eastAsia"/>
                      <w:color w:val="000000" w:themeColor="text1"/>
                      <w:lang w:val="en-US" w:eastAsia="zh-CN"/>
                      <w14:textFill>
                        <w14:solidFill>
                          <w14:schemeClr w14:val="tx1"/>
                        </w14:solidFill>
                      </w14:textFill>
                    </w:rPr>
                    <w:t>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40</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23.563</w:t>
                  </w:r>
                  <w:r>
                    <w:rPr>
                      <w:rFonts w:hint="eastAsia"/>
                      <w:color w:val="000000" w:themeColor="text1"/>
                      <w:lang w:val="en-US" w:eastAsia="zh-CN"/>
                      <w14:textFill>
                        <w14:solidFill>
                          <w14:schemeClr w14:val="tx1"/>
                        </w14:solidFill>
                      </w14:textFill>
                    </w:rPr>
                    <w:t>秒</w:t>
                  </w:r>
                </w:p>
              </w:tc>
            </w:tr>
            <w:tr w14:paraId="187E6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6AD93203">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DK-02</w:t>
                  </w:r>
                </w:p>
              </w:tc>
              <w:tc>
                <w:tcPr>
                  <w:tcW w:w="1522" w:type="dxa"/>
                  <w:noWrap w:val="0"/>
                  <w:vAlign w:val="center"/>
                </w:tcPr>
                <w:p w14:paraId="3048A01C">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迎水桥镇</w:t>
                  </w:r>
                </w:p>
              </w:tc>
              <w:tc>
                <w:tcPr>
                  <w:tcW w:w="5330" w:type="dxa"/>
                  <w:noWrap w:val="0"/>
                  <w:vAlign w:val="center"/>
                </w:tcPr>
                <w:p w14:paraId="5E14B22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104</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58</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20.40</w:t>
                  </w:r>
                  <w:r>
                    <w:rPr>
                      <w:rFonts w:hint="eastAsia"/>
                      <w:color w:val="000000" w:themeColor="text1"/>
                      <w:lang w:val="en-US" w:eastAsia="zh-CN"/>
                      <w14:textFill>
                        <w14:solidFill>
                          <w14:schemeClr w14:val="tx1"/>
                        </w14:solidFill>
                      </w14:textFill>
                    </w:rPr>
                    <w:t>1秒，北纬：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41.144</w:t>
                  </w:r>
                  <w:r>
                    <w:rPr>
                      <w:rFonts w:hint="eastAsia"/>
                      <w:color w:val="000000" w:themeColor="text1"/>
                      <w:lang w:val="en-US" w:eastAsia="zh-CN"/>
                      <w14:textFill>
                        <w14:solidFill>
                          <w14:schemeClr w14:val="tx1"/>
                        </w14:solidFill>
                      </w14:textFill>
                    </w:rPr>
                    <w:t>秒</w:t>
                  </w:r>
                </w:p>
              </w:tc>
            </w:tr>
            <w:tr w14:paraId="292C6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3AC00813">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DK-03</w:t>
                  </w:r>
                </w:p>
              </w:tc>
              <w:tc>
                <w:tcPr>
                  <w:tcW w:w="1522" w:type="dxa"/>
                  <w:noWrap w:val="0"/>
                  <w:vAlign w:val="center"/>
                </w:tcPr>
                <w:p w14:paraId="2F5C6B1B">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迎水桥镇</w:t>
                  </w:r>
                </w:p>
              </w:tc>
              <w:tc>
                <w:tcPr>
                  <w:tcW w:w="5330" w:type="dxa"/>
                  <w:noWrap w:val="0"/>
                  <w:vAlign w:val="center"/>
                </w:tcPr>
                <w:p w14:paraId="78203971">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104</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56</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8.77</w:t>
                  </w:r>
                  <w:r>
                    <w:rPr>
                      <w:rFonts w:hint="eastAsia"/>
                      <w:color w:val="000000" w:themeColor="text1"/>
                      <w:lang w:val="en-US" w:eastAsia="zh-CN"/>
                      <w14:textFill>
                        <w14:solidFill>
                          <w14:schemeClr w14:val="tx1"/>
                        </w14:solidFill>
                      </w14:textFill>
                    </w:rPr>
                    <w:t>1秒，北纬：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44.579</w:t>
                  </w:r>
                  <w:r>
                    <w:rPr>
                      <w:rFonts w:hint="eastAsia"/>
                      <w:color w:val="000000" w:themeColor="text1"/>
                      <w:lang w:val="en-US" w:eastAsia="zh-CN"/>
                      <w14:textFill>
                        <w14:solidFill>
                          <w14:schemeClr w14:val="tx1"/>
                        </w14:solidFill>
                      </w14:textFill>
                    </w:rPr>
                    <w:t>秒</w:t>
                  </w:r>
                </w:p>
              </w:tc>
            </w:tr>
            <w:tr w14:paraId="23D530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3E12EF3C">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DK-04</w:t>
                  </w:r>
                </w:p>
              </w:tc>
              <w:tc>
                <w:tcPr>
                  <w:tcW w:w="1522" w:type="dxa"/>
                  <w:noWrap w:val="0"/>
                  <w:vAlign w:val="center"/>
                </w:tcPr>
                <w:p w14:paraId="01DAF09C">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永康镇</w:t>
                  </w:r>
                </w:p>
              </w:tc>
              <w:tc>
                <w:tcPr>
                  <w:tcW w:w="5330" w:type="dxa"/>
                  <w:noWrap w:val="0"/>
                  <w:vAlign w:val="center"/>
                </w:tcPr>
                <w:p w14:paraId="547A3100">
                  <w:pPr>
                    <w:pStyle w:val="34"/>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105</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11</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49.45</w:t>
                  </w:r>
                  <w:r>
                    <w:rPr>
                      <w:rFonts w:hint="eastAsia"/>
                      <w:color w:val="000000" w:themeColor="text1"/>
                      <w:lang w:val="en-US" w:eastAsia="zh-CN"/>
                      <w14:textFill>
                        <w14:solidFill>
                          <w14:schemeClr w14:val="tx1"/>
                        </w14:solidFill>
                      </w14:textFill>
                    </w:rPr>
                    <w:t>4秒，北纬：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26</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51.98</w:t>
                  </w:r>
                  <w:r>
                    <w:rPr>
                      <w:rFonts w:hint="eastAsia"/>
                      <w:color w:val="000000" w:themeColor="text1"/>
                      <w:lang w:val="en-US" w:eastAsia="zh-CN"/>
                      <w14:textFill>
                        <w14:solidFill>
                          <w14:schemeClr w14:val="tx1"/>
                        </w14:solidFill>
                      </w14:textFill>
                    </w:rPr>
                    <w:t>7秒</w:t>
                  </w:r>
                </w:p>
              </w:tc>
            </w:tr>
            <w:tr w14:paraId="48677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608BEA42">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DK-05</w:t>
                  </w:r>
                </w:p>
              </w:tc>
              <w:tc>
                <w:tcPr>
                  <w:tcW w:w="1522" w:type="dxa"/>
                  <w:noWrap w:val="0"/>
                  <w:vAlign w:val="center"/>
                </w:tcPr>
                <w:p w14:paraId="10E12A9A">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永康镇</w:t>
                  </w:r>
                </w:p>
              </w:tc>
              <w:tc>
                <w:tcPr>
                  <w:tcW w:w="5330" w:type="dxa"/>
                  <w:noWrap w:val="0"/>
                  <w:vAlign w:val="center"/>
                </w:tcPr>
                <w:p w14:paraId="068816DD">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105</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16</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45.222</w:t>
                  </w:r>
                  <w:r>
                    <w:rPr>
                      <w:rFonts w:hint="eastAsia"/>
                      <w:color w:val="000000" w:themeColor="text1"/>
                      <w:lang w:val="en-US" w:eastAsia="zh-CN"/>
                      <w14:textFill>
                        <w14:solidFill>
                          <w14:schemeClr w14:val="tx1"/>
                        </w14:solidFill>
                      </w14:textFill>
                    </w:rPr>
                    <w:t>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28</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24.48</w:t>
                  </w:r>
                  <w:r>
                    <w:rPr>
                      <w:rFonts w:hint="eastAsia"/>
                      <w:color w:val="000000" w:themeColor="text1"/>
                      <w:lang w:val="en-US" w:eastAsia="zh-CN"/>
                      <w14:textFill>
                        <w14:solidFill>
                          <w14:schemeClr w14:val="tx1"/>
                        </w14:solidFill>
                      </w14:textFill>
                    </w:rPr>
                    <w:t>2秒</w:t>
                  </w:r>
                </w:p>
              </w:tc>
            </w:tr>
            <w:tr w14:paraId="756F2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23355921">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DK-06</w:t>
                  </w:r>
                </w:p>
              </w:tc>
              <w:tc>
                <w:tcPr>
                  <w:tcW w:w="1522" w:type="dxa"/>
                  <w:noWrap w:val="0"/>
                  <w:vAlign w:val="center"/>
                </w:tcPr>
                <w:p w14:paraId="53AAD78C">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常乐镇</w:t>
                  </w:r>
                </w:p>
              </w:tc>
              <w:tc>
                <w:tcPr>
                  <w:tcW w:w="5330" w:type="dxa"/>
                  <w:noWrap w:val="0"/>
                  <w:vAlign w:val="center"/>
                </w:tcPr>
                <w:p w14:paraId="65472033">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104</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59</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34.597</w:t>
                  </w:r>
                  <w:r>
                    <w:rPr>
                      <w:rFonts w:hint="eastAsia"/>
                      <w:color w:val="000000" w:themeColor="text1"/>
                      <w:lang w:val="en-US" w:eastAsia="zh-CN"/>
                      <w14:textFill>
                        <w14:solidFill>
                          <w14:schemeClr w14:val="tx1"/>
                        </w14:solidFill>
                      </w14:textFill>
                    </w:rPr>
                    <w:t>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27</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4.068</w:t>
                  </w:r>
                  <w:r>
                    <w:rPr>
                      <w:rFonts w:hint="eastAsia"/>
                      <w:color w:val="000000" w:themeColor="text1"/>
                      <w:lang w:val="en-US" w:eastAsia="zh-CN"/>
                      <w14:textFill>
                        <w14:solidFill>
                          <w14:schemeClr w14:val="tx1"/>
                        </w14:solidFill>
                      </w14:textFill>
                    </w:rPr>
                    <w:t>秒</w:t>
                  </w:r>
                </w:p>
              </w:tc>
            </w:tr>
            <w:tr w14:paraId="6E87A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dxa"/>
                  <w:noWrap w:val="0"/>
                  <w:vAlign w:val="center"/>
                </w:tcPr>
                <w:p w14:paraId="30721EEC">
                  <w:pPr>
                    <w:pStyle w:val="34"/>
                    <w:bidi w:val="0"/>
                    <w:rPr>
                      <w:color w:val="000000" w:themeColor="text1"/>
                      <w14:textFill>
                        <w14:solidFill>
                          <w14:schemeClr w14:val="tx1"/>
                        </w14:solidFill>
                      </w14:textFill>
                    </w:rPr>
                  </w:pPr>
                  <w:r>
                    <w:rPr>
                      <w:color w:val="000000" w:themeColor="text1"/>
                      <w14:textFill>
                        <w14:solidFill>
                          <w14:schemeClr w14:val="tx1"/>
                        </w14:solidFill>
                      </w14:textFill>
                    </w:rPr>
                    <w:t>DK-07</w:t>
                  </w:r>
                </w:p>
              </w:tc>
              <w:tc>
                <w:tcPr>
                  <w:tcW w:w="1522" w:type="dxa"/>
                  <w:noWrap w:val="0"/>
                  <w:vAlign w:val="center"/>
                </w:tcPr>
                <w:p w14:paraId="43A7AA91">
                  <w:pPr>
                    <w:pStyle w:val="34"/>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兴仁镇</w:t>
                  </w:r>
                </w:p>
              </w:tc>
              <w:tc>
                <w:tcPr>
                  <w:tcW w:w="5330" w:type="dxa"/>
                  <w:noWrap w:val="0"/>
                  <w:vAlign w:val="center"/>
                </w:tcPr>
                <w:p w14:paraId="6BCBFE75">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东经：</w:t>
                  </w:r>
                  <w:r>
                    <w:rPr>
                      <w:rFonts w:hint="default"/>
                      <w:color w:val="000000" w:themeColor="text1"/>
                      <w:lang w:val="en-US" w:eastAsia="zh-CN"/>
                      <w14:textFill>
                        <w14:solidFill>
                          <w14:schemeClr w14:val="tx1"/>
                        </w14:solidFill>
                      </w14:textFill>
                    </w:rPr>
                    <w:t>105</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16</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21.199</w:t>
                  </w:r>
                  <w:r>
                    <w:rPr>
                      <w:rFonts w:hint="eastAsia"/>
                      <w:color w:val="000000" w:themeColor="text1"/>
                      <w:lang w:val="en-US" w:eastAsia="zh-CN"/>
                      <w14:textFill>
                        <w14:solidFill>
                          <w14:schemeClr w14:val="tx1"/>
                        </w14:solidFill>
                      </w14:textFill>
                    </w:rPr>
                    <w:t>秒，北纬：</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度</w:t>
                  </w:r>
                  <w:r>
                    <w:rPr>
                      <w:rFonts w:hint="default"/>
                      <w:color w:val="000000" w:themeColor="text1"/>
                      <w:lang w:val="en-US" w:eastAsia="zh-CN"/>
                      <w14:textFill>
                        <w14:solidFill>
                          <w14:schemeClr w14:val="tx1"/>
                        </w14:solidFill>
                      </w14:textFill>
                    </w:rPr>
                    <w:t>0</w:t>
                  </w:r>
                  <w:r>
                    <w:rPr>
                      <w:rFonts w:hint="eastAsia"/>
                      <w:color w:val="000000" w:themeColor="text1"/>
                      <w:lang w:val="en-US" w:eastAsia="zh-CN"/>
                      <w14:textFill>
                        <w14:solidFill>
                          <w14:schemeClr w14:val="tx1"/>
                        </w14:solidFill>
                      </w14:textFill>
                    </w:rPr>
                    <w:t>分</w:t>
                  </w:r>
                  <w:r>
                    <w:rPr>
                      <w:rFonts w:hint="default"/>
                      <w:color w:val="000000" w:themeColor="text1"/>
                      <w:lang w:val="en-US" w:eastAsia="zh-CN"/>
                      <w14:textFill>
                        <w14:solidFill>
                          <w14:schemeClr w14:val="tx1"/>
                        </w14:solidFill>
                      </w14:textFill>
                    </w:rPr>
                    <w:t>33.320</w:t>
                  </w:r>
                  <w:r>
                    <w:rPr>
                      <w:rFonts w:hint="eastAsia"/>
                      <w:color w:val="000000" w:themeColor="text1"/>
                      <w:lang w:val="en-US" w:eastAsia="zh-CN"/>
                      <w14:textFill>
                        <w14:solidFill>
                          <w14:schemeClr w14:val="tx1"/>
                        </w14:solidFill>
                      </w14:textFill>
                    </w:rPr>
                    <w:t>秒</w:t>
                  </w:r>
                </w:p>
              </w:tc>
            </w:tr>
          </w:tbl>
          <w:p w14:paraId="0C4C953E">
            <w:pPr>
              <w:rPr>
                <w:rFonts w:hint="default" w:ascii="Times New Roman" w:hAnsi="Times New Roman" w:eastAsia="宋体" w:cs="Times New Roman"/>
                <w:color w:val="000000" w:themeColor="text1"/>
                <w:sz w:val="24"/>
                <w:szCs w:val="24"/>
                <w14:textFill>
                  <w14:solidFill>
                    <w14:schemeClr w14:val="tx1"/>
                  </w14:solidFill>
                </w14:textFill>
              </w:rPr>
            </w:pPr>
          </w:p>
        </w:tc>
      </w:tr>
      <w:tr w14:paraId="407BF9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24" w:hRule="atLeast"/>
          <w:jc w:val="center"/>
        </w:trPr>
        <w:tc>
          <w:tcPr>
            <w:tcW w:w="646" w:type="dxa"/>
            <w:noWrap w:val="0"/>
            <w:vAlign w:val="center"/>
          </w:tcPr>
          <w:p w14:paraId="7E5BE0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kern w:val="0"/>
                <w:szCs w:val="21"/>
                <w14:textFill>
                  <w14:solidFill>
                    <w14:schemeClr w14:val="tx1"/>
                  </w14:solidFill>
                </w14:textFill>
              </w:rPr>
            </w:pPr>
            <w:r>
              <w:rPr>
                <w:b/>
                <w:bCs/>
                <w:color w:val="000000" w:themeColor="text1"/>
                <w:kern w:val="0"/>
                <w:sz w:val="24"/>
                <w14:textFill>
                  <w14:solidFill>
                    <w14:schemeClr w14:val="tx1"/>
                  </w14:solidFill>
                </w14:textFill>
              </w:rPr>
              <w:t>项目组成及规模</w:t>
            </w:r>
          </w:p>
        </w:tc>
        <w:tc>
          <w:tcPr>
            <w:tcW w:w="8444" w:type="dxa"/>
            <w:noWrap w:val="0"/>
            <w:vAlign w:val="center"/>
          </w:tcPr>
          <w:p w14:paraId="04ACDEC2">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1、项目建设背景</w:t>
            </w:r>
          </w:p>
          <w:p w14:paraId="745D1104">
            <w:pPr>
              <w:pStyle w:val="34"/>
              <w:keepNext w:val="0"/>
              <w:keepLines w:val="0"/>
              <w:pageBreakBefore w:val="0"/>
              <w:widowControl w:val="0"/>
              <w:suppressLineNumbers w:val="0"/>
              <w:kinsoku/>
              <w:wordWrap/>
              <w:overflowPunct/>
              <w:topLinePunct w:val="0"/>
              <w:autoSpaceDE/>
              <w:autoSpaceDN/>
              <w:bidi w:val="0"/>
              <w:adjustRightInd/>
              <w:snapToGrid/>
              <w:spacing w:beforeLines="0" w:beforeAutospacing="0" w:afterLines="0" w:afterAutospacing="0" w:line="240" w:lineRule="auto"/>
              <w:ind w:left="0" w:right="0" w:firstLine="454"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根据沙坡头区委2023年第9次常委会议精神及《黄河上游风沙区(中卫)历史遗留废弃矿山生态修复示范工程项目实施方案》等</w:t>
            </w:r>
            <w:r>
              <w:rPr>
                <w:rFonts w:hint="default" w:ascii="Times New Roman" w:hAnsi="Times New Roman" w:eastAsia="宋体" w:cs="Times New Roman"/>
                <w:color w:val="000000" w:themeColor="text1"/>
                <w:sz w:val="24"/>
                <w:szCs w:val="24"/>
                <w14:textFill>
                  <w14:solidFill>
                    <w14:schemeClr w14:val="tx1"/>
                  </w14:solidFill>
                </w14:textFill>
              </w:rPr>
              <w:t>相关文件精神，为落实打造绿色生态宝地部署和守</w:t>
            </w:r>
            <w:r>
              <w:rPr>
                <w:rFonts w:hint="eastAsia" w:ascii="宋体" w:hAnsi="宋体" w:eastAsia="宋体" w:cs="宋体"/>
                <w:color w:val="000000" w:themeColor="text1"/>
                <w:sz w:val="24"/>
                <w:szCs w:val="24"/>
                <w14:textFill>
                  <w14:solidFill>
                    <w14:schemeClr w14:val="tx1"/>
                  </w14:solidFill>
                </w14:textFill>
              </w:rPr>
              <w:t>好“改善生态环境的生命线”，</w:t>
            </w:r>
            <w:r>
              <w:rPr>
                <w:rFonts w:hint="default" w:ascii="Times New Roman" w:hAnsi="Times New Roman" w:eastAsia="宋体" w:cs="Times New Roman"/>
                <w:color w:val="000000" w:themeColor="text1"/>
                <w:sz w:val="24"/>
                <w:szCs w:val="24"/>
                <w14:textFill>
                  <w14:solidFill>
                    <w14:schemeClr w14:val="tx1"/>
                  </w14:solidFill>
                </w14:textFill>
              </w:rPr>
              <w:t>尽快融入黄河流域生态保护和高质量发展重大国家战略任务中，中卫市</w:t>
            </w:r>
            <w:r>
              <w:rPr>
                <w:rFonts w:hint="eastAsia" w:ascii="宋体" w:hAnsi="宋体" w:eastAsia="宋体" w:cs="宋体"/>
                <w:color w:val="000000" w:themeColor="text1"/>
                <w:sz w:val="24"/>
                <w:szCs w:val="24"/>
                <w14:textFill>
                  <w14:solidFill>
                    <w14:schemeClr w14:val="tx1"/>
                  </w14:solidFill>
                </w14:textFill>
              </w:rPr>
              <w:t>在“十四五”期间统筹推进山水林田湖</w:t>
            </w:r>
            <w:r>
              <w:rPr>
                <w:rFonts w:hint="default" w:ascii="Times New Roman" w:hAnsi="Times New Roman" w:eastAsia="宋体" w:cs="Times New Roman"/>
                <w:color w:val="000000" w:themeColor="text1"/>
                <w:sz w:val="24"/>
                <w:szCs w:val="24"/>
                <w14:textFill>
                  <w14:solidFill>
                    <w14:schemeClr w14:val="tx1"/>
                  </w14:solidFill>
                </w14:textFill>
              </w:rPr>
              <w:t>草沙综合治理，加快开展北部沙区综合治理、中部荒漠草原生态修复、南部山区水源涵养林建设，持续实施大规模国土绿化行动，努力建设绿色生态屏障。</w:t>
            </w:r>
          </w:p>
          <w:p w14:paraId="41D1EE72">
            <w:pPr>
              <w:keepNext w:val="0"/>
              <w:keepLines w:val="0"/>
              <w:suppressLineNumbers w:val="0"/>
              <w:spacing w:before="0" w:beforeAutospacing="0" w:after="0" w:afterAutospacing="0"/>
              <w:ind w:left="0" w:right="0"/>
              <w:rPr>
                <w:rFonts w:hint="default"/>
                <w:color w:val="000000" w:themeColor="text1"/>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项目区多为私挖滥采的小煤矿</w:t>
            </w:r>
            <w:r>
              <w:rPr>
                <w:rFonts w:hint="eastAsia" w:ascii="宋体" w:hAnsi="宋体" w:cs="宋体"/>
                <w:b w:val="0"/>
                <w:bCs w:val="0"/>
                <w:color w:val="000000" w:themeColor="text1"/>
                <w:sz w:val="24"/>
                <w:szCs w:val="24"/>
                <w:lang w:val="en-US" w:eastAsia="zh-CN"/>
                <w14:textFill>
                  <w14:solidFill>
                    <w14:schemeClr w14:val="tx1"/>
                  </w14:solidFill>
                </w14:textFill>
              </w:rPr>
              <w:t>及土砂石矿</w:t>
            </w:r>
            <w:r>
              <w:rPr>
                <w:rFonts w:hint="eastAsia"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由于矿山开采，留下大面积矿坑和</w:t>
            </w:r>
            <w:r>
              <w:rPr>
                <w:rFonts w:hint="eastAsia"/>
                <w:color w:val="000000" w:themeColor="text1"/>
                <w:lang w:val="en-US" w:eastAsia="zh-CN"/>
                <w14:textFill>
                  <w14:solidFill>
                    <w14:schemeClr w14:val="tx1"/>
                  </w14:solidFill>
                </w14:textFill>
              </w:rPr>
              <w:t>废石</w:t>
            </w:r>
            <w:r>
              <w:rPr>
                <w:rFonts w:hint="eastAsia" w:ascii="Times New Roman" w:hAnsi="Times New Roman" w:eastAsia="宋体" w:cs="Times New Roman"/>
                <w:color w:val="000000" w:themeColor="text1"/>
                <w:sz w:val="24"/>
                <w:szCs w:val="24"/>
                <w14:textFill>
                  <w14:solidFill>
                    <w14:schemeClr w14:val="tx1"/>
                  </w14:solidFill>
                </w14:textFill>
              </w:rPr>
              <w:t>等堆积物使本就环境脆弱、植被稀少的戈壁荒漠化加剧，影响区域的环境质量。尽管各部门不断加大整治力度，但是由于缺乏系统的符合自然生态规律的技术和经验，也没有形成统一的治理规范和生态修复治理方案，难以形成管护合力，生态问题已严重威胁到区域生态安全，阻碍黄河两岸生态保护和高质量发展的进程。</w:t>
            </w:r>
          </w:p>
          <w:p w14:paraId="71413194">
            <w:pP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为此，</w:t>
            </w:r>
            <w:r>
              <w:rPr>
                <w:rFonts w:hint="eastAsia" w:ascii="Times New Roman" w:hAnsi="Times New Roman" w:eastAsia="宋体" w:cs="Times New Roman"/>
                <w:color w:val="000000" w:themeColor="text1"/>
                <w:sz w:val="24"/>
                <w:szCs w:val="24"/>
                <w14:textFill>
                  <w14:solidFill>
                    <w14:schemeClr w14:val="tx1"/>
                  </w14:solidFill>
                </w14:textFill>
              </w:rPr>
              <w:t>中卫市沙坡头区自然资源局</w:t>
            </w:r>
            <w:r>
              <w:rPr>
                <w:rFonts w:hint="default" w:ascii="Times New Roman" w:hAnsi="Times New Roman" w:eastAsia="宋体" w:cs="Times New Roman"/>
                <w:color w:val="000000" w:themeColor="text1"/>
                <w:sz w:val="24"/>
                <w:szCs w:val="24"/>
                <w14:textFill>
                  <w14:solidFill>
                    <w14:schemeClr w14:val="tx1"/>
                  </w14:solidFill>
                </w14:textFill>
              </w:rPr>
              <w:t>积极部署，认真谋划，充分发挥重点生态修复治理资金职能作用，提高生态修复治理资金预算安排的科学性和精准性，提出该项目。该项目的实施，对推进中卫市生态环境保护具有重要意义。</w:t>
            </w:r>
          </w:p>
          <w:p w14:paraId="5C39C336">
            <w:pPr>
              <w:pStyle w:val="2"/>
              <w:numPr>
                <w:ilvl w:val="0"/>
                <w:numId w:val="2"/>
              </w:numPr>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项目</w:t>
            </w:r>
            <w:r>
              <w:rPr>
                <w:rFonts w:hint="default"/>
                <w:color w:val="000000" w:themeColor="text1"/>
                <w:lang w:val="en-US" w:eastAsia="zh-CN"/>
                <w14:textFill>
                  <w14:solidFill>
                    <w14:schemeClr w14:val="tx1"/>
                  </w14:solidFill>
                </w14:textFill>
              </w:rPr>
              <w:t>建设必要性</w:t>
            </w:r>
          </w:p>
          <w:p w14:paraId="28C2A826">
            <w:pPr>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中卫市矿产资源开发利用以煤炭、铁矿、铜矿、建筑用砂、粘土等非金属矿藏为主。矿业采掘活动历史悠久，为宁夏经济社会发展做出巨大贡献。但长时间的采矿活动对中卫市矿山生态环境造成的负面效应也逐渐显现。采矿活动不仅引发、加剧地质灾害，也对地形地貌景观、土地资源和地下含水层造成了严重影响和破坏。卫宁北山部分露天开采区域，存在崩塌地质灾害隐患；单梁山煤矿区存在地裂缝及地面塌陷地质灾害；卫宁北山山前建筑石料矿开采区存在泥石流地质灾害隐患，采矿活动排放的大量的矸石、矿渣、尾矿等废弃物，为泥石流的形成提供了充足的固体松散物；露天开采的砂石矿区，产生的矿山废水和废渣，造成了水土污染和大气污染，并进一步引起粉尘污染。通过矿山土地整治与修复项目，能够有效解决矿山地质生态环境问题，减少矿山开采对区域和黄河生态环境的损害。</w:t>
            </w:r>
          </w:p>
          <w:p w14:paraId="0CFF1052">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3、建设内容与规模</w:t>
            </w:r>
          </w:p>
          <w:p w14:paraId="32351970">
            <w:pPr>
              <w:bidi w:val="0"/>
              <w:rPr>
                <w:rFonts w:hint="eastAsia"/>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本项目建设内容及规模为</w:t>
            </w:r>
            <w:r>
              <w:rPr>
                <w:rFonts w:hint="eastAsia"/>
                <w:color w:val="000000" w:themeColor="text1"/>
                <w:sz w:val="24"/>
                <w:szCs w:val="24"/>
                <w14:textFill>
                  <w14:solidFill>
                    <w14:schemeClr w14:val="tx1"/>
                  </w14:solidFill>
                </w14:textFill>
              </w:rPr>
              <w:t>修复治理面积33.78</w:t>
            </w:r>
            <w:r>
              <w:rPr>
                <w:rFonts w:hint="eastAsia"/>
                <w:color w:val="000000" w:themeColor="text1"/>
                <w:sz w:val="24"/>
                <w:szCs w:val="24"/>
                <w:lang w:val="en-US" w:eastAsia="zh-CN"/>
                <w14:textFill>
                  <w14:solidFill>
                    <w14:schemeClr w14:val="tx1"/>
                  </w14:solidFill>
                </w14:textFill>
              </w:rPr>
              <w:t xml:space="preserve"> </w:t>
            </w:r>
            <w:r>
              <w:rPr>
                <w:rFonts w:hint="default" w:cs="Times New Roman"/>
                <w:color w:val="000000" w:themeColor="text1"/>
                <w14:textFill>
                  <w14:solidFill>
                    <w14:schemeClr w14:val="tx1"/>
                  </w14:solidFill>
                </w14:textFill>
              </w:rPr>
              <w:t>hm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均为临时占地，</w:t>
            </w:r>
            <w:r>
              <w:rPr>
                <w:rFonts w:hint="eastAsia"/>
                <w:color w:val="000000" w:themeColor="text1"/>
                <w:sz w:val="24"/>
                <w:szCs w:val="24"/>
                <w14:textFill>
                  <w14:solidFill>
                    <w14:schemeClr w14:val="tx1"/>
                  </w14:solidFill>
                </w14:textFill>
              </w:rPr>
              <w:t>石方开挖9581.4</w:t>
            </w:r>
            <w:r>
              <w:rPr>
                <w:rFonts w:hint="eastAsia"/>
                <w:color w:val="000000" w:themeColor="text1"/>
                <w:sz w:val="24"/>
                <w:szCs w:val="24"/>
                <w:lang w:val="en-US" w:eastAsia="zh-CN"/>
                <w14:textFill>
                  <w14:solidFill>
                    <w14:schemeClr w14:val="tx1"/>
                  </w14:solidFill>
                </w14:textFill>
              </w:rPr>
              <w:t>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，土方开挖11.79万</w:t>
            </w:r>
            <w:r>
              <w:rPr>
                <w:rFonts w:hint="eastAsia"/>
                <w:color w:val="000000" w:themeColor="text1"/>
                <w:sz w:val="24"/>
                <w:szCs w:val="24"/>
                <w:lang w:val="en-US" w:eastAsia="zh-CN"/>
                <w14:textFill>
                  <w14:solidFill>
                    <w14:schemeClr w14:val="tx1"/>
                  </w14:solidFill>
                </w14:textFill>
              </w:rPr>
              <w:t>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w:t>
            </w:r>
            <w:r>
              <w:rPr>
                <w:rFonts w:hint="eastAsia"/>
                <w:color w:val="000000" w:themeColor="text1"/>
                <w:sz w:val="24"/>
                <w:szCs w:val="24"/>
                <w14:textFill>
                  <w14:solidFill>
                    <w14:schemeClr w14:val="tx1"/>
                  </w14:solidFill>
                </w14:textFill>
              </w:rPr>
              <w:t>清运废弃</w:t>
            </w:r>
            <w:r>
              <w:rPr>
                <w:rFonts w:hint="eastAsia"/>
                <w:color w:val="000000" w:themeColor="text1"/>
                <w:sz w:val="24"/>
                <w:szCs w:val="24"/>
                <w:lang w:eastAsia="zh-CN"/>
                <w14:textFill>
                  <w14:solidFill>
                    <w14:schemeClr w14:val="tx1"/>
                  </w14:solidFill>
                </w14:textFill>
              </w:rPr>
              <w:t>废石</w:t>
            </w:r>
            <w:r>
              <w:rPr>
                <w:rFonts w:hint="eastAsia"/>
                <w:color w:val="000000" w:themeColor="text1"/>
                <w:sz w:val="24"/>
                <w:szCs w:val="24"/>
                <w14:textFill>
                  <w14:solidFill>
                    <w14:schemeClr w14:val="tx1"/>
                  </w14:solidFill>
                </w14:textFill>
              </w:rPr>
              <w:t>2.34万</w:t>
            </w:r>
            <w:r>
              <w:rPr>
                <w:rFonts w:hint="eastAsia"/>
                <w:color w:val="000000" w:themeColor="text1"/>
                <w:sz w:val="24"/>
                <w:szCs w:val="24"/>
                <w:lang w:val="en-US" w:eastAsia="zh-CN"/>
                <w14:textFill>
                  <w14:solidFill>
                    <w14:schemeClr w14:val="tx1"/>
                  </w14:solidFill>
                </w14:textFill>
              </w:rPr>
              <w:t>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，采坑回填渣堆15.03万</w:t>
            </w:r>
            <w:r>
              <w:rPr>
                <w:rFonts w:hint="eastAsia"/>
                <w:color w:val="000000" w:themeColor="text1"/>
                <w:sz w:val="24"/>
                <w:szCs w:val="24"/>
                <w:lang w:val="en-US" w:eastAsia="zh-CN"/>
                <w14:textFill>
                  <w14:solidFill>
                    <w14:schemeClr w14:val="tx1"/>
                  </w14:solidFill>
                </w14:textFill>
              </w:rPr>
              <w:t>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平整</w:t>
            </w:r>
            <w:r>
              <w:rPr>
                <w:rFonts w:hint="eastAsia"/>
                <w:color w:val="000000" w:themeColor="text1"/>
                <w:sz w:val="24"/>
                <w:szCs w:val="24"/>
                <w:lang w:val="en-US" w:eastAsia="zh-CN"/>
                <w14:textFill>
                  <w14:solidFill>
                    <w14:schemeClr w14:val="tx1"/>
                  </w14:solidFill>
                </w14:textFill>
              </w:rPr>
              <w:t>土</w:t>
            </w:r>
            <w:r>
              <w:rPr>
                <w:rFonts w:hint="eastAsia"/>
                <w:color w:val="000000" w:themeColor="text1"/>
                <w:sz w:val="24"/>
                <w:szCs w:val="24"/>
                <w14:textFill>
                  <w14:solidFill>
                    <w14:schemeClr w14:val="tx1"/>
                  </w14:solidFill>
                </w14:textFill>
              </w:rPr>
              <w:t>方8.48万</w:t>
            </w:r>
            <w:r>
              <w:rPr>
                <w:rFonts w:hint="eastAsia"/>
                <w:color w:val="000000" w:themeColor="text1"/>
                <w:sz w:val="24"/>
                <w:szCs w:val="24"/>
                <w:lang w:val="en-US" w:eastAsia="zh-CN"/>
                <w14:textFill>
                  <w14:solidFill>
                    <w14:schemeClr w14:val="tx1"/>
                  </w14:solidFill>
                </w14:textFill>
              </w:rPr>
              <w:t>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修建项目标识牌4块</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设置警示牌12块等</w:t>
            </w:r>
            <w:r>
              <w:rPr>
                <w:color w:val="000000" w:themeColor="text1"/>
                <w:sz w:val="24"/>
                <w:szCs w:val="24"/>
                <w14:textFill>
                  <w14:solidFill>
                    <w14:schemeClr w14:val="tx1"/>
                  </w14:solidFill>
                </w14:textFill>
              </w:rPr>
              <w:t>。</w:t>
            </w:r>
          </w:p>
          <w:p w14:paraId="22BA7C20">
            <w:pPr>
              <w:pStyle w:val="2"/>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项目主要工程内容</w:t>
            </w:r>
          </w:p>
          <w:p w14:paraId="79C15540">
            <w:pPr>
              <w:rPr>
                <w:color w:val="000000" w:themeColor="text1"/>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本项目主要工程内容见表2-2</w:t>
            </w:r>
            <w:r>
              <w:rPr>
                <w:rFonts w:ascii="宋体" w:hAnsi="宋体" w:eastAsia="宋体" w:cs="宋体"/>
                <w:b w:val="0"/>
                <w:bCs w:val="0"/>
                <w:color w:val="000000" w:themeColor="text1"/>
                <w:sz w:val="24"/>
                <w:szCs w:val="24"/>
                <w14:textFill>
                  <w14:solidFill>
                    <w14:schemeClr w14:val="tx1"/>
                  </w14:solidFill>
                </w14:textFill>
              </w:rPr>
              <w:t>。</w:t>
            </w:r>
          </w:p>
          <w:p w14:paraId="51BB7487">
            <w:pPr>
              <w:pStyle w:val="3"/>
              <w:bidi w:val="0"/>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本项目主要工程内容一览表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0"/>
              <w:gridCol w:w="422"/>
              <w:gridCol w:w="818"/>
              <w:gridCol w:w="6238"/>
            </w:tblGrid>
            <w:tr w14:paraId="35808A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noWrap w:val="0"/>
                  <w:vAlign w:val="center"/>
                </w:tcPr>
                <w:p w14:paraId="3CF0A57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b/>
                      <w:bCs/>
                      <w:color w:val="000000" w:themeColor="text1"/>
                      <w14:textFill>
                        <w14:solidFill>
                          <w14:schemeClr w14:val="tx1"/>
                        </w14:solidFill>
                      </w14:textFill>
                    </w:rPr>
                  </w:pPr>
                  <w:r>
                    <w:rPr>
                      <w:b/>
                      <w:bCs/>
                      <w:color w:val="000000" w:themeColor="text1"/>
                      <w14:textFill>
                        <w14:solidFill>
                          <w14:schemeClr w14:val="tx1"/>
                        </w14:solidFill>
                      </w14:textFill>
                    </w:rPr>
                    <w:t>工程类别</w:t>
                  </w:r>
                </w:p>
              </w:tc>
              <w:tc>
                <w:tcPr>
                  <w:tcW w:w="756" w:type="pct"/>
                  <w:gridSpan w:val="2"/>
                  <w:noWrap w:val="0"/>
                  <w:vAlign w:val="center"/>
                </w:tcPr>
                <w:p w14:paraId="12841DE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b/>
                      <w:bCs/>
                      <w:color w:val="000000" w:themeColor="text1"/>
                      <w14:textFill>
                        <w14:solidFill>
                          <w14:schemeClr w14:val="tx1"/>
                        </w14:solidFill>
                      </w14:textFill>
                    </w:rPr>
                  </w:pPr>
                  <w:r>
                    <w:rPr>
                      <w:b/>
                      <w:bCs/>
                      <w:color w:val="000000" w:themeColor="text1"/>
                      <w14:textFill>
                        <w14:solidFill>
                          <w14:schemeClr w14:val="tx1"/>
                        </w14:solidFill>
                      </w14:textFill>
                    </w:rPr>
                    <w:t>工程名称</w:t>
                  </w:r>
                </w:p>
              </w:tc>
              <w:tc>
                <w:tcPr>
                  <w:tcW w:w="3804" w:type="pct"/>
                  <w:noWrap w:val="0"/>
                  <w:vAlign w:val="center"/>
                </w:tcPr>
                <w:p w14:paraId="28CBFB58">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b/>
                      <w:bCs/>
                      <w:color w:val="000000" w:themeColor="text1"/>
                      <w14:textFill>
                        <w14:solidFill>
                          <w14:schemeClr w14:val="tx1"/>
                        </w14:solidFill>
                      </w14:textFill>
                    </w:rPr>
                  </w:pPr>
                  <w:r>
                    <w:rPr>
                      <w:b/>
                      <w:bCs/>
                      <w:color w:val="000000" w:themeColor="text1"/>
                      <w14:textFill>
                        <w14:solidFill>
                          <w14:schemeClr w14:val="tx1"/>
                        </w14:solidFill>
                      </w14:textFill>
                    </w:rPr>
                    <w:t>主要内容</w:t>
                  </w:r>
                </w:p>
              </w:tc>
            </w:tr>
            <w:tr w14:paraId="13AB9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restart"/>
                  <w:noWrap w:val="0"/>
                  <w:vAlign w:val="center"/>
                </w:tcPr>
                <w:p w14:paraId="66383A4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257" w:type="pct"/>
                  <w:vMerge w:val="restart"/>
                  <w:noWrap w:val="0"/>
                  <w:vAlign w:val="center"/>
                </w:tcPr>
                <w:p w14:paraId="271FF8C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生态修复治理工程</w:t>
                  </w:r>
                </w:p>
              </w:tc>
              <w:tc>
                <w:tcPr>
                  <w:tcW w:w="498" w:type="pct"/>
                  <w:noWrap w:val="0"/>
                  <w:vAlign w:val="center"/>
                </w:tcPr>
                <w:p w14:paraId="1B6BACF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DK-01</w:t>
                  </w:r>
                </w:p>
              </w:tc>
              <w:tc>
                <w:tcPr>
                  <w:tcW w:w="3804" w:type="pct"/>
                  <w:noWrap w:val="0"/>
                  <w:vAlign w:val="center"/>
                </w:tcPr>
                <w:p w14:paraId="4D6255B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color w:val="000000" w:themeColor="text1"/>
                      <w:lang w:val="en-US"/>
                      <w14:textFill>
                        <w14:solidFill>
                          <w14:schemeClr w14:val="tx1"/>
                        </w14:solidFill>
                      </w14:textFill>
                    </w:rPr>
                  </w:pPr>
                  <w:r>
                    <w:rPr>
                      <w:color w:val="000000" w:themeColor="text1"/>
                      <w:highlight w:val="none"/>
                      <w14:textFill>
                        <w14:solidFill>
                          <w14:schemeClr w14:val="tx1"/>
                        </w14:solidFill>
                      </w14:textFill>
                    </w:rPr>
                    <w:t>DK-0</w:t>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位于</w:t>
                  </w:r>
                  <w:r>
                    <w:rPr>
                      <w:rFonts w:hint="default"/>
                      <w:color w:val="000000" w:themeColor="text1"/>
                      <w:highlight w:val="none"/>
                      <w14:textFill>
                        <w14:solidFill>
                          <w14:schemeClr w14:val="tx1"/>
                        </w14:solidFill>
                      </w14:textFill>
                    </w:rPr>
                    <w:t>东园镇</w:t>
                  </w:r>
                  <w:r>
                    <w:rPr>
                      <w:rFonts w:hint="eastAsia"/>
                      <w:color w:val="000000" w:themeColor="text1"/>
                      <w:highlight w:val="none"/>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0.84 </w:t>
                  </w:r>
                  <w:r>
                    <w:rPr>
                      <w:rFonts w:hint="eastAsia"/>
                      <w:color w:val="000000" w:themeColor="text1"/>
                      <w:highlight w:val="none"/>
                      <w:lang w:eastAsia="zh-CN"/>
                      <w14:textFill>
                        <w14:solidFill>
                          <w14:schemeClr w14:val="tx1"/>
                        </w14:solidFill>
                      </w14:textFill>
                    </w:rPr>
                    <w:t>hm</w:t>
                  </w:r>
                  <w:r>
                    <w:rPr>
                      <w:rFonts w:hint="eastAsia"/>
                      <w:color w:val="000000" w:themeColor="text1"/>
                      <w:highlight w:val="none"/>
                      <w:vertAlign w:val="superscript"/>
                      <w:lang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共</w:t>
                  </w:r>
                  <w:r>
                    <w:rPr>
                      <w:rFonts w:hint="eastAsia"/>
                      <w:color w:val="000000" w:themeColor="text1"/>
                      <w:lang w:val="en-US" w:eastAsia="zh-CN"/>
                      <w14:textFill>
                        <w14:solidFill>
                          <w14:schemeClr w14:val="tx1"/>
                        </w14:solidFill>
                      </w14:textFill>
                    </w:rPr>
                    <w:t>分为4个小分区，其中2个分区进行边坡治理，2个分区进行土地平整</w:t>
                  </w:r>
                </w:p>
              </w:tc>
            </w:tr>
            <w:tr w14:paraId="2947A5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1AED608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257" w:type="pct"/>
                  <w:vMerge w:val="continue"/>
                  <w:noWrap w:val="0"/>
                  <w:vAlign w:val="center"/>
                </w:tcPr>
                <w:p w14:paraId="0217F18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325C32C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DK-02</w:t>
                  </w:r>
                </w:p>
              </w:tc>
              <w:tc>
                <w:tcPr>
                  <w:tcW w:w="3804" w:type="pct"/>
                  <w:noWrap w:val="0"/>
                  <w:vAlign w:val="center"/>
                </w:tcPr>
                <w:p w14:paraId="3A1B1C7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DK-02位于黄河北岸迎水桥镇</w:t>
                  </w:r>
                  <w:r>
                    <w:rPr>
                      <w:rFonts w:hint="eastAsia"/>
                      <w:color w:val="000000" w:themeColor="text1"/>
                      <w:lang w:eastAsia="zh-CN"/>
                      <w14:textFill>
                        <w14:solidFill>
                          <w14:schemeClr w14:val="tx1"/>
                        </w14:solidFill>
                      </w14:textFill>
                    </w:rPr>
                    <w:t>，治理面积15.4</w:t>
                  </w:r>
                  <w:r>
                    <w:rPr>
                      <w:rFonts w:hint="eastAsia"/>
                      <w:color w:val="000000" w:themeColor="text1"/>
                      <w:lang w:val="en-US" w:eastAsia="zh-CN"/>
                      <w14:textFill>
                        <w14:solidFill>
                          <w14:schemeClr w14:val="tx1"/>
                        </w14:solidFill>
                      </w14:textFill>
                    </w:rPr>
                    <w:t xml:space="preserve">9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共分为7个小分区，其中有3个分区进行地形地貌恢复工程，2个分区进行废弃渣堆回填，1个分区进行边坡削坡整治，1个分区进行采矿坑回填</w:t>
                  </w:r>
                </w:p>
              </w:tc>
            </w:tr>
            <w:tr w14:paraId="7478D5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225C3C0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p>
              </w:tc>
              <w:tc>
                <w:tcPr>
                  <w:tcW w:w="257" w:type="pct"/>
                  <w:vMerge w:val="continue"/>
                  <w:noWrap w:val="0"/>
                  <w:vAlign w:val="center"/>
                </w:tcPr>
                <w:p w14:paraId="0ACB043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1F7A314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3</w:t>
                  </w:r>
                </w:p>
              </w:tc>
              <w:tc>
                <w:tcPr>
                  <w:tcW w:w="3804" w:type="pct"/>
                  <w:noWrap w:val="0"/>
                  <w:vAlign w:val="center"/>
                </w:tcPr>
                <w:p w14:paraId="2CFE0BE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位于黄河北岸迎水桥镇</w:t>
                  </w:r>
                  <w:r>
                    <w:rPr>
                      <w:rFonts w:hint="eastAsia"/>
                      <w:color w:val="000000" w:themeColor="text1"/>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4.34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3治理区主要进行边坡治理</w:t>
                  </w:r>
                </w:p>
              </w:tc>
            </w:tr>
            <w:tr w14:paraId="077F2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2414559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p>
              </w:tc>
              <w:tc>
                <w:tcPr>
                  <w:tcW w:w="257" w:type="pct"/>
                  <w:vMerge w:val="continue"/>
                  <w:noWrap w:val="0"/>
                  <w:vAlign w:val="center"/>
                </w:tcPr>
                <w:p w14:paraId="107918F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09763F2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DK-04</w:t>
                  </w:r>
                </w:p>
              </w:tc>
              <w:tc>
                <w:tcPr>
                  <w:tcW w:w="3804" w:type="pct"/>
                  <w:noWrap w:val="0"/>
                  <w:vAlign w:val="center"/>
                </w:tcPr>
                <w:p w14:paraId="17C6740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14:textFill>
                        <w14:solidFill>
                          <w14:schemeClr w14:val="tx1"/>
                        </w14:solidFill>
                      </w14:textFill>
                    </w:rPr>
                    <w:t>岸</w:t>
                  </w:r>
                  <w:r>
                    <w:rPr>
                      <w:rFonts w:hint="default"/>
                      <w:color w:val="000000" w:themeColor="text1"/>
                      <w14:textFill>
                        <w14:solidFill>
                          <w14:schemeClr w14:val="tx1"/>
                        </w14:solidFill>
                      </w14:textFill>
                    </w:rPr>
                    <w:t>永康镇</w:t>
                  </w:r>
                  <w:r>
                    <w:rPr>
                      <w:rFonts w:hint="eastAsia"/>
                      <w:color w:val="000000" w:themeColor="text1"/>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8.1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共分为4个小分区，其中有3个分区进行土地平整，1个区域进行采矿坑回填，另对边坡进行削坡治理</w:t>
                  </w:r>
                </w:p>
              </w:tc>
            </w:tr>
            <w:tr w14:paraId="6AE0A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7803AE3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p>
              </w:tc>
              <w:tc>
                <w:tcPr>
                  <w:tcW w:w="257" w:type="pct"/>
                  <w:vMerge w:val="continue"/>
                  <w:noWrap w:val="0"/>
                  <w:vAlign w:val="center"/>
                </w:tcPr>
                <w:p w14:paraId="430843B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34CF315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DK-05</w:t>
                  </w:r>
                </w:p>
              </w:tc>
              <w:tc>
                <w:tcPr>
                  <w:tcW w:w="3804" w:type="pct"/>
                  <w:noWrap w:val="0"/>
                  <w:vAlign w:val="center"/>
                </w:tcPr>
                <w:p w14:paraId="7564089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14:textFill>
                        <w14:solidFill>
                          <w14:schemeClr w14:val="tx1"/>
                        </w14:solidFill>
                      </w14:textFill>
                    </w:rPr>
                    <w:t>岸</w:t>
                  </w:r>
                  <w:r>
                    <w:rPr>
                      <w:rFonts w:hint="default"/>
                      <w:color w:val="000000" w:themeColor="text1"/>
                      <w14:textFill>
                        <w14:solidFill>
                          <w14:schemeClr w14:val="tx1"/>
                        </w14:solidFill>
                      </w14:textFill>
                    </w:rPr>
                    <w:t>永康镇</w:t>
                  </w:r>
                  <w:r>
                    <w:rPr>
                      <w:rFonts w:hint="eastAsia"/>
                      <w:color w:val="000000" w:themeColor="text1"/>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2.6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共分为7个小分区，对7个分区均进行土地平整地形地貌恢复工程，另对边坡进行削坡治理</w:t>
                  </w:r>
                </w:p>
              </w:tc>
            </w:tr>
            <w:tr w14:paraId="4A39A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70F374D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p>
              </w:tc>
              <w:tc>
                <w:tcPr>
                  <w:tcW w:w="257" w:type="pct"/>
                  <w:vMerge w:val="continue"/>
                  <w:noWrap w:val="0"/>
                  <w:vAlign w:val="center"/>
                </w:tcPr>
                <w:p w14:paraId="6F4F9F1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5EFB07F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DK-06</w:t>
                  </w:r>
                </w:p>
              </w:tc>
              <w:tc>
                <w:tcPr>
                  <w:tcW w:w="3804" w:type="pct"/>
                  <w:noWrap w:val="0"/>
                  <w:vAlign w:val="center"/>
                </w:tcPr>
                <w:p w14:paraId="3077874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14:textFill>
                        <w14:solidFill>
                          <w14:schemeClr w14:val="tx1"/>
                        </w14:solidFill>
                      </w14:textFill>
                    </w:rPr>
                    <w:t>岸</w:t>
                  </w:r>
                  <w:r>
                    <w:rPr>
                      <w:rFonts w:hint="default"/>
                      <w:color w:val="000000" w:themeColor="text1"/>
                      <w14:textFill>
                        <w14:solidFill>
                          <w14:schemeClr w14:val="tx1"/>
                        </w14:solidFill>
                      </w14:textFill>
                    </w:rPr>
                    <w:t>常乐镇</w:t>
                  </w:r>
                  <w:r>
                    <w:rPr>
                      <w:rFonts w:hint="eastAsia"/>
                      <w:color w:val="000000" w:themeColor="text1"/>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0.65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主要进行形地貌恢复工程及边坡治理</w:t>
                  </w:r>
                </w:p>
              </w:tc>
            </w:tr>
            <w:tr w14:paraId="485D7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0088F9D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p>
              </w:tc>
              <w:tc>
                <w:tcPr>
                  <w:tcW w:w="257" w:type="pct"/>
                  <w:vMerge w:val="continue"/>
                  <w:noWrap w:val="0"/>
                  <w:vAlign w:val="center"/>
                </w:tcPr>
                <w:p w14:paraId="7F3C258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498" w:type="pct"/>
                  <w:noWrap w:val="0"/>
                  <w:vAlign w:val="center"/>
                </w:tcPr>
                <w:p w14:paraId="571619A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DK-07</w:t>
                  </w:r>
                </w:p>
              </w:tc>
              <w:tc>
                <w:tcPr>
                  <w:tcW w:w="3804" w:type="pct"/>
                  <w:noWrap w:val="0"/>
                  <w:vAlign w:val="center"/>
                </w:tcPr>
                <w:p w14:paraId="3A80199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位于</w:t>
                  </w:r>
                  <w:r>
                    <w:rPr>
                      <w:rFonts w:hint="default"/>
                      <w:color w:val="000000" w:themeColor="text1"/>
                      <w14:textFill>
                        <w14:solidFill>
                          <w14:schemeClr w14:val="tx1"/>
                        </w14:solidFill>
                      </w14:textFill>
                    </w:rPr>
                    <w:t>兴仁镇</w:t>
                  </w:r>
                  <w:r>
                    <w:rPr>
                      <w:rFonts w:hint="eastAsia"/>
                      <w:color w:val="000000" w:themeColor="text1"/>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 xml:space="preserve">1.76 </w:t>
                  </w:r>
                  <w:r>
                    <w:rPr>
                      <w:rFonts w:hint="eastAsia"/>
                      <w:color w:val="000000" w:themeColor="text1"/>
                      <w:lang w:eastAsia="zh-CN"/>
                      <w14:textFill>
                        <w14:solidFill>
                          <w14:schemeClr w14:val="tx1"/>
                        </w14:solidFill>
                      </w14:textFill>
                    </w:rPr>
                    <w:t>hm</w:t>
                  </w:r>
                  <w:r>
                    <w:rPr>
                      <w:rFonts w:hint="eastAsia"/>
                      <w:color w:val="000000" w:themeColor="text1"/>
                      <w:vertAlign w:val="superscript"/>
                      <w:lang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主要进行形地貌恢复工程及边坡治理</w:t>
                  </w:r>
                </w:p>
              </w:tc>
            </w:tr>
            <w:tr w14:paraId="4A54C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noWrap w:val="0"/>
                  <w:vAlign w:val="center"/>
                </w:tcPr>
                <w:p w14:paraId="6031373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756" w:type="pct"/>
                  <w:gridSpan w:val="2"/>
                  <w:noWrap w:val="0"/>
                  <w:vAlign w:val="center"/>
                </w:tcPr>
                <w:p w14:paraId="549598C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标识牌</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警示牌设置工程</w:t>
                  </w:r>
                </w:p>
              </w:tc>
              <w:tc>
                <w:tcPr>
                  <w:tcW w:w="3804" w:type="pct"/>
                  <w:noWrap w:val="0"/>
                  <w:vAlign w:val="center"/>
                </w:tcPr>
                <w:p w14:paraId="1F7EB6E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在项目区设置标识牌，标识内容主要包括工程名称、工程简介、项目承建单位单位、项目实施单位、生态环境保护标志、自然灾害警示和建碑日期等信息。在容易产生地质灾害的治理点设置警示牌，防止自然灾害导致人身、财产安全。在DK-01、</w:t>
                  </w:r>
                  <w:r>
                    <w:rPr>
                      <w:rFonts w:hint="default"/>
                      <w:color w:val="000000" w:themeColor="text1"/>
                      <w14:textFill>
                        <w14:solidFill>
                          <w14:schemeClr w14:val="tx1"/>
                        </w14:solidFill>
                      </w14:textFill>
                    </w:rPr>
                    <w:t>DK-03</w:t>
                  </w:r>
                  <w:r>
                    <w:rPr>
                      <w:color w:val="000000" w:themeColor="text1"/>
                      <w14:textFill>
                        <w14:solidFill>
                          <w14:schemeClr w14:val="tx1"/>
                        </w14:solidFill>
                      </w14:textFill>
                    </w:rPr>
                    <w:t>、</w:t>
                  </w:r>
                  <w:r>
                    <w:rPr>
                      <w:rFonts w:hint="default"/>
                      <w:color w:val="000000" w:themeColor="text1"/>
                      <w14:textFill>
                        <w14:solidFill>
                          <w14:schemeClr w14:val="tx1"/>
                        </w14:solidFill>
                      </w14:textFill>
                    </w:rPr>
                    <w:t>DK-06</w:t>
                  </w:r>
                  <w:r>
                    <w:rPr>
                      <w:color w:val="000000" w:themeColor="text1"/>
                      <w14:textFill>
                        <w14:solidFill>
                          <w14:schemeClr w14:val="tx1"/>
                        </w14:solidFill>
                      </w14:textFill>
                    </w:rPr>
                    <w:t>、</w:t>
                  </w:r>
                  <w:r>
                    <w:rPr>
                      <w:rFonts w:hint="default"/>
                      <w:color w:val="000000" w:themeColor="text1"/>
                      <w14:textFill>
                        <w14:solidFill>
                          <w14:schemeClr w14:val="tx1"/>
                        </w14:solidFill>
                      </w14:textFill>
                    </w:rPr>
                    <w:t>DK-07</w:t>
                  </w:r>
                  <w:r>
                    <w:rPr>
                      <w:color w:val="000000" w:themeColor="text1"/>
                      <w14:textFill>
                        <w14:solidFill>
                          <w14:schemeClr w14:val="tx1"/>
                        </w14:solidFill>
                      </w14:textFill>
                    </w:rPr>
                    <w:t>附近交通道路周边设置项目区标识牌；在容易发生自然灾害的区域设置警示牌，设置12块</w:t>
                  </w:r>
                </w:p>
              </w:tc>
            </w:tr>
            <w:tr w14:paraId="07152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restart"/>
                  <w:noWrap w:val="0"/>
                  <w:vAlign w:val="center"/>
                </w:tcPr>
                <w:p w14:paraId="573FDF3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eastAsia" w:eastAsia="宋体"/>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临时工程</w:t>
                  </w:r>
                </w:p>
              </w:tc>
              <w:tc>
                <w:tcPr>
                  <w:tcW w:w="756" w:type="pct"/>
                  <w:gridSpan w:val="2"/>
                  <w:noWrap w:val="0"/>
                  <w:vAlign w:val="center"/>
                </w:tcPr>
                <w:p w14:paraId="545E905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施工</w:t>
                  </w:r>
                  <w:r>
                    <w:rPr>
                      <w:rFonts w:hint="eastAsia" w:ascii="宋体" w:hAnsi="宋体" w:eastAsia="宋体" w:cs="宋体"/>
                      <w:b w:val="0"/>
                      <w:bCs w:val="0"/>
                      <w:color w:val="000000" w:themeColor="text1"/>
                      <w:sz w:val="21"/>
                      <w:szCs w:val="21"/>
                      <w:lang w:val="en-US" w:eastAsia="zh-CN"/>
                      <w14:textFill>
                        <w14:solidFill>
                          <w14:schemeClr w14:val="tx1"/>
                        </w14:solidFill>
                      </w14:textFill>
                    </w:rPr>
                    <w:t>生活</w:t>
                  </w:r>
                  <w:r>
                    <w:rPr>
                      <w:rFonts w:hint="eastAsia"/>
                      <w:color w:val="000000" w:themeColor="text1"/>
                      <w:lang w:val="en-US" w:eastAsia="zh-CN"/>
                      <w14:textFill>
                        <w14:solidFill>
                          <w14:schemeClr w14:val="tx1"/>
                        </w14:solidFill>
                      </w14:textFill>
                    </w:rPr>
                    <w:t>营地</w:t>
                  </w:r>
                </w:p>
              </w:tc>
              <w:tc>
                <w:tcPr>
                  <w:tcW w:w="3804" w:type="pct"/>
                  <w:noWrap w:val="0"/>
                  <w:vAlign w:val="center"/>
                </w:tcPr>
                <w:p w14:paraId="6C4DE37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项目施工人员不在施工区域内住宿，不设置临时施工</w:t>
                  </w:r>
                  <w:r>
                    <w:rPr>
                      <w:rFonts w:hint="eastAsia" w:ascii="宋体" w:hAnsi="宋体" w:eastAsia="宋体" w:cs="宋体"/>
                      <w:b w:val="0"/>
                      <w:bCs w:val="0"/>
                      <w:color w:val="000000" w:themeColor="text1"/>
                      <w:sz w:val="21"/>
                      <w:szCs w:val="21"/>
                      <w:lang w:val="en-US" w:eastAsia="zh-CN"/>
                      <w14:textFill>
                        <w14:solidFill>
                          <w14:schemeClr w14:val="tx1"/>
                        </w14:solidFill>
                      </w14:textFill>
                    </w:rPr>
                    <w:t>生活</w:t>
                  </w:r>
                  <w:r>
                    <w:rPr>
                      <w:rFonts w:hint="eastAsia"/>
                      <w:color w:val="000000" w:themeColor="text1"/>
                      <w:lang w:val="en-US" w:eastAsia="zh-CN"/>
                      <w14:textFill>
                        <w14:solidFill>
                          <w14:schemeClr w14:val="tx1"/>
                        </w14:solidFill>
                      </w14:textFill>
                    </w:rPr>
                    <w:t>营地，施工</w:t>
                  </w:r>
                  <w:r>
                    <w:rPr>
                      <w:rFonts w:hint="eastAsia" w:ascii="宋体" w:hAnsi="宋体" w:eastAsia="宋体" w:cs="宋体"/>
                      <w:b w:val="0"/>
                      <w:bCs w:val="0"/>
                      <w:color w:val="000000" w:themeColor="text1"/>
                      <w:sz w:val="21"/>
                      <w:szCs w:val="21"/>
                      <w:lang w:val="en-US" w:eastAsia="zh-CN"/>
                      <w14:textFill>
                        <w14:solidFill>
                          <w14:schemeClr w14:val="tx1"/>
                        </w14:solidFill>
                      </w14:textFill>
                    </w:rPr>
                    <w:t>生活</w:t>
                  </w:r>
                  <w:r>
                    <w:rPr>
                      <w:rFonts w:hint="eastAsia"/>
                      <w:color w:val="000000" w:themeColor="text1"/>
                      <w:lang w:val="en-US" w:eastAsia="zh-CN"/>
                      <w14:textFill>
                        <w14:solidFill>
                          <w14:schemeClr w14:val="tx1"/>
                        </w14:solidFill>
                      </w14:textFill>
                    </w:rPr>
                    <w:t>营地</w:t>
                  </w:r>
                  <w:r>
                    <w:rPr>
                      <w:rFonts w:hint="eastAsia" w:cs="Times New Roman"/>
                      <w:color w:val="000000" w:themeColor="text1"/>
                      <w:highlight w:val="none"/>
                      <w14:textFill>
                        <w14:solidFill>
                          <w14:schemeClr w14:val="tx1"/>
                        </w14:solidFill>
                      </w14:textFill>
                    </w:rPr>
                    <w:t>依托项目区</w:t>
                  </w:r>
                  <w:r>
                    <w:rPr>
                      <w:rFonts w:hint="eastAsia" w:cs="Times New Roman"/>
                      <w:color w:val="000000" w:themeColor="text1"/>
                      <w:highlight w:val="none"/>
                      <w:lang w:val="en-US" w:eastAsia="zh-CN"/>
                      <w14:textFill>
                        <w14:solidFill>
                          <w14:schemeClr w14:val="tx1"/>
                        </w14:solidFill>
                      </w14:textFill>
                    </w:rPr>
                    <w:t>周边</w:t>
                  </w:r>
                  <w:r>
                    <w:rPr>
                      <w:rFonts w:hint="eastAsia" w:cs="Times New Roman"/>
                      <w:color w:val="000000" w:themeColor="text1"/>
                      <w:highlight w:val="none"/>
                      <w14:textFill>
                        <w14:solidFill>
                          <w14:schemeClr w14:val="tx1"/>
                        </w14:solidFill>
                      </w14:textFill>
                    </w:rPr>
                    <w:t>村庄</w:t>
                  </w:r>
                </w:p>
              </w:tc>
            </w:tr>
            <w:tr w14:paraId="60517D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446C95A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eastAsia" w:cs="Times New Roman"/>
                      <w:b w:val="0"/>
                      <w:bCs w:val="0"/>
                      <w:color w:val="000000" w:themeColor="text1"/>
                      <w:lang w:val="en-US" w:eastAsia="zh-CN"/>
                      <w14:textFill>
                        <w14:solidFill>
                          <w14:schemeClr w14:val="tx1"/>
                        </w14:solidFill>
                      </w14:textFill>
                    </w:rPr>
                  </w:pPr>
                </w:p>
              </w:tc>
              <w:tc>
                <w:tcPr>
                  <w:tcW w:w="756" w:type="pct"/>
                  <w:gridSpan w:val="2"/>
                  <w:noWrap w:val="0"/>
                  <w:vAlign w:val="center"/>
                </w:tcPr>
                <w:p w14:paraId="0E9E03D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eastAsia"/>
                      <w:color w:val="000000" w:themeColor="text1"/>
                      <w:highlight w:val="yellow"/>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堆土场、取弃土场</w:t>
                  </w:r>
                </w:p>
              </w:tc>
              <w:tc>
                <w:tcPr>
                  <w:tcW w:w="3804" w:type="pct"/>
                  <w:noWrap w:val="0"/>
                  <w:vAlign w:val="center"/>
                </w:tcPr>
                <w:p w14:paraId="4022C7C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highlight w:val="yellow"/>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本项目不设置临时堆土场、取弃土场</w:t>
                  </w:r>
                </w:p>
              </w:tc>
            </w:tr>
            <w:tr w14:paraId="21E588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1F2C4BA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left"/>
                    <w:textAlignment w:val="auto"/>
                    <w:rPr>
                      <w:rFonts w:hint="eastAsia"/>
                      <w:color w:val="000000" w:themeColor="text1"/>
                      <w:lang w:val="en-US" w:eastAsia="zh-CN"/>
                      <w14:textFill>
                        <w14:solidFill>
                          <w14:schemeClr w14:val="tx1"/>
                        </w14:solidFill>
                      </w14:textFill>
                    </w:rPr>
                  </w:pPr>
                </w:p>
              </w:tc>
              <w:tc>
                <w:tcPr>
                  <w:tcW w:w="756" w:type="pct"/>
                  <w:gridSpan w:val="2"/>
                  <w:noWrap w:val="0"/>
                  <w:vAlign w:val="center"/>
                </w:tcPr>
                <w:p w14:paraId="6985EA4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施工便道</w:t>
                  </w:r>
                </w:p>
              </w:tc>
              <w:tc>
                <w:tcPr>
                  <w:tcW w:w="3804" w:type="pct"/>
                  <w:noWrap w:val="0"/>
                  <w:vAlign w:val="center"/>
                </w:tcPr>
                <w:p w14:paraId="47EA65D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lang w:val="en-US"/>
                      <w14:textFill>
                        <w14:solidFill>
                          <w14:schemeClr w14:val="tx1"/>
                        </w14:solidFill>
                      </w14:textFill>
                    </w:rPr>
                  </w:pPr>
                  <w:r>
                    <w:rPr>
                      <w:rFonts w:hint="default"/>
                      <w:color w:val="000000" w:themeColor="text1"/>
                      <w:lang w:val="en-US" w:eastAsia="zh-CN"/>
                      <w14:textFill>
                        <w14:solidFill>
                          <w14:schemeClr w14:val="tx1"/>
                        </w14:solidFill>
                      </w14:textFill>
                    </w:rPr>
                    <w:t>治理区周边分布有高速公路、县道、乡道等交通运输道路，交通便利。同时治理区范围内设有施工便道</w:t>
                  </w:r>
                </w:p>
              </w:tc>
            </w:tr>
            <w:tr w14:paraId="00983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36F8090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left"/>
                    <w:textAlignment w:val="auto"/>
                    <w:rPr>
                      <w:rFonts w:hint="eastAsia"/>
                      <w:color w:val="000000" w:themeColor="text1"/>
                      <w:lang w:val="en-US" w:eastAsia="zh-CN"/>
                      <w14:textFill>
                        <w14:solidFill>
                          <w14:schemeClr w14:val="tx1"/>
                        </w14:solidFill>
                      </w14:textFill>
                    </w:rPr>
                  </w:pPr>
                </w:p>
              </w:tc>
              <w:tc>
                <w:tcPr>
                  <w:tcW w:w="756" w:type="pct"/>
                  <w:gridSpan w:val="2"/>
                  <w:noWrap w:val="0"/>
                  <w:vAlign w:val="center"/>
                </w:tcPr>
                <w:p w14:paraId="485456D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施工场地</w:t>
                  </w:r>
                </w:p>
              </w:tc>
              <w:tc>
                <w:tcPr>
                  <w:tcW w:w="3804" w:type="pct"/>
                  <w:noWrap w:val="0"/>
                  <w:vAlign w:val="center"/>
                </w:tcPr>
                <w:p w14:paraId="4ACF03E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施工场地设置在占地范围内，严禁占用占地范围以外的区域</w:t>
                  </w:r>
                </w:p>
              </w:tc>
            </w:tr>
            <w:tr w14:paraId="1E226A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678284C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left"/>
                    <w:textAlignment w:val="auto"/>
                    <w:rPr>
                      <w:rFonts w:hint="eastAsia"/>
                      <w:color w:val="000000" w:themeColor="text1"/>
                      <w:lang w:val="en-US" w:eastAsia="zh-CN"/>
                      <w14:textFill>
                        <w14:solidFill>
                          <w14:schemeClr w14:val="tx1"/>
                        </w14:solidFill>
                      </w14:textFill>
                    </w:rPr>
                  </w:pPr>
                </w:p>
              </w:tc>
              <w:tc>
                <w:tcPr>
                  <w:tcW w:w="756" w:type="pct"/>
                  <w:gridSpan w:val="2"/>
                  <w:noWrap w:val="0"/>
                  <w:vAlign w:val="center"/>
                </w:tcPr>
                <w:p w14:paraId="479D616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施工车辆</w:t>
                  </w:r>
                </w:p>
              </w:tc>
              <w:tc>
                <w:tcPr>
                  <w:tcW w:w="3804" w:type="pct"/>
                  <w:noWrap w:val="0"/>
                  <w:vAlign w:val="center"/>
                </w:tcPr>
                <w:p w14:paraId="71139A4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施工车辆</w:t>
                  </w:r>
                  <w:r>
                    <w:rPr>
                      <w:rFonts w:hint="eastAsia"/>
                      <w:color w:val="000000" w:themeColor="text1"/>
                      <w:lang w:val="en-US" w:eastAsia="zh-CN"/>
                      <w14:textFill>
                        <w14:solidFill>
                          <w14:schemeClr w14:val="tx1"/>
                        </w14:solidFill>
                      </w14:textFill>
                    </w:rPr>
                    <w:t>均停放在占地范围内，严禁占用占地范围以外的区域</w:t>
                  </w:r>
                </w:p>
              </w:tc>
            </w:tr>
            <w:tr w14:paraId="152298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5D0C41D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left"/>
                    <w:textAlignment w:val="auto"/>
                    <w:rPr>
                      <w:rFonts w:hint="eastAsia"/>
                      <w:color w:val="000000" w:themeColor="text1"/>
                      <w:lang w:val="en-US" w:eastAsia="zh-CN"/>
                      <w14:textFill>
                        <w14:solidFill>
                          <w14:schemeClr w14:val="tx1"/>
                        </w14:solidFill>
                      </w14:textFill>
                    </w:rPr>
                  </w:pPr>
                </w:p>
              </w:tc>
              <w:tc>
                <w:tcPr>
                  <w:tcW w:w="756" w:type="pct"/>
                  <w:gridSpan w:val="2"/>
                  <w:noWrap w:val="0"/>
                  <w:vAlign w:val="center"/>
                </w:tcPr>
                <w:p w14:paraId="72F2B81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施工材料</w:t>
                  </w:r>
                </w:p>
              </w:tc>
              <w:tc>
                <w:tcPr>
                  <w:tcW w:w="3804" w:type="pct"/>
                  <w:noWrap w:val="0"/>
                  <w:vAlign w:val="center"/>
                </w:tcPr>
                <w:p w14:paraId="5102C2C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施工材料均堆放在占地范围内，严禁占用占地范围以外的区域</w:t>
                  </w:r>
                </w:p>
              </w:tc>
            </w:tr>
            <w:tr w14:paraId="7FDAB1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restart"/>
                  <w:noWrap w:val="0"/>
                  <w:vAlign w:val="center"/>
                </w:tcPr>
                <w:p w14:paraId="47E0B94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公辅</w:t>
                  </w:r>
                  <w:r>
                    <w:rPr>
                      <w:color w:val="000000" w:themeColor="text1"/>
                      <w14:textFill>
                        <w14:solidFill>
                          <w14:schemeClr w14:val="tx1"/>
                        </w14:solidFill>
                      </w14:textFill>
                    </w:rPr>
                    <w:t>工程</w:t>
                  </w:r>
                </w:p>
              </w:tc>
              <w:tc>
                <w:tcPr>
                  <w:tcW w:w="756" w:type="pct"/>
                  <w:gridSpan w:val="2"/>
                  <w:noWrap w:val="0"/>
                  <w:vAlign w:val="center"/>
                </w:tcPr>
                <w:p w14:paraId="1D743A6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highlight w:val="none"/>
                      <w14:textFill>
                        <w14:solidFill>
                          <w14:schemeClr w14:val="tx1"/>
                        </w14:solidFill>
                      </w14:textFill>
                    </w:rPr>
                    <w:t>供水</w:t>
                  </w:r>
                </w:p>
              </w:tc>
              <w:tc>
                <w:tcPr>
                  <w:tcW w:w="3804" w:type="pct"/>
                  <w:noWrap w:val="0"/>
                  <w:vAlign w:val="center"/>
                </w:tcPr>
                <w:p w14:paraId="0A8492D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施工用水、施工人员生活用水购自周边村镇</w:t>
                  </w:r>
                </w:p>
              </w:tc>
            </w:tr>
            <w:tr w14:paraId="41D2D4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3F6245C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2B761C2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3804" w:type="pct"/>
                  <w:noWrap w:val="0"/>
                  <w:vAlign w:val="center"/>
                </w:tcPr>
                <w:p w14:paraId="1B66F74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eastAsia="宋体"/>
                      <w:color w:val="000000" w:themeColor="text1"/>
                      <w:lang w:val="en-US" w:eastAsia="zh-CN"/>
                      <w14:textFill>
                        <w14:solidFill>
                          <w14:schemeClr w14:val="tx1"/>
                        </w14:solidFill>
                      </w14:textFill>
                    </w:rPr>
                  </w:pPr>
                  <w:r>
                    <w:rPr>
                      <w:rFonts w:hint="eastAsia" w:cs="Times New Roman"/>
                      <w:color w:val="000000" w:themeColor="text1"/>
                      <w:highlight w:val="none"/>
                      <w14:textFill>
                        <w14:solidFill>
                          <w14:schemeClr w14:val="tx1"/>
                        </w14:solidFill>
                      </w14:textFill>
                    </w:rPr>
                    <w:t>生活污水依托</w:t>
                  </w:r>
                  <w:r>
                    <w:rPr>
                      <w:rFonts w:hint="eastAsia" w:cs="Times New Roman"/>
                      <w:color w:val="000000" w:themeColor="text1"/>
                      <w:highlight w:val="none"/>
                      <w:lang w:val="en-US" w:eastAsia="zh-CN"/>
                      <w14:textFill>
                        <w14:solidFill>
                          <w14:schemeClr w14:val="tx1"/>
                        </w14:solidFill>
                      </w14:textFill>
                    </w:rPr>
                    <w:t>周边</w:t>
                  </w:r>
                  <w:r>
                    <w:rPr>
                      <w:rFonts w:hint="eastAsia" w:cs="Times New Roman"/>
                      <w:color w:val="000000" w:themeColor="text1"/>
                      <w:highlight w:val="none"/>
                      <w14:textFill>
                        <w14:solidFill>
                          <w14:schemeClr w14:val="tx1"/>
                        </w14:solidFill>
                      </w14:textFill>
                    </w:rPr>
                    <w:t>村庄旱厕处理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项目区无废水排放</w:t>
                  </w:r>
                </w:p>
              </w:tc>
            </w:tr>
            <w:tr w14:paraId="1DCA31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09EF803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64D0AA3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3804" w:type="pct"/>
                  <w:noWrap w:val="0"/>
                  <w:vAlign w:val="center"/>
                </w:tcPr>
                <w:p w14:paraId="5857A74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依托沿线村镇输电电网</w:t>
                  </w:r>
                </w:p>
              </w:tc>
            </w:tr>
            <w:tr w14:paraId="1845F9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restart"/>
                  <w:noWrap w:val="0"/>
                  <w:vAlign w:val="center"/>
                </w:tcPr>
                <w:p w14:paraId="3B0022A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756" w:type="pct"/>
                  <w:gridSpan w:val="2"/>
                  <w:noWrap w:val="0"/>
                  <w:vAlign w:val="center"/>
                </w:tcPr>
                <w:p w14:paraId="28D5785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废气治理</w:t>
                  </w:r>
                </w:p>
              </w:tc>
              <w:tc>
                <w:tcPr>
                  <w:tcW w:w="3804" w:type="pct"/>
                  <w:noWrap w:val="0"/>
                  <w:vAlign w:val="center"/>
                </w:tcPr>
                <w:p w14:paraId="0AC4D2E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根据施工过程的实际情况，</w:t>
                  </w:r>
                  <w:r>
                    <w:rPr>
                      <w:rFonts w:hint="eastAsia" w:cs="Times New Roman"/>
                      <w:color w:val="000000" w:themeColor="text1"/>
                      <w:lang w:eastAsia="zh-CN"/>
                      <w14:textFill>
                        <w14:solidFill>
                          <w14:schemeClr w14:val="tx1"/>
                        </w14:solidFill>
                      </w14:textFill>
                    </w:rPr>
                    <w:t>施工场地设围栏</w:t>
                  </w:r>
                  <w:r>
                    <w:rPr>
                      <w:rFonts w:hint="eastAsia" w:cs="Times New Roman"/>
                      <w:color w:val="000000" w:themeColor="text1"/>
                      <w14:textFill>
                        <w14:solidFill>
                          <w14:schemeClr w14:val="tx1"/>
                        </w14:solidFill>
                      </w14:textFill>
                    </w:rPr>
                    <w:t>；避免在大风日以及夏季暴雨时节施工，尽可能缩短施工时间；加强施工区的规划管理：如在大风天气，对散料堆场应采用水喷淋法防尘；汽车运输加盖蓬布、控制车速；运输车辆进出的主干道应定期洒水清扫；加强对施工机械、车辆的维修保养；对施工废料设置围栏、定期洒水降尘</w:t>
                  </w:r>
                </w:p>
              </w:tc>
            </w:tr>
            <w:tr w14:paraId="084E4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3C7B782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1F631C9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废水治理</w:t>
                  </w:r>
                </w:p>
              </w:tc>
              <w:tc>
                <w:tcPr>
                  <w:tcW w:w="3804" w:type="pct"/>
                  <w:noWrap w:val="0"/>
                  <w:vAlign w:val="center"/>
                </w:tcPr>
                <w:p w14:paraId="41FC8E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color w:val="000000" w:themeColor="text1"/>
                      <w14:textFill>
                        <w14:solidFill>
                          <w14:schemeClr w14:val="tx1"/>
                        </w14:solidFill>
                      </w14:textFill>
                    </w:rPr>
                  </w:pPr>
                  <w:r>
                    <w:rPr>
                      <w:rFonts w:hint="eastAsia" w:cs="Times New Roman"/>
                      <w:color w:val="000000" w:themeColor="text1"/>
                      <w:highlight w:val="none"/>
                      <w14:textFill>
                        <w14:solidFill>
                          <w14:schemeClr w14:val="tx1"/>
                        </w14:solidFill>
                      </w14:textFill>
                    </w:rPr>
                    <w:t>生活污水依托</w:t>
                  </w:r>
                  <w:r>
                    <w:rPr>
                      <w:rFonts w:hint="eastAsia" w:cs="Times New Roman"/>
                      <w:color w:val="000000" w:themeColor="text1"/>
                      <w:highlight w:val="none"/>
                      <w:lang w:val="en-US" w:eastAsia="zh-CN"/>
                      <w14:textFill>
                        <w14:solidFill>
                          <w14:schemeClr w14:val="tx1"/>
                        </w14:solidFill>
                      </w14:textFill>
                    </w:rPr>
                    <w:t>周边</w:t>
                  </w:r>
                  <w:r>
                    <w:rPr>
                      <w:rFonts w:hint="eastAsia" w:cs="Times New Roman"/>
                      <w:color w:val="000000" w:themeColor="text1"/>
                      <w:highlight w:val="none"/>
                      <w14:textFill>
                        <w14:solidFill>
                          <w14:schemeClr w14:val="tx1"/>
                        </w14:solidFill>
                      </w14:textFill>
                    </w:rPr>
                    <w:t>村庄旱厕处理</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项目区无废水排放</w:t>
                  </w:r>
                </w:p>
              </w:tc>
            </w:tr>
            <w:tr w14:paraId="683B1B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6A4767B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399B4D88">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14:textFill>
                        <w14:solidFill>
                          <w14:schemeClr w14:val="tx1"/>
                        </w14:solidFill>
                      </w14:textFill>
                    </w:rPr>
                    <w:t>噪声治理</w:t>
                  </w:r>
                </w:p>
              </w:tc>
              <w:tc>
                <w:tcPr>
                  <w:tcW w:w="3804" w:type="pct"/>
                  <w:noWrap w:val="0"/>
                  <w:vAlign w:val="center"/>
                </w:tcPr>
                <w:p w14:paraId="1472D92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jc w:val="center"/>
                    <w:textAlignment w:val="auto"/>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合理安排施工时间，禁止在夜间二十二时至次日六时进行产生环境噪声污染的建筑施工作业；优化运输路线，车辆应避免经过敏感路段；选用低噪声设备，分片区施工；同一施工地点应避免安排大量动力机械设备</w:t>
                  </w:r>
                </w:p>
              </w:tc>
            </w:tr>
            <w:tr w14:paraId="2B0B67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3BB6721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733ED96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固废治理</w:t>
                  </w:r>
                </w:p>
              </w:tc>
              <w:tc>
                <w:tcPr>
                  <w:tcW w:w="3804" w:type="pct"/>
                  <w:noWrap w:val="0"/>
                  <w:vAlign w:val="center"/>
                </w:tcPr>
                <w:p w14:paraId="500C779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本项目不在厂区内对机械设备维修，不产生危废，</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施工期的固体废弃物主要来源为</w:t>
                  </w:r>
                  <w:r>
                    <w:rPr>
                      <w:rFonts w:hint="eastAsia" w:cs="Times New Roman"/>
                      <w:color w:val="000000" w:themeColor="text1"/>
                      <w:kern w:val="0"/>
                      <w:sz w:val="21"/>
                      <w:szCs w:val="21"/>
                      <w:highlight w:val="none"/>
                      <w:lang w:val="en-US" w:eastAsia="zh-CN" w:bidi="ar-SA"/>
                      <w14:textFill>
                        <w14:solidFill>
                          <w14:schemeClr w14:val="tx1"/>
                        </w14:solidFill>
                      </w14:textFill>
                    </w:rPr>
                    <w:t>废石</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及生活垃圾。生活垃圾集中分类收集后送至邻近村庄生活垃圾收集点，由当地环卫部门统一清运处置</w:t>
                  </w:r>
                  <w:r>
                    <w:rPr>
                      <w:rFonts w:hint="eastAsia" w:cs="Times New Roman"/>
                      <w:color w:val="000000" w:themeColor="text1"/>
                      <w:kern w:val="0"/>
                      <w:sz w:val="21"/>
                      <w:szCs w:val="21"/>
                      <w:highlight w:val="none"/>
                      <w:lang w:val="en-US" w:eastAsia="zh-CN" w:bidi="ar-SA"/>
                      <w14:textFill>
                        <w14:solidFill>
                          <w14:schemeClr w14:val="tx1"/>
                        </w14:solidFill>
                      </w14:textFill>
                    </w:rPr>
                    <w:t>；废石就近回填采坑</w:t>
                  </w:r>
                </w:p>
              </w:tc>
            </w:tr>
            <w:tr w14:paraId="2CD9FB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vMerge w:val="continue"/>
                  <w:noWrap w:val="0"/>
                  <w:vAlign w:val="center"/>
                </w:tcPr>
                <w:p w14:paraId="5111497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p>
              </w:tc>
              <w:tc>
                <w:tcPr>
                  <w:tcW w:w="756" w:type="pct"/>
                  <w:gridSpan w:val="2"/>
                  <w:noWrap w:val="0"/>
                  <w:vAlign w:val="center"/>
                </w:tcPr>
                <w:p w14:paraId="66BF884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color w:val="000000" w:themeColor="text1"/>
                      <w:highlight w:val="none"/>
                      <w14:textFill>
                        <w14:solidFill>
                          <w14:schemeClr w14:val="tx1"/>
                        </w14:solidFill>
                      </w14:textFill>
                    </w:rPr>
                    <w:t>生态保护</w:t>
                  </w:r>
                </w:p>
              </w:tc>
              <w:tc>
                <w:tcPr>
                  <w:tcW w:w="3804" w:type="pct"/>
                  <w:noWrap w:val="0"/>
                  <w:vAlign w:val="center"/>
                </w:tcPr>
                <w:p w14:paraId="1B4D7AD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严格控制施工区域占地及周边动植物保护，合理规划修复治理顺序；项目区不设置施工生活营地；施工场地设置施工围挡、定期洒水降尘、运输车辆加盖篷布</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边坡治理、地形地貌恢复等工程对工程区进行生态修复</w:t>
                  </w:r>
                </w:p>
              </w:tc>
            </w:tr>
          </w:tbl>
          <w:p w14:paraId="4AB367F6">
            <w:pPr>
              <w:pStyle w:val="2"/>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项目工程量汇总</w:t>
            </w:r>
          </w:p>
          <w:p w14:paraId="5F294FCA">
            <w:pPr>
              <w:tabs>
                <w:tab w:val="left" w:pos="861"/>
              </w:tabs>
              <w:ind w:firstLine="454" w:firstLineChars="200"/>
              <w:jc w:val="left"/>
              <w:rPr>
                <w:b/>
                <w:color w:val="000000" w:themeColor="text1"/>
                <w:sz w:val="24"/>
                <w14:textFill>
                  <w14:solidFill>
                    <w14:schemeClr w14:val="tx1"/>
                  </w14:solidFill>
                </w14:textFill>
              </w:rPr>
            </w:pPr>
            <w:r>
              <w:rPr>
                <w:color w:val="000000" w:themeColor="text1"/>
                <w:kern w:val="0"/>
                <w:sz w:val="24"/>
                <w:lang w:bidi="ar"/>
                <w14:textFill>
                  <w14:solidFill>
                    <w14:schemeClr w14:val="tx1"/>
                  </w14:solidFill>
                </w14:textFill>
              </w:rPr>
              <w:t>本项目生态修复工程量汇总见表2-</w:t>
            </w:r>
            <w:r>
              <w:rPr>
                <w:rFonts w:hint="eastAsia"/>
                <w:color w:val="000000" w:themeColor="text1"/>
                <w:kern w:val="0"/>
                <w:sz w:val="24"/>
                <w:lang w:val="en-US" w:eastAsia="zh-CN" w:bidi="ar"/>
                <w14:textFill>
                  <w14:solidFill>
                    <w14:schemeClr w14:val="tx1"/>
                  </w14:solidFill>
                </w14:textFill>
              </w:rPr>
              <w:t>3</w:t>
            </w:r>
            <w:r>
              <w:rPr>
                <w:color w:val="000000" w:themeColor="text1"/>
                <w:kern w:val="0"/>
                <w:sz w:val="24"/>
                <w:lang w:bidi="ar"/>
                <w14:textFill>
                  <w14:solidFill>
                    <w14:schemeClr w14:val="tx1"/>
                  </w14:solidFill>
                </w14:textFill>
              </w:rPr>
              <w:t>。</w:t>
            </w:r>
          </w:p>
          <w:p w14:paraId="22AAF2DD">
            <w:pPr>
              <w:pStyle w:val="3"/>
              <w:bidi w:val="0"/>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生态修复工程量汇总表</w:t>
            </w:r>
          </w:p>
          <w:tbl>
            <w:tblPr>
              <w:tblStyle w:val="8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502"/>
              <w:gridCol w:w="962"/>
              <w:gridCol w:w="5"/>
              <w:gridCol w:w="2729"/>
            </w:tblGrid>
            <w:tr w14:paraId="4139A7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7413A4E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建设内容</w:t>
                  </w:r>
                </w:p>
              </w:tc>
              <w:tc>
                <w:tcPr>
                  <w:tcW w:w="964" w:type="dxa"/>
                  <w:tcBorders>
                    <w:tl2br w:val="nil"/>
                    <w:tr2bl w:val="nil"/>
                  </w:tcBorders>
                  <w:noWrap w:val="0"/>
                  <w:vAlign w:val="center"/>
                </w:tcPr>
                <w:p w14:paraId="45E9DAF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单位</w:t>
                  </w:r>
                </w:p>
              </w:tc>
              <w:tc>
                <w:tcPr>
                  <w:tcW w:w="2741" w:type="dxa"/>
                  <w:gridSpan w:val="2"/>
                  <w:tcBorders>
                    <w:tl2br w:val="nil"/>
                    <w:tr2bl w:val="nil"/>
                  </w:tcBorders>
                  <w:noWrap w:val="0"/>
                  <w:vAlign w:val="center"/>
                </w:tcPr>
                <w:p w14:paraId="5E608F0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工程量</w:t>
                  </w:r>
                </w:p>
              </w:tc>
            </w:tr>
            <w:tr w14:paraId="18E864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219" w:type="dxa"/>
                  <w:gridSpan w:val="4"/>
                  <w:tcBorders>
                    <w:tl2br w:val="nil"/>
                    <w:tr2bl w:val="nil"/>
                  </w:tcBorders>
                  <w:noWrap w:val="0"/>
                  <w:vAlign w:val="center"/>
                </w:tcPr>
                <w:p w14:paraId="447F724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b/>
                      <w:bCs/>
                      <w:color w:val="000000" w:themeColor="text1"/>
                      <w14:textFill>
                        <w14:solidFill>
                          <w14:schemeClr w14:val="tx1"/>
                        </w14:solidFill>
                      </w14:textFill>
                    </w:rPr>
                    <w:t>边坡削坡治理工程</w:t>
                  </w:r>
                </w:p>
              </w:tc>
            </w:tr>
            <w:tr w14:paraId="34B267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2362967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石方开挖（机械，V-VIII类）</w:t>
                  </w:r>
                </w:p>
              </w:tc>
              <w:tc>
                <w:tcPr>
                  <w:tcW w:w="969" w:type="dxa"/>
                  <w:gridSpan w:val="2"/>
                  <w:tcBorders>
                    <w:tl2br w:val="nil"/>
                    <w:tr2bl w:val="nil"/>
                  </w:tcBorders>
                  <w:noWrap w:val="0"/>
                  <w:vAlign w:val="center"/>
                </w:tcPr>
                <w:p w14:paraId="539C732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6224F2A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9581.4</w:t>
                  </w:r>
                </w:p>
              </w:tc>
            </w:tr>
            <w:tr w14:paraId="48E1F1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541213A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土方开挖（机械，IV类）</w:t>
                  </w:r>
                </w:p>
              </w:tc>
              <w:tc>
                <w:tcPr>
                  <w:tcW w:w="969" w:type="dxa"/>
                  <w:gridSpan w:val="2"/>
                  <w:tcBorders>
                    <w:tl2br w:val="nil"/>
                    <w:tr2bl w:val="nil"/>
                  </w:tcBorders>
                  <w:noWrap w:val="0"/>
                  <w:vAlign w:val="center"/>
                </w:tcPr>
                <w:p w14:paraId="7591F76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2D6CA90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900</w:t>
                  </w:r>
                </w:p>
              </w:tc>
            </w:tr>
            <w:tr w14:paraId="44876A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219" w:type="dxa"/>
                  <w:gridSpan w:val="4"/>
                  <w:tcBorders>
                    <w:tl2br w:val="nil"/>
                    <w:tr2bl w:val="nil"/>
                  </w:tcBorders>
                  <w:noWrap w:val="0"/>
                  <w:vAlign w:val="center"/>
                </w:tcPr>
                <w:p w14:paraId="3C87701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b/>
                      <w:bCs/>
                      <w:color w:val="000000" w:themeColor="text1"/>
                      <w14:textFill>
                        <w14:solidFill>
                          <w14:schemeClr w14:val="tx1"/>
                        </w14:solidFill>
                      </w14:textFill>
                    </w:rPr>
                    <w:t>地形地貌恢复工程</w:t>
                  </w:r>
                </w:p>
              </w:tc>
            </w:tr>
            <w:tr w14:paraId="3D925E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6578CB7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废石</w:t>
                  </w:r>
                  <w:r>
                    <w:rPr>
                      <w:color w:val="000000" w:themeColor="text1"/>
                      <w14:textFill>
                        <w14:solidFill>
                          <w14:schemeClr w14:val="tx1"/>
                        </w14:solidFill>
                      </w14:textFill>
                    </w:rPr>
                    <w:t>清运（运距0-0.5km）</w:t>
                  </w:r>
                </w:p>
              </w:tc>
              <w:tc>
                <w:tcPr>
                  <w:tcW w:w="969" w:type="dxa"/>
                  <w:gridSpan w:val="2"/>
                  <w:tcBorders>
                    <w:tl2br w:val="nil"/>
                    <w:tr2bl w:val="nil"/>
                  </w:tcBorders>
                  <w:noWrap w:val="0"/>
                  <w:vAlign w:val="center"/>
                </w:tcPr>
                <w:p w14:paraId="45EF0F3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28ADA24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23400</w:t>
                  </w:r>
                </w:p>
              </w:tc>
            </w:tr>
            <w:tr w14:paraId="2AA4F7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205C1DB8">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推土机推石渣（距离10-20m）</w:t>
                  </w:r>
                </w:p>
              </w:tc>
              <w:tc>
                <w:tcPr>
                  <w:tcW w:w="969" w:type="dxa"/>
                  <w:gridSpan w:val="2"/>
                  <w:tcBorders>
                    <w:tl2br w:val="nil"/>
                    <w:tr2bl w:val="nil"/>
                  </w:tcBorders>
                  <w:noWrap w:val="0"/>
                  <w:vAlign w:val="center"/>
                </w:tcPr>
                <w:p w14:paraId="33C7EDF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0E1A4336">
                  <w:pPr>
                    <w:pStyle w:val="34"/>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13000</w:t>
                  </w:r>
                </w:p>
              </w:tc>
            </w:tr>
            <w:tr w14:paraId="5B947F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1EBCEF6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推土机推石渣（距离20-30m）</w:t>
                  </w:r>
                </w:p>
              </w:tc>
              <w:tc>
                <w:tcPr>
                  <w:tcW w:w="969" w:type="dxa"/>
                  <w:gridSpan w:val="2"/>
                  <w:tcBorders>
                    <w:tl2br w:val="nil"/>
                    <w:tr2bl w:val="nil"/>
                  </w:tcBorders>
                  <w:noWrap w:val="0"/>
                  <w:vAlign w:val="center"/>
                </w:tcPr>
                <w:p w14:paraId="5A08B7D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42415BB1">
                  <w:pPr>
                    <w:pStyle w:val="34"/>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27500</w:t>
                  </w:r>
                </w:p>
              </w:tc>
            </w:tr>
            <w:tr w14:paraId="13DF7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0ACB901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推土机推石渣（距离30-40m）</w:t>
                  </w:r>
                </w:p>
              </w:tc>
              <w:tc>
                <w:tcPr>
                  <w:tcW w:w="969" w:type="dxa"/>
                  <w:gridSpan w:val="2"/>
                  <w:tcBorders>
                    <w:tl2br w:val="nil"/>
                    <w:tr2bl w:val="nil"/>
                  </w:tcBorders>
                  <w:noWrap w:val="0"/>
                  <w:vAlign w:val="center"/>
                </w:tcPr>
                <w:p w14:paraId="221BB3D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131940E6">
                  <w:pPr>
                    <w:pStyle w:val="34"/>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109800</w:t>
                  </w:r>
                </w:p>
              </w:tc>
            </w:tr>
            <w:tr w14:paraId="1202B7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7D3BA6A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推土机推土（IV类土，10-20m）</w:t>
                  </w:r>
                </w:p>
              </w:tc>
              <w:tc>
                <w:tcPr>
                  <w:tcW w:w="969" w:type="dxa"/>
                  <w:gridSpan w:val="2"/>
                  <w:tcBorders>
                    <w:tl2br w:val="nil"/>
                    <w:tr2bl w:val="nil"/>
                  </w:tcBorders>
                  <w:noWrap w:val="0"/>
                  <w:vAlign w:val="center"/>
                </w:tcPr>
                <w:p w14:paraId="5AAA9E0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2F2F1154">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6100</w:t>
                  </w:r>
                </w:p>
              </w:tc>
            </w:tr>
            <w:tr w14:paraId="66B9FB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13C7138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推土机推土（IV类土，20-30m）</w:t>
                  </w:r>
                </w:p>
              </w:tc>
              <w:tc>
                <w:tcPr>
                  <w:tcW w:w="969" w:type="dxa"/>
                  <w:gridSpan w:val="2"/>
                  <w:tcBorders>
                    <w:tl2br w:val="nil"/>
                    <w:tr2bl w:val="nil"/>
                  </w:tcBorders>
                  <w:noWrap w:val="0"/>
                  <w:vAlign w:val="center"/>
                </w:tcPr>
                <w:p w14:paraId="31BA3DC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68A870F1">
                  <w:pPr>
                    <w:pStyle w:val="34"/>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17000</w:t>
                  </w:r>
                </w:p>
              </w:tc>
            </w:tr>
            <w:tr w14:paraId="0A586F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4156801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推土机推土（IV类土，30-40m）</w:t>
                  </w:r>
                </w:p>
              </w:tc>
              <w:tc>
                <w:tcPr>
                  <w:tcW w:w="969" w:type="dxa"/>
                  <w:gridSpan w:val="2"/>
                  <w:tcBorders>
                    <w:tl2br w:val="nil"/>
                    <w:tr2bl w:val="nil"/>
                  </w:tcBorders>
                  <w:noWrap w:val="0"/>
                  <w:vAlign w:val="center"/>
                </w:tcPr>
                <w:p w14:paraId="79D087A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m</w:t>
                  </w:r>
                  <w:r>
                    <w:rPr>
                      <w:rFonts w:ascii="Times New Roman" w:hAnsi="Times New Roman" w:eastAsia="宋体" w:cs="Times New Roman"/>
                      <w:color w:val="000000" w:themeColor="text1"/>
                      <w:vertAlign w:val="superscript"/>
                      <w14:textFill>
                        <w14:solidFill>
                          <w14:schemeClr w14:val="tx1"/>
                        </w14:solidFill>
                      </w14:textFill>
                    </w:rPr>
                    <w:t>3</w:t>
                  </w:r>
                </w:p>
              </w:tc>
              <w:tc>
                <w:tcPr>
                  <w:tcW w:w="2736" w:type="dxa"/>
                  <w:tcBorders>
                    <w:tl2br w:val="nil"/>
                    <w:tr2bl w:val="nil"/>
                  </w:tcBorders>
                  <w:noWrap w:val="0"/>
                  <w:vAlign w:val="center"/>
                </w:tcPr>
                <w:p w14:paraId="33911754">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61700</w:t>
                  </w:r>
                </w:p>
              </w:tc>
            </w:tr>
            <w:tr w14:paraId="537020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219" w:type="dxa"/>
                  <w:gridSpan w:val="4"/>
                  <w:tcBorders>
                    <w:tl2br w:val="nil"/>
                    <w:tr2bl w:val="nil"/>
                  </w:tcBorders>
                  <w:noWrap w:val="0"/>
                  <w:vAlign w:val="center"/>
                </w:tcPr>
                <w:p w14:paraId="2508A22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b/>
                      <w:bCs/>
                      <w:color w:val="000000" w:themeColor="text1"/>
                      <w14:textFill>
                        <w14:solidFill>
                          <w14:schemeClr w14:val="tx1"/>
                        </w14:solidFill>
                      </w14:textFill>
                    </w:rPr>
                    <w:t>基础设施配置</w:t>
                  </w:r>
                </w:p>
              </w:tc>
            </w:tr>
            <w:tr w14:paraId="0519D2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3E723B6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标识牌</w:t>
                  </w:r>
                </w:p>
              </w:tc>
              <w:tc>
                <w:tcPr>
                  <w:tcW w:w="969" w:type="dxa"/>
                  <w:gridSpan w:val="2"/>
                  <w:tcBorders>
                    <w:tl2br w:val="nil"/>
                    <w:tr2bl w:val="nil"/>
                  </w:tcBorders>
                  <w:noWrap w:val="0"/>
                  <w:vAlign w:val="center"/>
                </w:tcPr>
                <w:p w14:paraId="065FB51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块</w:t>
                  </w:r>
                </w:p>
              </w:tc>
              <w:tc>
                <w:tcPr>
                  <w:tcW w:w="2736" w:type="dxa"/>
                  <w:tcBorders>
                    <w:tl2br w:val="nil"/>
                    <w:tr2bl w:val="nil"/>
                  </w:tcBorders>
                  <w:noWrap w:val="0"/>
                  <w:vAlign w:val="center"/>
                </w:tcPr>
                <w:p w14:paraId="794CF36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4</w:t>
                  </w:r>
                </w:p>
              </w:tc>
            </w:tr>
            <w:tr w14:paraId="05CA90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14" w:type="dxa"/>
                  <w:tcBorders>
                    <w:tl2br w:val="nil"/>
                    <w:tr2bl w:val="nil"/>
                  </w:tcBorders>
                  <w:noWrap w:val="0"/>
                  <w:vAlign w:val="center"/>
                </w:tcPr>
                <w:p w14:paraId="7DC8D37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警示牌</w:t>
                  </w:r>
                </w:p>
              </w:tc>
              <w:tc>
                <w:tcPr>
                  <w:tcW w:w="969" w:type="dxa"/>
                  <w:gridSpan w:val="2"/>
                  <w:tcBorders>
                    <w:tl2br w:val="nil"/>
                    <w:tr2bl w:val="nil"/>
                  </w:tcBorders>
                  <w:noWrap w:val="0"/>
                  <w:vAlign w:val="center"/>
                </w:tcPr>
                <w:p w14:paraId="7C228F2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块</w:t>
                  </w:r>
                </w:p>
              </w:tc>
              <w:tc>
                <w:tcPr>
                  <w:tcW w:w="2736" w:type="dxa"/>
                  <w:tcBorders>
                    <w:tl2br w:val="nil"/>
                    <w:tr2bl w:val="nil"/>
                  </w:tcBorders>
                  <w:noWrap w:val="0"/>
                  <w:vAlign w:val="center"/>
                </w:tcPr>
                <w:p w14:paraId="75245C8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t>12</w:t>
                  </w:r>
                </w:p>
              </w:tc>
            </w:tr>
          </w:tbl>
          <w:p w14:paraId="6E417ADB">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6、主要工程参数</w:t>
            </w:r>
          </w:p>
          <w:p w14:paraId="51B88B2F">
            <w:pPr>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1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⑴</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DK-01主要工程参数</w:t>
            </w:r>
          </w:p>
          <w:p w14:paraId="598D80AD">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60DCC2AD">
            <w:pPr>
              <w:bidi w:val="0"/>
              <w:rPr>
                <w:rFonts w:hint="eastAsia" w:ascii="Times New Roman" w:hAnsi="Times New Roman" w:eastAsia="宋体" w:cs="Times New Roman"/>
                <w:color w:val="000000" w:themeColor="text1"/>
                <w:spacing w:val="-5"/>
                <w:sz w:val="24"/>
                <w:szCs w:val="24"/>
                <w:lang w:eastAsia="zh-CN"/>
                <w14:textFill>
                  <w14:solidFill>
                    <w14:schemeClr w14:val="tx1"/>
                  </w14:solidFill>
                </w14:textFill>
              </w:rPr>
            </w:pPr>
            <w:r>
              <w:rPr>
                <w:rFonts w:hint="default"/>
                <w:color w:val="000000" w:themeColor="text1"/>
                <w:lang w:val="en-US" w:eastAsia="zh-CN"/>
                <w14:textFill>
                  <w14:solidFill>
                    <w14:schemeClr w14:val="tx1"/>
                  </w14:solidFill>
                </w14:textFill>
              </w:rPr>
              <w:t>设计将治理区边坡治理区1进行削坡处理，根据现场实际情况，坡面削坡后坡比系数为2</w:t>
            </w:r>
            <w:r>
              <w:rPr>
                <w:rFonts w:hint="eastAsia"/>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spacing w:val="-5"/>
                <w:sz w:val="24"/>
                <w:szCs w:val="24"/>
                <w14:textFill>
                  <w14:solidFill>
                    <w14:schemeClr w14:val="tx1"/>
                  </w14:solidFill>
                </w14:textFill>
              </w:rPr>
              <w:t>经计算，边坡治理削坡土方量为60697m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3</w:t>
            </w:r>
            <w:r>
              <w:rPr>
                <w:rFonts w:hint="eastAsia" w:cs="Times New Roman"/>
                <w:color w:val="000000" w:themeColor="text1"/>
                <w:spacing w:val="-5"/>
                <w:sz w:val="24"/>
                <w:szCs w:val="24"/>
                <w:lang w:eastAsia="zh-CN"/>
                <w14:textFill>
                  <w14:solidFill>
                    <w14:schemeClr w14:val="tx1"/>
                  </w14:solidFill>
                </w14:textFill>
              </w:rPr>
              <w:t>。</w:t>
            </w:r>
          </w:p>
          <w:p w14:paraId="4416BA3B">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60EE6A75">
            <w:pPr>
              <w:bidi w:val="0"/>
              <w:rPr>
                <w:rFonts w:hint="eastAsia" w:ascii="Times New Roman" w:hAnsi="Times New Roman" w:eastAsia="宋体" w:cs="Times New Roman"/>
                <w:color w:val="000000" w:themeColor="text1"/>
                <w:spacing w:val="-5"/>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DK-01有渣堆3处，</w:t>
            </w:r>
            <w:r>
              <w:rPr>
                <w:rFonts w:hint="eastAsia" w:ascii="宋体" w:hAnsi="宋体" w:cs="宋体"/>
                <w:b w:val="0"/>
                <w:bCs w:val="0"/>
                <w:color w:val="000000" w:themeColor="text1"/>
                <w:sz w:val="24"/>
                <w:szCs w:val="24"/>
                <w:lang w:val="en-US" w:eastAsia="zh-CN"/>
                <w14:textFill>
                  <w14:solidFill>
                    <w14:schemeClr w14:val="tx1"/>
                  </w14:solidFill>
                </w14:textFill>
              </w:rPr>
              <w:t>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为一般工业固体废物，</w:t>
            </w:r>
            <w:r>
              <w:rPr>
                <w:rFonts w:hint="eastAsia" w:cs="Times New Roman"/>
                <w:color w:val="000000" w:themeColor="text1"/>
                <w:spacing w:val="-5"/>
                <w:sz w:val="24"/>
                <w:szCs w:val="24"/>
                <w:lang w:val="en-US" w:eastAsia="zh-CN"/>
                <w14:textFill>
                  <w14:solidFill>
                    <w14:schemeClr w14:val="tx1"/>
                  </w14:solidFill>
                </w14:textFill>
              </w:rPr>
              <w:t>渣堆</w:t>
            </w:r>
            <w:r>
              <w:rPr>
                <w:rFonts w:hint="default" w:ascii="Times New Roman" w:hAnsi="Times New Roman" w:eastAsia="宋体" w:cs="Times New Roman"/>
                <w:color w:val="000000" w:themeColor="text1"/>
                <w:spacing w:val="-5"/>
                <w:sz w:val="24"/>
                <w:szCs w:val="24"/>
                <w14:textFill>
                  <w14:solidFill>
                    <w14:schemeClr w14:val="tx1"/>
                  </w14:solidFill>
                </w14:textFill>
              </w:rPr>
              <w:t>占地面积约189.6m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4"/>
                <w:szCs w:val="24"/>
                <w14:textFill>
                  <w14:solidFill>
                    <w14:schemeClr w14:val="tx1"/>
                  </w14:solidFill>
                </w14:textFill>
              </w:rPr>
              <w:t>，</w:t>
            </w:r>
            <w:r>
              <w:rPr>
                <w:rFonts w:hint="default" w:ascii="Times New Roman" w:hAnsi="Times New Roman" w:eastAsia="宋体" w:cs="Times New Roman"/>
                <w:color w:val="000000" w:themeColor="text1"/>
                <w:spacing w:val="-2"/>
                <w:sz w:val="24"/>
                <w:szCs w:val="24"/>
                <w14:textFill>
                  <w14:solidFill>
                    <w14:schemeClr w14:val="tx1"/>
                  </w14:solidFill>
                </w14:textFill>
              </w:rPr>
              <w:t>渣堆</w:t>
            </w:r>
            <w:r>
              <w:rPr>
                <w:rFonts w:hint="eastAsia" w:cs="Times New Roman"/>
                <w:color w:val="000000" w:themeColor="text1"/>
                <w:spacing w:val="-2"/>
                <w:sz w:val="24"/>
                <w:szCs w:val="24"/>
                <w:lang w:val="en-US" w:eastAsia="zh-CN"/>
                <w14:textFill>
                  <w14:solidFill>
                    <w14:schemeClr w14:val="tx1"/>
                  </w14:solidFill>
                </w14:textFill>
              </w:rPr>
              <w:t>回填</w:t>
            </w:r>
            <w:r>
              <w:rPr>
                <w:rFonts w:hint="default" w:ascii="Times New Roman" w:hAnsi="Times New Roman" w:eastAsia="宋体" w:cs="Times New Roman"/>
                <w:color w:val="000000" w:themeColor="text1"/>
                <w:spacing w:val="-2"/>
                <w:sz w:val="24"/>
                <w:szCs w:val="24"/>
                <w14:textFill>
                  <w14:solidFill>
                    <w14:schemeClr w14:val="tx1"/>
                  </w14:solidFill>
                </w14:textFill>
              </w:rPr>
              <w:t>量为2969.3m</w:t>
            </w:r>
            <w:r>
              <w:rPr>
                <w:rFonts w:hint="eastAsia" w:ascii="Times New Roman" w:hAnsi="Times New Roman" w:eastAsia="宋体" w:cs="Times New Roman"/>
                <w:color w:val="000000" w:themeColor="text1"/>
                <w:spacing w:val="-2"/>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pacing w:val="-2"/>
                <w:sz w:val="24"/>
                <w:szCs w:val="24"/>
                <w:vertAlign w:val="baseline"/>
                <w:lang w:val="en-US" w:eastAsia="zh-CN"/>
                <w14:textFill>
                  <w14:solidFill>
                    <w14:schemeClr w14:val="tx1"/>
                  </w14:solidFill>
                </w14:textFill>
              </w:rPr>
              <w:t>。</w:t>
            </w:r>
          </w:p>
          <w:p w14:paraId="7BA365A5">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default"/>
                <w:color w:val="000000" w:themeColor="text1"/>
                <w14:textFill>
                  <w14:solidFill>
                    <w14:schemeClr w14:val="tx1"/>
                  </w14:solidFill>
                </w14:textFill>
              </w:rPr>
              <w:t>标识碑与警示牌设置</w:t>
            </w:r>
          </w:p>
          <w:p w14:paraId="34FF1818">
            <w:pPr>
              <w:bidi w:val="0"/>
              <w:rPr>
                <w:rFonts w:hint="default" w:ascii="Times New Roman" w:hAnsi="Times New Roman" w:eastAsia="宋体" w:cs="Times New Roman"/>
                <w:color w:val="000000" w:themeColor="text1"/>
                <w:spacing w:val="-5"/>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标志碑</w:t>
            </w:r>
            <w:r>
              <w:rPr>
                <w:rFonts w:hint="default" w:ascii="Times New Roman" w:hAnsi="Times New Roman" w:eastAsia="宋体" w:cs="Times New Roman"/>
                <w:color w:val="000000" w:themeColor="text1"/>
                <w:spacing w:val="-6"/>
                <w:sz w:val="24"/>
                <w:szCs w:val="24"/>
                <w14:textFill>
                  <w14:solidFill>
                    <w14:schemeClr w14:val="tx1"/>
                  </w14:solidFill>
                </w14:textFill>
              </w:rPr>
              <w:t>由基座与碑体</w:t>
            </w:r>
            <w:r>
              <w:rPr>
                <w:rFonts w:hint="default" w:ascii="Times New Roman" w:hAnsi="Times New Roman" w:eastAsia="宋体" w:cs="Times New Roman"/>
                <w:color w:val="000000" w:themeColor="text1"/>
                <w:spacing w:val="-4"/>
                <w:sz w:val="24"/>
                <w:szCs w:val="24"/>
                <w14:textFill>
                  <w14:solidFill>
                    <w14:schemeClr w14:val="tx1"/>
                  </w14:solidFill>
                </w14:textFill>
              </w:rPr>
              <w:t>组成，其中基座为混凝土或浆砌石，长2.50m，宽0.8m，高0.60m；碑体采用浆砌砖结构，墙体表面贴瓷砖，标识牌长2m，</w:t>
            </w:r>
            <w:r>
              <w:rPr>
                <w:rFonts w:hint="default" w:ascii="Times New Roman" w:hAnsi="Times New Roman" w:eastAsia="宋体" w:cs="Times New Roman"/>
                <w:color w:val="000000" w:themeColor="text1"/>
                <w:spacing w:val="-5"/>
                <w:sz w:val="24"/>
                <w:szCs w:val="24"/>
                <w14:textFill>
                  <w14:solidFill>
                    <w14:schemeClr w14:val="tx1"/>
                  </w14:solidFill>
                </w14:textFill>
              </w:rPr>
              <w:t>厚0.30m，高1.80m。</w:t>
            </w:r>
            <w:r>
              <w:rPr>
                <w:rFonts w:hint="default" w:ascii="Times New Roman" w:hAnsi="Times New Roman" w:eastAsia="宋体" w:cs="Times New Roman"/>
                <w:color w:val="000000" w:themeColor="text1"/>
                <w:spacing w:val="-6"/>
                <w:sz w:val="24"/>
                <w:szCs w:val="24"/>
                <w14:textFill>
                  <w14:solidFill>
                    <w14:schemeClr w14:val="tx1"/>
                  </w14:solidFill>
                </w14:textFill>
              </w:rPr>
              <w:t>基座埋设于地面以下0.4m。</w:t>
            </w:r>
            <w:r>
              <w:rPr>
                <w:rFonts w:hint="default" w:ascii="Times New Roman" w:hAnsi="Times New Roman" w:eastAsia="宋体" w:cs="Times New Roman"/>
                <w:color w:val="000000" w:themeColor="text1"/>
                <w:spacing w:val="-5"/>
                <w:sz w:val="24"/>
                <w:szCs w:val="24"/>
                <w14:textFill>
                  <w14:solidFill>
                    <w14:schemeClr w14:val="tx1"/>
                  </w14:solidFill>
                </w14:textFill>
              </w:rPr>
              <w:t>DK-01片区共设置标志碑1座，警示牌3座。</w:t>
            </w:r>
          </w:p>
          <w:p w14:paraId="17F55605">
            <w:pPr>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2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⑵</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DK-02主要工程参数</w:t>
            </w:r>
          </w:p>
          <w:p w14:paraId="1D98F07B">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6B452BC1">
            <w:pPr>
              <w:bidi w:val="0"/>
              <w:rPr>
                <w:rFonts w:hint="eastAsia" w:ascii="Times New Roman" w:hAnsi="Times New Roman" w:eastAsia="宋体" w:cs="Times New Roman"/>
                <w:color w:val="000000" w:themeColor="text1"/>
                <w:spacing w:val="-5"/>
                <w:sz w:val="24"/>
                <w:szCs w:val="24"/>
                <w:lang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设计将治理区边坡治理区削坡处理，根据现场实</w:t>
            </w:r>
            <w:r>
              <w:rPr>
                <w:rFonts w:hint="default" w:ascii="Times New Roman" w:hAnsi="Times New Roman" w:eastAsia="宋体" w:cs="Times New Roman"/>
                <w:color w:val="000000" w:themeColor="text1"/>
                <w:spacing w:val="-5"/>
                <w:sz w:val="24"/>
                <w:szCs w:val="24"/>
                <w14:textFill>
                  <w14:solidFill>
                    <w14:schemeClr w14:val="tx1"/>
                  </w14:solidFill>
                </w14:textFill>
              </w:rPr>
              <w:t>际情况，边坡高度为</w:t>
            </w:r>
            <w:r>
              <w:rPr>
                <w:rFonts w:hint="default" w:ascii="Times New Roman" w:hAnsi="Times New Roman" w:eastAsia="宋体" w:cs="Times New Roman"/>
                <w:color w:val="000000" w:themeColor="text1"/>
                <w:spacing w:val="-10"/>
                <w:sz w:val="24"/>
                <w:szCs w:val="24"/>
                <w14:textFill>
                  <w14:solidFill>
                    <w14:schemeClr w14:val="tx1"/>
                  </w14:solidFill>
                </w14:textFill>
              </w:rPr>
              <w:t>7.6m，坡面削坡后坡比系数为2</w:t>
            </w:r>
            <w:r>
              <w:rPr>
                <w:rFonts w:hint="eastAsia" w:ascii="Times New Roman" w:hAnsi="Times New Roman" w:eastAsia="宋体" w:cs="Times New Roman"/>
                <w:color w:val="000000" w:themeColor="text1"/>
                <w:spacing w:val="-10"/>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5"/>
                <w:sz w:val="24"/>
                <w:szCs w:val="24"/>
                <w14:textFill>
                  <w14:solidFill>
                    <w14:schemeClr w14:val="tx1"/>
                  </w14:solidFill>
                </w14:textFill>
              </w:rPr>
              <w:t>经计算，边坡治理削坡土方量为</w:t>
            </w:r>
            <w:r>
              <w:rPr>
                <w:rFonts w:hint="default" w:ascii="Times New Roman" w:hAnsi="Times New Roman" w:eastAsia="宋体" w:cs="Times New Roman"/>
                <w:color w:val="000000" w:themeColor="text1"/>
                <w:spacing w:val="-5"/>
                <w:sz w:val="24"/>
                <w:szCs w:val="24"/>
                <w:lang w:val="en-US" w:eastAsia="zh-CN"/>
                <w14:textFill>
                  <w14:solidFill>
                    <w14:schemeClr w14:val="tx1"/>
                  </w14:solidFill>
                </w14:textFill>
              </w:rPr>
              <w:t>93913.4</w:t>
            </w:r>
            <w:r>
              <w:rPr>
                <w:rFonts w:hint="default" w:ascii="Times New Roman" w:hAnsi="Times New Roman" w:eastAsia="宋体" w:cs="Times New Roman"/>
                <w:color w:val="000000" w:themeColor="text1"/>
                <w:spacing w:val="-5"/>
                <w:sz w:val="24"/>
                <w:szCs w:val="24"/>
                <w14:textFill>
                  <w14:solidFill>
                    <w14:schemeClr w14:val="tx1"/>
                  </w14:solidFill>
                </w14:textFill>
              </w:rPr>
              <w:t>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5"/>
                <w:sz w:val="24"/>
                <w:szCs w:val="24"/>
                <w14:textFill>
                  <w14:solidFill>
                    <w14:schemeClr w14:val="tx1"/>
                  </w14:solidFill>
                </w14:textFill>
              </w:rPr>
              <w:t>，土地平整区域内挖土方量</w:t>
            </w:r>
            <w:r>
              <w:rPr>
                <w:rFonts w:hint="eastAsia" w:ascii="Times New Roman" w:hAnsi="Times New Roman" w:eastAsia="宋体" w:cs="Times New Roman"/>
                <w:color w:val="000000" w:themeColor="text1"/>
                <w:spacing w:val="-5"/>
                <w:sz w:val="24"/>
                <w:szCs w:val="24"/>
                <w:lang w:eastAsia="zh-CN"/>
                <w14:textFill>
                  <w14:solidFill>
                    <w14:schemeClr w14:val="tx1"/>
                  </w14:solidFill>
                </w14:textFill>
              </w:rPr>
              <w:t>。</w:t>
            </w:r>
          </w:p>
          <w:p w14:paraId="5A60102A">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3405A275">
            <w:pPr>
              <w:bidi w:val="0"/>
              <w:rPr>
                <w:rFonts w:hint="eastAsia" w:ascii="Times New Roman" w:hAnsi="Times New Roman" w:eastAsia="宋体" w:cs="Times New Roman"/>
                <w:snapToGrid/>
                <w:color w:val="000000" w:themeColor="text1"/>
                <w:spacing w:val="-4"/>
                <w:kern w:val="2"/>
                <w:sz w:val="24"/>
                <w:szCs w:val="24"/>
                <w:lang w:val="en-US" w:eastAsia="zh-CN"/>
                <w14:textFill>
                  <w14:solidFill>
                    <w14:schemeClr w14:val="tx1"/>
                  </w14:solidFill>
                </w14:textFill>
              </w:rPr>
            </w:pPr>
            <w:r>
              <w:rPr>
                <w:rFonts w:hint="default" w:ascii="Times New Roman" w:hAnsi="Times New Roman" w:eastAsia="宋体" w:cs="Times New Roman"/>
                <w:snapToGrid/>
                <w:color w:val="000000" w:themeColor="text1"/>
                <w:spacing w:val="-4"/>
                <w:kern w:val="2"/>
                <w:sz w:val="24"/>
                <w:szCs w:val="24"/>
                <w:lang w:eastAsia="zh-CN"/>
                <w14:textFill>
                  <w14:solidFill>
                    <w14:schemeClr w14:val="tx1"/>
                  </w14:solidFill>
                </w14:textFill>
              </w:rPr>
              <w:t>治理区涉及6个渣堆，</w:t>
            </w:r>
            <w:r>
              <w:rPr>
                <w:rFonts w:hint="eastAsia" w:ascii="宋体" w:hAnsi="宋体" w:cs="宋体"/>
                <w:b w:val="0"/>
                <w:bCs w:val="0"/>
                <w:color w:val="000000" w:themeColor="text1"/>
                <w:sz w:val="24"/>
                <w:szCs w:val="24"/>
                <w:lang w:val="en-US" w:eastAsia="zh-CN"/>
                <w14:textFill>
                  <w14:solidFill>
                    <w14:schemeClr w14:val="tx1"/>
                  </w14:solidFill>
                </w14:textFill>
              </w:rPr>
              <w:t>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为一般工业固体废物，</w:t>
            </w:r>
            <w:r>
              <w:rPr>
                <w:rFonts w:hint="default" w:ascii="Times New Roman" w:hAnsi="Times New Roman" w:eastAsia="宋体" w:cs="Times New Roman"/>
                <w:snapToGrid/>
                <w:color w:val="000000" w:themeColor="text1"/>
                <w:spacing w:val="-4"/>
                <w:kern w:val="2"/>
                <w:sz w:val="24"/>
                <w:szCs w:val="24"/>
                <w:lang w:eastAsia="zh-CN"/>
                <w14:textFill>
                  <w14:solidFill>
                    <w14:schemeClr w14:val="tx1"/>
                  </w14:solidFill>
                </w14:textFill>
              </w:rPr>
              <w:t>东部渣堆距离采坑距离较远，平均距离为0.5km，东部渣堆清运量为39022.2m</w:t>
            </w:r>
            <w:r>
              <w:rPr>
                <w:rFonts w:hint="default" w:ascii="Times New Roman" w:hAnsi="Times New Roman" w:eastAsia="宋体" w:cs="Times New Roman"/>
                <w:snapToGrid/>
                <w:color w:val="000000" w:themeColor="text1"/>
                <w:spacing w:val="-4"/>
                <w:kern w:val="2"/>
                <w:sz w:val="24"/>
                <w:szCs w:val="24"/>
                <w:vertAlign w:val="superscript"/>
                <w:lang w:eastAsia="zh-CN"/>
                <w14:textFill>
                  <w14:solidFill>
                    <w14:schemeClr w14:val="tx1"/>
                  </w14:solidFill>
                </w14:textFill>
              </w:rPr>
              <w:t>3</w:t>
            </w:r>
            <w:r>
              <w:rPr>
                <w:rFonts w:hint="default" w:ascii="Times New Roman" w:hAnsi="Times New Roman" w:eastAsia="宋体" w:cs="Times New Roman"/>
                <w:snapToGrid/>
                <w:color w:val="000000" w:themeColor="text1"/>
                <w:spacing w:val="-4"/>
                <w:kern w:val="2"/>
                <w:sz w:val="24"/>
                <w:szCs w:val="24"/>
                <w:lang w:eastAsia="zh-CN"/>
                <w14:textFill>
                  <w14:solidFill>
                    <w14:schemeClr w14:val="tx1"/>
                  </w14:solidFill>
                </w14:textFill>
              </w:rPr>
              <w:t>，运距为0.5km；西部渣堆采用推土机推运至采坑内，推运距离40m以内，推土机推石渣量91051.8m</w:t>
            </w:r>
            <w:r>
              <w:rPr>
                <w:rFonts w:hint="default" w:ascii="Times New Roman" w:hAnsi="Times New Roman" w:eastAsia="宋体" w:cs="Times New Roman"/>
                <w:snapToGrid/>
                <w:color w:val="000000" w:themeColor="text1"/>
                <w:spacing w:val="-4"/>
                <w:kern w:val="2"/>
                <w:sz w:val="24"/>
                <w:szCs w:val="24"/>
                <w:vertAlign w:val="superscript"/>
                <w:lang w:eastAsia="zh-CN"/>
                <w14:textFill>
                  <w14:solidFill>
                    <w14:schemeClr w14:val="tx1"/>
                  </w14:solidFill>
                </w14:textFill>
              </w:rPr>
              <w:t>3</w:t>
            </w:r>
            <w:r>
              <w:rPr>
                <w:rFonts w:hint="default" w:ascii="Times New Roman" w:hAnsi="Times New Roman" w:eastAsia="宋体" w:cs="Times New Roman"/>
                <w:snapToGrid/>
                <w:color w:val="000000" w:themeColor="text1"/>
                <w:spacing w:val="-4"/>
                <w:kern w:val="2"/>
                <w:sz w:val="24"/>
                <w:szCs w:val="24"/>
                <w:lang w:eastAsia="zh-CN"/>
                <w14:textFill>
                  <w14:solidFill>
                    <w14:schemeClr w14:val="tx1"/>
                  </w14:solidFill>
                </w14:textFill>
              </w:rPr>
              <w:t>。</w:t>
            </w:r>
          </w:p>
          <w:p w14:paraId="3EB39F19">
            <w:pPr>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3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⑶</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DK-03主要工程参数</w:t>
            </w:r>
          </w:p>
          <w:p w14:paraId="11FD88B5">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221CC782">
            <w:pPr>
              <w:bidi w:val="0"/>
              <w:rPr>
                <w:rFonts w:hint="default" w:ascii="Times New Roman" w:hAnsi="Times New Roman" w:eastAsia="宋体" w:cs="Times New Roman"/>
                <w:color w:val="000000" w:themeColor="text1"/>
                <w:spacing w:val="-3"/>
                <w:sz w:val="24"/>
                <w:szCs w:val="24"/>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据</w:t>
            </w:r>
            <w:r>
              <w:rPr>
                <w:rFonts w:hint="default" w:ascii="Times New Roman" w:hAnsi="Times New Roman" w:eastAsia="宋体" w:cs="Times New Roman"/>
                <w:color w:val="000000" w:themeColor="text1"/>
                <w:spacing w:val="-1"/>
                <w:sz w:val="24"/>
                <w:szCs w:val="24"/>
                <w14:textFill>
                  <w14:solidFill>
                    <w14:schemeClr w14:val="tx1"/>
                  </w14:solidFill>
                </w14:textFill>
              </w:rPr>
              <w:t>现场实际情况，边坡高度为5m，</w:t>
            </w:r>
            <w:r>
              <w:rPr>
                <w:rFonts w:hint="default" w:ascii="Times New Roman" w:hAnsi="Times New Roman" w:eastAsia="宋体" w:cs="Times New Roman"/>
                <w:color w:val="000000" w:themeColor="text1"/>
                <w:spacing w:val="-2"/>
                <w:sz w:val="24"/>
                <w:szCs w:val="24"/>
                <w14:textFill>
                  <w14:solidFill>
                    <w14:schemeClr w14:val="tx1"/>
                  </w14:solidFill>
                </w14:textFill>
              </w:rPr>
              <w:t>边坡治理削坡土方量12714.1</w:t>
            </w:r>
            <w:r>
              <w:rPr>
                <w:rFonts w:hint="default" w:ascii="Times New Roman" w:hAnsi="Times New Roman" w:eastAsia="宋体" w:cs="Times New Roman"/>
                <w:color w:val="000000" w:themeColor="text1"/>
                <w:spacing w:val="-3"/>
                <w:sz w:val="24"/>
                <w:szCs w:val="24"/>
                <w14:textFill>
                  <w14:solidFill>
                    <w14:schemeClr w14:val="tx1"/>
                  </w14:solidFill>
                </w14:textFill>
              </w:rPr>
              <w:t>m</w:t>
            </w:r>
            <w:r>
              <w:rPr>
                <w:rFonts w:hint="eastAsia" w:cs="Times New Roman"/>
                <w:color w:val="000000" w:themeColor="text1"/>
                <w:spacing w:val="-3"/>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3"/>
                <w:sz w:val="24"/>
                <w:szCs w:val="24"/>
                <w14:textFill>
                  <w14:solidFill>
                    <w14:schemeClr w14:val="tx1"/>
                  </w14:solidFill>
                </w14:textFill>
              </w:rPr>
              <w:t>。</w:t>
            </w:r>
          </w:p>
          <w:p w14:paraId="31105AF8">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标识碑与警示牌设置</w:t>
            </w:r>
          </w:p>
          <w:p w14:paraId="7CCD8CE3">
            <w:pPr>
              <w:bidi w:val="0"/>
              <w:rPr>
                <w:rFonts w:hint="eastAsia" w:ascii="Times New Roman" w:hAnsi="Times New Roman" w:eastAsia="宋体" w:cs="Times New Roman"/>
                <w:snapToGrid/>
                <w:color w:val="000000" w:themeColor="text1"/>
                <w:spacing w:val="-4"/>
                <w:kern w:val="2"/>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标志碑</w:t>
            </w:r>
            <w:r>
              <w:rPr>
                <w:rFonts w:hint="default" w:ascii="Times New Roman" w:hAnsi="Times New Roman" w:eastAsia="宋体" w:cs="Times New Roman"/>
                <w:color w:val="000000" w:themeColor="text1"/>
                <w:spacing w:val="-6"/>
                <w:sz w:val="24"/>
                <w:szCs w:val="24"/>
                <w14:textFill>
                  <w14:solidFill>
                    <w14:schemeClr w14:val="tx1"/>
                  </w14:solidFill>
                </w14:textFill>
              </w:rPr>
              <w:t>由基座与碑体</w:t>
            </w:r>
            <w:r>
              <w:rPr>
                <w:rFonts w:hint="default" w:ascii="Times New Roman" w:hAnsi="Times New Roman" w:eastAsia="宋体" w:cs="Times New Roman"/>
                <w:color w:val="000000" w:themeColor="text1"/>
                <w:spacing w:val="-4"/>
                <w:sz w:val="24"/>
                <w:szCs w:val="24"/>
                <w14:textFill>
                  <w14:solidFill>
                    <w14:schemeClr w14:val="tx1"/>
                  </w14:solidFill>
                </w14:textFill>
              </w:rPr>
              <w:t>组成，其中基座为混凝土或浆砌石，长2.50m，宽0.8m，高0.60m；碑体采用浆砌砖结构，墙体表面贴瓷砖，标识牌长2m，</w:t>
            </w:r>
            <w:r>
              <w:rPr>
                <w:rFonts w:hint="default" w:ascii="Times New Roman" w:hAnsi="Times New Roman" w:eastAsia="宋体" w:cs="Times New Roman"/>
                <w:color w:val="000000" w:themeColor="text1"/>
                <w:spacing w:val="-5"/>
                <w:sz w:val="24"/>
                <w:szCs w:val="24"/>
                <w14:textFill>
                  <w14:solidFill>
                    <w14:schemeClr w14:val="tx1"/>
                  </w14:solidFill>
                </w14:textFill>
              </w:rPr>
              <w:t>厚0.30m，高1.80m。</w:t>
            </w:r>
            <w:r>
              <w:rPr>
                <w:rFonts w:hint="default" w:ascii="Times New Roman" w:hAnsi="Times New Roman" w:eastAsia="宋体" w:cs="Times New Roman"/>
                <w:color w:val="000000" w:themeColor="text1"/>
                <w:spacing w:val="-6"/>
                <w:sz w:val="24"/>
                <w:szCs w:val="24"/>
                <w14:textFill>
                  <w14:solidFill>
                    <w14:schemeClr w14:val="tx1"/>
                  </w14:solidFill>
                </w14:textFill>
              </w:rPr>
              <w:t>基座埋设于地面以下0.4m。</w:t>
            </w:r>
            <w:r>
              <w:rPr>
                <w:rFonts w:hint="default" w:ascii="Times New Roman" w:hAnsi="Times New Roman" w:eastAsia="宋体" w:cs="Times New Roman"/>
                <w:color w:val="000000" w:themeColor="text1"/>
                <w:spacing w:val="-5"/>
                <w:sz w:val="24"/>
                <w:szCs w:val="24"/>
                <w14:textFill>
                  <w14:solidFill>
                    <w14:schemeClr w14:val="tx1"/>
                  </w14:solidFill>
                </w14:textFill>
              </w:rPr>
              <w:t>DK-02片区共设置标志碑1座，警示牌3座</w:t>
            </w:r>
            <w:r>
              <w:rPr>
                <w:rFonts w:hint="eastAsia" w:cs="Times New Roman"/>
                <w:color w:val="000000" w:themeColor="text1"/>
                <w:spacing w:val="-5"/>
                <w:sz w:val="24"/>
                <w:szCs w:val="24"/>
                <w:lang w:eastAsia="zh-CN"/>
                <w14:textFill>
                  <w14:solidFill>
                    <w14:schemeClr w14:val="tx1"/>
                  </w14:solidFill>
                </w14:textFill>
              </w:rPr>
              <w:t>。</w:t>
            </w:r>
          </w:p>
          <w:p w14:paraId="29FFE52B">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4 \* GB2 \* MERGEFORMAT </w:instrText>
            </w:r>
            <w:r>
              <w:rPr>
                <w:rFonts w:hint="eastAsia"/>
                <w:color w:val="000000" w:themeColor="text1"/>
                <w14:textFill>
                  <w14:solidFill>
                    <w14:schemeClr w14:val="tx1"/>
                  </w14:solidFill>
                </w14:textFill>
              </w:rPr>
              <w:fldChar w:fldCharType="separate"/>
            </w:r>
            <w:r>
              <w:rPr>
                <w:color w:val="000000" w:themeColor="text1"/>
                <w14:textFill>
                  <w14:solidFill>
                    <w14:schemeClr w14:val="tx1"/>
                  </w14:solidFill>
                </w14:textFill>
              </w:rPr>
              <w:t>⑷</w:t>
            </w:r>
            <w:r>
              <w:rPr>
                <w:rFonts w:hint="eastAsia"/>
                <w:color w:val="000000" w:themeColor="text1"/>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DK-04主要工程参数</w:t>
            </w:r>
          </w:p>
          <w:p w14:paraId="347F12CA">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35538CE9">
            <w:pPr>
              <w:bidi w:val="0"/>
              <w:rPr>
                <w:rFonts w:hint="eastAsia" w:eastAsia="宋体"/>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根据现场实</w:t>
            </w:r>
            <w:r>
              <w:rPr>
                <w:rFonts w:hint="default" w:ascii="Times New Roman" w:hAnsi="Times New Roman" w:eastAsia="宋体" w:cs="Times New Roman"/>
                <w:color w:val="000000" w:themeColor="text1"/>
                <w:spacing w:val="-5"/>
                <w:sz w:val="24"/>
                <w:szCs w:val="24"/>
                <w14:textFill>
                  <w14:solidFill>
                    <w14:schemeClr w14:val="tx1"/>
                  </w14:solidFill>
                </w14:textFill>
              </w:rPr>
              <w:t>际情况，边坡高度为</w:t>
            </w:r>
            <w:r>
              <w:rPr>
                <w:rFonts w:hint="default" w:ascii="Times New Roman" w:hAnsi="Times New Roman" w:eastAsia="宋体" w:cs="Times New Roman"/>
                <w:color w:val="000000" w:themeColor="text1"/>
                <w:sz w:val="24"/>
                <w:szCs w:val="24"/>
                <w14:textFill>
                  <w14:solidFill>
                    <w14:schemeClr w14:val="tx1"/>
                  </w14:solidFill>
                </w14:textFill>
              </w:rPr>
              <w:t>8.68m，坡面削坡后坡比系数为2，</w:t>
            </w:r>
            <w:r>
              <w:rPr>
                <w:rFonts w:hint="default" w:ascii="Times New Roman" w:hAnsi="Times New Roman" w:eastAsia="宋体" w:cs="Times New Roman"/>
                <w:color w:val="000000" w:themeColor="text1"/>
                <w:spacing w:val="-4"/>
                <w:sz w:val="24"/>
                <w:szCs w:val="24"/>
                <w14:textFill>
                  <w14:solidFill>
                    <w14:schemeClr w14:val="tx1"/>
                  </w14:solidFill>
                </w14:textFill>
              </w:rPr>
              <w:t>经计算，边坡治理削坡土方量为14900.4m</w:t>
            </w:r>
            <w:r>
              <w:rPr>
                <w:rFonts w:hint="eastAsia" w:cs="Times New Roman"/>
                <w:color w:val="000000" w:themeColor="text1"/>
                <w:spacing w:val="-4"/>
                <w:sz w:val="24"/>
                <w:szCs w:val="24"/>
                <w:vertAlign w:val="superscript"/>
                <w:lang w:val="en-US" w:eastAsia="zh-CN"/>
                <w14:textFill>
                  <w14:solidFill>
                    <w14:schemeClr w14:val="tx1"/>
                  </w14:solidFill>
                </w14:textFill>
              </w:rPr>
              <w:t>3</w:t>
            </w:r>
            <w:r>
              <w:rPr>
                <w:rFonts w:hint="eastAsia" w:cs="Times New Roman"/>
                <w:color w:val="000000" w:themeColor="text1"/>
                <w:spacing w:val="-4"/>
                <w:sz w:val="24"/>
                <w:szCs w:val="24"/>
                <w:lang w:eastAsia="zh-CN"/>
                <w14:textFill>
                  <w14:solidFill>
                    <w14:schemeClr w14:val="tx1"/>
                  </w14:solidFill>
                </w14:textFill>
              </w:rPr>
              <w:t>。</w:t>
            </w:r>
          </w:p>
          <w:p w14:paraId="3F9DC7DC">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063ED119">
            <w:pPr>
              <w:bidi w:val="0"/>
              <w:rPr>
                <w:rFonts w:hint="eastAsia" w:ascii="Times New Roman" w:hAnsi="Times New Roman" w:eastAsia="宋体" w:cs="Times New Roman"/>
                <w:snapToGrid/>
                <w:color w:val="000000" w:themeColor="text1"/>
                <w:spacing w:val="-4"/>
                <w:kern w:val="2"/>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治理区涉及6个渣堆，</w:t>
            </w:r>
            <w:r>
              <w:rPr>
                <w:rFonts w:hint="eastAsia" w:ascii="宋体" w:hAnsi="宋体" w:cs="宋体"/>
                <w:b w:val="0"/>
                <w:bCs w:val="0"/>
                <w:color w:val="000000" w:themeColor="text1"/>
                <w:sz w:val="24"/>
                <w:szCs w:val="24"/>
                <w:lang w:val="en-US" w:eastAsia="zh-CN"/>
                <w14:textFill>
                  <w14:solidFill>
                    <w14:schemeClr w14:val="tx1"/>
                  </w14:solidFill>
                </w14:textFill>
              </w:rPr>
              <w:t>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为一般工业固体废物，</w:t>
            </w:r>
            <w:r>
              <w:rPr>
                <w:rFonts w:hint="default" w:ascii="Times New Roman" w:hAnsi="Times New Roman" w:eastAsia="宋体" w:cs="Times New Roman"/>
                <w:color w:val="000000" w:themeColor="text1"/>
                <w:spacing w:val="-12"/>
                <w:sz w:val="24"/>
                <w:szCs w:val="24"/>
                <w14:textFill>
                  <w14:solidFill>
                    <w14:schemeClr w14:val="tx1"/>
                  </w14:solidFill>
                </w14:textFill>
              </w:rPr>
              <w:t>东部渣堆距离采坑距离较远，平均距离为0.5km，</w:t>
            </w:r>
            <w:r>
              <w:rPr>
                <w:rFonts w:hint="default" w:ascii="Times New Roman" w:hAnsi="Times New Roman" w:eastAsia="宋体" w:cs="Times New Roman"/>
                <w:color w:val="000000" w:themeColor="text1"/>
                <w:spacing w:val="-4"/>
                <w:sz w:val="24"/>
                <w:szCs w:val="24"/>
                <w14:textFill>
                  <w14:solidFill>
                    <w14:schemeClr w14:val="tx1"/>
                  </w14:solidFill>
                </w14:textFill>
              </w:rPr>
              <w:t>渣堆清运量根据实测地形，渣堆占地面积、平均高度采用圆台体积计算公</w:t>
            </w:r>
            <w:r>
              <w:rPr>
                <w:rFonts w:hint="default" w:ascii="Times New Roman" w:hAnsi="Times New Roman" w:eastAsia="宋体" w:cs="Times New Roman"/>
                <w:color w:val="000000" w:themeColor="text1"/>
                <w:spacing w:val="-5"/>
                <w:sz w:val="24"/>
                <w:szCs w:val="24"/>
                <w14:textFill>
                  <w14:solidFill>
                    <w14:schemeClr w14:val="tx1"/>
                  </w14:solidFill>
                </w14:textFill>
              </w:rPr>
              <w:t>式进行计算，经计算东部渣堆清运量为12007.4m</w:t>
            </w:r>
            <w:r>
              <w:rPr>
                <w:rFonts w:hint="eastAsia" w:cs="Times New Roman"/>
                <w:color w:val="000000" w:themeColor="text1"/>
                <w:spacing w:val="-5"/>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5"/>
                <w:sz w:val="24"/>
                <w:szCs w:val="24"/>
                <w14:textFill>
                  <w14:solidFill>
                    <w14:schemeClr w14:val="tx1"/>
                  </w14:solidFill>
                </w14:textFill>
              </w:rPr>
              <w:t>，运距为0.5km；西</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pacing w:val="-2"/>
                <w:sz w:val="24"/>
                <w:szCs w:val="24"/>
                <w14:textFill>
                  <w14:solidFill>
                    <w14:schemeClr w14:val="tx1"/>
                  </w14:solidFill>
                </w14:textFill>
              </w:rPr>
              <w:t>部渣堆采用推土机推运至采坑内，推运距离40m以内，推土机推石渣量7804.8m</w:t>
            </w:r>
            <w:r>
              <w:rPr>
                <w:rFonts w:hint="eastAsia" w:cs="Times New Roman"/>
                <w:color w:val="000000" w:themeColor="text1"/>
                <w:spacing w:val="-2"/>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2"/>
                <w:sz w:val="24"/>
                <w:szCs w:val="24"/>
                <w14:textFill>
                  <w14:solidFill>
                    <w14:schemeClr w14:val="tx1"/>
                  </w14:solidFill>
                </w14:textFill>
              </w:rPr>
              <w:t>。</w:t>
            </w:r>
          </w:p>
          <w:p w14:paraId="0D58B6E4">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5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⑸</w:t>
            </w:r>
            <w:r>
              <w:rPr>
                <w:rFonts w:hint="eastAsia"/>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DK-05主要工程参数</w:t>
            </w:r>
          </w:p>
          <w:p w14:paraId="738A37C7">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7C3E23D1">
            <w:pPr>
              <w:bidi w:val="0"/>
              <w:rPr>
                <w:rFonts w:hint="eastAsia" w:eastAsia="宋体"/>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根据现场实</w:t>
            </w:r>
            <w:r>
              <w:rPr>
                <w:rFonts w:hint="default" w:ascii="Times New Roman" w:hAnsi="Times New Roman" w:eastAsia="宋体" w:cs="Times New Roman"/>
                <w:color w:val="000000" w:themeColor="text1"/>
                <w:spacing w:val="-5"/>
                <w:sz w:val="24"/>
                <w:szCs w:val="24"/>
                <w14:textFill>
                  <w14:solidFill>
                    <w14:schemeClr w14:val="tx1"/>
                  </w14:solidFill>
                </w14:textFill>
              </w:rPr>
              <w:t>际情况，边坡高度为</w:t>
            </w:r>
            <w:r>
              <w:rPr>
                <w:rFonts w:hint="eastAsia" w:cs="Times New Roman"/>
                <w:color w:val="000000" w:themeColor="text1"/>
                <w:sz w:val="24"/>
                <w:szCs w:val="24"/>
                <w:lang w:val="en-US" w:eastAsia="zh-CN"/>
                <w14:textFill>
                  <w14:solidFill>
                    <w14:schemeClr w14:val="tx1"/>
                  </w14:solidFill>
                </w14:textFill>
              </w:rPr>
              <w:t>5.2</w:t>
            </w:r>
            <w:r>
              <w:rPr>
                <w:rFonts w:hint="default" w:ascii="Times New Roman" w:hAnsi="Times New Roman" w:eastAsia="宋体" w:cs="Times New Roman"/>
                <w:color w:val="000000" w:themeColor="text1"/>
                <w:sz w:val="24"/>
                <w:szCs w:val="24"/>
                <w14:textFill>
                  <w14:solidFill>
                    <w14:schemeClr w14:val="tx1"/>
                  </w14:solidFill>
                </w14:textFill>
              </w:rPr>
              <w:t>m，坡面削坡后坡比系数为2，</w:t>
            </w:r>
            <w:r>
              <w:rPr>
                <w:rFonts w:hint="default" w:ascii="Times New Roman" w:hAnsi="Times New Roman" w:eastAsia="宋体" w:cs="Times New Roman"/>
                <w:color w:val="000000" w:themeColor="text1"/>
                <w:spacing w:val="-4"/>
                <w:sz w:val="24"/>
                <w:szCs w:val="24"/>
                <w14:textFill>
                  <w14:solidFill>
                    <w14:schemeClr w14:val="tx1"/>
                  </w14:solidFill>
                </w14:textFill>
              </w:rPr>
              <w:t>经计算，边坡治理削坡土方量为1</w:t>
            </w:r>
            <w:r>
              <w:rPr>
                <w:rFonts w:hint="eastAsia" w:cs="Times New Roman"/>
                <w:color w:val="000000" w:themeColor="text1"/>
                <w:spacing w:val="-4"/>
                <w:sz w:val="24"/>
                <w:szCs w:val="24"/>
                <w:lang w:val="en-US" w:eastAsia="zh-CN"/>
                <w14:textFill>
                  <w14:solidFill>
                    <w14:schemeClr w14:val="tx1"/>
                  </w14:solidFill>
                </w14:textFill>
              </w:rPr>
              <w:t>98</w:t>
            </w:r>
            <w:r>
              <w:rPr>
                <w:rFonts w:hint="default" w:ascii="Times New Roman" w:hAnsi="Times New Roman" w:eastAsia="宋体" w:cs="Times New Roman"/>
                <w:color w:val="000000" w:themeColor="text1"/>
                <w:spacing w:val="-4"/>
                <w:sz w:val="24"/>
                <w:szCs w:val="24"/>
                <w14:textFill>
                  <w14:solidFill>
                    <w14:schemeClr w14:val="tx1"/>
                  </w14:solidFill>
                </w14:textFill>
              </w:rPr>
              <w:t>00.4m</w:t>
            </w:r>
            <w:r>
              <w:rPr>
                <w:rFonts w:hint="eastAsia" w:cs="Times New Roman"/>
                <w:color w:val="000000" w:themeColor="text1"/>
                <w:spacing w:val="-4"/>
                <w:sz w:val="24"/>
                <w:szCs w:val="24"/>
                <w:vertAlign w:val="superscript"/>
                <w:lang w:val="en-US" w:eastAsia="zh-CN"/>
                <w14:textFill>
                  <w14:solidFill>
                    <w14:schemeClr w14:val="tx1"/>
                  </w14:solidFill>
                </w14:textFill>
              </w:rPr>
              <w:t>3</w:t>
            </w:r>
            <w:r>
              <w:rPr>
                <w:rFonts w:hint="eastAsia" w:cs="Times New Roman"/>
                <w:color w:val="000000" w:themeColor="text1"/>
                <w:spacing w:val="-4"/>
                <w:sz w:val="24"/>
                <w:szCs w:val="24"/>
                <w:lang w:eastAsia="zh-CN"/>
                <w14:textFill>
                  <w14:solidFill>
                    <w14:schemeClr w14:val="tx1"/>
                  </w14:solidFill>
                </w14:textFill>
              </w:rPr>
              <w:t>。</w:t>
            </w:r>
          </w:p>
          <w:p w14:paraId="636278FF">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220FDAEF">
            <w:pPr>
              <w:bidi w:val="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DK-0</w:t>
            </w:r>
            <w:r>
              <w:rPr>
                <w:rFonts w:hint="eastAsia" w:cs="Times New Roman"/>
                <w:color w:val="000000" w:themeColor="text1"/>
                <w:spacing w:val="-5"/>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pacing w:val="-5"/>
                <w:sz w:val="24"/>
                <w:szCs w:val="24"/>
                <w14:textFill>
                  <w14:solidFill>
                    <w14:schemeClr w14:val="tx1"/>
                  </w14:solidFill>
                </w14:textFill>
              </w:rPr>
              <w:t>有渣堆</w:t>
            </w:r>
            <w:r>
              <w:rPr>
                <w:rFonts w:hint="eastAsia" w:cs="Times New Roman"/>
                <w:color w:val="000000" w:themeColor="text1"/>
                <w:spacing w:val="-5"/>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pacing w:val="-5"/>
                <w:sz w:val="24"/>
                <w:szCs w:val="24"/>
                <w14:textFill>
                  <w14:solidFill>
                    <w14:schemeClr w14:val="tx1"/>
                  </w14:solidFill>
                </w14:textFill>
              </w:rPr>
              <w:t>处，</w:t>
            </w:r>
            <w:r>
              <w:rPr>
                <w:rFonts w:hint="eastAsia" w:ascii="宋体" w:hAnsi="宋体" w:cs="宋体"/>
                <w:b w:val="0"/>
                <w:bCs w:val="0"/>
                <w:color w:val="000000" w:themeColor="text1"/>
                <w:sz w:val="24"/>
                <w:szCs w:val="24"/>
                <w:lang w:val="en-US" w:eastAsia="zh-CN"/>
                <w14:textFill>
                  <w14:solidFill>
                    <w14:schemeClr w14:val="tx1"/>
                  </w14:solidFill>
                </w14:textFill>
              </w:rPr>
              <w:t>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为一般工业固体废物，</w:t>
            </w:r>
            <w:r>
              <w:rPr>
                <w:rFonts w:hint="default" w:ascii="Times New Roman" w:hAnsi="Times New Roman" w:eastAsia="宋体" w:cs="Times New Roman"/>
                <w:color w:val="000000" w:themeColor="text1"/>
                <w:spacing w:val="-5"/>
                <w:sz w:val="24"/>
                <w:szCs w:val="24"/>
                <w14:textFill>
                  <w14:solidFill>
                    <w14:schemeClr w14:val="tx1"/>
                  </w14:solidFill>
                </w14:textFill>
              </w:rPr>
              <w:t>占地面积约</w:t>
            </w:r>
            <w:r>
              <w:rPr>
                <w:rFonts w:hint="eastAsia" w:cs="Times New Roman"/>
                <w:color w:val="000000" w:themeColor="text1"/>
                <w:spacing w:val="-5"/>
                <w:sz w:val="24"/>
                <w:szCs w:val="24"/>
                <w:lang w:val="en-US" w:eastAsia="zh-CN"/>
                <w14:textFill>
                  <w14:solidFill>
                    <w14:schemeClr w14:val="tx1"/>
                  </w14:solidFill>
                </w14:textFill>
              </w:rPr>
              <w:t>896.5</w:t>
            </w:r>
            <w:r>
              <w:rPr>
                <w:rFonts w:hint="default" w:ascii="Times New Roman" w:hAnsi="Times New Roman" w:eastAsia="宋体" w:cs="Times New Roman"/>
                <w:color w:val="000000" w:themeColor="text1"/>
                <w:spacing w:val="-5"/>
                <w:sz w:val="24"/>
                <w:szCs w:val="24"/>
                <w14:textFill>
                  <w14:solidFill>
                    <w14:schemeClr w14:val="tx1"/>
                  </w14:solidFill>
                </w14:textFill>
              </w:rPr>
              <w:t>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4"/>
                <w:szCs w:val="24"/>
                <w14:textFill>
                  <w14:solidFill>
                    <w14:schemeClr w14:val="tx1"/>
                  </w14:solidFill>
                </w14:textFill>
              </w:rPr>
              <w:t>，</w:t>
            </w:r>
            <w:r>
              <w:rPr>
                <w:rFonts w:hint="default" w:ascii="Times New Roman" w:hAnsi="Times New Roman" w:eastAsia="宋体" w:cs="Times New Roman"/>
                <w:color w:val="000000" w:themeColor="text1"/>
                <w:spacing w:val="-2"/>
                <w:sz w:val="24"/>
                <w:szCs w:val="24"/>
                <w14:textFill>
                  <w14:solidFill>
                    <w14:schemeClr w14:val="tx1"/>
                  </w14:solidFill>
                </w14:textFill>
              </w:rPr>
              <w:t>渣堆</w:t>
            </w:r>
            <w:r>
              <w:rPr>
                <w:rFonts w:hint="eastAsia" w:cs="Times New Roman"/>
                <w:color w:val="000000" w:themeColor="text1"/>
                <w:spacing w:val="-2"/>
                <w:sz w:val="24"/>
                <w:szCs w:val="24"/>
                <w:lang w:val="en-US" w:eastAsia="zh-CN"/>
                <w14:textFill>
                  <w14:solidFill>
                    <w14:schemeClr w14:val="tx1"/>
                  </w14:solidFill>
                </w14:textFill>
              </w:rPr>
              <w:t>回填</w:t>
            </w:r>
            <w:r>
              <w:rPr>
                <w:rFonts w:hint="default" w:ascii="Times New Roman" w:hAnsi="Times New Roman" w:eastAsia="宋体" w:cs="Times New Roman"/>
                <w:color w:val="000000" w:themeColor="text1"/>
                <w:spacing w:val="-2"/>
                <w:sz w:val="24"/>
                <w:szCs w:val="24"/>
                <w14:textFill>
                  <w14:solidFill>
                    <w14:schemeClr w14:val="tx1"/>
                  </w14:solidFill>
                </w14:textFill>
              </w:rPr>
              <w:t>量为</w:t>
            </w:r>
            <w:r>
              <w:rPr>
                <w:rFonts w:hint="eastAsia" w:cs="Times New Roman"/>
                <w:color w:val="000000" w:themeColor="text1"/>
                <w:spacing w:val="-2"/>
                <w:sz w:val="24"/>
                <w:szCs w:val="24"/>
                <w:lang w:val="en-US" w:eastAsia="zh-CN"/>
                <w14:textFill>
                  <w14:solidFill>
                    <w14:schemeClr w14:val="tx1"/>
                  </w14:solidFill>
                </w14:textFill>
              </w:rPr>
              <w:t>7172</w:t>
            </w:r>
            <w:r>
              <w:rPr>
                <w:rFonts w:hint="default" w:ascii="Times New Roman" w:hAnsi="Times New Roman" w:eastAsia="宋体" w:cs="Times New Roman"/>
                <w:color w:val="000000" w:themeColor="text1"/>
                <w:spacing w:val="-2"/>
                <w:sz w:val="24"/>
                <w:szCs w:val="24"/>
                <w14:textFill>
                  <w14:solidFill>
                    <w14:schemeClr w14:val="tx1"/>
                  </w14:solidFill>
                </w14:textFill>
              </w:rPr>
              <w:t>m</w:t>
            </w:r>
            <w:r>
              <w:rPr>
                <w:rFonts w:hint="eastAsia" w:ascii="Times New Roman" w:hAnsi="Times New Roman" w:eastAsia="宋体" w:cs="Times New Roman"/>
                <w:color w:val="000000" w:themeColor="text1"/>
                <w:spacing w:val="-2"/>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pacing w:val="-2"/>
                <w:sz w:val="24"/>
                <w:szCs w:val="24"/>
                <w:vertAlign w:val="baseline"/>
                <w:lang w:val="en-US" w:eastAsia="zh-CN"/>
                <w14:textFill>
                  <w14:solidFill>
                    <w14:schemeClr w14:val="tx1"/>
                  </w14:solidFill>
                </w14:textFill>
              </w:rPr>
              <w:t>。</w:t>
            </w:r>
          </w:p>
          <w:p w14:paraId="6191A7B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6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⑹</w:t>
            </w:r>
            <w:r>
              <w:rPr>
                <w:rFonts w:hint="eastAsia"/>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DK-06主要工程参数</w:t>
            </w:r>
          </w:p>
          <w:p w14:paraId="255D125D">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1F3BA9A2">
            <w:pPr>
              <w:bidi w:val="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根据现场实</w:t>
            </w:r>
            <w:r>
              <w:rPr>
                <w:rFonts w:hint="default" w:ascii="Times New Roman" w:hAnsi="Times New Roman" w:eastAsia="宋体" w:cs="Times New Roman"/>
                <w:color w:val="000000" w:themeColor="text1"/>
                <w:spacing w:val="-5"/>
                <w:sz w:val="24"/>
                <w:szCs w:val="24"/>
                <w14:textFill>
                  <w14:solidFill>
                    <w14:schemeClr w14:val="tx1"/>
                  </w14:solidFill>
                </w14:textFill>
              </w:rPr>
              <w:t>际情况，边坡高度为</w:t>
            </w:r>
            <w:r>
              <w:rPr>
                <w:rFonts w:hint="eastAsia" w:cs="Times New Roman"/>
                <w:color w:val="000000" w:themeColor="text1"/>
                <w:sz w:val="24"/>
                <w:szCs w:val="24"/>
                <w:lang w:val="en-US" w:eastAsia="zh-CN"/>
                <w14:textFill>
                  <w14:solidFill>
                    <w14:schemeClr w14:val="tx1"/>
                  </w14:solidFill>
                </w14:textFill>
              </w:rPr>
              <w:t>3.4</w:t>
            </w:r>
            <w:r>
              <w:rPr>
                <w:rFonts w:hint="default" w:ascii="Times New Roman" w:hAnsi="Times New Roman" w:eastAsia="宋体" w:cs="Times New Roman"/>
                <w:color w:val="000000" w:themeColor="text1"/>
                <w:sz w:val="24"/>
                <w:szCs w:val="24"/>
                <w14:textFill>
                  <w14:solidFill>
                    <w14:schemeClr w14:val="tx1"/>
                  </w14:solidFill>
                </w14:textFill>
              </w:rPr>
              <w:t>m，坡面削坡后坡比系数为2，</w:t>
            </w:r>
            <w:r>
              <w:rPr>
                <w:rFonts w:hint="default" w:ascii="Times New Roman" w:hAnsi="Times New Roman" w:eastAsia="宋体" w:cs="Times New Roman"/>
                <w:color w:val="000000" w:themeColor="text1"/>
                <w:spacing w:val="-4"/>
                <w:sz w:val="24"/>
                <w:szCs w:val="24"/>
                <w14:textFill>
                  <w14:solidFill>
                    <w14:schemeClr w14:val="tx1"/>
                  </w14:solidFill>
                </w14:textFill>
              </w:rPr>
              <w:t>经计算，边坡治理削坡土方量为1</w:t>
            </w:r>
            <w:r>
              <w:rPr>
                <w:rFonts w:hint="eastAsia" w:cs="Times New Roman"/>
                <w:color w:val="000000" w:themeColor="text1"/>
                <w:spacing w:val="-4"/>
                <w:sz w:val="24"/>
                <w:szCs w:val="24"/>
                <w:lang w:val="en-US" w:eastAsia="zh-CN"/>
                <w14:textFill>
                  <w14:solidFill>
                    <w14:schemeClr w14:val="tx1"/>
                  </w14:solidFill>
                </w14:textFill>
              </w:rPr>
              <w:t>12</w:t>
            </w:r>
            <w:r>
              <w:rPr>
                <w:rFonts w:hint="default" w:ascii="Times New Roman" w:hAnsi="Times New Roman" w:eastAsia="宋体" w:cs="Times New Roman"/>
                <w:color w:val="000000" w:themeColor="text1"/>
                <w:spacing w:val="-4"/>
                <w:sz w:val="24"/>
                <w:szCs w:val="24"/>
                <w14:textFill>
                  <w14:solidFill>
                    <w14:schemeClr w14:val="tx1"/>
                  </w14:solidFill>
                </w14:textFill>
              </w:rPr>
              <w:t>00.</w:t>
            </w:r>
            <w:r>
              <w:rPr>
                <w:rFonts w:hint="eastAsia" w:cs="Times New Roman"/>
                <w:color w:val="000000" w:themeColor="text1"/>
                <w:spacing w:val="-4"/>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pacing w:val="-4"/>
                <w:sz w:val="24"/>
                <w:szCs w:val="24"/>
                <w14:textFill>
                  <w14:solidFill>
                    <w14:schemeClr w14:val="tx1"/>
                  </w14:solidFill>
                </w14:textFill>
              </w:rPr>
              <w:t>m</w:t>
            </w:r>
            <w:r>
              <w:rPr>
                <w:rFonts w:hint="eastAsia" w:cs="Times New Roman"/>
                <w:color w:val="000000" w:themeColor="text1"/>
                <w:spacing w:val="-4"/>
                <w:sz w:val="24"/>
                <w:szCs w:val="24"/>
                <w:vertAlign w:val="superscript"/>
                <w:lang w:val="en-US" w:eastAsia="zh-CN"/>
                <w14:textFill>
                  <w14:solidFill>
                    <w14:schemeClr w14:val="tx1"/>
                  </w14:solidFill>
                </w14:textFill>
              </w:rPr>
              <w:t>3</w:t>
            </w:r>
            <w:r>
              <w:rPr>
                <w:rFonts w:hint="eastAsia" w:cs="Times New Roman"/>
                <w:color w:val="000000" w:themeColor="text1"/>
                <w:spacing w:val="-4"/>
                <w:sz w:val="24"/>
                <w:szCs w:val="24"/>
                <w:lang w:eastAsia="zh-CN"/>
                <w14:textFill>
                  <w14:solidFill>
                    <w14:schemeClr w14:val="tx1"/>
                  </w14:solidFill>
                </w14:textFill>
              </w:rPr>
              <w:t>。</w:t>
            </w:r>
          </w:p>
          <w:p w14:paraId="56C3F260">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1B62BFF0">
            <w:pPr>
              <w:bidi w:val="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DK-0</w:t>
            </w:r>
            <w:r>
              <w:rPr>
                <w:rFonts w:hint="eastAsia" w:cs="Times New Roman"/>
                <w:color w:val="000000" w:themeColor="text1"/>
                <w:spacing w:val="-5"/>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pacing w:val="-5"/>
                <w:sz w:val="24"/>
                <w:szCs w:val="24"/>
                <w14:textFill>
                  <w14:solidFill>
                    <w14:schemeClr w14:val="tx1"/>
                  </w14:solidFill>
                </w14:textFill>
              </w:rPr>
              <w:t>有渣堆</w:t>
            </w:r>
            <w:r>
              <w:rPr>
                <w:rFonts w:hint="eastAsia" w:cs="Times New Roman"/>
                <w:color w:val="000000" w:themeColor="text1"/>
                <w:spacing w:val="-5"/>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pacing w:val="-5"/>
                <w:sz w:val="24"/>
                <w:szCs w:val="24"/>
                <w14:textFill>
                  <w14:solidFill>
                    <w14:schemeClr w14:val="tx1"/>
                  </w14:solidFill>
                </w14:textFill>
              </w:rPr>
              <w:t>处，占地面积约</w:t>
            </w:r>
            <w:r>
              <w:rPr>
                <w:rFonts w:hint="eastAsia" w:cs="Times New Roman"/>
                <w:color w:val="000000" w:themeColor="text1"/>
                <w:spacing w:val="-5"/>
                <w:sz w:val="24"/>
                <w:szCs w:val="24"/>
                <w:lang w:val="en-US" w:eastAsia="zh-CN"/>
                <w14:textFill>
                  <w14:solidFill>
                    <w14:schemeClr w14:val="tx1"/>
                  </w14:solidFill>
                </w14:textFill>
              </w:rPr>
              <w:t>121.3</w:t>
            </w:r>
            <w:r>
              <w:rPr>
                <w:rFonts w:hint="default" w:ascii="Times New Roman" w:hAnsi="Times New Roman" w:eastAsia="宋体" w:cs="Times New Roman"/>
                <w:color w:val="000000" w:themeColor="text1"/>
                <w:spacing w:val="-5"/>
                <w:sz w:val="24"/>
                <w:szCs w:val="24"/>
                <w14:textFill>
                  <w14:solidFill>
                    <w14:schemeClr w14:val="tx1"/>
                  </w14:solidFill>
                </w14:textFill>
              </w:rPr>
              <w:t>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4"/>
                <w:szCs w:val="24"/>
                <w14:textFill>
                  <w14:solidFill>
                    <w14:schemeClr w14:val="tx1"/>
                  </w14:solidFill>
                </w14:textFill>
              </w:rPr>
              <w:t>，</w:t>
            </w:r>
            <w:r>
              <w:rPr>
                <w:rFonts w:hint="default" w:ascii="Times New Roman" w:hAnsi="Times New Roman" w:eastAsia="宋体" w:cs="Times New Roman"/>
                <w:color w:val="000000" w:themeColor="text1"/>
                <w:spacing w:val="-2"/>
                <w:sz w:val="24"/>
                <w:szCs w:val="24"/>
                <w14:textFill>
                  <w14:solidFill>
                    <w14:schemeClr w14:val="tx1"/>
                  </w14:solidFill>
                </w14:textFill>
              </w:rPr>
              <w:t>渣堆</w:t>
            </w:r>
            <w:r>
              <w:rPr>
                <w:rFonts w:hint="eastAsia" w:cs="Times New Roman"/>
                <w:color w:val="000000" w:themeColor="text1"/>
                <w:spacing w:val="-2"/>
                <w:sz w:val="24"/>
                <w:szCs w:val="24"/>
                <w:lang w:val="en-US" w:eastAsia="zh-CN"/>
                <w14:textFill>
                  <w14:solidFill>
                    <w14:schemeClr w14:val="tx1"/>
                  </w14:solidFill>
                </w14:textFill>
              </w:rPr>
              <w:t>回填</w:t>
            </w:r>
            <w:r>
              <w:rPr>
                <w:rFonts w:hint="default" w:ascii="Times New Roman" w:hAnsi="Times New Roman" w:eastAsia="宋体" w:cs="Times New Roman"/>
                <w:color w:val="000000" w:themeColor="text1"/>
                <w:spacing w:val="-2"/>
                <w:sz w:val="24"/>
                <w:szCs w:val="24"/>
                <w14:textFill>
                  <w14:solidFill>
                    <w14:schemeClr w14:val="tx1"/>
                  </w14:solidFill>
                </w14:textFill>
              </w:rPr>
              <w:t>量为</w:t>
            </w:r>
            <w:r>
              <w:rPr>
                <w:rFonts w:hint="eastAsia" w:cs="Times New Roman"/>
                <w:color w:val="000000" w:themeColor="text1"/>
                <w:spacing w:val="-2"/>
                <w:sz w:val="24"/>
                <w:szCs w:val="24"/>
                <w:lang w:val="en-US" w:eastAsia="zh-CN"/>
                <w14:textFill>
                  <w14:solidFill>
                    <w14:schemeClr w14:val="tx1"/>
                  </w14:solidFill>
                </w14:textFill>
              </w:rPr>
              <w:t>1052.5</w:t>
            </w:r>
            <w:r>
              <w:rPr>
                <w:rFonts w:hint="default" w:ascii="Times New Roman" w:hAnsi="Times New Roman" w:eastAsia="宋体" w:cs="Times New Roman"/>
                <w:color w:val="000000" w:themeColor="text1"/>
                <w:spacing w:val="-2"/>
                <w:sz w:val="24"/>
                <w:szCs w:val="24"/>
                <w14:textFill>
                  <w14:solidFill>
                    <w14:schemeClr w14:val="tx1"/>
                  </w14:solidFill>
                </w14:textFill>
              </w:rPr>
              <w:t>m</w:t>
            </w:r>
            <w:r>
              <w:rPr>
                <w:rFonts w:hint="eastAsia" w:ascii="Times New Roman" w:hAnsi="Times New Roman" w:eastAsia="宋体" w:cs="Times New Roman"/>
                <w:color w:val="000000" w:themeColor="text1"/>
                <w:spacing w:val="-2"/>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pacing w:val="-2"/>
                <w:sz w:val="24"/>
                <w:szCs w:val="24"/>
                <w:vertAlign w:val="baseline"/>
                <w:lang w:val="en-US" w:eastAsia="zh-CN"/>
                <w14:textFill>
                  <w14:solidFill>
                    <w14:schemeClr w14:val="tx1"/>
                  </w14:solidFill>
                </w14:textFill>
              </w:rPr>
              <w:t>。</w:t>
            </w:r>
          </w:p>
          <w:p w14:paraId="4992B0D0">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default"/>
                <w:color w:val="000000" w:themeColor="text1"/>
                <w14:textFill>
                  <w14:solidFill>
                    <w14:schemeClr w14:val="tx1"/>
                  </w14:solidFill>
                </w14:textFill>
              </w:rPr>
              <w:t>标识碑与警示牌设置</w:t>
            </w:r>
          </w:p>
          <w:p w14:paraId="3DA9FC38">
            <w:pPr>
              <w:bidi w:val="0"/>
              <w:rPr>
                <w:rFonts w:hint="eastAsia" w:eastAsia="宋体"/>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标志碑</w:t>
            </w:r>
            <w:r>
              <w:rPr>
                <w:rFonts w:hint="default" w:ascii="Times New Roman" w:hAnsi="Times New Roman" w:eastAsia="宋体" w:cs="Times New Roman"/>
                <w:color w:val="000000" w:themeColor="text1"/>
                <w:spacing w:val="-6"/>
                <w:sz w:val="24"/>
                <w:szCs w:val="24"/>
                <w14:textFill>
                  <w14:solidFill>
                    <w14:schemeClr w14:val="tx1"/>
                  </w14:solidFill>
                </w14:textFill>
              </w:rPr>
              <w:t>由基座与碑体</w:t>
            </w:r>
            <w:r>
              <w:rPr>
                <w:rFonts w:hint="default" w:ascii="Times New Roman" w:hAnsi="Times New Roman" w:eastAsia="宋体" w:cs="Times New Roman"/>
                <w:color w:val="000000" w:themeColor="text1"/>
                <w:spacing w:val="-4"/>
                <w:sz w:val="24"/>
                <w:szCs w:val="24"/>
                <w14:textFill>
                  <w14:solidFill>
                    <w14:schemeClr w14:val="tx1"/>
                  </w14:solidFill>
                </w14:textFill>
              </w:rPr>
              <w:t>组成，其中基座为混凝土或浆砌石，长2.50m，宽0.8m，高0.60m；碑体采用浆砌砖结构，墙体表面贴瓷砖，标识牌长2m，</w:t>
            </w:r>
            <w:r>
              <w:rPr>
                <w:rFonts w:hint="default" w:ascii="Times New Roman" w:hAnsi="Times New Roman" w:eastAsia="宋体" w:cs="Times New Roman"/>
                <w:color w:val="000000" w:themeColor="text1"/>
                <w:spacing w:val="-5"/>
                <w:sz w:val="24"/>
                <w:szCs w:val="24"/>
                <w14:textFill>
                  <w14:solidFill>
                    <w14:schemeClr w14:val="tx1"/>
                  </w14:solidFill>
                </w14:textFill>
              </w:rPr>
              <w:t>厚0.30m，高1.80m。</w:t>
            </w:r>
            <w:r>
              <w:rPr>
                <w:rFonts w:hint="default" w:ascii="Times New Roman" w:hAnsi="Times New Roman" w:eastAsia="宋体" w:cs="Times New Roman"/>
                <w:color w:val="000000" w:themeColor="text1"/>
                <w:spacing w:val="-6"/>
                <w:sz w:val="24"/>
                <w:szCs w:val="24"/>
                <w14:textFill>
                  <w14:solidFill>
                    <w14:schemeClr w14:val="tx1"/>
                  </w14:solidFill>
                </w14:textFill>
              </w:rPr>
              <w:t>基座埋设于地面以下0.4m。</w:t>
            </w:r>
            <w:r>
              <w:rPr>
                <w:rFonts w:hint="default" w:ascii="Times New Roman" w:hAnsi="Times New Roman" w:eastAsia="宋体" w:cs="Times New Roman"/>
                <w:color w:val="000000" w:themeColor="text1"/>
                <w:spacing w:val="-5"/>
                <w:sz w:val="24"/>
                <w:szCs w:val="24"/>
                <w14:textFill>
                  <w14:solidFill>
                    <w14:schemeClr w14:val="tx1"/>
                  </w14:solidFill>
                </w14:textFill>
              </w:rPr>
              <w:t>DK-02片区共设置标志碑1座</w:t>
            </w:r>
            <w:r>
              <w:rPr>
                <w:rFonts w:hint="eastAsia" w:cs="Times New Roman"/>
                <w:color w:val="000000" w:themeColor="text1"/>
                <w:spacing w:val="-5"/>
                <w:sz w:val="24"/>
                <w:szCs w:val="24"/>
                <w:lang w:eastAsia="zh-CN"/>
                <w14:textFill>
                  <w14:solidFill>
                    <w14:schemeClr w14:val="tx1"/>
                  </w14:solidFill>
                </w14:textFill>
              </w:rPr>
              <w:t>。</w:t>
            </w:r>
          </w:p>
          <w:p w14:paraId="003244C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7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⑺</w:t>
            </w:r>
            <w:r>
              <w:rPr>
                <w:rFonts w:hint="eastAsia"/>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DK-07主要工程参数</w:t>
            </w:r>
          </w:p>
          <w:p w14:paraId="47DE8B2A">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高边坡治理工程</w:t>
            </w:r>
          </w:p>
          <w:p w14:paraId="351C10C4">
            <w:pPr>
              <w:bidi w:val="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根据现场实</w:t>
            </w:r>
            <w:r>
              <w:rPr>
                <w:rFonts w:hint="default" w:ascii="Times New Roman" w:hAnsi="Times New Roman" w:eastAsia="宋体" w:cs="Times New Roman"/>
                <w:color w:val="000000" w:themeColor="text1"/>
                <w:spacing w:val="-5"/>
                <w:sz w:val="24"/>
                <w:szCs w:val="24"/>
                <w14:textFill>
                  <w14:solidFill>
                    <w14:schemeClr w14:val="tx1"/>
                  </w14:solidFill>
                </w14:textFill>
              </w:rPr>
              <w:t>际情况，边坡高度为</w:t>
            </w:r>
            <w:r>
              <w:rPr>
                <w:rFonts w:hint="eastAsia" w:cs="Times New Roman"/>
                <w:color w:val="000000" w:themeColor="text1"/>
                <w:sz w:val="24"/>
                <w:szCs w:val="24"/>
                <w:lang w:val="en-US" w:eastAsia="zh-CN"/>
                <w14:textFill>
                  <w14:solidFill>
                    <w14:schemeClr w14:val="tx1"/>
                  </w14:solidFill>
                </w14:textFill>
              </w:rPr>
              <w:t>4.1</w:t>
            </w:r>
            <w:r>
              <w:rPr>
                <w:rFonts w:hint="default" w:ascii="Times New Roman" w:hAnsi="Times New Roman" w:eastAsia="宋体" w:cs="Times New Roman"/>
                <w:color w:val="000000" w:themeColor="text1"/>
                <w:sz w:val="24"/>
                <w:szCs w:val="24"/>
                <w14:textFill>
                  <w14:solidFill>
                    <w14:schemeClr w14:val="tx1"/>
                  </w14:solidFill>
                </w14:textFill>
              </w:rPr>
              <w:t>m，坡面削坡后坡比系数为2，</w:t>
            </w:r>
            <w:r>
              <w:rPr>
                <w:rFonts w:hint="default" w:ascii="Times New Roman" w:hAnsi="Times New Roman" w:eastAsia="宋体" w:cs="Times New Roman"/>
                <w:color w:val="000000" w:themeColor="text1"/>
                <w:spacing w:val="-4"/>
                <w:sz w:val="24"/>
                <w:szCs w:val="24"/>
                <w14:textFill>
                  <w14:solidFill>
                    <w14:schemeClr w14:val="tx1"/>
                  </w14:solidFill>
                </w14:textFill>
              </w:rPr>
              <w:t>经计算，边坡治理削坡土方量为1</w:t>
            </w:r>
            <w:r>
              <w:rPr>
                <w:rFonts w:hint="eastAsia" w:cs="Times New Roman"/>
                <w:color w:val="000000" w:themeColor="text1"/>
                <w:spacing w:val="-4"/>
                <w:sz w:val="24"/>
                <w:szCs w:val="24"/>
                <w:lang w:val="en-US" w:eastAsia="zh-CN"/>
                <w14:textFill>
                  <w14:solidFill>
                    <w14:schemeClr w14:val="tx1"/>
                  </w14:solidFill>
                </w14:textFill>
              </w:rPr>
              <w:t>0541</w:t>
            </w:r>
            <w:r>
              <w:rPr>
                <w:rFonts w:hint="default" w:ascii="Times New Roman" w:hAnsi="Times New Roman" w:eastAsia="宋体" w:cs="Times New Roman"/>
                <w:color w:val="000000" w:themeColor="text1"/>
                <w:spacing w:val="-4"/>
                <w:sz w:val="24"/>
                <w:szCs w:val="24"/>
                <w14:textFill>
                  <w14:solidFill>
                    <w14:schemeClr w14:val="tx1"/>
                  </w14:solidFill>
                </w14:textFill>
              </w:rPr>
              <w:t>.</w:t>
            </w:r>
            <w:r>
              <w:rPr>
                <w:rFonts w:hint="eastAsia" w:cs="Times New Roman"/>
                <w:color w:val="000000" w:themeColor="text1"/>
                <w:spacing w:val="-4"/>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pacing w:val="-4"/>
                <w:sz w:val="24"/>
                <w:szCs w:val="24"/>
                <w14:textFill>
                  <w14:solidFill>
                    <w14:schemeClr w14:val="tx1"/>
                  </w14:solidFill>
                </w14:textFill>
              </w:rPr>
              <w:t>m</w:t>
            </w:r>
            <w:r>
              <w:rPr>
                <w:rFonts w:hint="eastAsia" w:cs="Times New Roman"/>
                <w:color w:val="000000" w:themeColor="text1"/>
                <w:spacing w:val="-4"/>
                <w:sz w:val="24"/>
                <w:szCs w:val="24"/>
                <w:vertAlign w:val="superscript"/>
                <w:lang w:val="en-US" w:eastAsia="zh-CN"/>
                <w14:textFill>
                  <w14:solidFill>
                    <w14:schemeClr w14:val="tx1"/>
                  </w14:solidFill>
                </w14:textFill>
              </w:rPr>
              <w:t>3</w:t>
            </w:r>
            <w:r>
              <w:rPr>
                <w:rFonts w:hint="eastAsia" w:cs="Times New Roman"/>
                <w:color w:val="000000" w:themeColor="text1"/>
                <w:spacing w:val="-4"/>
                <w:sz w:val="24"/>
                <w:szCs w:val="24"/>
                <w:lang w:eastAsia="zh-CN"/>
                <w14:textFill>
                  <w14:solidFill>
                    <w14:schemeClr w14:val="tx1"/>
                  </w14:solidFill>
                </w14:textFill>
              </w:rPr>
              <w:t>。</w:t>
            </w:r>
          </w:p>
          <w:p w14:paraId="52801330">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地形地貌恢复工程</w:t>
            </w:r>
          </w:p>
          <w:p w14:paraId="000B67FA">
            <w:pPr>
              <w:bidi w:val="0"/>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DK-0</w:t>
            </w:r>
            <w:r>
              <w:rPr>
                <w:rFonts w:hint="eastAsia" w:cs="Times New Roman"/>
                <w:color w:val="000000" w:themeColor="text1"/>
                <w:spacing w:val="-5"/>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pacing w:val="-5"/>
                <w:sz w:val="24"/>
                <w:szCs w:val="24"/>
                <w14:textFill>
                  <w14:solidFill>
                    <w14:schemeClr w14:val="tx1"/>
                  </w14:solidFill>
                </w14:textFill>
              </w:rPr>
              <w:t>有渣堆</w:t>
            </w:r>
            <w:r>
              <w:rPr>
                <w:rFonts w:hint="eastAsia" w:cs="Times New Roman"/>
                <w:color w:val="000000" w:themeColor="text1"/>
                <w:spacing w:val="-5"/>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pacing w:val="-5"/>
                <w:sz w:val="24"/>
                <w:szCs w:val="24"/>
                <w14:textFill>
                  <w14:solidFill>
                    <w14:schemeClr w14:val="tx1"/>
                  </w14:solidFill>
                </w14:textFill>
              </w:rPr>
              <w:t>处，</w:t>
            </w:r>
            <w:r>
              <w:rPr>
                <w:rFonts w:hint="eastAsia" w:ascii="宋体" w:hAnsi="宋体" w:cs="宋体"/>
                <w:b w:val="0"/>
                <w:bCs w:val="0"/>
                <w:color w:val="000000" w:themeColor="text1"/>
                <w:sz w:val="24"/>
                <w:szCs w:val="24"/>
                <w:lang w:val="en-US" w:eastAsia="zh-CN"/>
                <w14:textFill>
                  <w14:solidFill>
                    <w14:schemeClr w14:val="tx1"/>
                  </w14:solidFill>
                </w14:textFill>
              </w:rPr>
              <w:t>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为一般工业固体废物，</w:t>
            </w:r>
            <w:r>
              <w:rPr>
                <w:rFonts w:hint="default" w:ascii="Times New Roman" w:hAnsi="Times New Roman" w:eastAsia="宋体" w:cs="Times New Roman"/>
                <w:color w:val="000000" w:themeColor="text1"/>
                <w:spacing w:val="-5"/>
                <w:sz w:val="24"/>
                <w:szCs w:val="24"/>
                <w14:textFill>
                  <w14:solidFill>
                    <w14:schemeClr w14:val="tx1"/>
                  </w14:solidFill>
                </w14:textFill>
              </w:rPr>
              <w:t>占地面积约</w:t>
            </w:r>
            <w:r>
              <w:rPr>
                <w:rFonts w:hint="eastAsia" w:cs="Times New Roman"/>
                <w:color w:val="000000" w:themeColor="text1"/>
                <w:spacing w:val="-5"/>
                <w:sz w:val="24"/>
                <w:szCs w:val="24"/>
                <w:lang w:val="en-US" w:eastAsia="zh-CN"/>
                <w14:textFill>
                  <w14:solidFill>
                    <w14:schemeClr w14:val="tx1"/>
                  </w14:solidFill>
                </w14:textFill>
              </w:rPr>
              <w:t>154.6</w:t>
            </w:r>
            <w:r>
              <w:rPr>
                <w:rFonts w:hint="default" w:ascii="Times New Roman" w:hAnsi="Times New Roman" w:eastAsia="宋体" w:cs="Times New Roman"/>
                <w:color w:val="000000" w:themeColor="text1"/>
                <w:spacing w:val="-5"/>
                <w:sz w:val="24"/>
                <w:szCs w:val="24"/>
                <w14:textFill>
                  <w14:solidFill>
                    <w14:schemeClr w14:val="tx1"/>
                  </w14:solidFill>
                </w14:textFill>
              </w:rPr>
              <w:t>m</w:t>
            </w:r>
            <w:r>
              <w:rPr>
                <w:rFonts w:hint="eastAsia" w:ascii="Times New Roman" w:hAnsi="Times New Roman" w:eastAsia="宋体" w:cs="Times New Roman"/>
                <w:color w:val="000000" w:themeColor="text1"/>
                <w:spacing w:val="-5"/>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4"/>
                <w:szCs w:val="24"/>
                <w14:textFill>
                  <w14:solidFill>
                    <w14:schemeClr w14:val="tx1"/>
                  </w14:solidFill>
                </w14:textFill>
              </w:rPr>
              <w:t>，</w:t>
            </w:r>
            <w:r>
              <w:rPr>
                <w:rFonts w:hint="default" w:ascii="Times New Roman" w:hAnsi="Times New Roman" w:eastAsia="宋体" w:cs="Times New Roman"/>
                <w:color w:val="000000" w:themeColor="text1"/>
                <w:spacing w:val="-2"/>
                <w:sz w:val="24"/>
                <w:szCs w:val="24"/>
                <w14:textFill>
                  <w14:solidFill>
                    <w14:schemeClr w14:val="tx1"/>
                  </w14:solidFill>
                </w14:textFill>
              </w:rPr>
              <w:t>渣堆</w:t>
            </w:r>
            <w:r>
              <w:rPr>
                <w:rFonts w:hint="eastAsia" w:cs="Times New Roman"/>
                <w:color w:val="000000" w:themeColor="text1"/>
                <w:spacing w:val="-2"/>
                <w:sz w:val="24"/>
                <w:szCs w:val="24"/>
                <w:lang w:val="en-US" w:eastAsia="zh-CN"/>
                <w14:textFill>
                  <w14:solidFill>
                    <w14:schemeClr w14:val="tx1"/>
                  </w14:solidFill>
                </w14:textFill>
              </w:rPr>
              <w:t>回填</w:t>
            </w:r>
            <w:r>
              <w:rPr>
                <w:rFonts w:hint="default" w:ascii="Times New Roman" w:hAnsi="Times New Roman" w:eastAsia="宋体" w:cs="Times New Roman"/>
                <w:color w:val="000000" w:themeColor="text1"/>
                <w:spacing w:val="-2"/>
                <w:sz w:val="24"/>
                <w:szCs w:val="24"/>
                <w14:textFill>
                  <w14:solidFill>
                    <w14:schemeClr w14:val="tx1"/>
                  </w14:solidFill>
                </w14:textFill>
              </w:rPr>
              <w:t>量为</w:t>
            </w:r>
            <w:r>
              <w:rPr>
                <w:rFonts w:hint="eastAsia" w:cs="Times New Roman"/>
                <w:color w:val="000000" w:themeColor="text1"/>
                <w:spacing w:val="-2"/>
                <w:sz w:val="24"/>
                <w:szCs w:val="24"/>
                <w:lang w:val="en-US" w:eastAsia="zh-CN"/>
                <w14:textFill>
                  <w14:solidFill>
                    <w14:schemeClr w14:val="tx1"/>
                  </w14:solidFill>
                </w14:textFill>
              </w:rPr>
              <w:t>1134.5</w:t>
            </w:r>
            <w:r>
              <w:rPr>
                <w:rFonts w:hint="default" w:ascii="Times New Roman" w:hAnsi="Times New Roman" w:eastAsia="宋体" w:cs="Times New Roman"/>
                <w:color w:val="000000" w:themeColor="text1"/>
                <w:spacing w:val="-2"/>
                <w:sz w:val="24"/>
                <w:szCs w:val="24"/>
                <w14:textFill>
                  <w14:solidFill>
                    <w14:schemeClr w14:val="tx1"/>
                  </w14:solidFill>
                </w14:textFill>
              </w:rPr>
              <w:t>m</w:t>
            </w:r>
            <w:r>
              <w:rPr>
                <w:rFonts w:hint="eastAsia" w:ascii="Times New Roman" w:hAnsi="Times New Roman" w:eastAsia="宋体" w:cs="Times New Roman"/>
                <w:color w:val="000000" w:themeColor="text1"/>
                <w:spacing w:val="-2"/>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pacing w:val="-2"/>
                <w:sz w:val="24"/>
                <w:szCs w:val="24"/>
                <w:vertAlign w:val="baseline"/>
                <w:lang w:val="en-US" w:eastAsia="zh-CN"/>
                <w14:textFill>
                  <w14:solidFill>
                    <w14:schemeClr w14:val="tx1"/>
                  </w14:solidFill>
                </w14:textFill>
              </w:rPr>
              <w:t>。</w:t>
            </w:r>
          </w:p>
          <w:p w14:paraId="597592D9">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default"/>
                <w:color w:val="000000" w:themeColor="text1"/>
                <w14:textFill>
                  <w14:solidFill>
                    <w14:schemeClr w14:val="tx1"/>
                  </w14:solidFill>
                </w14:textFill>
              </w:rPr>
              <w:t>标识碑与警示牌设置</w:t>
            </w:r>
          </w:p>
          <w:p w14:paraId="7D4661B9">
            <w:pPr>
              <w:bidi w:val="0"/>
              <w:rPr>
                <w:rFonts w:hint="eastAsia" w:cs="Times New Roman"/>
                <w:color w:val="000000" w:themeColor="text1"/>
                <w:spacing w:val="-5"/>
                <w:sz w:val="24"/>
                <w:szCs w:val="24"/>
                <w:lang w:eastAsia="zh-CN"/>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标志碑</w:t>
            </w:r>
            <w:r>
              <w:rPr>
                <w:rFonts w:hint="default" w:ascii="Times New Roman" w:hAnsi="Times New Roman" w:eastAsia="宋体" w:cs="Times New Roman"/>
                <w:color w:val="000000" w:themeColor="text1"/>
                <w:spacing w:val="-6"/>
                <w:sz w:val="24"/>
                <w:szCs w:val="24"/>
                <w14:textFill>
                  <w14:solidFill>
                    <w14:schemeClr w14:val="tx1"/>
                  </w14:solidFill>
                </w14:textFill>
              </w:rPr>
              <w:t>由基座与碑体</w:t>
            </w:r>
            <w:r>
              <w:rPr>
                <w:rFonts w:hint="default" w:ascii="Times New Roman" w:hAnsi="Times New Roman" w:eastAsia="宋体" w:cs="Times New Roman"/>
                <w:color w:val="000000" w:themeColor="text1"/>
                <w:spacing w:val="-4"/>
                <w:sz w:val="24"/>
                <w:szCs w:val="24"/>
                <w14:textFill>
                  <w14:solidFill>
                    <w14:schemeClr w14:val="tx1"/>
                  </w14:solidFill>
                </w14:textFill>
              </w:rPr>
              <w:t>组成，其中基座为混凝土或浆砌石，长2.50m，宽0.8m，高0.60m；碑体采用浆砌砖结构，墙体表面贴瓷砖，标识牌长2m，</w:t>
            </w:r>
            <w:r>
              <w:rPr>
                <w:rFonts w:hint="default" w:ascii="Times New Roman" w:hAnsi="Times New Roman" w:eastAsia="宋体" w:cs="Times New Roman"/>
                <w:color w:val="000000" w:themeColor="text1"/>
                <w:spacing w:val="-5"/>
                <w:sz w:val="24"/>
                <w:szCs w:val="24"/>
                <w14:textFill>
                  <w14:solidFill>
                    <w14:schemeClr w14:val="tx1"/>
                  </w14:solidFill>
                </w14:textFill>
              </w:rPr>
              <w:t>厚0.30m，高1.80m。</w:t>
            </w:r>
            <w:r>
              <w:rPr>
                <w:rFonts w:hint="default" w:ascii="Times New Roman" w:hAnsi="Times New Roman" w:eastAsia="宋体" w:cs="Times New Roman"/>
                <w:color w:val="000000" w:themeColor="text1"/>
                <w:spacing w:val="-6"/>
                <w:sz w:val="24"/>
                <w:szCs w:val="24"/>
                <w14:textFill>
                  <w14:solidFill>
                    <w14:schemeClr w14:val="tx1"/>
                  </w14:solidFill>
                </w14:textFill>
              </w:rPr>
              <w:t>基座埋设于地面以下0.4m。</w:t>
            </w:r>
            <w:r>
              <w:rPr>
                <w:rFonts w:hint="default" w:ascii="Times New Roman" w:hAnsi="Times New Roman" w:eastAsia="宋体" w:cs="Times New Roman"/>
                <w:color w:val="000000" w:themeColor="text1"/>
                <w:spacing w:val="-5"/>
                <w:sz w:val="24"/>
                <w:szCs w:val="24"/>
                <w14:textFill>
                  <w14:solidFill>
                    <w14:schemeClr w14:val="tx1"/>
                  </w14:solidFill>
                </w14:textFill>
              </w:rPr>
              <w:t>DK-02片区共设置标志碑1座</w:t>
            </w:r>
            <w:r>
              <w:rPr>
                <w:rFonts w:hint="eastAsia" w:cs="Times New Roman"/>
                <w:color w:val="000000" w:themeColor="text1"/>
                <w:spacing w:val="-5"/>
                <w:sz w:val="24"/>
                <w:szCs w:val="24"/>
                <w:lang w:eastAsia="zh-CN"/>
                <w14:textFill>
                  <w14:solidFill>
                    <w14:schemeClr w14:val="tx1"/>
                  </w14:solidFill>
                </w14:textFill>
              </w:rPr>
              <w:t>。</w:t>
            </w:r>
          </w:p>
          <w:p w14:paraId="4286FCE4">
            <w:pPr>
              <w:pStyle w:val="3"/>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75565</wp:posOffset>
                  </wp:positionH>
                  <wp:positionV relativeFrom="paragraph">
                    <wp:posOffset>35560</wp:posOffset>
                  </wp:positionV>
                  <wp:extent cx="5111115" cy="2810510"/>
                  <wp:effectExtent l="0" t="0" r="13335" b="8890"/>
                  <wp:wrapTopAndBottom/>
                  <wp:docPr id="7"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3"/>
                          <pic:cNvPicPr>
                            <a:picLocks noChangeAspect="1"/>
                          </pic:cNvPicPr>
                        </pic:nvPicPr>
                        <pic:blipFill>
                          <a:blip r:embed="rId9"/>
                          <a:stretch>
                            <a:fillRect/>
                          </a:stretch>
                        </pic:blipFill>
                        <pic:spPr>
                          <a:xfrm>
                            <a:off x="0" y="0"/>
                            <a:ext cx="5111115" cy="2810510"/>
                          </a:xfrm>
                          <a:prstGeom prst="rect">
                            <a:avLst/>
                          </a:prstGeom>
                          <a:noFill/>
                          <a:ln>
                            <a:noFill/>
                          </a:ln>
                        </pic:spPr>
                      </pic:pic>
                    </a:graphicData>
                  </a:graphic>
                </wp:anchor>
              </w:drawing>
            </w:r>
            <w:r>
              <w:rPr>
                <w:rFonts w:hint="eastAsia"/>
                <w:color w:val="000000" w:themeColor="text1"/>
                <w:lang w:val="en-US" w:eastAsia="zh-CN"/>
                <w14:textFill>
                  <w14:solidFill>
                    <w14:schemeClr w14:val="tx1"/>
                  </w14:solidFill>
                </w14:textFill>
              </w:rPr>
              <w:t>图2-1  标识牌设计图</w:t>
            </w:r>
          </w:p>
          <w:p w14:paraId="41546D7F">
            <w:pPr>
              <w:pStyle w:val="2"/>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7、土石方平衡</w:t>
            </w:r>
          </w:p>
          <w:p w14:paraId="03498999">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本项目挖填平衡，土石方平衡见表</w:t>
            </w: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4，土石方平图见图2-2。</w:t>
            </w:r>
          </w:p>
          <w:p w14:paraId="0C6EA66B">
            <w:pPr>
              <w:pStyle w:val="3"/>
              <w:bidi w:val="0"/>
              <w:rPr>
                <w:rFonts w:hint="eastAsia"/>
                <w:color w:val="000000" w:themeColor="text1"/>
                <w:lang w:val="en-US" w:eastAsia="zh-CN"/>
                <w14:textFill>
                  <w14:solidFill>
                    <w14:schemeClr w14:val="tx1"/>
                  </w14:solidFill>
                </w14:textFill>
              </w:rPr>
            </w:pPr>
          </w:p>
          <w:p w14:paraId="2DC1E85D">
            <w:pPr>
              <w:pStyle w:val="3"/>
              <w:bidi w:val="0"/>
              <w:rPr>
                <w:rFonts w:hint="eastAsia"/>
                <w:color w:val="000000" w:themeColor="text1"/>
                <w:lang w:val="en-US" w:eastAsia="zh-CN"/>
                <w14:textFill>
                  <w14:solidFill>
                    <w14:schemeClr w14:val="tx1"/>
                  </w14:solidFill>
                </w14:textFill>
              </w:rPr>
            </w:pPr>
          </w:p>
          <w:p w14:paraId="7821FCC9">
            <w:pPr>
              <w:pStyle w:val="3"/>
              <w:bidi w:val="0"/>
              <w:rPr>
                <w:rFonts w:hint="eastAsia"/>
                <w:color w:val="000000" w:themeColor="text1"/>
                <w:lang w:val="en-US" w:eastAsia="zh-CN"/>
                <w14:textFill>
                  <w14:solidFill>
                    <w14:schemeClr w14:val="tx1"/>
                  </w14:solidFill>
                </w14:textFill>
              </w:rPr>
            </w:pPr>
          </w:p>
          <w:p w14:paraId="6429E3E2">
            <w:pPr>
              <w:pStyle w:val="3"/>
              <w:bidi w:val="0"/>
              <w:rPr>
                <w:rFonts w:hint="eastAsia"/>
                <w:color w:val="000000" w:themeColor="text1"/>
                <w:lang w:val="en-US" w:eastAsia="zh-CN"/>
                <w14:textFill>
                  <w14:solidFill>
                    <w14:schemeClr w14:val="tx1"/>
                  </w14:solidFill>
                </w14:textFill>
              </w:rPr>
            </w:pPr>
          </w:p>
          <w:p w14:paraId="6A4CB1BC">
            <w:pPr>
              <w:pStyle w:val="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w:t>
            </w: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4</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项目土石方平衡表</w:t>
            </w:r>
          </w:p>
          <w:tbl>
            <w:tblPr>
              <w:tblStyle w:val="2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861"/>
              <w:gridCol w:w="2062"/>
              <w:gridCol w:w="1617"/>
              <w:gridCol w:w="2658"/>
            </w:tblGrid>
            <w:tr w14:paraId="661117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noWrap/>
                  <w:vAlign w:val="center"/>
                </w:tcPr>
                <w:p w14:paraId="195681E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治理区编号</w:t>
                  </w:r>
                </w:p>
              </w:tc>
              <w:tc>
                <w:tcPr>
                  <w:tcW w:w="2062" w:type="dxa"/>
                  <w:vMerge w:val="restart"/>
                  <w:tcBorders>
                    <w:tl2br w:val="nil"/>
                    <w:tr2bl w:val="nil"/>
                  </w:tcBorders>
                  <w:shd w:val="clear" w:color="auto" w:fill="auto"/>
                  <w:noWrap/>
                  <w:vAlign w:val="center"/>
                </w:tcPr>
                <w:p w14:paraId="4A332621">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工程名称</w:t>
                  </w:r>
                </w:p>
              </w:tc>
              <w:tc>
                <w:tcPr>
                  <w:tcW w:w="1617" w:type="dxa"/>
                  <w:vMerge w:val="restart"/>
                  <w:tcBorders>
                    <w:tl2br w:val="nil"/>
                    <w:tr2bl w:val="nil"/>
                  </w:tcBorders>
                  <w:shd w:val="clear" w:color="auto" w:fill="auto"/>
                  <w:noWrap/>
                  <w:vAlign w:val="center"/>
                </w:tcPr>
                <w:p w14:paraId="644DB82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挖方</w:t>
                  </w:r>
                </w:p>
              </w:tc>
              <w:tc>
                <w:tcPr>
                  <w:tcW w:w="2657" w:type="dxa"/>
                  <w:vMerge w:val="restart"/>
                  <w:tcBorders>
                    <w:tl2br w:val="nil"/>
                    <w:tr2bl w:val="nil"/>
                  </w:tcBorders>
                  <w:shd w:val="clear" w:color="auto" w:fill="auto"/>
                  <w:noWrap/>
                  <w:vAlign w:val="center"/>
                </w:tcPr>
                <w:p w14:paraId="37C5805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填方</w:t>
                  </w:r>
                </w:p>
              </w:tc>
            </w:tr>
            <w:tr w14:paraId="61988B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noWrap/>
                  <w:vAlign w:val="center"/>
                </w:tcPr>
                <w:p w14:paraId="38B7983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2062" w:type="dxa"/>
                  <w:vMerge w:val="continue"/>
                  <w:tcBorders>
                    <w:tl2br w:val="nil"/>
                    <w:tr2bl w:val="nil"/>
                  </w:tcBorders>
                  <w:shd w:val="clear" w:color="auto" w:fill="auto"/>
                  <w:noWrap/>
                  <w:vAlign w:val="center"/>
                </w:tcPr>
                <w:p w14:paraId="5598F4ED">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1617" w:type="dxa"/>
                  <w:vMerge w:val="continue"/>
                  <w:tcBorders>
                    <w:tl2br w:val="nil"/>
                    <w:tr2bl w:val="nil"/>
                  </w:tcBorders>
                  <w:shd w:val="clear" w:color="auto" w:fill="auto"/>
                  <w:noWrap/>
                  <w:vAlign w:val="center"/>
                </w:tcPr>
                <w:p w14:paraId="0E2CF42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2657" w:type="dxa"/>
                  <w:vMerge w:val="continue"/>
                  <w:tcBorders>
                    <w:tl2br w:val="nil"/>
                    <w:tr2bl w:val="nil"/>
                  </w:tcBorders>
                  <w:shd w:val="clear" w:color="auto" w:fill="auto"/>
                  <w:noWrap/>
                  <w:vAlign w:val="center"/>
                </w:tcPr>
                <w:p w14:paraId="2A4339B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r>
            <w:tr w14:paraId="1A6AD1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noWrap/>
                  <w:vAlign w:val="center"/>
                </w:tcPr>
                <w:p w14:paraId="49AF6A9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DK-01</w:t>
                  </w:r>
                </w:p>
              </w:tc>
              <w:tc>
                <w:tcPr>
                  <w:tcW w:w="2062" w:type="dxa"/>
                  <w:tcBorders>
                    <w:tl2br w:val="nil"/>
                    <w:tr2bl w:val="nil"/>
                  </w:tcBorders>
                  <w:shd w:val="clear" w:color="auto" w:fill="auto"/>
                  <w:noWrap/>
                  <w:vAlign w:val="center"/>
                </w:tcPr>
                <w:p w14:paraId="2AA5245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59316DA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60697</w:t>
                  </w:r>
                </w:p>
              </w:tc>
              <w:tc>
                <w:tcPr>
                  <w:tcW w:w="2657" w:type="dxa"/>
                  <w:tcBorders>
                    <w:tl2br w:val="nil"/>
                    <w:tr2bl w:val="nil"/>
                  </w:tcBorders>
                  <w:shd w:val="clear" w:color="auto" w:fill="auto"/>
                  <w:noWrap/>
                  <w:vAlign w:val="center"/>
                </w:tcPr>
                <w:p w14:paraId="556F0E2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60697</w:t>
                  </w:r>
                </w:p>
              </w:tc>
            </w:tr>
            <w:tr w14:paraId="456E70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noWrap/>
                  <w:vAlign w:val="center"/>
                </w:tcPr>
                <w:p w14:paraId="51625081">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30103E2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6D545CB1">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2969.3</w:t>
                  </w:r>
                </w:p>
              </w:tc>
              <w:tc>
                <w:tcPr>
                  <w:tcW w:w="2657" w:type="dxa"/>
                  <w:tcBorders>
                    <w:tl2br w:val="nil"/>
                    <w:tr2bl w:val="nil"/>
                  </w:tcBorders>
                  <w:shd w:val="clear" w:color="auto" w:fill="auto"/>
                  <w:noWrap/>
                  <w:vAlign w:val="center"/>
                </w:tcPr>
                <w:p w14:paraId="7EBCD1B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2969.3</w:t>
                  </w:r>
                </w:p>
              </w:tc>
            </w:tr>
            <w:tr w14:paraId="0480CB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vAlign w:val="center"/>
                </w:tcPr>
                <w:p w14:paraId="114FE427">
                  <w:pPr>
                    <w:widowControl w:val="0"/>
                    <w:bidi w:val="0"/>
                    <w:adjustRightInd w:val="0"/>
                    <w:snapToGrid w:val="0"/>
                    <w:spacing w:before="10" w:beforeLines="10" w:after="10" w:afterLines="10"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DK-02</w:t>
                  </w:r>
                </w:p>
              </w:tc>
              <w:tc>
                <w:tcPr>
                  <w:tcW w:w="2062" w:type="dxa"/>
                  <w:tcBorders>
                    <w:tl2br w:val="nil"/>
                    <w:tr2bl w:val="nil"/>
                  </w:tcBorders>
                  <w:shd w:val="clear" w:color="auto" w:fill="auto"/>
                  <w:noWrap/>
                  <w:vAlign w:val="center"/>
                </w:tcPr>
                <w:p w14:paraId="7FB11D22">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712004C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5"/>
                      <w:sz w:val="21"/>
                      <w:szCs w:val="21"/>
                      <w:lang w:val="en-US" w:eastAsia="zh-CN"/>
                      <w14:textFill>
                        <w14:solidFill>
                          <w14:schemeClr w14:val="tx1"/>
                        </w14:solidFill>
                      </w14:textFill>
                    </w:rPr>
                    <w:t>93913.4</w:t>
                  </w:r>
                </w:p>
              </w:tc>
              <w:tc>
                <w:tcPr>
                  <w:tcW w:w="2657" w:type="dxa"/>
                  <w:tcBorders>
                    <w:tl2br w:val="nil"/>
                    <w:tr2bl w:val="nil"/>
                  </w:tcBorders>
                  <w:shd w:val="clear" w:color="auto" w:fill="auto"/>
                  <w:noWrap/>
                  <w:vAlign w:val="center"/>
                </w:tcPr>
                <w:p w14:paraId="483A475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5"/>
                      <w:sz w:val="21"/>
                      <w:szCs w:val="21"/>
                      <w:lang w:val="en-US" w:eastAsia="zh-CN"/>
                      <w14:textFill>
                        <w14:solidFill>
                          <w14:schemeClr w14:val="tx1"/>
                        </w14:solidFill>
                      </w14:textFill>
                    </w:rPr>
                    <w:t>93913.4</w:t>
                  </w:r>
                </w:p>
              </w:tc>
            </w:tr>
            <w:tr w14:paraId="465FA0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vAlign w:val="center"/>
                </w:tcPr>
                <w:p w14:paraId="5A87D10A">
                  <w:pPr>
                    <w:widowControl w:val="0"/>
                    <w:bidi w:val="0"/>
                    <w:adjustRightInd w:val="0"/>
                    <w:snapToGrid w:val="0"/>
                    <w:spacing w:before="10" w:beforeLines="10" w:after="10" w:afterLines="10" w:line="240" w:lineRule="auto"/>
                    <w:ind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5A5CE4E7">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6B001A96">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130074</w:t>
                  </w:r>
                </w:p>
              </w:tc>
              <w:tc>
                <w:tcPr>
                  <w:tcW w:w="2657" w:type="dxa"/>
                  <w:tcBorders>
                    <w:tl2br w:val="nil"/>
                    <w:tr2bl w:val="nil"/>
                  </w:tcBorders>
                  <w:shd w:val="clear" w:color="auto" w:fill="auto"/>
                  <w:noWrap/>
                  <w:vAlign w:val="center"/>
                </w:tcPr>
                <w:p w14:paraId="6139F5F5">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130074</w:t>
                  </w:r>
                </w:p>
              </w:tc>
            </w:tr>
            <w:tr w14:paraId="6A6F89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tcBorders>
                    <w:tl2br w:val="nil"/>
                    <w:tr2bl w:val="nil"/>
                  </w:tcBorders>
                  <w:shd w:val="clear" w:color="auto" w:fill="auto"/>
                  <w:vAlign w:val="center"/>
                </w:tcPr>
                <w:p w14:paraId="67D0BD70">
                  <w:pPr>
                    <w:widowControl w:val="0"/>
                    <w:bidi w:val="0"/>
                    <w:adjustRightInd w:val="0"/>
                    <w:snapToGrid w:val="0"/>
                    <w:spacing w:before="10" w:beforeLines="10" w:after="10" w:afterLines="10"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DK-03</w:t>
                  </w:r>
                </w:p>
              </w:tc>
              <w:tc>
                <w:tcPr>
                  <w:tcW w:w="2062" w:type="dxa"/>
                  <w:tcBorders>
                    <w:tl2br w:val="nil"/>
                    <w:tr2bl w:val="nil"/>
                  </w:tcBorders>
                  <w:shd w:val="clear" w:color="auto" w:fill="auto"/>
                  <w:noWrap/>
                  <w:vAlign w:val="center"/>
                </w:tcPr>
                <w:p w14:paraId="5EC0F55D">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18A37527">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12714.1</w:t>
                  </w:r>
                </w:p>
              </w:tc>
              <w:tc>
                <w:tcPr>
                  <w:tcW w:w="2657" w:type="dxa"/>
                  <w:tcBorders>
                    <w:tl2br w:val="nil"/>
                    <w:tr2bl w:val="nil"/>
                  </w:tcBorders>
                  <w:shd w:val="clear" w:color="auto" w:fill="auto"/>
                  <w:noWrap/>
                  <w:vAlign w:val="center"/>
                </w:tcPr>
                <w:p w14:paraId="6077F0B6">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12714.1</w:t>
                  </w:r>
                </w:p>
              </w:tc>
            </w:tr>
            <w:tr w14:paraId="26AFF0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vAlign w:val="center"/>
                </w:tcPr>
                <w:p w14:paraId="1C568D47">
                  <w:pPr>
                    <w:widowControl w:val="0"/>
                    <w:bidi w:val="0"/>
                    <w:adjustRightInd w:val="0"/>
                    <w:snapToGrid w:val="0"/>
                    <w:spacing w:before="10" w:beforeLines="10" w:after="10" w:afterLines="10"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DK-04</w:t>
                  </w:r>
                </w:p>
              </w:tc>
              <w:tc>
                <w:tcPr>
                  <w:tcW w:w="2062" w:type="dxa"/>
                  <w:tcBorders>
                    <w:tl2br w:val="nil"/>
                    <w:tr2bl w:val="nil"/>
                  </w:tcBorders>
                  <w:shd w:val="clear" w:color="auto" w:fill="auto"/>
                  <w:noWrap/>
                  <w:vAlign w:val="center"/>
                </w:tcPr>
                <w:p w14:paraId="2ECC5085">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37D1AE9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14900.4</w:t>
                  </w:r>
                </w:p>
              </w:tc>
              <w:tc>
                <w:tcPr>
                  <w:tcW w:w="2657" w:type="dxa"/>
                  <w:tcBorders>
                    <w:tl2br w:val="nil"/>
                    <w:tr2bl w:val="nil"/>
                  </w:tcBorders>
                  <w:shd w:val="clear" w:color="auto" w:fill="auto"/>
                  <w:noWrap/>
                  <w:vAlign w:val="center"/>
                </w:tcPr>
                <w:p w14:paraId="5154567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14900.4</w:t>
                  </w:r>
                </w:p>
              </w:tc>
            </w:tr>
            <w:tr w14:paraId="077D48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vAlign w:val="center"/>
                </w:tcPr>
                <w:p w14:paraId="538DF97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75229AB1">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2A32D08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19812.2</w:t>
                  </w:r>
                </w:p>
              </w:tc>
              <w:tc>
                <w:tcPr>
                  <w:tcW w:w="2657" w:type="dxa"/>
                  <w:tcBorders>
                    <w:tl2br w:val="nil"/>
                    <w:tr2bl w:val="nil"/>
                  </w:tcBorders>
                  <w:shd w:val="clear" w:color="auto" w:fill="auto"/>
                  <w:noWrap/>
                  <w:vAlign w:val="center"/>
                </w:tcPr>
                <w:p w14:paraId="599A786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19812.2</w:t>
                  </w:r>
                </w:p>
              </w:tc>
            </w:tr>
            <w:tr w14:paraId="6CC976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vAlign w:val="center"/>
                </w:tcPr>
                <w:p w14:paraId="5873E27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DK-05</w:t>
                  </w:r>
                </w:p>
              </w:tc>
              <w:tc>
                <w:tcPr>
                  <w:tcW w:w="2062" w:type="dxa"/>
                  <w:tcBorders>
                    <w:tl2br w:val="nil"/>
                    <w:tr2bl w:val="nil"/>
                  </w:tcBorders>
                  <w:shd w:val="clear" w:color="auto" w:fill="auto"/>
                  <w:noWrap/>
                  <w:vAlign w:val="center"/>
                </w:tcPr>
                <w:p w14:paraId="25B3CB95">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698A032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98</w:t>
                  </w:r>
                  <w:r>
                    <w:rPr>
                      <w:rFonts w:hint="default" w:ascii="Times New Roman" w:hAnsi="Times New Roman" w:eastAsia="宋体" w:cs="Times New Roman"/>
                      <w:color w:val="000000" w:themeColor="text1"/>
                      <w:spacing w:val="-4"/>
                      <w:sz w:val="21"/>
                      <w:szCs w:val="21"/>
                      <w14:textFill>
                        <w14:solidFill>
                          <w14:schemeClr w14:val="tx1"/>
                        </w14:solidFill>
                      </w14:textFill>
                    </w:rPr>
                    <w:t>00.4</w:t>
                  </w:r>
                </w:p>
              </w:tc>
              <w:tc>
                <w:tcPr>
                  <w:tcW w:w="2657" w:type="dxa"/>
                  <w:tcBorders>
                    <w:tl2br w:val="nil"/>
                    <w:tr2bl w:val="nil"/>
                  </w:tcBorders>
                  <w:shd w:val="clear" w:color="auto" w:fill="auto"/>
                  <w:noWrap/>
                  <w:vAlign w:val="center"/>
                </w:tcPr>
                <w:p w14:paraId="1E8C109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98</w:t>
                  </w:r>
                  <w:r>
                    <w:rPr>
                      <w:rFonts w:hint="default" w:ascii="Times New Roman" w:hAnsi="Times New Roman" w:eastAsia="宋体" w:cs="Times New Roman"/>
                      <w:color w:val="000000" w:themeColor="text1"/>
                      <w:spacing w:val="-4"/>
                      <w:sz w:val="21"/>
                      <w:szCs w:val="21"/>
                      <w14:textFill>
                        <w14:solidFill>
                          <w14:schemeClr w14:val="tx1"/>
                        </w14:solidFill>
                      </w14:textFill>
                    </w:rPr>
                    <w:t>00.4</w:t>
                  </w:r>
                </w:p>
              </w:tc>
            </w:tr>
            <w:tr w14:paraId="7BE6D3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vAlign w:val="center"/>
                </w:tcPr>
                <w:p w14:paraId="397B9EF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233E362A">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1893DFD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7172</w:t>
                  </w:r>
                </w:p>
              </w:tc>
              <w:tc>
                <w:tcPr>
                  <w:tcW w:w="2657" w:type="dxa"/>
                  <w:tcBorders>
                    <w:tl2br w:val="nil"/>
                    <w:tr2bl w:val="nil"/>
                  </w:tcBorders>
                  <w:shd w:val="clear" w:color="auto" w:fill="auto"/>
                  <w:noWrap/>
                  <w:vAlign w:val="center"/>
                </w:tcPr>
                <w:p w14:paraId="62A9D85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7172</w:t>
                  </w:r>
                </w:p>
              </w:tc>
            </w:tr>
            <w:tr w14:paraId="07C949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vAlign w:val="center"/>
                </w:tcPr>
                <w:p w14:paraId="4092BEB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DK-06</w:t>
                  </w:r>
                </w:p>
              </w:tc>
              <w:tc>
                <w:tcPr>
                  <w:tcW w:w="2062" w:type="dxa"/>
                  <w:tcBorders>
                    <w:tl2br w:val="nil"/>
                    <w:tr2bl w:val="nil"/>
                  </w:tcBorders>
                  <w:shd w:val="clear" w:color="auto" w:fill="auto"/>
                  <w:noWrap/>
                  <w:vAlign w:val="center"/>
                </w:tcPr>
                <w:p w14:paraId="5D71ABD0">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452DD96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12</w:t>
                  </w:r>
                  <w:r>
                    <w:rPr>
                      <w:rFonts w:hint="default" w:ascii="Times New Roman" w:hAnsi="Times New Roman" w:eastAsia="宋体" w:cs="Times New Roman"/>
                      <w:color w:val="000000" w:themeColor="text1"/>
                      <w:spacing w:val="-4"/>
                      <w:sz w:val="21"/>
                      <w:szCs w:val="21"/>
                      <w14:textFill>
                        <w14:solidFill>
                          <w14:schemeClr w14:val="tx1"/>
                        </w14:solidFill>
                      </w14:textFill>
                    </w:rPr>
                    <w:t>00.</w:t>
                  </w:r>
                  <w:r>
                    <w:rPr>
                      <w:rFonts w:hint="eastAsia" w:cs="Times New Roman"/>
                      <w:color w:val="000000" w:themeColor="text1"/>
                      <w:spacing w:val="-4"/>
                      <w:sz w:val="21"/>
                      <w:szCs w:val="21"/>
                      <w:lang w:val="en-US" w:eastAsia="zh-CN"/>
                      <w14:textFill>
                        <w14:solidFill>
                          <w14:schemeClr w14:val="tx1"/>
                        </w14:solidFill>
                      </w14:textFill>
                    </w:rPr>
                    <w:t>5</w:t>
                  </w:r>
                </w:p>
              </w:tc>
              <w:tc>
                <w:tcPr>
                  <w:tcW w:w="2657" w:type="dxa"/>
                  <w:tcBorders>
                    <w:tl2br w:val="nil"/>
                    <w:tr2bl w:val="nil"/>
                  </w:tcBorders>
                  <w:shd w:val="clear" w:color="auto" w:fill="auto"/>
                  <w:noWrap/>
                  <w:vAlign w:val="center"/>
                </w:tcPr>
                <w:p w14:paraId="436E87E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12</w:t>
                  </w:r>
                  <w:r>
                    <w:rPr>
                      <w:rFonts w:hint="default" w:ascii="Times New Roman" w:hAnsi="Times New Roman" w:eastAsia="宋体" w:cs="Times New Roman"/>
                      <w:color w:val="000000" w:themeColor="text1"/>
                      <w:spacing w:val="-4"/>
                      <w:sz w:val="21"/>
                      <w:szCs w:val="21"/>
                      <w14:textFill>
                        <w14:solidFill>
                          <w14:schemeClr w14:val="tx1"/>
                        </w14:solidFill>
                      </w14:textFill>
                    </w:rPr>
                    <w:t>00.</w:t>
                  </w:r>
                  <w:r>
                    <w:rPr>
                      <w:rFonts w:hint="eastAsia" w:cs="Times New Roman"/>
                      <w:color w:val="000000" w:themeColor="text1"/>
                      <w:spacing w:val="-4"/>
                      <w:sz w:val="21"/>
                      <w:szCs w:val="21"/>
                      <w:lang w:val="en-US" w:eastAsia="zh-CN"/>
                      <w14:textFill>
                        <w14:solidFill>
                          <w14:schemeClr w14:val="tx1"/>
                        </w14:solidFill>
                      </w14:textFill>
                    </w:rPr>
                    <w:t>5</w:t>
                  </w:r>
                </w:p>
              </w:tc>
            </w:tr>
            <w:tr w14:paraId="5D37D8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vAlign w:val="center"/>
                </w:tcPr>
                <w:p w14:paraId="43D1BBA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4B26ACC0">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14A44DA4">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1052.5</w:t>
                  </w:r>
                </w:p>
              </w:tc>
              <w:tc>
                <w:tcPr>
                  <w:tcW w:w="2657" w:type="dxa"/>
                  <w:tcBorders>
                    <w:tl2br w:val="nil"/>
                    <w:tr2bl w:val="nil"/>
                  </w:tcBorders>
                  <w:shd w:val="clear" w:color="auto" w:fill="auto"/>
                  <w:noWrap/>
                  <w:vAlign w:val="center"/>
                </w:tcPr>
                <w:p w14:paraId="09CBD6DE">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1052.5</w:t>
                  </w:r>
                </w:p>
              </w:tc>
            </w:tr>
            <w:tr w14:paraId="6D6421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restart"/>
                  <w:tcBorders>
                    <w:tl2br w:val="nil"/>
                    <w:tr2bl w:val="nil"/>
                  </w:tcBorders>
                  <w:shd w:val="clear" w:color="auto" w:fill="auto"/>
                  <w:vAlign w:val="center"/>
                </w:tcPr>
                <w:p w14:paraId="0D40970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DK-07</w:t>
                  </w:r>
                </w:p>
              </w:tc>
              <w:tc>
                <w:tcPr>
                  <w:tcW w:w="2062" w:type="dxa"/>
                  <w:tcBorders>
                    <w:tl2br w:val="nil"/>
                    <w:tr2bl w:val="nil"/>
                  </w:tcBorders>
                  <w:shd w:val="clear" w:color="auto" w:fill="auto"/>
                  <w:noWrap/>
                  <w:vAlign w:val="center"/>
                </w:tcPr>
                <w:p w14:paraId="483CB6D5">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石方</w:t>
                  </w:r>
                </w:p>
              </w:tc>
              <w:tc>
                <w:tcPr>
                  <w:tcW w:w="1617" w:type="dxa"/>
                  <w:tcBorders>
                    <w:tl2br w:val="nil"/>
                    <w:tr2bl w:val="nil"/>
                  </w:tcBorders>
                  <w:shd w:val="clear" w:color="auto" w:fill="auto"/>
                  <w:noWrap/>
                  <w:vAlign w:val="center"/>
                </w:tcPr>
                <w:p w14:paraId="01E2A1E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0541</w:t>
                  </w:r>
                  <w:r>
                    <w:rPr>
                      <w:rFonts w:hint="default" w:ascii="Times New Roman" w:hAnsi="Times New Roman" w:eastAsia="宋体" w:cs="Times New Roman"/>
                      <w:color w:val="000000" w:themeColor="text1"/>
                      <w:spacing w:val="-4"/>
                      <w:sz w:val="21"/>
                      <w:szCs w:val="21"/>
                      <w14:textFill>
                        <w14:solidFill>
                          <w14:schemeClr w14:val="tx1"/>
                        </w14:solidFill>
                      </w14:textFill>
                    </w:rPr>
                    <w:t>.</w:t>
                  </w:r>
                  <w:r>
                    <w:rPr>
                      <w:rFonts w:hint="eastAsia" w:cs="Times New Roman"/>
                      <w:color w:val="000000" w:themeColor="text1"/>
                      <w:spacing w:val="-4"/>
                      <w:sz w:val="21"/>
                      <w:szCs w:val="21"/>
                      <w:lang w:val="en-US" w:eastAsia="zh-CN"/>
                      <w14:textFill>
                        <w14:solidFill>
                          <w14:schemeClr w14:val="tx1"/>
                        </w14:solidFill>
                      </w14:textFill>
                    </w:rPr>
                    <w:t>1</w:t>
                  </w:r>
                </w:p>
              </w:tc>
              <w:tc>
                <w:tcPr>
                  <w:tcW w:w="2657" w:type="dxa"/>
                  <w:tcBorders>
                    <w:tl2br w:val="nil"/>
                    <w:tr2bl w:val="nil"/>
                  </w:tcBorders>
                  <w:shd w:val="clear" w:color="auto" w:fill="auto"/>
                  <w:noWrap/>
                  <w:vAlign w:val="center"/>
                </w:tcPr>
                <w:p w14:paraId="296055A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w:t>
                  </w:r>
                  <w:r>
                    <w:rPr>
                      <w:rFonts w:hint="eastAsia" w:cs="Times New Roman"/>
                      <w:color w:val="000000" w:themeColor="text1"/>
                      <w:spacing w:val="-4"/>
                      <w:sz w:val="21"/>
                      <w:szCs w:val="21"/>
                      <w:lang w:val="en-US" w:eastAsia="zh-CN"/>
                      <w14:textFill>
                        <w14:solidFill>
                          <w14:schemeClr w14:val="tx1"/>
                        </w14:solidFill>
                      </w14:textFill>
                    </w:rPr>
                    <w:t>0541</w:t>
                  </w:r>
                  <w:r>
                    <w:rPr>
                      <w:rFonts w:hint="default" w:ascii="Times New Roman" w:hAnsi="Times New Roman" w:eastAsia="宋体" w:cs="Times New Roman"/>
                      <w:color w:val="000000" w:themeColor="text1"/>
                      <w:spacing w:val="-4"/>
                      <w:sz w:val="21"/>
                      <w:szCs w:val="21"/>
                      <w14:textFill>
                        <w14:solidFill>
                          <w14:schemeClr w14:val="tx1"/>
                        </w14:solidFill>
                      </w14:textFill>
                    </w:rPr>
                    <w:t>.</w:t>
                  </w:r>
                  <w:r>
                    <w:rPr>
                      <w:rFonts w:hint="eastAsia" w:cs="Times New Roman"/>
                      <w:color w:val="000000" w:themeColor="text1"/>
                      <w:spacing w:val="-4"/>
                      <w:sz w:val="21"/>
                      <w:szCs w:val="21"/>
                      <w:lang w:val="en-US" w:eastAsia="zh-CN"/>
                      <w14:textFill>
                        <w14:solidFill>
                          <w14:schemeClr w14:val="tx1"/>
                        </w14:solidFill>
                      </w14:textFill>
                    </w:rPr>
                    <w:t>1</w:t>
                  </w:r>
                </w:p>
              </w:tc>
            </w:tr>
            <w:tr w14:paraId="140DB7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vMerge w:val="continue"/>
                  <w:tcBorders>
                    <w:tl2br w:val="nil"/>
                    <w:tr2bl w:val="nil"/>
                  </w:tcBorders>
                  <w:shd w:val="clear" w:color="auto" w:fill="auto"/>
                  <w:vAlign w:val="center"/>
                </w:tcPr>
                <w:p w14:paraId="7BA3012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2062" w:type="dxa"/>
                  <w:tcBorders>
                    <w:tl2br w:val="nil"/>
                    <w:tr2bl w:val="nil"/>
                  </w:tcBorders>
                  <w:shd w:val="clear" w:color="auto" w:fill="auto"/>
                  <w:noWrap/>
                  <w:vAlign w:val="center"/>
                </w:tcPr>
                <w:p w14:paraId="1048AD7D">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土方</w:t>
                  </w:r>
                </w:p>
              </w:tc>
              <w:tc>
                <w:tcPr>
                  <w:tcW w:w="1617" w:type="dxa"/>
                  <w:tcBorders>
                    <w:tl2br w:val="nil"/>
                    <w:tr2bl w:val="nil"/>
                  </w:tcBorders>
                  <w:shd w:val="clear" w:color="auto" w:fill="auto"/>
                  <w:noWrap/>
                  <w:vAlign w:val="center"/>
                </w:tcPr>
                <w:p w14:paraId="0F11ABA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1134.5</w:t>
                  </w:r>
                </w:p>
              </w:tc>
              <w:tc>
                <w:tcPr>
                  <w:tcW w:w="2657" w:type="dxa"/>
                  <w:tcBorders>
                    <w:tl2br w:val="nil"/>
                    <w:tr2bl w:val="nil"/>
                  </w:tcBorders>
                  <w:shd w:val="clear" w:color="auto" w:fill="auto"/>
                  <w:noWrap/>
                  <w:vAlign w:val="center"/>
                </w:tcPr>
                <w:p w14:paraId="4696483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1134.5</w:t>
                  </w:r>
                </w:p>
              </w:tc>
            </w:tr>
            <w:tr w14:paraId="320AC2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61" w:type="dxa"/>
                  <w:tcBorders>
                    <w:tl2br w:val="nil"/>
                    <w:tr2bl w:val="nil"/>
                  </w:tcBorders>
                  <w:shd w:val="clear" w:color="auto" w:fill="auto"/>
                  <w:vAlign w:val="center"/>
                </w:tcPr>
                <w:p w14:paraId="3F73A9E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合计</w:t>
                  </w:r>
                </w:p>
              </w:tc>
              <w:tc>
                <w:tcPr>
                  <w:tcW w:w="2062" w:type="dxa"/>
                  <w:tcBorders>
                    <w:tl2br w:val="nil"/>
                    <w:tr2bl w:val="nil"/>
                  </w:tcBorders>
                  <w:shd w:val="clear" w:color="auto" w:fill="auto"/>
                  <w:noWrap/>
                  <w:vAlign w:val="center"/>
                </w:tcPr>
                <w:p w14:paraId="0F60ED8D">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w:t>
                  </w:r>
                </w:p>
              </w:tc>
              <w:tc>
                <w:tcPr>
                  <w:tcW w:w="1617" w:type="dxa"/>
                  <w:tcBorders>
                    <w:tl2br w:val="nil"/>
                    <w:tr2bl w:val="nil"/>
                  </w:tcBorders>
                  <w:shd w:val="clear" w:color="auto" w:fill="auto"/>
                  <w:noWrap/>
                  <w:vAlign w:val="center"/>
                </w:tcPr>
                <w:p w14:paraId="7215D1A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cs="Times New Roman"/>
                      <w:color w:val="000000" w:themeColor="text1"/>
                      <w:spacing w:val="-2"/>
                      <w:sz w:val="21"/>
                      <w:szCs w:val="21"/>
                      <w:lang w:val="en-US" w:eastAsia="zh-CN"/>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385981.4</w:t>
                  </w:r>
                </w:p>
              </w:tc>
              <w:tc>
                <w:tcPr>
                  <w:tcW w:w="2657" w:type="dxa"/>
                  <w:tcBorders>
                    <w:tl2br w:val="nil"/>
                    <w:tr2bl w:val="nil"/>
                  </w:tcBorders>
                  <w:shd w:val="clear" w:color="auto" w:fill="auto"/>
                  <w:noWrap/>
                  <w:vAlign w:val="center"/>
                </w:tcPr>
                <w:p w14:paraId="2964F81D">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cs="Times New Roman"/>
                      <w:color w:val="000000" w:themeColor="text1"/>
                      <w:spacing w:val="-2"/>
                      <w:sz w:val="21"/>
                      <w:szCs w:val="21"/>
                      <w:lang w:val="en-US" w:eastAsia="zh-CN"/>
                      <w14:textFill>
                        <w14:solidFill>
                          <w14:schemeClr w14:val="tx1"/>
                        </w14:solidFill>
                      </w14:textFill>
                    </w:rPr>
                  </w:pPr>
                  <w:r>
                    <w:rPr>
                      <w:rFonts w:hint="eastAsia" w:cs="Times New Roman"/>
                      <w:color w:val="000000" w:themeColor="text1"/>
                      <w:spacing w:val="-2"/>
                      <w:sz w:val="21"/>
                      <w:szCs w:val="21"/>
                      <w:lang w:val="en-US" w:eastAsia="zh-CN"/>
                      <w14:textFill>
                        <w14:solidFill>
                          <w14:schemeClr w14:val="tx1"/>
                        </w14:solidFill>
                      </w14:textFill>
                    </w:rPr>
                    <w:t>385981.4</w:t>
                  </w:r>
                </w:p>
              </w:tc>
            </w:tr>
          </w:tbl>
          <w:p w14:paraId="54C0DEC7">
            <w:pPr>
              <w:rPr>
                <w:rFonts w:hint="eastAsia"/>
                <w:color w:val="000000" w:themeColor="text1"/>
                <w:lang w:val="en-US" w:eastAsia="zh-CN"/>
                <w14:textFill>
                  <w14:solidFill>
                    <w14:schemeClr w14:val="tx1"/>
                  </w14:solidFill>
                </w14:textFill>
              </w:rPr>
            </w:pPr>
          </w:p>
          <w:p w14:paraId="67819450">
            <w:pPr>
              <w:rPr>
                <w:rFonts w:hint="eastAsia"/>
                <w:color w:val="000000" w:themeColor="text1"/>
                <w:lang w:val="en-US" w:eastAsia="zh-CN"/>
                <w14:textFill>
                  <w14:solidFill>
                    <w14:schemeClr w14:val="tx1"/>
                  </w14:solidFill>
                </w14:textFill>
              </w:rPr>
            </w:pPr>
          </w:p>
          <w:p w14:paraId="57F611A9">
            <w:pPr>
              <w:rPr>
                <w:rFonts w:hint="eastAsia"/>
                <w:color w:val="000000" w:themeColor="text1"/>
                <w:lang w:val="en-US" w:eastAsia="zh-CN"/>
                <w14:textFill>
                  <w14:solidFill>
                    <w14:schemeClr w14:val="tx1"/>
                  </w14:solidFill>
                </w14:textFill>
              </w:rPr>
            </w:pPr>
          </w:p>
          <w:p w14:paraId="1B3A4D06">
            <w:pPr>
              <w:rPr>
                <w:rFonts w:hint="eastAsia"/>
                <w:color w:val="000000" w:themeColor="text1"/>
                <w:lang w:val="en-US" w:eastAsia="zh-CN"/>
                <w14:textFill>
                  <w14:solidFill>
                    <w14:schemeClr w14:val="tx1"/>
                  </w14:solidFill>
                </w14:textFill>
              </w:rPr>
            </w:pPr>
          </w:p>
          <w:p w14:paraId="0C5F6511">
            <w:pPr>
              <w:rPr>
                <w:rFonts w:hint="eastAsia"/>
                <w:color w:val="000000" w:themeColor="text1"/>
                <w:lang w:val="en-US" w:eastAsia="zh-CN"/>
                <w14:textFill>
                  <w14:solidFill>
                    <w14:schemeClr w14:val="tx1"/>
                  </w14:solidFill>
                </w14:textFill>
              </w:rPr>
            </w:pPr>
          </w:p>
          <w:p w14:paraId="43534AFA">
            <w:pPr>
              <w:rPr>
                <w:rFonts w:hint="eastAsia"/>
                <w:color w:val="000000" w:themeColor="text1"/>
                <w:lang w:val="en-US" w:eastAsia="zh-CN"/>
                <w14:textFill>
                  <w14:solidFill>
                    <w14:schemeClr w14:val="tx1"/>
                  </w14:solidFill>
                </w14:textFill>
              </w:rPr>
            </w:pPr>
          </w:p>
          <w:p w14:paraId="72FF89E9">
            <w:pPr>
              <w:rPr>
                <w:rFonts w:hint="eastAsia"/>
                <w:color w:val="000000" w:themeColor="text1"/>
                <w:lang w:val="en-US" w:eastAsia="zh-CN"/>
                <w14:textFill>
                  <w14:solidFill>
                    <w14:schemeClr w14:val="tx1"/>
                  </w14:solidFill>
                </w14:textFill>
              </w:rPr>
            </w:pPr>
          </w:p>
          <w:p w14:paraId="709BBBCA">
            <w:pPr>
              <w:rPr>
                <w:rFonts w:hint="eastAsia"/>
                <w:color w:val="000000" w:themeColor="text1"/>
                <w:lang w:val="en-US" w:eastAsia="zh-CN"/>
                <w14:textFill>
                  <w14:solidFill>
                    <w14:schemeClr w14:val="tx1"/>
                  </w14:solidFill>
                </w14:textFill>
              </w:rPr>
            </w:pPr>
          </w:p>
          <w:p w14:paraId="560EC249">
            <w:pPr>
              <w:rPr>
                <w:rFonts w:hint="eastAsia"/>
                <w:color w:val="000000" w:themeColor="text1"/>
                <w:lang w:val="en-US" w:eastAsia="zh-CN"/>
                <w14:textFill>
                  <w14:solidFill>
                    <w14:schemeClr w14:val="tx1"/>
                  </w14:solidFill>
                </w14:textFill>
              </w:rPr>
            </w:pPr>
          </w:p>
          <w:p w14:paraId="03D4A86B">
            <w:pPr>
              <w:rPr>
                <w:rFonts w:hint="eastAsia"/>
                <w:color w:val="000000" w:themeColor="text1"/>
                <w:lang w:val="en-US" w:eastAsia="zh-CN"/>
                <w14:textFill>
                  <w14:solidFill>
                    <w14:schemeClr w14:val="tx1"/>
                  </w14:solidFill>
                </w14:textFill>
              </w:rPr>
            </w:pPr>
          </w:p>
          <w:p w14:paraId="32C6707A">
            <w:pPr>
              <w:rPr>
                <w:rFonts w:hint="eastAsia"/>
                <w:color w:val="000000" w:themeColor="text1"/>
                <w:lang w:val="en-US" w:eastAsia="zh-CN"/>
                <w14:textFill>
                  <w14:solidFill>
                    <w14:schemeClr w14:val="tx1"/>
                  </w14:solidFill>
                </w14:textFill>
              </w:rPr>
            </w:pPr>
          </w:p>
          <w:p w14:paraId="67142C93">
            <w:pPr>
              <w:rPr>
                <w:rFonts w:hint="eastAsia"/>
                <w:color w:val="000000" w:themeColor="text1"/>
                <w:lang w:val="en-US" w:eastAsia="zh-CN"/>
                <w14:textFill>
                  <w14:solidFill>
                    <w14:schemeClr w14:val="tx1"/>
                  </w14:solidFill>
                </w14:textFill>
              </w:rPr>
            </w:pPr>
          </w:p>
          <w:p w14:paraId="77650674">
            <w:pPr>
              <w:rPr>
                <w:rFonts w:hint="eastAsia"/>
                <w:color w:val="000000" w:themeColor="text1"/>
                <w:lang w:val="en-US" w:eastAsia="zh-CN"/>
                <w14:textFill>
                  <w14:solidFill>
                    <w14:schemeClr w14:val="tx1"/>
                  </w14:solidFill>
                </w14:textFill>
              </w:rPr>
            </w:pPr>
          </w:p>
          <w:p w14:paraId="798B9B9C">
            <w:pPr>
              <w:rPr>
                <w:rFonts w:hint="eastAsia"/>
                <w:color w:val="000000" w:themeColor="text1"/>
                <w:lang w:val="en-US" w:eastAsia="zh-CN"/>
                <w14:textFill>
                  <w14:solidFill>
                    <w14:schemeClr w14:val="tx1"/>
                  </w14:solidFill>
                </w14:textFill>
              </w:rPr>
            </w:pPr>
          </w:p>
          <w:p w14:paraId="3BBE0DE1">
            <w:pPr>
              <w:rPr>
                <w:rFonts w:hint="eastAsia"/>
                <w:color w:val="000000" w:themeColor="text1"/>
                <w:lang w:val="en-US" w:eastAsia="zh-CN"/>
                <w14:textFill>
                  <w14:solidFill>
                    <w14:schemeClr w14:val="tx1"/>
                  </w14:solidFill>
                </w14:textFill>
              </w:rPr>
            </w:pPr>
          </w:p>
          <w:p w14:paraId="6206E574">
            <w:pPr>
              <w:rPr>
                <w:rFonts w:hint="eastAsia"/>
                <w:color w:val="000000" w:themeColor="text1"/>
                <w:lang w:val="en-US" w:eastAsia="zh-CN"/>
                <w14:textFill>
                  <w14:solidFill>
                    <w14:schemeClr w14:val="tx1"/>
                  </w14:solidFill>
                </w14:textFill>
              </w:rPr>
            </w:pPr>
          </w:p>
          <w:p w14:paraId="1FD9A747">
            <w:pPr>
              <w:keepNext w:val="0"/>
              <w:keepLines w:val="0"/>
              <w:suppressLineNumbers w:val="0"/>
              <w:bidi w:val="0"/>
              <w:spacing w:before="0" w:beforeAutospacing="0" w:after="0" w:afterAutospacing="0"/>
              <w:ind w:left="0" w:leftChars="0" w:right="0" w:firstLine="0" w:firstLineChars="0"/>
              <w:jc w:val="center"/>
              <w:rPr>
                <w:rFonts w:hint="eastAsia"/>
                <w:color w:val="000000" w:themeColor="text1"/>
                <w:spacing w:val="2"/>
                <w:lang w:eastAsia="zh-CN"/>
                <w14:textFill>
                  <w14:solidFill>
                    <w14:schemeClr w14:val="tx1"/>
                  </w14:solidFill>
                </w14:textFill>
              </w:rPr>
            </w:pPr>
            <w:r>
              <w:rPr>
                <w:rFonts w:hint="eastAsia"/>
                <w:color w:val="000000" w:themeColor="text1"/>
                <w:spacing w:val="2"/>
                <w:lang w:eastAsia="zh-CN"/>
                <w14:textFill>
                  <w14:solidFill>
                    <w14:schemeClr w14:val="tx1"/>
                  </w14:solidFill>
                </w14:textFill>
              </w:rPr>
              <w:object>
                <v:shape id="_x0000_i1025" o:spt="75" type="#_x0000_t75" style="height:480.75pt;width:388.5pt;" o:ole="t" filled="f" o:preferrelative="t" stroked="f" coordsize="21600,21600">
                  <v:path/>
                  <v:fill on="f" focussize="0,0"/>
                  <v:stroke on="f"/>
                  <v:imagedata r:id="rId11" o:title=""/>
                  <o:lock v:ext="edit" aspectratio="f"/>
                  <w10:wrap type="none"/>
                  <w10:anchorlock/>
                </v:shape>
                <o:OLEObject Type="Embed" ProgID="Visio.Drawing.15" ShapeID="_x0000_i1025" DrawAspect="Content" ObjectID="_1468075725" r:id="rId10">
                  <o:LockedField>false</o:LockedField>
                </o:OLEObject>
              </w:object>
            </w:r>
          </w:p>
          <w:p w14:paraId="344AA1ED">
            <w:pPr>
              <w:pStyle w:val="3"/>
              <w:keepNext w:val="0"/>
              <w:keepLines w:val="0"/>
              <w:suppressLineNumbers w:val="0"/>
              <w:bidi w:val="0"/>
              <w:spacing w:before="0" w:beforeAutospacing="0" w:after="0" w:afterAutospacing="0"/>
              <w:ind w:left="0" w:right="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图2-2  土石方平图  单位m</w:t>
            </w:r>
            <w:r>
              <w:rPr>
                <w:rFonts w:hint="eastAsia"/>
                <w:color w:val="000000" w:themeColor="text1"/>
                <w:vertAlign w:val="superscript"/>
                <w:lang w:val="en-US" w:eastAsia="zh-CN"/>
                <w14:textFill>
                  <w14:solidFill>
                    <w14:schemeClr w14:val="tx1"/>
                  </w14:solidFill>
                </w14:textFill>
              </w:rPr>
              <w:t>3</w:t>
            </w:r>
          </w:p>
          <w:p w14:paraId="69CC6865">
            <w:pPr>
              <w:keepNext/>
              <w:keepLines w:val="0"/>
              <w:widowControl w:val="0"/>
              <w:suppressLineNumbers w:val="0"/>
              <w:overflowPunct w:val="0"/>
              <w:bidi w:val="0"/>
              <w:spacing w:before="240" w:beforeAutospacing="0" w:after="60" w:afterAutospacing="0"/>
              <w:ind w:left="0" w:right="0" w:firstLine="0" w:firstLineChars="0"/>
              <w:jc w:val="left"/>
              <w:outlineLvl w:val="0"/>
              <w:rPr>
                <w:rFonts w:hint="default" w:ascii="Times New Roman" w:hAnsi="Times New Roman" w:eastAsia="黑体" w:cs="Times New Roman"/>
                <w:bCs/>
                <w:color w:val="000000" w:themeColor="text1"/>
                <w:kern w:val="44"/>
                <w:sz w:val="24"/>
                <w:szCs w:val="30"/>
                <w:lang w:val="en-US" w:eastAsia="zh-CN" w:bidi="ar-SA"/>
                <w14:textFill>
                  <w14:solidFill>
                    <w14:schemeClr w14:val="tx1"/>
                  </w14:solidFill>
                </w14:textFill>
              </w:rPr>
            </w:pPr>
            <w:r>
              <w:rPr>
                <w:rFonts w:hint="eastAsia" w:eastAsia="黑体" w:cs="Times New Roman"/>
                <w:bCs/>
                <w:color w:val="000000" w:themeColor="text1"/>
                <w:kern w:val="44"/>
                <w:sz w:val="24"/>
                <w:szCs w:val="30"/>
                <w:lang w:val="en-US" w:eastAsia="zh-CN" w:bidi="ar-SA"/>
                <w14:textFill>
                  <w14:solidFill>
                    <w14:schemeClr w14:val="tx1"/>
                  </w14:solidFill>
                </w14:textFill>
              </w:rPr>
              <w:t>8、</w:t>
            </w:r>
            <w:r>
              <w:rPr>
                <w:rFonts w:hint="eastAsia" w:ascii="Times New Roman" w:hAnsi="Times New Roman" w:eastAsia="黑体" w:cs="Times New Roman"/>
                <w:bCs/>
                <w:color w:val="000000" w:themeColor="text1"/>
                <w:kern w:val="44"/>
                <w:sz w:val="24"/>
                <w:szCs w:val="30"/>
                <w:lang w:val="en-US" w:eastAsia="zh-CN" w:bidi="ar-SA"/>
                <w14:textFill>
                  <w14:solidFill>
                    <w14:schemeClr w14:val="tx1"/>
                  </w14:solidFill>
                </w14:textFill>
              </w:rPr>
              <w:t>主要能源供应条件</w:t>
            </w:r>
          </w:p>
          <w:p w14:paraId="4EF053D4">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lang w:val="en-US" w:eastAsia="zh-CN"/>
                <w14:textFill>
                  <w14:solidFill>
                    <w14:schemeClr w14:val="tx1"/>
                  </w14:solidFill>
                </w14:textFill>
              </w:rPr>
              <w:instrText xml:space="preserve"> = 1 \* GB2 \* MERGEFORMAT </w:instrText>
            </w:r>
            <w:r>
              <w:rPr>
                <w:rFonts w:hint="default" w:ascii="Times New Roman" w:hAnsi="Times New Roman" w:eastAsia="宋体" w:cs="Times New Roman"/>
                <w:color w:val="000000" w:themeColor="text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⑴</w:t>
            </w:r>
            <w:r>
              <w:rPr>
                <w:rFonts w:hint="default" w:ascii="Times New Roman" w:hAnsi="Times New Roman" w:eastAsia="宋体" w:cs="Times New Roman"/>
                <w:color w:val="000000" w:themeColor="text1"/>
                <w:lang w:val="en-US" w:eastAsia="zh-CN"/>
                <w14:textFill>
                  <w14:solidFill>
                    <w14:schemeClr w14:val="tx1"/>
                  </w14:solidFill>
                </w14:textFill>
              </w:rPr>
              <w:fldChar w:fldCharType="end"/>
            </w:r>
            <w:r>
              <w:rPr>
                <w:rFonts w:hint="eastAsia" w:ascii="宋体" w:hAnsi="宋体" w:eastAsia="宋体" w:cs="宋体"/>
                <w:color w:val="000000" w:themeColor="text1"/>
                <w:kern w:val="0"/>
                <w:sz w:val="24"/>
                <w:szCs w:val="24"/>
                <w:lang w:val="en-US" w:eastAsia="zh-CN" w:bidi="ar"/>
                <w14:textFill>
                  <w14:solidFill>
                    <w14:schemeClr w14:val="tx1"/>
                  </w14:solidFill>
                </w14:textFill>
              </w:rPr>
              <w:t>交通运输</w:t>
            </w:r>
          </w:p>
          <w:p w14:paraId="7EC6822D">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治理区周边分布有高速公路、县道、乡道等交通运输道路，交通便利。</w:t>
            </w:r>
            <w:r>
              <w:rPr>
                <w:rFonts w:hint="eastAsia" w:ascii="宋体" w:hAnsi="宋体" w:eastAsia="宋体" w:cs="宋体"/>
                <w:color w:val="000000" w:themeColor="text1"/>
                <w:kern w:val="0"/>
                <w:sz w:val="24"/>
                <w:szCs w:val="24"/>
                <w:lang w:val="en-US" w:eastAsia="zh-CN" w:bidi="ar"/>
                <w14:textFill>
                  <w14:solidFill>
                    <w14:schemeClr w14:val="tx1"/>
                  </w14:solidFill>
                </w14:textFill>
              </w:rPr>
              <w:t>同时治理区范围内设有施工便道。通过现有道路可通往中卫沙坡头区</w:t>
            </w:r>
            <w:r>
              <w:rPr>
                <w:rFonts w:hint="default" w:ascii="Times New Roman" w:hAnsi="Times New Roman" w:cs="Times New Roman"/>
                <w:color w:val="000000" w:themeColor="text1"/>
                <w:sz w:val="24"/>
                <w:szCs w:val="24"/>
                <w:u w:val="none"/>
                <w14:textFill>
                  <w14:solidFill>
                    <w14:schemeClr w14:val="tx1"/>
                  </w14:solidFill>
                </w14:textFill>
              </w:rPr>
              <w:t>东园镇、迎水桥镇、永康镇</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常乐镇、兴仁镇</w:t>
            </w:r>
            <w:r>
              <w:rPr>
                <w:rFonts w:hint="eastAsia" w:ascii="宋体" w:hAnsi="宋体" w:eastAsia="宋体" w:cs="宋体"/>
                <w:color w:val="000000" w:themeColor="text1"/>
                <w:kern w:val="0"/>
                <w:sz w:val="24"/>
                <w:szCs w:val="24"/>
                <w:lang w:val="en-US" w:eastAsia="zh-CN" w:bidi="ar"/>
                <w14:textFill>
                  <w14:solidFill>
                    <w14:schemeClr w14:val="tx1"/>
                  </w14:solidFill>
                </w14:textFill>
              </w:rPr>
              <w:t>的各个治理区，</w:t>
            </w:r>
            <w:r>
              <w:rPr>
                <w:rFonts w:hint="eastAsia" w:ascii="Times New Roman" w:hAnsi="Times New Roman" w:eastAsia="宋体" w:cs="Times New Roman"/>
                <w:color w:val="000000" w:themeColor="text1"/>
                <w:lang w:val="en-US" w:eastAsia="zh-CN"/>
                <w14:textFill>
                  <w14:solidFill>
                    <w14:schemeClr w14:val="tx1"/>
                  </w14:solidFill>
                </w14:textFill>
              </w:rPr>
              <w:t>可满足本工程施工内外交通要求。</w:t>
            </w:r>
          </w:p>
          <w:p w14:paraId="391AB5BF">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lang w:val="en-US" w:eastAsia="zh-CN"/>
                <w14:textFill>
                  <w14:solidFill>
                    <w14:schemeClr w14:val="tx1"/>
                  </w14:solidFill>
                </w14:textFill>
              </w:rPr>
              <w:instrText xml:space="preserve"> = 2 \* GB2 \* MERGEFORMAT </w:instrText>
            </w:r>
            <w:r>
              <w:rPr>
                <w:rFonts w:hint="default" w:ascii="Times New Roman" w:hAnsi="Times New Roman" w:eastAsia="宋体" w:cs="Times New Roman"/>
                <w:color w:val="000000" w:themeColor="text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⑵</w:t>
            </w:r>
            <w:r>
              <w:rPr>
                <w:rFonts w:hint="default" w:ascii="Times New Roman" w:hAnsi="Times New Roman" w:eastAsia="宋体" w:cs="Times New Roman"/>
                <w:color w:val="000000" w:themeColor="text1"/>
                <w:lang w:val="en-US" w:eastAsia="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14:textFill>
                  <w14:solidFill>
                    <w14:schemeClr w14:val="tx1"/>
                  </w14:solidFill>
                </w14:textFill>
              </w:rPr>
              <w:t>供水</w:t>
            </w:r>
          </w:p>
          <w:p w14:paraId="34321C09">
            <w:pPr>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施工用水、施工人员生活用水购自周边村镇</w:t>
            </w:r>
            <w:r>
              <w:rPr>
                <w:rFonts w:hint="eastAsia" w:ascii="Times New Roman" w:hAnsi="Times New Roman" w:eastAsia="宋体" w:cs="Times New Roman"/>
                <w:color w:val="000000" w:themeColor="text1"/>
                <w:lang w:val="en-US" w:eastAsia="zh-CN"/>
                <w14:textFill>
                  <w14:solidFill>
                    <w14:schemeClr w14:val="tx1"/>
                  </w14:solidFill>
                </w14:textFill>
              </w:rPr>
              <w:t>。</w:t>
            </w:r>
          </w:p>
          <w:p w14:paraId="2E69D859">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3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⑶</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供电</w:t>
            </w:r>
          </w:p>
          <w:p w14:paraId="48EEFB15">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依托沿线村落镇输电电网。</w:t>
            </w:r>
          </w:p>
          <w:p w14:paraId="488577C1">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9、工程占地</w:t>
            </w:r>
          </w:p>
          <w:p w14:paraId="08641D2A">
            <w:pPr>
              <w:bidi w:val="0"/>
              <w:rPr>
                <w:rFonts w:hint="eastAsia"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根据中卫市沙坡头区自然资源局提供的202</w:t>
            </w:r>
            <w:r>
              <w:rPr>
                <w:rFonts w:hint="eastAsia" w:ascii="Times New Roman" w:hAnsi="Times New Roman" w:eastAsia="宋体" w:cs="Times New Roman"/>
                <w:color w:val="000000" w:themeColor="text1"/>
                <w:lang w:val="en-US" w:eastAsia="zh-CN"/>
                <w14:textFill>
                  <w14:solidFill>
                    <w14:schemeClr w14:val="tx1"/>
                  </w14:solidFill>
                </w14:textFill>
              </w:rPr>
              <w:t>1</w:t>
            </w:r>
            <w:r>
              <w:rPr>
                <w:rFonts w:ascii="Times New Roman" w:hAnsi="Times New Roman" w:eastAsia="宋体" w:cs="Times New Roman"/>
                <w:color w:val="000000" w:themeColor="text1"/>
                <w14:textFill>
                  <w14:solidFill>
                    <w14:schemeClr w14:val="tx1"/>
                  </w14:solidFill>
                </w14:textFill>
              </w:rPr>
              <w:t>年变更调查成果数据，项目区总治理面积为</w:t>
            </w:r>
            <w:r>
              <w:rPr>
                <w:rFonts w:hint="eastAsia" w:ascii="Times New Roman" w:hAnsi="Times New Roman" w:eastAsia="宋体" w:cs="Times New Roman"/>
                <w:color w:val="000000" w:themeColor="text1"/>
                <w:lang w:val="en-US" w:eastAsia="zh-CN"/>
                <w14:textFill>
                  <w14:solidFill>
                    <w14:schemeClr w14:val="tx1"/>
                  </w14:solidFill>
                </w14:textFill>
              </w:rPr>
              <w:t>33.78</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均为临时占地。</w:t>
            </w:r>
            <w:r>
              <w:rPr>
                <w:rFonts w:ascii="Times New Roman" w:hAnsi="Times New Roman" w:eastAsia="宋体" w:cs="Times New Roman"/>
                <w:color w:val="000000" w:themeColor="text1"/>
                <w14:textFill>
                  <w14:solidFill>
                    <w14:schemeClr w14:val="tx1"/>
                  </w14:solidFill>
                </w14:textFill>
              </w:rPr>
              <w:t>其中：耕地面积1.08hm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，林地面积0.2974hm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，草地面积30.26hm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，交通运输用地0.18hm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，其他土地面积</w:t>
            </w:r>
            <w:r>
              <w:rPr>
                <w:rFonts w:hint="eastAsia" w:ascii="Times New Roman" w:hAnsi="Times New Roman" w:eastAsia="宋体" w:cs="Times New Roman"/>
                <w:color w:val="000000" w:themeColor="text1"/>
                <w:lang w:val="en-US" w:eastAsia="zh-CN"/>
                <w14:textFill>
                  <w14:solidFill>
                    <w14:schemeClr w14:val="tx1"/>
                  </w14:solidFill>
                </w14:textFill>
              </w:rPr>
              <w:t>1.96</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，占项目区面积的5.</w:t>
            </w:r>
            <w:r>
              <w:rPr>
                <w:rFonts w:hint="eastAsia" w:ascii="Times New Roman" w:hAnsi="Times New Roman" w:eastAsia="宋体" w:cs="Times New Roman"/>
                <w:color w:val="000000" w:themeColor="text1"/>
                <w:lang w:val="en-US" w:eastAsia="zh-CN"/>
                <w14:textFill>
                  <w14:solidFill>
                    <w14:schemeClr w14:val="tx1"/>
                  </w14:solidFill>
                </w14:textFill>
              </w:rPr>
              <w:t>8</w:t>
            </w:r>
            <w:r>
              <w:rPr>
                <w:rFonts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。项目实施后，土地利用结构不发生变化</w:t>
            </w:r>
            <w:r>
              <w:rPr>
                <w:rFonts w:hint="eastAsia" w:ascii="Times New Roman" w:hAnsi="Times New Roman" w:eastAsia="宋体" w:cs="Times New Roman"/>
                <w:color w:val="000000" w:themeColor="text1"/>
                <w:lang w:eastAsia="zh-CN"/>
                <w14:textFill>
                  <w14:solidFill>
                    <w14:schemeClr w14:val="tx1"/>
                  </w14:solidFill>
                </w14:textFill>
              </w:rPr>
              <w:t>。</w:t>
            </w:r>
          </w:p>
          <w:p w14:paraId="5BD2E3CB">
            <w:pPr>
              <w:pStyle w:val="3"/>
              <w:bidi w:val="0"/>
              <w:rPr>
                <w:rFonts w:hint="eastAsia"/>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表</w:t>
            </w:r>
            <w:r>
              <w:rPr>
                <w:rFonts w:hint="eastAsia"/>
                <w:color w:val="000000" w:themeColor="text1"/>
                <w:lang w:val="en-US" w:eastAsia="zh-CN"/>
                <w14:textFill>
                  <w14:solidFill>
                    <w14:schemeClr w14:val="tx1"/>
                  </w14:solidFill>
                </w14:textFill>
              </w:rPr>
              <w:t>2-5</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项目土地类型</w:t>
            </w:r>
            <w:r>
              <w:rPr>
                <w:rFonts w:hint="default"/>
                <w:color w:val="000000" w:themeColor="text1"/>
                <w:lang w:val="en-US" w:eastAsia="zh-CN"/>
                <w14:textFill>
                  <w14:solidFill>
                    <w14:schemeClr w14:val="tx1"/>
                  </w14:solidFill>
                </w14:textFill>
              </w:rPr>
              <w:t>表</w:t>
            </w:r>
          </w:p>
          <w:tbl>
            <w:tblPr>
              <w:tblStyle w:val="80"/>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3"/>
              <w:gridCol w:w="1144"/>
              <w:gridCol w:w="701"/>
              <w:gridCol w:w="702"/>
              <w:gridCol w:w="728"/>
              <w:gridCol w:w="536"/>
              <w:gridCol w:w="498"/>
              <w:gridCol w:w="637"/>
              <w:gridCol w:w="780"/>
              <w:gridCol w:w="718"/>
              <w:gridCol w:w="771"/>
            </w:tblGrid>
            <w:tr w14:paraId="694F1E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vMerge w:val="restart"/>
                  <w:tcBorders>
                    <w:top w:val="single" w:color="000000" w:sz="10" w:space="0"/>
                    <w:left w:val="single" w:color="000000" w:sz="10" w:space="0"/>
                    <w:bottom w:val="nil"/>
                  </w:tcBorders>
                  <w:noWrap w:val="0"/>
                  <w:vAlign w:val="center"/>
                </w:tcPr>
                <w:p w14:paraId="4DCB1C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一级地类</w:t>
                  </w:r>
                </w:p>
              </w:tc>
              <w:tc>
                <w:tcPr>
                  <w:tcW w:w="1158" w:type="dxa"/>
                  <w:vMerge w:val="restart"/>
                  <w:tcBorders>
                    <w:top w:val="single" w:color="000000" w:sz="10" w:space="0"/>
                    <w:bottom w:val="nil"/>
                  </w:tcBorders>
                  <w:noWrap w:val="0"/>
                  <w:vAlign w:val="center"/>
                </w:tcPr>
                <w:p w14:paraId="0F0C03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二级地类</w:t>
                  </w:r>
                </w:p>
              </w:tc>
              <w:tc>
                <w:tcPr>
                  <w:tcW w:w="709" w:type="dxa"/>
                  <w:tcBorders>
                    <w:top w:val="single" w:color="000000" w:sz="10" w:space="0"/>
                  </w:tcBorders>
                  <w:noWrap w:val="0"/>
                  <w:vAlign w:val="center"/>
                </w:tcPr>
                <w:p w14:paraId="07BEF9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DK-01</w:t>
                  </w:r>
                </w:p>
              </w:tc>
              <w:tc>
                <w:tcPr>
                  <w:tcW w:w="710" w:type="dxa"/>
                  <w:tcBorders>
                    <w:top w:val="single" w:color="000000" w:sz="10" w:space="0"/>
                  </w:tcBorders>
                  <w:noWrap w:val="0"/>
                  <w:vAlign w:val="center"/>
                </w:tcPr>
                <w:p w14:paraId="1096CE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DK-02</w:t>
                  </w:r>
                </w:p>
              </w:tc>
              <w:tc>
                <w:tcPr>
                  <w:tcW w:w="737" w:type="dxa"/>
                  <w:tcBorders>
                    <w:top w:val="single" w:color="000000" w:sz="10" w:space="0"/>
                  </w:tcBorders>
                  <w:noWrap w:val="0"/>
                  <w:vAlign w:val="center"/>
                </w:tcPr>
                <w:p w14:paraId="5B5D0D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DK-03</w:t>
                  </w:r>
                </w:p>
              </w:tc>
              <w:tc>
                <w:tcPr>
                  <w:tcW w:w="1046" w:type="dxa"/>
                  <w:gridSpan w:val="2"/>
                  <w:tcBorders>
                    <w:top w:val="single" w:color="000000" w:sz="10" w:space="0"/>
                  </w:tcBorders>
                  <w:noWrap w:val="0"/>
                  <w:vAlign w:val="center"/>
                </w:tcPr>
                <w:p w14:paraId="457BD6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DK-04</w:t>
                  </w:r>
                </w:p>
              </w:tc>
              <w:tc>
                <w:tcPr>
                  <w:tcW w:w="645" w:type="dxa"/>
                  <w:tcBorders>
                    <w:top w:val="single" w:color="000000" w:sz="10" w:space="0"/>
                  </w:tcBorders>
                  <w:noWrap w:val="0"/>
                  <w:vAlign w:val="center"/>
                </w:tcPr>
                <w:p w14:paraId="0D662D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DK-05</w:t>
                  </w:r>
                </w:p>
              </w:tc>
              <w:tc>
                <w:tcPr>
                  <w:tcW w:w="789" w:type="dxa"/>
                  <w:tcBorders>
                    <w:top w:val="single" w:color="000000" w:sz="10" w:space="0"/>
                  </w:tcBorders>
                  <w:noWrap w:val="0"/>
                  <w:vAlign w:val="center"/>
                </w:tcPr>
                <w:p w14:paraId="1849DA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DK-06</w:t>
                  </w:r>
                </w:p>
              </w:tc>
              <w:tc>
                <w:tcPr>
                  <w:tcW w:w="726" w:type="dxa"/>
                  <w:tcBorders>
                    <w:top w:val="single" w:color="000000" w:sz="10" w:space="0"/>
                  </w:tcBorders>
                  <w:noWrap w:val="0"/>
                  <w:vAlign w:val="center"/>
                </w:tcPr>
                <w:p w14:paraId="2DCFCC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DK-07</w:t>
                  </w:r>
                </w:p>
              </w:tc>
              <w:tc>
                <w:tcPr>
                  <w:tcW w:w="780" w:type="dxa"/>
                  <w:vMerge w:val="restart"/>
                  <w:tcBorders>
                    <w:top w:val="single" w:color="000000" w:sz="10" w:space="0"/>
                    <w:bottom w:val="nil"/>
                    <w:right w:val="single" w:color="000000" w:sz="10" w:space="0"/>
                  </w:tcBorders>
                  <w:noWrap w:val="0"/>
                  <w:vAlign w:val="center"/>
                </w:tcPr>
                <w:p w14:paraId="2AF25D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总计</w:t>
                  </w:r>
                </w:p>
              </w:tc>
            </w:tr>
            <w:tr w14:paraId="4EB83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vMerge w:val="continue"/>
                  <w:tcBorders>
                    <w:top w:val="nil"/>
                    <w:left w:val="single" w:color="000000" w:sz="10" w:space="0"/>
                  </w:tcBorders>
                  <w:noWrap w:val="0"/>
                  <w:vAlign w:val="center"/>
                </w:tcPr>
                <w:p w14:paraId="1B5BC8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158" w:type="dxa"/>
                  <w:vMerge w:val="continue"/>
                  <w:tcBorders>
                    <w:top w:val="nil"/>
                  </w:tcBorders>
                  <w:noWrap w:val="0"/>
                  <w:vAlign w:val="center"/>
                </w:tcPr>
                <w:p w14:paraId="42F13E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09" w:type="dxa"/>
                  <w:noWrap w:val="0"/>
                  <w:vAlign w:val="center"/>
                </w:tcPr>
                <w:p w14:paraId="74449C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新北山区</w:t>
                  </w:r>
                </w:p>
              </w:tc>
              <w:tc>
                <w:tcPr>
                  <w:tcW w:w="710" w:type="dxa"/>
                  <w:noWrap w:val="0"/>
                  <w:vAlign w:val="center"/>
                </w:tcPr>
                <w:p w14:paraId="44C0DA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孟家湾村</w:t>
                  </w:r>
                </w:p>
              </w:tc>
              <w:tc>
                <w:tcPr>
                  <w:tcW w:w="737" w:type="dxa"/>
                  <w:noWrap w:val="0"/>
                  <w:vAlign w:val="center"/>
                </w:tcPr>
                <w:p w14:paraId="41723C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孟家湾村</w:t>
                  </w:r>
                </w:p>
              </w:tc>
              <w:tc>
                <w:tcPr>
                  <w:tcW w:w="542" w:type="dxa"/>
                  <w:noWrap w:val="0"/>
                  <w:vAlign w:val="center"/>
                </w:tcPr>
                <w:p w14:paraId="05B1CD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丰台村</w:t>
                  </w:r>
                </w:p>
              </w:tc>
              <w:tc>
                <w:tcPr>
                  <w:tcW w:w="504" w:type="dxa"/>
                  <w:noWrap w:val="0"/>
                  <w:vAlign w:val="center"/>
                </w:tcPr>
                <w:p w14:paraId="492089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乐台村</w:t>
                  </w:r>
                </w:p>
              </w:tc>
              <w:tc>
                <w:tcPr>
                  <w:tcW w:w="645" w:type="dxa"/>
                  <w:noWrap w:val="0"/>
                  <w:vAlign w:val="center"/>
                </w:tcPr>
                <w:p w14:paraId="3329F3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刘湾村</w:t>
                  </w:r>
                </w:p>
              </w:tc>
              <w:tc>
                <w:tcPr>
                  <w:tcW w:w="789" w:type="dxa"/>
                  <w:noWrap w:val="0"/>
                  <w:vAlign w:val="center"/>
                </w:tcPr>
                <w:p w14:paraId="270C37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上游村</w:t>
                  </w:r>
                </w:p>
              </w:tc>
              <w:tc>
                <w:tcPr>
                  <w:tcW w:w="726" w:type="dxa"/>
                  <w:noWrap w:val="0"/>
                  <w:vAlign w:val="center"/>
                </w:tcPr>
                <w:p w14:paraId="5F7726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兴仁村</w:t>
                  </w:r>
                </w:p>
              </w:tc>
              <w:tc>
                <w:tcPr>
                  <w:tcW w:w="780" w:type="dxa"/>
                  <w:vMerge w:val="continue"/>
                  <w:tcBorders>
                    <w:top w:val="nil"/>
                    <w:right w:val="single" w:color="000000" w:sz="10" w:space="0"/>
                  </w:tcBorders>
                  <w:noWrap w:val="0"/>
                  <w:vAlign w:val="center"/>
                </w:tcPr>
                <w:p w14:paraId="252F9B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4804AB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vMerge w:val="restart"/>
                  <w:tcBorders>
                    <w:left w:val="single" w:color="000000" w:sz="10" w:space="0"/>
                    <w:bottom w:val="nil"/>
                  </w:tcBorders>
                  <w:noWrap w:val="0"/>
                  <w:vAlign w:val="center"/>
                </w:tcPr>
                <w:p w14:paraId="090A8E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耕地（01）</w:t>
                  </w:r>
                </w:p>
              </w:tc>
              <w:tc>
                <w:tcPr>
                  <w:tcW w:w="1158" w:type="dxa"/>
                  <w:noWrap w:val="0"/>
                  <w:vAlign w:val="center"/>
                </w:tcPr>
                <w:p w14:paraId="566DB6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水田</w:t>
                  </w:r>
                </w:p>
                <w:p w14:paraId="544A9A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（0101）</w:t>
                  </w:r>
                </w:p>
              </w:tc>
              <w:tc>
                <w:tcPr>
                  <w:tcW w:w="709" w:type="dxa"/>
                  <w:noWrap w:val="0"/>
                  <w:vAlign w:val="center"/>
                </w:tcPr>
                <w:p w14:paraId="4C80C8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10" w:type="dxa"/>
                  <w:noWrap w:val="0"/>
                  <w:vAlign w:val="center"/>
                </w:tcPr>
                <w:p w14:paraId="4D3922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37" w:type="dxa"/>
                  <w:noWrap w:val="0"/>
                  <w:vAlign w:val="center"/>
                </w:tcPr>
                <w:p w14:paraId="5BD77E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42" w:type="dxa"/>
                  <w:noWrap w:val="0"/>
                  <w:vAlign w:val="center"/>
                </w:tcPr>
                <w:p w14:paraId="2D0BDF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0.33</w:t>
                  </w:r>
                </w:p>
              </w:tc>
              <w:tc>
                <w:tcPr>
                  <w:tcW w:w="504" w:type="dxa"/>
                  <w:noWrap w:val="0"/>
                  <w:vAlign w:val="center"/>
                </w:tcPr>
                <w:p w14:paraId="0008A5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45" w:type="dxa"/>
                  <w:noWrap w:val="0"/>
                  <w:vAlign w:val="center"/>
                </w:tcPr>
                <w:p w14:paraId="596739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0.35</w:t>
                  </w:r>
                </w:p>
              </w:tc>
              <w:tc>
                <w:tcPr>
                  <w:tcW w:w="789" w:type="dxa"/>
                  <w:noWrap w:val="0"/>
                  <w:vAlign w:val="center"/>
                </w:tcPr>
                <w:p w14:paraId="673C3E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6" w:type="dxa"/>
                  <w:noWrap w:val="0"/>
                  <w:vAlign w:val="center"/>
                </w:tcPr>
                <w:p w14:paraId="2986A6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0" w:type="dxa"/>
                  <w:tcBorders>
                    <w:right w:val="single" w:color="000000" w:sz="10" w:space="0"/>
                  </w:tcBorders>
                  <w:noWrap w:val="0"/>
                  <w:vAlign w:val="center"/>
                </w:tcPr>
                <w:p w14:paraId="7115D1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0.68</w:t>
                  </w:r>
                </w:p>
              </w:tc>
            </w:tr>
            <w:tr w14:paraId="7A345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vMerge w:val="continue"/>
                  <w:tcBorders>
                    <w:top w:val="nil"/>
                    <w:left w:val="single" w:color="000000" w:sz="10" w:space="0"/>
                  </w:tcBorders>
                  <w:noWrap w:val="0"/>
                  <w:vAlign w:val="center"/>
                </w:tcPr>
                <w:p w14:paraId="38EC75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158" w:type="dxa"/>
                  <w:noWrap w:val="0"/>
                  <w:vAlign w:val="center"/>
                </w:tcPr>
                <w:p w14:paraId="0CFD10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旱地</w:t>
                  </w:r>
                </w:p>
                <w:p w14:paraId="2A0E77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（0103）</w:t>
                  </w:r>
                </w:p>
              </w:tc>
              <w:tc>
                <w:tcPr>
                  <w:tcW w:w="709" w:type="dxa"/>
                  <w:noWrap w:val="0"/>
                  <w:vAlign w:val="center"/>
                </w:tcPr>
                <w:p w14:paraId="5D49E0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10" w:type="dxa"/>
                  <w:noWrap w:val="0"/>
                  <w:vAlign w:val="center"/>
                </w:tcPr>
                <w:p w14:paraId="60CEBF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37" w:type="dxa"/>
                  <w:noWrap w:val="0"/>
                  <w:vAlign w:val="center"/>
                </w:tcPr>
                <w:p w14:paraId="292E84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42" w:type="dxa"/>
                  <w:noWrap w:val="0"/>
                  <w:vAlign w:val="center"/>
                </w:tcPr>
                <w:p w14:paraId="3A8813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4" w:type="dxa"/>
                  <w:noWrap w:val="0"/>
                  <w:vAlign w:val="center"/>
                </w:tcPr>
                <w:p w14:paraId="07E359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w:t>
                  </w:r>
                </w:p>
              </w:tc>
              <w:tc>
                <w:tcPr>
                  <w:tcW w:w="645" w:type="dxa"/>
                  <w:noWrap w:val="0"/>
                  <w:vAlign w:val="center"/>
                </w:tcPr>
                <w:p w14:paraId="349B32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9" w:type="dxa"/>
                  <w:noWrap w:val="0"/>
                  <w:vAlign w:val="center"/>
                </w:tcPr>
                <w:p w14:paraId="31F2A9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6" w:type="dxa"/>
                  <w:noWrap w:val="0"/>
                  <w:vAlign w:val="center"/>
                </w:tcPr>
                <w:p w14:paraId="17EF54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0" w:type="dxa"/>
                  <w:tcBorders>
                    <w:right w:val="single" w:color="000000" w:sz="10" w:space="0"/>
                  </w:tcBorders>
                  <w:noWrap w:val="0"/>
                  <w:vAlign w:val="center"/>
                </w:tcPr>
                <w:p w14:paraId="26B2A7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w:t>
                  </w:r>
                </w:p>
              </w:tc>
            </w:tr>
            <w:tr w14:paraId="0CF7C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tcBorders>
                    <w:left w:val="single" w:color="000000" w:sz="10" w:space="0"/>
                  </w:tcBorders>
                  <w:noWrap w:val="0"/>
                  <w:vAlign w:val="center"/>
                </w:tcPr>
                <w:p w14:paraId="05ECB3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林地（02）</w:t>
                  </w:r>
                </w:p>
              </w:tc>
              <w:tc>
                <w:tcPr>
                  <w:tcW w:w="1158" w:type="dxa"/>
                  <w:noWrap w:val="0"/>
                  <w:vAlign w:val="center"/>
                </w:tcPr>
                <w:p w14:paraId="7D533B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灌木林地</w:t>
                  </w:r>
                </w:p>
                <w:p w14:paraId="4EB9BB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（0305）</w:t>
                  </w:r>
                </w:p>
              </w:tc>
              <w:tc>
                <w:tcPr>
                  <w:tcW w:w="709" w:type="dxa"/>
                  <w:noWrap w:val="0"/>
                  <w:vAlign w:val="center"/>
                </w:tcPr>
                <w:p w14:paraId="702682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10" w:type="dxa"/>
                  <w:noWrap w:val="0"/>
                  <w:vAlign w:val="center"/>
                </w:tcPr>
                <w:p w14:paraId="256CB9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37" w:type="dxa"/>
                  <w:noWrap w:val="0"/>
                  <w:vAlign w:val="center"/>
                </w:tcPr>
                <w:p w14:paraId="7EA565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42" w:type="dxa"/>
                  <w:noWrap w:val="0"/>
                  <w:vAlign w:val="center"/>
                </w:tcPr>
                <w:p w14:paraId="627358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4" w:type="dxa"/>
                  <w:noWrap w:val="0"/>
                  <w:vAlign w:val="center"/>
                </w:tcPr>
                <w:p w14:paraId="682BFD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45" w:type="dxa"/>
                  <w:noWrap w:val="0"/>
                  <w:vAlign w:val="center"/>
                </w:tcPr>
                <w:p w14:paraId="56446A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9" w:type="dxa"/>
                  <w:noWrap w:val="0"/>
                  <w:vAlign w:val="center"/>
                </w:tcPr>
                <w:p w14:paraId="6B0F3C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30</w:t>
                  </w:r>
                </w:p>
              </w:tc>
              <w:tc>
                <w:tcPr>
                  <w:tcW w:w="726" w:type="dxa"/>
                  <w:noWrap w:val="0"/>
                  <w:vAlign w:val="center"/>
                </w:tcPr>
                <w:p w14:paraId="73345B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0" w:type="dxa"/>
                  <w:tcBorders>
                    <w:right w:val="single" w:color="000000" w:sz="10" w:space="0"/>
                  </w:tcBorders>
                  <w:noWrap w:val="0"/>
                  <w:vAlign w:val="center"/>
                </w:tcPr>
                <w:p w14:paraId="1C5E2E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30</w:t>
                  </w:r>
                </w:p>
              </w:tc>
            </w:tr>
            <w:tr w14:paraId="72F45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tcBorders>
                    <w:left w:val="single" w:color="000000" w:sz="10" w:space="0"/>
                  </w:tcBorders>
                  <w:noWrap w:val="0"/>
                  <w:vAlign w:val="center"/>
                </w:tcPr>
                <w:p w14:paraId="215B87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草地（03）</w:t>
                  </w:r>
                </w:p>
              </w:tc>
              <w:tc>
                <w:tcPr>
                  <w:tcW w:w="1158" w:type="dxa"/>
                  <w:noWrap w:val="0"/>
                  <w:vAlign w:val="center"/>
                </w:tcPr>
                <w:p w14:paraId="7721A8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天然牧草地</w:t>
                  </w:r>
                </w:p>
                <w:p w14:paraId="6440B2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（0401）</w:t>
                  </w:r>
                </w:p>
              </w:tc>
              <w:tc>
                <w:tcPr>
                  <w:tcW w:w="709" w:type="dxa"/>
                  <w:noWrap w:val="0"/>
                  <w:vAlign w:val="center"/>
                </w:tcPr>
                <w:p w14:paraId="504266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0.37</w:t>
                  </w:r>
                </w:p>
              </w:tc>
              <w:tc>
                <w:tcPr>
                  <w:tcW w:w="710" w:type="dxa"/>
                  <w:noWrap w:val="0"/>
                  <w:vAlign w:val="center"/>
                </w:tcPr>
                <w:p w14:paraId="2F1E41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15.48</w:t>
                  </w:r>
                </w:p>
              </w:tc>
              <w:tc>
                <w:tcPr>
                  <w:tcW w:w="737" w:type="dxa"/>
                  <w:noWrap w:val="0"/>
                  <w:vAlign w:val="center"/>
                </w:tcPr>
                <w:p w14:paraId="7B2657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4.1</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c>
                <w:tcPr>
                  <w:tcW w:w="542" w:type="dxa"/>
                  <w:noWrap w:val="0"/>
                  <w:vAlign w:val="center"/>
                </w:tcPr>
                <w:p w14:paraId="39282D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2.4</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5</w:t>
                  </w: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w:t>
                  </w:r>
                </w:p>
              </w:tc>
              <w:tc>
                <w:tcPr>
                  <w:tcW w:w="504" w:type="dxa"/>
                  <w:noWrap w:val="0"/>
                  <w:vAlign w:val="center"/>
                </w:tcPr>
                <w:p w14:paraId="5E6CBD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4.92</w:t>
                  </w:r>
                </w:p>
              </w:tc>
              <w:tc>
                <w:tcPr>
                  <w:tcW w:w="645" w:type="dxa"/>
                  <w:noWrap w:val="0"/>
                  <w:vAlign w:val="center"/>
                </w:tcPr>
                <w:p w14:paraId="0A3121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2.2</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789" w:type="dxa"/>
                  <w:noWrap w:val="0"/>
                  <w:vAlign w:val="center"/>
                </w:tcPr>
                <w:p w14:paraId="2DF05B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6" w:type="dxa"/>
                  <w:noWrap w:val="0"/>
                  <w:vAlign w:val="center"/>
                </w:tcPr>
                <w:p w14:paraId="3F8B02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0.63</w:t>
                  </w:r>
                </w:p>
              </w:tc>
              <w:tc>
                <w:tcPr>
                  <w:tcW w:w="780" w:type="dxa"/>
                  <w:tcBorders>
                    <w:right w:val="single" w:color="000000" w:sz="10" w:space="0"/>
                  </w:tcBorders>
                  <w:noWrap w:val="0"/>
                  <w:vAlign w:val="center"/>
                </w:tcPr>
                <w:p w14:paraId="500646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30.26</w:t>
                  </w:r>
                </w:p>
              </w:tc>
            </w:tr>
            <w:tr w14:paraId="173A7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tcBorders>
                    <w:left w:val="single" w:color="000000" w:sz="10" w:space="0"/>
                  </w:tcBorders>
                  <w:noWrap w:val="0"/>
                  <w:vAlign w:val="center"/>
                </w:tcPr>
                <w:p w14:paraId="09CD6D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交通运输</w:t>
                  </w:r>
                </w:p>
                <w:p w14:paraId="63D904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用地</w:t>
                  </w:r>
                </w:p>
                <w:p w14:paraId="304D9B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（10）</w:t>
                  </w:r>
                </w:p>
              </w:tc>
              <w:tc>
                <w:tcPr>
                  <w:tcW w:w="1158" w:type="dxa"/>
                  <w:noWrap w:val="0"/>
                  <w:vAlign w:val="center"/>
                </w:tcPr>
                <w:p w14:paraId="55CE21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农村道路</w:t>
                  </w:r>
                </w:p>
                <w:p w14:paraId="30D132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（1006）</w:t>
                  </w:r>
                </w:p>
              </w:tc>
              <w:tc>
                <w:tcPr>
                  <w:tcW w:w="709" w:type="dxa"/>
                  <w:noWrap w:val="0"/>
                  <w:vAlign w:val="center"/>
                </w:tcPr>
                <w:p w14:paraId="5CE1E9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10" w:type="dxa"/>
                  <w:noWrap w:val="0"/>
                  <w:vAlign w:val="center"/>
                </w:tcPr>
                <w:p w14:paraId="1FF46A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37" w:type="dxa"/>
                  <w:noWrap w:val="0"/>
                  <w:vAlign w:val="center"/>
                </w:tcPr>
                <w:p w14:paraId="31DD5B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8</w:t>
                  </w:r>
                </w:p>
              </w:tc>
              <w:tc>
                <w:tcPr>
                  <w:tcW w:w="542" w:type="dxa"/>
                  <w:noWrap w:val="0"/>
                  <w:vAlign w:val="center"/>
                </w:tcPr>
                <w:p w14:paraId="21B089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4" w:type="dxa"/>
                  <w:noWrap w:val="0"/>
                  <w:vAlign w:val="center"/>
                </w:tcPr>
                <w:p w14:paraId="03DC82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45" w:type="dxa"/>
                  <w:noWrap w:val="0"/>
                  <w:vAlign w:val="center"/>
                </w:tcPr>
                <w:p w14:paraId="104D5D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9" w:type="dxa"/>
                  <w:noWrap w:val="0"/>
                  <w:vAlign w:val="center"/>
                </w:tcPr>
                <w:p w14:paraId="6602A3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6" w:type="dxa"/>
                  <w:noWrap w:val="0"/>
                  <w:vAlign w:val="center"/>
                </w:tcPr>
                <w:p w14:paraId="0C1D09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0" w:type="dxa"/>
                  <w:tcBorders>
                    <w:right w:val="single" w:color="000000" w:sz="10" w:space="0"/>
                  </w:tcBorders>
                  <w:noWrap w:val="0"/>
                  <w:vAlign w:val="center"/>
                </w:tcPr>
                <w:p w14:paraId="20484A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0.18</w:t>
                  </w:r>
                </w:p>
              </w:tc>
            </w:tr>
            <w:tr w14:paraId="6D352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5" w:type="dxa"/>
                  <w:tcBorders>
                    <w:left w:val="single" w:color="000000" w:sz="10" w:space="0"/>
                  </w:tcBorders>
                  <w:noWrap w:val="0"/>
                  <w:vAlign w:val="center"/>
                </w:tcPr>
                <w:p w14:paraId="607AF9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其他土地（12）</w:t>
                  </w:r>
                </w:p>
              </w:tc>
              <w:tc>
                <w:tcPr>
                  <w:tcW w:w="1158" w:type="dxa"/>
                  <w:noWrap w:val="0"/>
                  <w:vAlign w:val="center"/>
                </w:tcPr>
                <w:p w14:paraId="29A733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裸土地</w:t>
                  </w:r>
                </w:p>
                <w:p w14:paraId="73F77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（1206）</w:t>
                  </w:r>
                </w:p>
              </w:tc>
              <w:tc>
                <w:tcPr>
                  <w:tcW w:w="709" w:type="dxa"/>
                  <w:noWrap w:val="0"/>
                  <w:vAlign w:val="center"/>
                </w:tcPr>
                <w:p w14:paraId="2B0686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7</w:t>
                  </w:r>
                </w:p>
              </w:tc>
              <w:tc>
                <w:tcPr>
                  <w:tcW w:w="710" w:type="dxa"/>
                  <w:noWrap w:val="0"/>
                  <w:vAlign w:val="center"/>
                </w:tcPr>
                <w:p w14:paraId="11EF02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37" w:type="dxa"/>
                  <w:noWrap w:val="0"/>
                  <w:vAlign w:val="center"/>
                </w:tcPr>
                <w:p w14:paraId="4DB32A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42" w:type="dxa"/>
                  <w:noWrap w:val="0"/>
                  <w:vAlign w:val="center"/>
                </w:tcPr>
                <w:p w14:paraId="5EAA84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4" w:type="dxa"/>
                  <w:noWrap w:val="0"/>
                  <w:vAlign w:val="center"/>
                </w:tcPr>
                <w:p w14:paraId="3A68E0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45" w:type="dxa"/>
                  <w:noWrap w:val="0"/>
                  <w:vAlign w:val="center"/>
                </w:tcPr>
                <w:p w14:paraId="701FDA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89" w:type="dxa"/>
                  <w:noWrap w:val="0"/>
                  <w:vAlign w:val="center"/>
                </w:tcPr>
                <w:p w14:paraId="5FA34B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c>
                <w:tcPr>
                  <w:tcW w:w="726" w:type="dxa"/>
                  <w:noWrap w:val="0"/>
                  <w:vAlign w:val="center"/>
                </w:tcPr>
                <w:p w14:paraId="0523AC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1.13</w:t>
                  </w:r>
                </w:p>
              </w:tc>
              <w:tc>
                <w:tcPr>
                  <w:tcW w:w="780" w:type="dxa"/>
                  <w:tcBorders>
                    <w:right w:val="single" w:color="000000" w:sz="10" w:space="0"/>
                  </w:tcBorders>
                  <w:noWrap w:val="0"/>
                  <w:vAlign w:val="center"/>
                </w:tcPr>
                <w:p w14:paraId="77DF00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1.9</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r>
            <w:tr w14:paraId="613A62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173" w:type="dxa"/>
                  <w:gridSpan w:val="2"/>
                  <w:tcBorders>
                    <w:left w:val="single" w:color="000000" w:sz="10" w:space="0"/>
                    <w:bottom w:val="single" w:color="000000" w:sz="10" w:space="0"/>
                  </w:tcBorders>
                  <w:noWrap w:val="0"/>
                  <w:vAlign w:val="center"/>
                </w:tcPr>
                <w:p w14:paraId="22A043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总计</w:t>
                  </w:r>
                </w:p>
              </w:tc>
              <w:tc>
                <w:tcPr>
                  <w:tcW w:w="709" w:type="dxa"/>
                  <w:tcBorders>
                    <w:bottom w:val="single" w:color="000000" w:sz="10" w:space="0"/>
                  </w:tcBorders>
                  <w:noWrap w:val="0"/>
                  <w:vAlign w:val="center"/>
                </w:tcPr>
                <w:p w14:paraId="4E80171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0.84</w:t>
                  </w:r>
                </w:p>
              </w:tc>
              <w:tc>
                <w:tcPr>
                  <w:tcW w:w="710" w:type="dxa"/>
                  <w:tcBorders>
                    <w:bottom w:val="single" w:color="000000" w:sz="10" w:space="0"/>
                  </w:tcBorders>
                  <w:noWrap w:val="0"/>
                  <w:vAlign w:val="center"/>
                </w:tcPr>
                <w:p w14:paraId="46C4E34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15.48</w:t>
                  </w:r>
                </w:p>
              </w:tc>
              <w:tc>
                <w:tcPr>
                  <w:tcW w:w="737" w:type="dxa"/>
                  <w:tcBorders>
                    <w:bottom w:val="single" w:color="000000" w:sz="10" w:space="0"/>
                  </w:tcBorders>
                  <w:noWrap w:val="0"/>
                  <w:vAlign w:val="center"/>
                </w:tcPr>
                <w:p w14:paraId="6D3876D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4.34</w:t>
                  </w:r>
                </w:p>
              </w:tc>
              <w:tc>
                <w:tcPr>
                  <w:tcW w:w="542" w:type="dxa"/>
                  <w:tcBorders>
                    <w:bottom w:val="single" w:color="000000" w:sz="10" w:space="0"/>
                  </w:tcBorders>
                  <w:noWrap w:val="0"/>
                  <w:vAlign w:val="center"/>
                </w:tcPr>
                <w:p w14:paraId="0B0E299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2.78</w:t>
                  </w:r>
                </w:p>
              </w:tc>
              <w:tc>
                <w:tcPr>
                  <w:tcW w:w="504" w:type="dxa"/>
                  <w:tcBorders>
                    <w:bottom w:val="single" w:color="000000" w:sz="10" w:space="0"/>
                  </w:tcBorders>
                  <w:noWrap w:val="0"/>
                  <w:vAlign w:val="center"/>
                </w:tcPr>
                <w:p w14:paraId="456D88E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5.32</w:t>
                  </w:r>
                </w:p>
              </w:tc>
              <w:tc>
                <w:tcPr>
                  <w:tcW w:w="645" w:type="dxa"/>
                  <w:tcBorders>
                    <w:bottom w:val="single" w:color="000000" w:sz="10" w:space="0"/>
                  </w:tcBorders>
                  <w:noWrap w:val="0"/>
                  <w:vAlign w:val="center"/>
                </w:tcPr>
                <w:p w14:paraId="492793D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2.6</w:t>
                  </w:r>
                </w:p>
              </w:tc>
              <w:tc>
                <w:tcPr>
                  <w:tcW w:w="789" w:type="dxa"/>
                  <w:tcBorders>
                    <w:bottom w:val="single" w:color="000000" w:sz="10" w:space="0"/>
                  </w:tcBorders>
                  <w:noWrap w:val="0"/>
                  <w:vAlign w:val="center"/>
                </w:tcPr>
                <w:p w14:paraId="68F419B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0.66</w:t>
                  </w:r>
                </w:p>
              </w:tc>
              <w:tc>
                <w:tcPr>
                  <w:tcW w:w="726" w:type="dxa"/>
                  <w:tcBorders>
                    <w:bottom w:val="single" w:color="000000" w:sz="10" w:space="0"/>
                  </w:tcBorders>
                  <w:noWrap w:val="0"/>
                  <w:vAlign w:val="center"/>
                </w:tcPr>
                <w:p w14:paraId="2AB3400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1.76</w:t>
                  </w:r>
                </w:p>
              </w:tc>
              <w:tc>
                <w:tcPr>
                  <w:tcW w:w="780" w:type="dxa"/>
                  <w:tcBorders>
                    <w:bottom w:val="single" w:color="000000" w:sz="10" w:space="0"/>
                    <w:right w:val="single" w:color="000000" w:sz="10" w:space="0"/>
                  </w:tcBorders>
                  <w:noWrap w:val="0"/>
                  <w:vAlign w:val="center"/>
                </w:tcPr>
                <w:p w14:paraId="58A73E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33.7</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8</w:t>
                  </w:r>
                </w:p>
              </w:tc>
            </w:tr>
          </w:tbl>
          <w:p w14:paraId="7D35433C">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10、渣堆回填的可行性分析</w:t>
            </w:r>
          </w:p>
          <w:p w14:paraId="5F266E4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w:t>
            </w:r>
            <w:r>
              <w:rPr>
                <w:color w:val="000000" w:themeColor="text1"/>
                <w14:textFill>
                  <w14:solidFill>
                    <w14:schemeClr w14:val="tx1"/>
                  </w14:solidFill>
                </w14:textFill>
              </w:rPr>
              <w:t>固体废物鉴别标准通则</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GB34330-2017</w:t>
            </w:r>
            <w:r>
              <w:rPr>
                <w:rFonts w:hint="eastAsia"/>
                <w:color w:val="000000" w:themeColor="text1"/>
                <w:lang w:val="en-US" w:eastAsia="zh-CN"/>
                <w14:textFill>
                  <w14:solidFill>
                    <w14:schemeClr w14:val="tx1"/>
                  </w14:solidFill>
                </w14:textFill>
              </w:rPr>
              <w:t>）6.2按照以下方式进行处置后的物质，不作为固体废物管理：</w:t>
            </w:r>
          </w:p>
          <w:p w14:paraId="13E84656">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a)金属矿、非金属矿和煤炭采选过程中直接留在或返回到采空区的符合GB18599中第I类一般工业固体废物要求的采矿废石、尾矿和煤矸石。但是带入除采矿废石、尾矿和煤矸石以外的其他污染物质的除外。</w:t>
            </w:r>
          </w:p>
          <w:p w14:paraId="561A85E0">
            <w:pPr>
              <w:bidi w:val="0"/>
              <w:rPr>
                <w:rFonts w:hint="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本项目回填渣堆均</w:t>
            </w:r>
            <w:r>
              <w:rPr>
                <w:rFonts w:hint="eastAsia" w:ascii="宋体" w:hAnsi="宋体" w:cs="宋体"/>
                <w:b w:val="0"/>
                <w:bCs w:val="0"/>
                <w:color w:val="000000" w:themeColor="text1"/>
                <w:sz w:val="24"/>
                <w:szCs w:val="24"/>
                <w:lang w:val="en-US" w:eastAsia="zh-CN"/>
                <w14:textFill>
                  <w14:solidFill>
                    <w14:schemeClr w14:val="tx1"/>
                  </w14:solidFill>
                </w14:textFill>
              </w:rPr>
              <w:t>为历史</w:t>
            </w:r>
            <w:r>
              <w:rPr>
                <w:rFonts w:hint="default" w:ascii="宋体" w:hAnsi="宋体" w:eastAsia="宋体" w:cs="宋体"/>
                <w:b w:val="0"/>
                <w:bCs w:val="0"/>
                <w:color w:val="000000" w:themeColor="text1"/>
                <w:sz w:val="24"/>
                <w:szCs w:val="24"/>
                <w14:textFill>
                  <w14:solidFill>
                    <w14:schemeClr w14:val="tx1"/>
                  </w14:solidFill>
                </w14:textFill>
              </w:rPr>
              <w:t>遗留剥离的</w:t>
            </w:r>
            <w:r>
              <w:rPr>
                <w:rFonts w:hint="eastAsia"/>
                <w:color w:val="000000" w:themeColor="text1"/>
                <w:lang w:val="en-US" w:eastAsia="zh-CN"/>
                <w14:textFill>
                  <w14:solidFill>
                    <w14:schemeClr w14:val="tx1"/>
                  </w14:solidFill>
                </w14:textFill>
              </w:rPr>
              <w:t>采矿</w:t>
            </w:r>
            <w:r>
              <w:rPr>
                <w:rFonts w:hint="default" w:ascii="宋体" w:hAnsi="宋体" w:eastAsia="宋体" w:cs="宋体"/>
                <w:b w:val="0"/>
                <w:bCs w:val="0"/>
                <w:color w:val="000000" w:themeColor="text1"/>
                <w:sz w:val="24"/>
                <w:szCs w:val="24"/>
                <w14:textFill>
                  <w14:solidFill>
                    <w14:schemeClr w14:val="tx1"/>
                  </w14:solidFill>
                </w14:textFill>
              </w:rPr>
              <w:t>废石</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因此</w:t>
            </w:r>
            <w:r>
              <w:rPr>
                <w:rFonts w:hint="eastAsia"/>
                <w:color w:val="000000" w:themeColor="text1"/>
                <w:lang w:val="en-US" w:eastAsia="zh-CN"/>
                <w14:textFill>
                  <w14:solidFill>
                    <w14:schemeClr w14:val="tx1"/>
                  </w14:solidFill>
                </w14:textFill>
              </w:rPr>
              <w:t>不作为固体废物管理，可以回填。</w:t>
            </w:r>
          </w:p>
          <w:p w14:paraId="123CC9C8">
            <w:pPr>
              <w:bidi w:val="0"/>
              <w:rPr>
                <w:rFonts w:hint="eastAsia"/>
                <w:color w:val="000000" w:themeColor="text1"/>
                <w:lang w:val="en-US" w:eastAsia="zh-CN"/>
                <w14:textFill>
                  <w14:solidFill>
                    <w14:schemeClr w14:val="tx1"/>
                  </w14:solidFill>
                </w14:textFill>
              </w:rPr>
            </w:pPr>
          </w:p>
          <w:p w14:paraId="3A94DBEE">
            <w:pPr>
              <w:bidi w:val="0"/>
              <w:rPr>
                <w:rFonts w:hint="default"/>
                <w:color w:val="000000" w:themeColor="text1"/>
                <w:lang w:val="en-US" w:eastAsia="zh-CN"/>
                <w14:textFill>
                  <w14:solidFill>
                    <w14:schemeClr w14:val="tx1"/>
                  </w14:solidFill>
                </w14:textFill>
              </w:rPr>
            </w:pPr>
          </w:p>
        </w:tc>
      </w:tr>
      <w:tr w14:paraId="38A556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3" w:hRule="atLeast"/>
          <w:jc w:val="center"/>
        </w:trPr>
        <w:tc>
          <w:tcPr>
            <w:tcW w:w="646" w:type="dxa"/>
            <w:noWrap w:val="0"/>
            <w:vAlign w:val="center"/>
          </w:tcPr>
          <w:p w14:paraId="66D570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kern w:val="0"/>
                <w:sz w:val="24"/>
                <w:szCs w:val="21"/>
                <w14:textFill>
                  <w14:solidFill>
                    <w14:schemeClr w14:val="tx1"/>
                  </w14:solidFill>
                </w14:textFill>
              </w:rPr>
            </w:pPr>
            <w:r>
              <w:rPr>
                <w:b/>
                <w:bCs/>
                <w:color w:val="000000" w:themeColor="text1"/>
                <w:kern w:val="0"/>
                <w:sz w:val="24"/>
                <w:szCs w:val="21"/>
                <w14:textFill>
                  <w14:solidFill>
                    <w14:schemeClr w14:val="tx1"/>
                  </w14:solidFill>
                </w14:textFill>
              </w:rPr>
              <w:t>总平面及现场布置</w:t>
            </w:r>
          </w:p>
        </w:tc>
        <w:tc>
          <w:tcPr>
            <w:tcW w:w="8444" w:type="dxa"/>
            <w:noWrap w:val="0"/>
            <w:vAlign w:val="center"/>
          </w:tcPr>
          <w:p w14:paraId="29016765">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1、工程布局情况</w:t>
            </w:r>
          </w:p>
          <w:p w14:paraId="3B0101B8">
            <w:pPr>
              <w:widowControl/>
              <w:ind w:firstLine="454" w:firstLineChars="200"/>
              <w:rPr>
                <w:rFonts w:hint="eastAsia"/>
                <w:color w:val="000000" w:themeColor="text1"/>
                <w:kern w:val="0"/>
                <w:sz w:val="24"/>
                <w:lang w:val="en-US" w:eastAsia="zh-CN"/>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本</w:t>
            </w:r>
            <w:r>
              <w:rPr>
                <w:color w:val="000000" w:themeColor="text1"/>
                <w:kern w:val="0"/>
                <w:sz w:val="24"/>
                <w14:textFill>
                  <w14:solidFill>
                    <w14:schemeClr w14:val="tx1"/>
                  </w14:solidFill>
                </w14:textFill>
              </w:rPr>
              <w:t>项目位于</w:t>
            </w:r>
            <w:r>
              <w:rPr>
                <w:rFonts w:hint="eastAsia"/>
                <w:color w:val="000000" w:themeColor="text1"/>
                <w:sz w:val="24"/>
                <w:lang w:eastAsia="zh-CN"/>
                <w14:textFill>
                  <w14:solidFill>
                    <w14:schemeClr w14:val="tx1"/>
                  </w14:solidFill>
                </w14:textFill>
              </w:rPr>
              <w:t>中</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卫</w:t>
            </w:r>
            <w:r>
              <w:rPr>
                <w:rFonts w:hint="default" w:ascii="Times New Roman" w:hAnsi="Times New Roman" w:cs="Times New Roman"/>
                <w:color w:val="000000" w:themeColor="text1"/>
                <w:sz w:val="24"/>
                <w:szCs w:val="24"/>
                <w:u w:val="none"/>
                <w14:textFill>
                  <w14:solidFill>
                    <w14:schemeClr w14:val="tx1"/>
                  </w14:solidFill>
                </w14:textFill>
              </w:rPr>
              <w:t>市沙坡头区东园镇、迎水桥镇、永康镇</w:t>
            </w:r>
            <w:r>
              <w:rPr>
                <w:rFonts w:hint="eastAsia"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常乐镇、兴仁镇</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项目区涉及范围较广，各个治理区分散分布</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共有7个治理</w:t>
            </w:r>
            <w:r>
              <w:rPr>
                <w:rFonts w:hint="eastAsia"/>
                <w:color w:val="000000" w:themeColor="text1"/>
                <w:kern w:val="0"/>
                <w:sz w:val="24"/>
                <w:lang w:val="en-US" w:eastAsia="zh-CN"/>
                <w14:textFill>
                  <w14:solidFill>
                    <w14:schemeClr w14:val="tx1"/>
                  </w14:solidFill>
                </w14:textFill>
              </w:rPr>
              <w:t>区，总治理面积33.78hm</w:t>
            </w:r>
            <w:r>
              <w:rPr>
                <w:rFonts w:hint="eastAsia"/>
                <w:color w:val="000000" w:themeColor="text1"/>
                <w:kern w:val="0"/>
                <w:sz w:val="24"/>
                <w:vertAlign w:val="superscript"/>
                <w:lang w:val="en-US" w:eastAsia="zh-CN"/>
                <w14:textFill>
                  <w14:solidFill>
                    <w14:schemeClr w14:val="tx1"/>
                  </w14:solidFill>
                </w14:textFill>
              </w:rPr>
              <w:t>2</w:t>
            </w:r>
            <w:r>
              <w:rPr>
                <w:rFonts w:hint="eastAsia"/>
                <w:color w:val="000000" w:themeColor="text1"/>
                <w:kern w:val="0"/>
                <w:sz w:val="24"/>
                <w:lang w:val="en-US" w:eastAsia="zh-CN"/>
                <w14:textFill>
                  <w14:solidFill>
                    <w14:schemeClr w14:val="tx1"/>
                  </w14:solidFill>
                </w14:textFill>
              </w:rPr>
              <w:t>，均为临时占地。其中DK-01位于</w:t>
            </w:r>
            <w:r>
              <w:rPr>
                <w:rFonts w:hint="default"/>
                <w:color w:val="000000" w:themeColor="text1"/>
                <w14:textFill>
                  <w14:solidFill>
                    <w14:schemeClr w14:val="tx1"/>
                  </w14:solidFill>
                </w14:textFill>
              </w:rPr>
              <w:t>东园镇</w:t>
            </w:r>
            <w:r>
              <w:rPr>
                <w:rFonts w:hint="eastAsia"/>
                <w:color w:val="000000" w:themeColor="text1"/>
                <w:kern w:val="0"/>
                <w:sz w:val="24"/>
                <w:lang w:val="en-US" w:eastAsia="zh-CN"/>
                <w14:textFill>
                  <w14:solidFill>
                    <w14:schemeClr w14:val="tx1"/>
                  </w14:solidFill>
                </w14:textFill>
              </w:rPr>
              <w:t>，DK-02、DK-03位于迎水桥镇，DK-04、DK-05位于永康镇，DK-06位于常乐镇，DK-07位于兴仁镇。</w:t>
            </w:r>
          </w:p>
          <w:p w14:paraId="346BDF7C">
            <w:pPr>
              <w:widowControl/>
              <w:ind w:firstLine="454" w:firstLineChars="200"/>
              <w:rPr>
                <w:rFonts w:hint="eastAsia" w:eastAsia="宋体"/>
                <w:color w:val="000000" w:themeColor="text1"/>
                <w:kern w:val="0"/>
                <w:sz w:val="24"/>
                <w:highlight w:val="yellow"/>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DK-01位于</w:t>
            </w:r>
            <w:r>
              <w:rPr>
                <w:rFonts w:hint="default"/>
                <w:color w:val="000000" w:themeColor="text1"/>
                <w:highlight w:val="none"/>
                <w14:textFill>
                  <w14:solidFill>
                    <w14:schemeClr w14:val="tx1"/>
                  </w14:solidFill>
                </w14:textFill>
              </w:rPr>
              <w:t>东园镇</w:t>
            </w:r>
            <w:r>
              <w:rPr>
                <w:rFonts w:hint="eastAsia"/>
                <w:color w:val="000000" w:themeColor="text1"/>
                <w:highlight w:val="none"/>
                <w:lang w:eastAsia="zh-CN"/>
                <w14:textFill>
                  <w14:solidFill>
                    <w14:schemeClr w14:val="tx1"/>
                  </w14:solidFill>
                </w14:textFill>
              </w:rPr>
              <w:t>，治理面积</w:t>
            </w:r>
            <w:r>
              <w:rPr>
                <w:rFonts w:hint="eastAsia"/>
                <w:color w:val="000000" w:themeColor="text1"/>
                <w:highlight w:val="none"/>
                <w:lang w:val="en-US" w:eastAsia="zh-CN"/>
                <w14:textFill>
                  <w14:solidFill>
                    <w14:schemeClr w14:val="tx1"/>
                  </w14:solidFill>
                </w14:textFill>
              </w:rPr>
              <w:t>0.84</w:t>
            </w:r>
            <w:r>
              <w:rPr>
                <w:rFonts w:hint="eastAsia"/>
                <w:color w:val="000000" w:themeColor="text1"/>
                <w:highlight w:val="none"/>
                <w:lang w:eastAsia="zh-CN"/>
                <w14:textFill>
                  <w14:solidFill>
                    <w14:schemeClr w14:val="tx1"/>
                  </w14:solidFill>
                </w14:textFill>
              </w:rPr>
              <w:t>hm</w:t>
            </w:r>
            <w:r>
              <w:rPr>
                <w:rFonts w:hint="eastAsia"/>
                <w:color w:val="000000" w:themeColor="text1"/>
                <w:highlight w:val="none"/>
                <w:vertAlign w:val="superscript"/>
                <w:lang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共</w:t>
            </w:r>
            <w:r>
              <w:rPr>
                <w:rFonts w:hint="eastAsia"/>
                <w:color w:val="000000" w:themeColor="text1"/>
                <w:lang w:val="en-US" w:eastAsia="zh-CN"/>
                <w14:textFill>
                  <w14:solidFill>
                    <w14:schemeClr w14:val="tx1"/>
                  </w14:solidFill>
                </w14:textFill>
              </w:rPr>
              <w:t>分为4个小分区，其中2个分区进行边坡治理，2个分区进行土地平整。</w:t>
            </w:r>
          </w:p>
          <w:p w14:paraId="4ED1627E">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DK-02位于黄河北岸迎水桥镇</w:t>
            </w:r>
            <w:r>
              <w:rPr>
                <w:rFonts w:hint="eastAsia"/>
                <w:color w:val="000000" w:themeColor="text1"/>
                <w:lang w:val="en-US" w:eastAsia="zh-CN"/>
                <w14:textFill>
                  <w14:solidFill>
                    <w14:schemeClr w14:val="tx1"/>
                  </w14:solidFill>
                </w14:textFill>
              </w:rPr>
              <w:t>，治理面积15.49hm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。共分为7个小分区，其中有3个分区进行地形地貌恢复工程，2个分区进废弃渣堆清运，1个分区进行边坡削坡整治，1个区域进行采矿坑回填。</w:t>
            </w:r>
          </w:p>
          <w:p w14:paraId="41AFA3BE">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3</w:t>
            </w:r>
            <w:r>
              <w:rPr>
                <w:color w:val="000000" w:themeColor="text1"/>
                <w:lang w:val="en-US" w:eastAsia="zh-CN"/>
                <w14:textFill>
                  <w14:solidFill>
                    <w14:schemeClr w14:val="tx1"/>
                  </w14:solidFill>
                </w14:textFill>
              </w:rPr>
              <w:t>位于黄河北岸迎水桥镇</w:t>
            </w:r>
            <w:r>
              <w:rPr>
                <w:rFonts w:hint="eastAsia"/>
                <w:color w:val="000000" w:themeColor="text1"/>
                <w:lang w:val="en-US" w:eastAsia="zh-CN"/>
                <w14:textFill>
                  <w14:solidFill>
                    <w14:schemeClr w14:val="tx1"/>
                  </w14:solidFill>
                </w14:textFill>
              </w:rPr>
              <w:t>，治理面积4.34hm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w:t>
            </w: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3治理区主要进行边坡治理。</w:t>
            </w:r>
          </w:p>
          <w:p w14:paraId="05AB0BC7">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4</w:t>
            </w:r>
            <w:r>
              <w:rPr>
                <w:color w:val="000000" w:themeColor="text1"/>
                <w:lang w:val="en-US" w:eastAsia="zh-CN"/>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lang w:val="en-US" w:eastAsia="zh-CN"/>
                <w14:textFill>
                  <w14:solidFill>
                    <w14:schemeClr w14:val="tx1"/>
                  </w14:solidFill>
                </w14:textFill>
              </w:rPr>
              <w:t>岸</w:t>
            </w:r>
            <w:r>
              <w:rPr>
                <w:rFonts w:hint="default"/>
                <w:color w:val="000000" w:themeColor="text1"/>
                <w:lang w:val="en-US" w:eastAsia="zh-CN"/>
                <w14:textFill>
                  <w14:solidFill>
                    <w14:schemeClr w14:val="tx1"/>
                  </w14:solidFill>
                </w14:textFill>
              </w:rPr>
              <w:t>永康镇</w:t>
            </w:r>
            <w:r>
              <w:rPr>
                <w:rFonts w:hint="eastAsia"/>
                <w:color w:val="000000" w:themeColor="text1"/>
                <w:lang w:val="en-US" w:eastAsia="zh-CN"/>
                <w14:textFill>
                  <w14:solidFill>
                    <w14:schemeClr w14:val="tx1"/>
                  </w14:solidFill>
                </w14:textFill>
              </w:rPr>
              <w:t>，治理面积8.1hm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。共分为4个小分区，其中有3个分区进行土地平整，1个区域进行采矿坑回填，另对边坡进行削坡治理。</w:t>
            </w:r>
          </w:p>
          <w:p w14:paraId="74296752">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5</w:t>
            </w:r>
            <w:r>
              <w:rPr>
                <w:color w:val="000000" w:themeColor="text1"/>
                <w:lang w:val="en-US" w:eastAsia="zh-CN"/>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lang w:val="en-US" w:eastAsia="zh-CN"/>
                <w14:textFill>
                  <w14:solidFill>
                    <w14:schemeClr w14:val="tx1"/>
                  </w14:solidFill>
                </w14:textFill>
              </w:rPr>
              <w:t>岸</w:t>
            </w:r>
            <w:r>
              <w:rPr>
                <w:rFonts w:hint="default"/>
                <w:color w:val="000000" w:themeColor="text1"/>
                <w:lang w:val="en-US" w:eastAsia="zh-CN"/>
                <w14:textFill>
                  <w14:solidFill>
                    <w14:schemeClr w14:val="tx1"/>
                  </w14:solidFill>
                </w14:textFill>
              </w:rPr>
              <w:t>永康镇</w:t>
            </w:r>
            <w:r>
              <w:rPr>
                <w:rFonts w:hint="eastAsia"/>
                <w:color w:val="000000" w:themeColor="text1"/>
                <w:lang w:val="en-US" w:eastAsia="zh-CN"/>
                <w14:textFill>
                  <w14:solidFill>
                    <w14:schemeClr w14:val="tx1"/>
                  </w14:solidFill>
                </w14:textFill>
              </w:rPr>
              <w:t>，治理面积2.6hm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。共分为7个小分区，对7个分区均进行土地平整地形地貌恢复工程，另对边坡进行削坡治理。</w:t>
            </w:r>
          </w:p>
          <w:p w14:paraId="61E9321F">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6</w:t>
            </w:r>
            <w:r>
              <w:rPr>
                <w:color w:val="000000" w:themeColor="text1"/>
                <w:lang w:val="en-US" w:eastAsia="zh-CN"/>
                <w14:textFill>
                  <w14:solidFill>
                    <w14:schemeClr w14:val="tx1"/>
                  </w14:solidFill>
                </w14:textFill>
              </w:rPr>
              <w:t>位于黄河</w:t>
            </w:r>
            <w:r>
              <w:rPr>
                <w:rFonts w:hint="eastAsia"/>
                <w:color w:val="000000" w:themeColor="text1"/>
                <w:lang w:val="en-US" w:eastAsia="zh-CN"/>
                <w14:textFill>
                  <w14:solidFill>
                    <w14:schemeClr w14:val="tx1"/>
                  </w14:solidFill>
                </w14:textFill>
              </w:rPr>
              <w:t>南</w:t>
            </w:r>
            <w:r>
              <w:rPr>
                <w:color w:val="000000" w:themeColor="text1"/>
                <w:lang w:val="en-US" w:eastAsia="zh-CN"/>
                <w14:textFill>
                  <w14:solidFill>
                    <w14:schemeClr w14:val="tx1"/>
                  </w14:solidFill>
                </w14:textFill>
              </w:rPr>
              <w:t>岸</w:t>
            </w:r>
            <w:r>
              <w:rPr>
                <w:rFonts w:hint="default"/>
                <w:color w:val="000000" w:themeColor="text1"/>
                <w:lang w:val="en-US" w:eastAsia="zh-CN"/>
                <w14:textFill>
                  <w14:solidFill>
                    <w14:schemeClr w14:val="tx1"/>
                  </w14:solidFill>
                </w14:textFill>
              </w:rPr>
              <w:t>常乐镇</w:t>
            </w:r>
            <w:r>
              <w:rPr>
                <w:rFonts w:hint="eastAsia"/>
                <w:color w:val="000000" w:themeColor="text1"/>
                <w:lang w:val="en-US" w:eastAsia="zh-CN"/>
                <w14:textFill>
                  <w14:solidFill>
                    <w14:schemeClr w14:val="tx1"/>
                  </w14:solidFill>
                </w14:textFill>
              </w:rPr>
              <w:t>，治理面积0.65hm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。主要进行形地貌恢复工程及边坡治理。</w:t>
            </w:r>
          </w:p>
          <w:p w14:paraId="55B5372C">
            <w:pPr>
              <w:bidi w:val="0"/>
              <w:rPr>
                <w:rFonts w:hint="eastAsia"/>
                <w:color w:val="000000" w:themeColor="text1"/>
                <w:lang w:val="en-US" w:eastAsia="zh-CN"/>
                <w14:textFill>
                  <w14:solidFill>
                    <w14:schemeClr w14:val="tx1"/>
                  </w14:solidFill>
                </w14:textFill>
              </w:rPr>
            </w:pPr>
            <w:r>
              <w:rPr>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7</w:t>
            </w:r>
            <w:r>
              <w:rPr>
                <w:color w:val="000000" w:themeColor="text1"/>
                <w:lang w:val="en-US" w:eastAsia="zh-CN"/>
                <w14:textFill>
                  <w14:solidFill>
                    <w14:schemeClr w14:val="tx1"/>
                  </w14:solidFill>
                </w14:textFill>
              </w:rPr>
              <w:t>位于</w:t>
            </w:r>
            <w:r>
              <w:rPr>
                <w:rFonts w:hint="default"/>
                <w:color w:val="000000" w:themeColor="text1"/>
                <w:lang w:val="en-US" w:eastAsia="zh-CN"/>
                <w14:textFill>
                  <w14:solidFill>
                    <w14:schemeClr w14:val="tx1"/>
                  </w14:solidFill>
                </w14:textFill>
              </w:rPr>
              <w:t>兴仁镇</w:t>
            </w:r>
            <w:r>
              <w:rPr>
                <w:rFonts w:hint="eastAsia"/>
                <w:color w:val="000000" w:themeColor="text1"/>
                <w:lang w:val="en-US" w:eastAsia="zh-CN"/>
                <w14:textFill>
                  <w14:solidFill>
                    <w14:schemeClr w14:val="tx1"/>
                  </w14:solidFill>
                </w14:textFill>
              </w:rPr>
              <w:t>，治理面积1.76hm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。主要进行形地貌恢复工程及边坡治理。</w:t>
            </w:r>
          </w:p>
          <w:p w14:paraId="00CBBCBF">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2、施工布置情况</w:t>
            </w:r>
          </w:p>
          <w:p w14:paraId="40C93FCE">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为了便于管理，根据项目的分项工程合理安排施工顺序，依据工程特点和施工条件，研究和解决主要工程施工期间所需要的各种施工设施在平面和立面上的问题，建立健全施工组织，以便在施工总进度规定的期限内，完成整个工程的建设任务。</w:t>
            </w:r>
          </w:p>
          <w:p w14:paraId="589DCAF6">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总的布置原则应遵循因地制宜、利于施工、易于管理、方便生活、安全经济的原则。施工时应结合以下几点考虑施工布置：</w:t>
            </w:r>
          </w:p>
          <w:p w14:paraId="24845A20">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——尽量少占或不占耕地，减少对附近居民的生产、生活影响；</w:t>
            </w:r>
          </w:p>
          <w:p w14:paraId="497F36AF">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——合理利用有利地形，尽量减少临时建筑工程量；</w:t>
            </w:r>
          </w:p>
          <w:p w14:paraId="6FC2C501">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——采用分段就近集中布置。</w:t>
            </w:r>
          </w:p>
          <w:p w14:paraId="4A353A0A">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fldChar w:fldCharType="begin"/>
            </w:r>
            <w:r>
              <w:rPr>
                <w:rFonts w:hint="default" w:ascii="Times New Roman" w:hAnsi="Times New Roman" w:cs="Times New Roman"/>
                <w:color w:val="000000" w:themeColor="text1"/>
                <w:lang w:val="en-US" w:eastAsia="zh-CN"/>
                <w14:textFill>
                  <w14:solidFill>
                    <w14:schemeClr w14:val="tx1"/>
                  </w14:solidFill>
                </w14:textFill>
              </w:rPr>
              <w:instrText xml:space="preserve"> = 1 \* GB2 \* MERGEFORMAT </w:instrText>
            </w:r>
            <w:r>
              <w:rPr>
                <w:rFonts w:hint="default" w:ascii="Times New Roman" w:hAnsi="Times New Roman" w:cs="Times New Roman"/>
                <w:color w:val="000000" w:themeColor="text1"/>
                <w:lang w:val="en-US"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⑴</w:t>
            </w:r>
            <w:r>
              <w:rPr>
                <w:rFonts w:hint="default" w:ascii="Times New Roman" w:hAnsi="Times New Roman" w:cs="Times New Roman"/>
                <w:color w:val="000000" w:themeColor="text1"/>
                <w:lang w:val="en-US" w:eastAsia="zh-CN"/>
                <w14:textFill>
                  <w14:solidFill>
                    <w14:schemeClr w14:val="tx1"/>
                  </w14:solidFill>
                </w14:textFill>
              </w:rPr>
              <w:fldChar w:fldCharType="end"/>
            </w:r>
            <w:r>
              <w:rPr>
                <w:rFonts w:hint="eastAsia" w:ascii="宋体" w:hAnsi="宋体" w:eastAsia="宋体" w:cs="宋体"/>
                <w:b w:val="0"/>
                <w:bCs w:val="0"/>
                <w:color w:val="000000" w:themeColor="text1"/>
                <w:sz w:val="24"/>
                <w:szCs w:val="24"/>
                <w:lang w:val="en-US" w:eastAsia="zh-CN"/>
                <w14:textFill>
                  <w14:solidFill>
                    <w14:schemeClr w14:val="tx1"/>
                  </w14:solidFill>
                </w14:textFill>
              </w:rPr>
              <w:t>施工区、生活区划分</w:t>
            </w:r>
          </w:p>
          <w:p w14:paraId="10BE2D2D">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default" w:ascii="宋体" w:hAnsi="宋体" w:eastAsia="宋体" w:cs="宋体"/>
                <w:b w:val="0"/>
                <w:bCs w:val="0"/>
                <w:color w:val="000000" w:themeColor="text1"/>
                <w:sz w:val="24"/>
                <w:szCs w:val="24"/>
                <w:lang w:val="en-US" w:eastAsia="zh-CN"/>
                <w14:textFill>
                  <w14:solidFill>
                    <w14:schemeClr w14:val="tx1"/>
                  </w14:solidFill>
                </w14:textFill>
              </w:rPr>
              <w:t>项目施工人员不在施工区域内住宿，不设置临时施工</w:t>
            </w:r>
            <w:r>
              <w:rPr>
                <w:rFonts w:hint="eastAsia" w:ascii="宋体" w:hAnsi="宋体" w:eastAsia="宋体" w:cs="宋体"/>
                <w:b w:val="0"/>
                <w:bCs w:val="0"/>
                <w:color w:val="000000" w:themeColor="text1"/>
                <w:sz w:val="24"/>
                <w:szCs w:val="24"/>
                <w:lang w:val="en-US" w:eastAsia="zh-CN"/>
                <w14:textFill>
                  <w14:solidFill>
                    <w14:schemeClr w14:val="tx1"/>
                  </w14:solidFill>
                </w14:textFill>
              </w:rPr>
              <w:t>生活</w:t>
            </w:r>
            <w:r>
              <w:rPr>
                <w:rFonts w:hint="default" w:ascii="宋体" w:hAnsi="宋体" w:eastAsia="宋体" w:cs="宋体"/>
                <w:b w:val="0"/>
                <w:bCs w:val="0"/>
                <w:color w:val="000000" w:themeColor="text1"/>
                <w:sz w:val="24"/>
                <w:szCs w:val="24"/>
                <w:lang w:val="en-US" w:eastAsia="zh-CN"/>
                <w14:textFill>
                  <w14:solidFill>
                    <w14:schemeClr w14:val="tx1"/>
                  </w14:solidFill>
                </w14:textFill>
              </w:rPr>
              <w:t>营地，施工</w:t>
            </w:r>
            <w:r>
              <w:rPr>
                <w:rFonts w:hint="eastAsia" w:ascii="宋体" w:hAnsi="宋体" w:eastAsia="宋体" w:cs="宋体"/>
                <w:b w:val="0"/>
                <w:bCs w:val="0"/>
                <w:color w:val="000000" w:themeColor="text1"/>
                <w:sz w:val="24"/>
                <w:szCs w:val="24"/>
                <w:lang w:val="en-US" w:eastAsia="zh-CN"/>
                <w14:textFill>
                  <w14:solidFill>
                    <w14:schemeClr w14:val="tx1"/>
                  </w14:solidFill>
                </w14:textFill>
              </w:rPr>
              <w:t>生活</w:t>
            </w:r>
            <w:r>
              <w:rPr>
                <w:rFonts w:hint="default" w:ascii="宋体" w:hAnsi="宋体" w:eastAsia="宋体" w:cs="宋体"/>
                <w:b w:val="0"/>
                <w:bCs w:val="0"/>
                <w:color w:val="000000" w:themeColor="text1"/>
                <w:sz w:val="24"/>
                <w:szCs w:val="24"/>
                <w:lang w:val="en-US" w:eastAsia="zh-CN"/>
                <w14:textFill>
                  <w14:solidFill>
                    <w14:schemeClr w14:val="tx1"/>
                  </w14:solidFill>
                </w14:textFill>
              </w:rPr>
              <w:t>营地依托项目区周边村庄</w:t>
            </w:r>
            <w:r>
              <w:rPr>
                <w:rFonts w:hint="eastAsia" w:ascii="宋体" w:hAnsi="宋体" w:eastAsia="宋体" w:cs="宋体"/>
                <w:b w:val="0"/>
                <w:bCs w:val="0"/>
                <w:color w:val="000000" w:themeColor="text1"/>
                <w:sz w:val="24"/>
                <w:szCs w:val="24"/>
                <w:lang w:val="en-US" w:eastAsia="zh-CN"/>
                <w14:textFill>
                  <w14:solidFill>
                    <w14:schemeClr w14:val="tx1"/>
                  </w14:solidFill>
                </w14:textFill>
              </w:rPr>
              <w:t>。</w:t>
            </w:r>
          </w:p>
          <w:p w14:paraId="1741F393">
            <w:pPr>
              <w:keepNext w:val="0"/>
              <w:keepLines w:val="0"/>
              <w:suppressLineNumbers w:val="0"/>
              <w:bidi w:val="0"/>
              <w:spacing w:before="0" w:beforeAutospacing="0" w:after="0" w:afterAutospacing="0"/>
              <w:ind w:left="0" w:right="0"/>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fldChar w:fldCharType="begin"/>
            </w:r>
            <w:r>
              <w:rPr>
                <w:rFonts w:hint="default" w:ascii="Times New Roman" w:hAnsi="Times New Roman" w:cs="Times New Roman"/>
                <w:color w:val="000000" w:themeColor="text1"/>
                <w:lang w:val="en-US" w:eastAsia="zh-CN"/>
                <w14:textFill>
                  <w14:solidFill>
                    <w14:schemeClr w14:val="tx1"/>
                  </w14:solidFill>
                </w14:textFill>
              </w:rPr>
              <w:instrText xml:space="preserve"> = 2 \* GB2 \* MERGEFORMAT </w:instrText>
            </w:r>
            <w:r>
              <w:rPr>
                <w:rFonts w:hint="default" w:ascii="Times New Roman" w:hAnsi="Times New Roman" w:cs="Times New Roman"/>
                <w:color w:val="000000" w:themeColor="text1"/>
                <w:lang w:val="en-US"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⑵</w:t>
            </w:r>
            <w:r>
              <w:rPr>
                <w:rFonts w:hint="default" w:ascii="Times New Roman" w:hAnsi="Times New Roman" w:cs="Times New Roman"/>
                <w:color w:val="000000" w:themeColor="text1"/>
                <w:lang w:val="en-US" w:eastAsia="zh-CN"/>
                <w14:textFill>
                  <w14:solidFill>
                    <w14:schemeClr w14:val="tx1"/>
                  </w14:solidFill>
                </w14:textFill>
              </w:rPr>
              <w:fldChar w:fldCharType="end"/>
            </w:r>
            <w:r>
              <w:rPr>
                <w:rFonts w:hint="eastAsia" w:ascii="Times New Roman" w:hAnsi="Times New Roman" w:cs="Times New Roman"/>
                <w:color w:val="000000" w:themeColor="text1"/>
                <w:lang w:val="en-US" w:eastAsia="zh-CN"/>
                <w14:textFill>
                  <w14:solidFill>
                    <w14:schemeClr w14:val="tx1"/>
                  </w14:solidFill>
                </w14:textFill>
              </w:rPr>
              <w:t>施工道路</w:t>
            </w:r>
          </w:p>
          <w:p w14:paraId="4D53C46F">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治理区周边分布有高速公路、县道、乡道等交通运输道路，交通便利。同时治理区范围内设有施工便道。</w:t>
            </w:r>
          </w:p>
          <w:p w14:paraId="172253B8">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fldChar w:fldCharType="begin"/>
            </w:r>
            <w:r>
              <w:rPr>
                <w:rFonts w:hint="default" w:ascii="Times New Roman" w:hAnsi="Times New Roman" w:cs="Times New Roman"/>
                <w:color w:val="000000" w:themeColor="text1"/>
                <w:lang w:val="en-US" w:eastAsia="zh-CN"/>
                <w14:textFill>
                  <w14:solidFill>
                    <w14:schemeClr w14:val="tx1"/>
                  </w14:solidFill>
                </w14:textFill>
              </w:rPr>
              <w:instrText xml:space="preserve"> = 3 \* GB2 \* MERGEFORMAT </w:instrText>
            </w:r>
            <w:r>
              <w:rPr>
                <w:rFonts w:hint="default" w:ascii="Times New Roman" w:hAnsi="Times New Roman" w:cs="Times New Roman"/>
                <w:color w:val="000000" w:themeColor="text1"/>
                <w:lang w:val="en-US"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⑶</w:t>
            </w:r>
            <w:r>
              <w:rPr>
                <w:rFonts w:hint="default" w:ascii="Times New Roman" w:hAnsi="Times New Roman" w:cs="Times New Roman"/>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供水</w:t>
            </w:r>
          </w:p>
          <w:p w14:paraId="20C2A090">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施工用水、施工人员生活用水购自周边村镇。</w:t>
            </w:r>
          </w:p>
          <w:p w14:paraId="6ECAC4BE">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4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⑷</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供电</w:t>
            </w:r>
          </w:p>
          <w:p w14:paraId="04415781">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依托沿线村落镇输电电网</w:t>
            </w:r>
            <w:r>
              <w:rPr>
                <w:rFonts w:hint="eastAsia"/>
                <w:color w:val="000000" w:themeColor="text1"/>
                <w:lang w:val="en-US" w:eastAsia="zh-CN"/>
                <w14:textFill>
                  <w14:solidFill>
                    <w14:schemeClr w14:val="tx1"/>
                  </w14:solidFill>
                </w14:textFill>
              </w:rPr>
              <w:t>。</w:t>
            </w:r>
          </w:p>
          <w:p w14:paraId="115B65E6">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fldChar w:fldCharType="begin"/>
            </w:r>
            <w:r>
              <w:rPr>
                <w:rFonts w:hint="default" w:ascii="宋体" w:hAnsi="宋体" w:eastAsia="宋体" w:cs="宋体"/>
                <w:b w:val="0"/>
                <w:bCs w:val="0"/>
                <w:color w:val="000000" w:themeColor="text1"/>
                <w:sz w:val="24"/>
                <w:szCs w:val="24"/>
                <w14:textFill>
                  <w14:solidFill>
                    <w14:schemeClr w14:val="tx1"/>
                  </w14:solidFill>
                </w14:textFill>
              </w:rPr>
              <w:instrText xml:space="preserve"> = 5 \* GB2 \* MERGEFORMAT </w:instrText>
            </w:r>
            <w:r>
              <w:rPr>
                <w:rFonts w:hint="default" w:ascii="宋体" w:hAnsi="宋体" w:eastAsia="宋体" w:cs="宋体"/>
                <w:b w:val="0"/>
                <w:bCs w:val="0"/>
                <w:color w:val="000000" w:themeColor="text1"/>
                <w:sz w:val="24"/>
                <w:szCs w:val="24"/>
                <w14:textFill>
                  <w14:solidFill>
                    <w14:schemeClr w14:val="tx1"/>
                  </w14:solidFill>
                </w14:textFill>
              </w:rPr>
              <w:fldChar w:fldCharType="separate"/>
            </w:r>
            <w:r>
              <w:rPr>
                <w:rFonts w:hint="default"/>
                <w:color w:val="000000" w:themeColor="text1"/>
                <w14:textFill>
                  <w14:solidFill>
                    <w14:schemeClr w14:val="tx1"/>
                  </w14:solidFill>
                </w14:textFill>
              </w:rPr>
              <w:t>⑸</w:t>
            </w:r>
            <w:r>
              <w:rPr>
                <w:rFonts w:hint="default" w:ascii="宋体" w:hAnsi="宋体" w:eastAsia="宋体" w:cs="宋体"/>
                <w:b w:val="0"/>
                <w:bCs w:val="0"/>
                <w:color w:val="000000" w:themeColor="text1"/>
                <w:sz w:val="24"/>
                <w:szCs w:val="24"/>
                <w14:textFill>
                  <w14:solidFill>
                    <w14:schemeClr w14:val="tx1"/>
                  </w14:solidFill>
                </w14:textFill>
              </w:rPr>
              <w:fldChar w:fldCharType="end"/>
            </w:r>
            <w:r>
              <w:rPr>
                <w:rFonts w:hint="default" w:ascii="宋体" w:hAnsi="宋体" w:eastAsia="宋体" w:cs="宋体"/>
                <w:b w:val="0"/>
                <w:bCs w:val="0"/>
                <w:color w:val="000000" w:themeColor="text1"/>
                <w:sz w:val="24"/>
                <w:szCs w:val="24"/>
                <w14:textFill>
                  <w14:solidFill>
                    <w14:schemeClr w14:val="tx1"/>
                  </w14:solidFill>
                </w14:textFill>
              </w:rPr>
              <w:t>施工技术、设备供应</w:t>
            </w:r>
          </w:p>
          <w:p w14:paraId="1D663271">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施工技术供应是保证施工顺利进展的关键。施工机械的先进程度和完好率，是保证整个工程能否按计划进度要求完成的基础。因此，必须根据技术要求和施工进度计划，及时作好技术供应和机械保养等工作。</w:t>
            </w:r>
          </w:p>
          <w:p w14:paraId="277F24AC">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6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⑹</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临时工程</w:t>
            </w:r>
          </w:p>
          <w:p w14:paraId="256E90F9">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施工</w:t>
            </w:r>
            <w:r>
              <w:rPr>
                <w:rFonts w:hint="eastAsia" w:ascii="宋体" w:hAnsi="宋体" w:eastAsia="宋体" w:cs="宋体"/>
                <w:b w:val="0"/>
                <w:bCs w:val="0"/>
                <w:color w:val="000000" w:themeColor="text1"/>
                <w:sz w:val="24"/>
                <w:szCs w:val="24"/>
                <w:lang w:val="en-US" w:eastAsia="zh-CN"/>
                <w14:textFill>
                  <w14:solidFill>
                    <w14:schemeClr w14:val="tx1"/>
                  </w14:solidFill>
                </w14:textFill>
              </w:rPr>
              <w:t>生活</w:t>
            </w:r>
            <w:r>
              <w:rPr>
                <w:rFonts w:hint="default"/>
                <w:color w:val="000000" w:themeColor="text1"/>
                <w:lang w:val="en-US" w:eastAsia="zh-CN"/>
                <w14:textFill>
                  <w14:solidFill>
                    <w14:schemeClr w14:val="tx1"/>
                  </w14:solidFill>
                </w14:textFill>
              </w:rPr>
              <w:t>营地</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项目施工人员不在施工区域内住宿，不设置临时施工</w:t>
            </w:r>
            <w:r>
              <w:rPr>
                <w:rFonts w:hint="eastAsia" w:ascii="宋体" w:hAnsi="宋体" w:eastAsia="宋体" w:cs="宋体"/>
                <w:b w:val="0"/>
                <w:bCs w:val="0"/>
                <w:color w:val="000000" w:themeColor="text1"/>
                <w:sz w:val="24"/>
                <w:szCs w:val="24"/>
                <w:lang w:val="en-US" w:eastAsia="zh-CN"/>
                <w14:textFill>
                  <w14:solidFill>
                    <w14:schemeClr w14:val="tx1"/>
                  </w14:solidFill>
                </w14:textFill>
              </w:rPr>
              <w:t>生活</w:t>
            </w:r>
            <w:r>
              <w:rPr>
                <w:rFonts w:hint="default"/>
                <w:color w:val="000000" w:themeColor="text1"/>
                <w:lang w:val="en-US" w:eastAsia="zh-CN"/>
                <w14:textFill>
                  <w14:solidFill>
                    <w14:schemeClr w14:val="tx1"/>
                  </w14:solidFill>
                </w14:textFill>
              </w:rPr>
              <w:t>营地，施工</w:t>
            </w:r>
            <w:r>
              <w:rPr>
                <w:rFonts w:hint="eastAsia" w:ascii="宋体" w:hAnsi="宋体" w:eastAsia="宋体" w:cs="宋体"/>
                <w:b w:val="0"/>
                <w:bCs w:val="0"/>
                <w:color w:val="000000" w:themeColor="text1"/>
                <w:sz w:val="24"/>
                <w:szCs w:val="24"/>
                <w:lang w:val="en-US" w:eastAsia="zh-CN"/>
                <w14:textFill>
                  <w14:solidFill>
                    <w14:schemeClr w14:val="tx1"/>
                  </w14:solidFill>
                </w14:textFill>
              </w:rPr>
              <w:t>生活</w:t>
            </w:r>
            <w:r>
              <w:rPr>
                <w:rFonts w:hint="default"/>
                <w:color w:val="000000" w:themeColor="text1"/>
                <w:lang w:val="en-US" w:eastAsia="zh-CN"/>
                <w14:textFill>
                  <w14:solidFill>
                    <w14:schemeClr w14:val="tx1"/>
                  </w14:solidFill>
                </w14:textFill>
              </w:rPr>
              <w:t>营地依托项目区周边村庄</w:t>
            </w:r>
            <w:r>
              <w:rPr>
                <w:rFonts w:hint="eastAsia"/>
                <w:color w:val="000000" w:themeColor="text1"/>
                <w:lang w:val="en-US" w:eastAsia="zh-CN"/>
                <w14:textFill>
                  <w14:solidFill>
                    <w14:schemeClr w14:val="tx1"/>
                  </w14:solidFill>
                </w14:textFill>
              </w:rPr>
              <w:t>。</w:t>
            </w:r>
          </w:p>
          <w:p w14:paraId="39407DBE">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施工便道</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治理区周边分布有高速公路、县道、乡道等交通运输道路，交通便利。同时治理区范围内设有施工便道</w:t>
            </w:r>
            <w:r>
              <w:rPr>
                <w:rFonts w:hint="eastAsia"/>
                <w:color w:val="000000" w:themeColor="text1"/>
                <w:lang w:val="en-US" w:eastAsia="zh-CN"/>
                <w14:textFill>
                  <w14:solidFill>
                    <w14:schemeClr w14:val="tx1"/>
                  </w14:solidFill>
                </w14:textFill>
              </w:rPr>
              <w:t>。</w:t>
            </w:r>
          </w:p>
          <w:p w14:paraId="491E4C7A">
            <w:pPr>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施工作业带</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施工作业带宽度</w:t>
            </w:r>
            <w:r>
              <w:rPr>
                <w:rFonts w:hint="eastAsia"/>
                <w:color w:val="000000" w:themeColor="text1"/>
                <w:lang w:val="en-US" w:eastAsia="zh-CN"/>
                <w14:textFill>
                  <w14:solidFill>
                    <w14:schemeClr w14:val="tx1"/>
                  </w14:solidFill>
                </w14:textFill>
              </w:rPr>
              <w:t>为4m，施工期间</w:t>
            </w:r>
            <w:r>
              <w:rPr>
                <w:rFonts w:ascii="宋体" w:hAnsi="宋体" w:eastAsia="宋体" w:cs="宋体"/>
                <w:color w:val="000000" w:themeColor="text1"/>
                <w:sz w:val="24"/>
                <w:szCs w:val="24"/>
                <w14:textFill>
                  <w14:solidFill>
                    <w14:schemeClr w14:val="tx1"/>
                  </w14:solidFill>
                </w14:textFill>
              </w:rPr>
              <w:t>严格控制施工范围</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所有施工活动均控制在</w:t>
            </w:r>
            <w:r>
              <w:rPr>
                <w:rFonts w:hint="eastAsia"/>
                <w:color w:val="000000" w:themeColor="text1"/>
                <w14:textFill>
                  <w14:solidFill>
                    <w14:schemeClr w14:val="tx1"/>
                  </w14:solidFill>
                </w14:textFill>
              </w:rPr>
              <w:t>施工作业带</w:t>
            </w:r>
            <w:r>
              <w:rPr>
                <w:rFonts w:hint="eastAsia"/>
                <w:color w:val="000000" w:themeColor="text1"/>
                <w:lang w:val="en-US" w:eastAsia="zh-CN"/>
                <w14:textFill>
                  <w14:solidFill>
                    <w14:schemeClr w14:val="tx1"/>
                  </w14:solidFill>
                </w14:textFill>
              </w:rPr>
              <w:t>范围内</w:t>
            </w:r>
            <w:r>
              <w:rPr>
                <w:rFonts w:hint="eastAsia" w:ascii="宋体" w:hAnsi="宋体" w:eastAsia="宋体" w:cs="宋体"/>
                <w:color w:val="000000" w:themeColor="text1"/>
                <w:sz w:val="24"/>
                <w:szCs w:val="24"/>
                <w:lang w:eastAsia="zh-CN"/>
                <w14:textFill>
                  <w14:solidFill>
                    <w14:schemeClr w14:val="tx1"/>
                  </w14:solidFill>
                </w14:textFill>
              </w:rPr>
              <w:t>。</w:t>
            </w:r>
          </w:p>
          <w:p w14:paraId="3D034EC1">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项目平面布置及施工布置</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图详见</w:t>
            </w:r>
            <w:r>
              <w:rPr>
                <w:rFonts w:hint="eastAsia" w:ascii="宋体" w:hAnsi="宋体" w:cs="宋体"/>
                <w:color w:val="000000" w:themeColor="text1"/>
                <w:kern w:val="0"/>
                <w:sz w:val="24"/>
                <w:szCs w:val="24"/>
                <w:highlight w:val="none"/>
                <w:lang w:val="en-US" w:eastAsia="zh-CN" w:bidi="ar"/>
                <w14:textFill>
                  <w14:solidFill>
                    <w14:schemeClr w14:val="tx1"/>
                  </w14:solidFill>
                </w14:textFill>
              </w:rPr>
              <w:t>附</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图</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w:t>
            </w:r>
            <w:r>
              <w:rPr>
                <w:rFonts w:hint="eastAsia" w:cs="Times New Roman"/>
                <w:color w:val="000000" w:themeColor="text1"/>
                <w:kern w:val="0"/>
                <w:sz w:val="24"/>
                <w:szCs w:val="24"/>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w:t>
            </w:r>
          </w:p>
        </w:tc>
      </w:tr>
      <w:tr w14:paraId="75067A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2" w:hRule="atLeast"/>
          <w:jc w:val="center"/>
        </w:trPr>
        <w:tc>
          <w:tcPr>
            <w:tcW w:w="646" w:type="dxa"/>
            <w:noWrap w:val="0"/>
            <w:vAlign w:val="center"/>
          </w:tcPr>
          <w:p w14:paraId="113786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kern w:val="0"/>
                <w:szCs w:val="21"/>
                <w14:textFill>
                  <w14:solidFill>
                    <w14:schemeClr w14:val="tx1"/>
                  </w14:solidFill>
                </w14:textFill>
              </w:rPr>
            </w:pPr>
            <w:r>
              <w:rPr>
                <w:b/>
                <w:bCs/>
                <w:color w:val="000000" w:themeColor="text1"/>
                <w:kern w:val="0"/>
                <w:sz w:val="24"/>
                <w:szCs w:val="21"/>
                <w14:textFill>
                  <w14:solidFill>
                    <w14:schemeClr w14:val="tx1"/>
                  </w14:solidFill>
                </w14:textFill>
              </w:rPr>
              <w:t>施工方案</w:t>
            </w:r>
          </w:p>
        </w:tc>
        <w:tc>
          <w:tcPr>
            <w:tcW w:w="8444" w:type="dxa"/>
            <w:noWrap w:val="0"/>
            <w:vAlign w:val="center"/>
          </w:tcPr>
          <w:p w14:paraId="4C9B523E">
            <w:pPr>
              <w:pStyle w:val="2"/>
              <w:numPr>
                <w:ilvl w:val="0"/>
                <w:numId w:val="3"/>
              </w:num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施工工艺</w:t>
            </w:r>
          </w:p>
          <w:p w14:paraId="628B857F">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本项目不涉及植被恢复工程及表土剥离及存放问题，施工工艺流程图见图2-3。</w:t>
            </w:r>
          </w:p>
          <w:p w14:paraId="1CD0F4A9">
            <w:pPr>
              <w:bidi w:val="0"/>
              <w:rPr>
                <w:rFonts w:hint="eastAsia"/>
                <w:color w:val="000000" w:themeColor="text1"/>
                <w:lang w:val="en-US" w:eastAsia="zh-CN"/>
                <w14:textFill>
                  <w14:solidFill>
                    <w14:schemeClr w14:val="tx1"/>
                  </w14:solidFill>
                </w14:textFill>
              </w:rPr>
            </w:pPr>
          </w:p>
          <w:p w14:paraId="02605C27">
            <w:pPr>
              <w:bidi w:val="0"/>
              <w:rPr>
                <w:rFonts w:hint="eastAsia"/>
                <w:color w:val="000000" w:themeColor="text1"/>
                <w:lang w:val="en-US" w:eastAsia="zh-CN"/>
                <w14:textFill>
                  <w14:solidFill>
                    <w14:schemeClr w14:val="tx1"/>
                  </w14:solidFill>
                </w14:textFill>
              </w:rPr>
            </w:pPr>
          </w:p>
          <w:p w14:paraId="6E21FE83">
            <w:pPr>
              <w:bidi w:val="0"/>
              <w:rPr>
                <w:rFonts w:hint="eastAsia"/>
                <w:color w:val="000000" w:themeColor="text1"/>
                <w:lang w:val="en-US" w:eastAsia="zh-CN"/>
                <w14:textFill>
                  <w14:solidFill>
                    <w14:schemeClr w14:val="tx1"/>
                  </w14:solidFill>
                </w14:textFill>
              </w:rPr>
            </w:pPr>
          </w:p>
          <w:p w14:paraId="5913703A">
            <w:pPr>
              <w:bidi w:val="0"/>
              <w:rPr>
                <w:rFonts w:hint="eastAsia"/>
                <w:color w:val="000000" w:themeColor="text1"/>
                <w:lang w:val="en-US" w:eastAsia="zh-CN"/>
                <w14:textFill>
                  <w14:solidFill>
                    <w14:schemeClr w14:val="tx1"/>
                  </w14:solidFill>
                </w14:textFill>
              </w:rPr>
            </w:pPr>
          </w:p>
          <w:p w14:paraId="65660E6F">
            <w:pPr>
              <w:bidi w:val="0"/>
              <w:rPr>
                <w:rFonts w:hint="default"/>
                <w:color w:val="000000" w:themeColor="text1"/>
                <w:lang w:val="en-US" w:eastAsia="zh-CN"/>
                <w14:textFill>
                  <w14:solidFill>
                    <w14:schemeClr w14:val="tx1"/>
                  </w14:solidFill>
                </w14:textFill>
              </w:rPr>
            </w:pPr>
          </w:p>
          <w:p w14:paraId="7D8E63CC">
            <w:pPr>
              <w:rPr>
                <w:color w:val="000000" w:themeColor="text1"/>
                <w14:textFill>
                  <w14:solidFill>
                    <w14:schemeClr w14:val="tx1"/>
                  </w14:solidFill>
                </w14:textFill>
              </w:rPr>
            </w:pPr>
            <w:r>
              <w:rPr>
                <w:color w:val="000000" w:themeColor="text1"/>
                <w14:textFill>
                  <w14:solidFill>
                    <w14:schemeClr w14:val="tx1"/>
                  </w14:solidFill>
                </w14:textFill>
              </w:rPr>
              <w:object>
                <v:shape id="_x0000_i1026" o:spt="75" type="#_x0000_t75" style="height:235.05pt;width:368.35pt;" o:ole="t" filled="f" o:preferrelative="t" stroked="f" coordsize="21600,21600">
                  <v:path/>
                  <v:fill on="f" focussize="0,0"/>
                  <v:stroke on="f"/>
                  <v:imagedata r:id="rId13" o:title=""/>
                  <o:lock v:ext="edit" aspectratio="f"/>
                  <w10:wrap type="none"/>
                  <w10:anchorlock/>
                </v:shape>
                <o:OLEObject Type="Embed" ProgID="Visio.Drawing.11" ShapeID="_x0000_i1026" DrawAspect="Content" ObjectID="_1468075726" r:id="rId12">
                  <o:LockedField>false</o:LockedField>
                </o:OLEObject>
              </w:object>
            </w:r>
          </w:p>
          <w:p w14:paraId="54A9FA3D">
            <w:pPr>
              <w:widowControl/>
              <w:ind w:firstLine="454" w:firstLineChars="200"/>
              <w:jc w:val="center"/>
              <w:rPr>
                <w:b/>
                <w:bCs/>
                <w:color w:val="000000" w:themeColor="text1"/>
                <w:sz w:val="24"/>
                <w14:textFill>
                  <w14:solidFill>
                    <w14:schemeClr w14:val="tx1"/>
                  </w14:solidFill>
                </w14:textFill>
              </w:rPr>
            </w:pPr>
            <w:r>
              <w:rPr>
                <w:rFonts w:hint="eastAsia" w:eastAsia="黑体"/>
                <w:color w:val="000000" w:themeColor="text1"/>
                <w:kern w:val="0"/>
                <w:sz w:val="24"/>
                <w:szCs w:val="20"/>
                <w14:textFill>
                  <w14:solidFill>
                    <w14:schemeClr w14:val="tx1"/>
                  </w14:solidFill>
                </w14:textFill>
              </w:rPr>
              <w:t>图2-</w:t>
            </w:r>
            <w:r>
              <w:rPr>
                <w:rFonts w:hint="eastAsia" w:eastAsia="黑体"/>
                <w:color w:val="000000" w:themeColor="text1"/>
                <w:kern w:val="0"/>
                <w:sz w:val="24"/>
                <w:szCs w:val="20"/>
                <w:lang w:val="en-US" w:eastAsia="zh-CN"/>
                <w14:textFill>
                  <w14:solidFill>
                    <w14:schemeClr w14:val="tx1"/>
                  </w14:solidFill>
                </w14:textFill>
              </w:rPr>
              <w:t>3</w:t>
            </w:r>
            <w:r>
              <w:rPr>
                <w:rFonts w:eastAsia="黑体"/>
                <w:color w:val="000000" w:themeColor="text1"/>
                <w:kern w:val="0"/>
                <w:sz w:val="24"/>
                <w:szCs w:val="20"/>
                <w14:textFill>
                  <w14:solidFill>
                    <w14:schemeClr w14:val="tx1"/>
                  </w14:solidFill>
                </w14:textFill>
              </w:rPr>
              <w:t xml:space="preserve"> </w:t>
            </w:r>
            <w:r>
              <w:rPr>
                <w:rFonts w:hint="eastAsia" w:eastAsia="黑体"/>
                <w:color w:val="000000" w:themeColor="text1"/>
                <w:kern w:val="0"/>
                <w:sz w:val="24"/>
                <w:szCs w:val="20"/>
                <w14:textFill>
                  <w14:solidFill>
                    <w14:schemeClr w14:val="tx1"/>
                  </w14:solidFill>
                </w14:textFill>
              </w:rPr>
              <w:t xml:space="preserve"> 施工工艺流程图</w:t>
            </w:r>
          </w:p>
          <w:p w14:paraId="7C0D96EC">
            <w:pPr>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1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⑴</w:t>
            </w:r>
            <w:r>
              <w:rPr>
                <w:rFonts w:hint="default"/>
                <w:color w:val="000000" w:themeColor="text1"/>
                <w:lang w:val="en-US" w:eastAsia="zh-CN"/>
                <w14:textFill>
                  <w14:solidFill>
                    <w14:schemeClr w14:val="tx1"/>
                  </w14:solidFill>
                </w14:textFill>
              </w:rPr>
              <w:fldChar w:fldCharType="end"/>
            </w:r>
            <w:r>
              <w:rPr>
                <w:color w:val="000000" w:themeColor="text1"/>
                <w14:textFill>
                  <w14:solidFill>
                    <w14:schemeClr w14:val="tx1"/>
                  </w14:solidFill>
                </w14:textFill>
              </w:rPr>
              <w:t>高边坡治理工程</w:t>
            </w:r>
          </w:p>
          <w:p w14:paraId="45860BA0">
            <w:pPr>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本项目7个治理区均涉及</w:t>
            </w:r>
            <w:r>
              <w:rPr>
                <w:color w:val="000000" w:themeColor="text1"/>
                <w14:textFill>
                  <w14:solidFill>
                    <w14:schemeClr w14:val="tx1"/>
                  </w14:solidFill>
                </w14:textFill>
              </w:rPr>
              <w:t>高边坡治理</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区边坡多为山体被挖采后形成的裸露岩石高陡边坡，本次治理主要是清理高立山体边坡的松散的石、渣等，防止发生落石、滑坡等灾害。因治理区远离居民区，落石、滑坡虽不会造成生命财产安全，但会发生地质灾害，毁坏周边植被而使生态环境遭到破坏。遇雨季，会对下游平原区造成破坏。硬质石质边坡对周边散乱、落石进行清理即可；砂石风化岩质边坡根据实地情况，边坡不陡于1：1进行削坡；土质边坡采用削坡减载的方式进行治理，削坡坡度为1:2，由于项目区土质边坡整体不高，采用一级坡即可。</w:t>
            </w:r>
          </w:p>
          <w:p w14:paraId="7930B4FE">
            <w:pPr>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2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⑵</w:t>
            </w:r>
            <w:r>
              <w:rPr>
                <w:rFonts w:hint="default"/>
                <w:color w:val="000000" w:themeColor="text1"/>
                <w:lang w:val="en-US" w:eastAsia="zh-CN"/>
                <w14:textFill>
                  <w14:solidFill>
                    <w14:schemeClr w14:val="tx1"/>
                  </w14:solidFill>
                </w14:textFill>
              </w:rPr>
              <w:fldChar w:fldCharType="end"/>
            </w:r>
            <w:r>
              <w:rPr>
                <w:color w:val="000000" w:themeColor="text1"/>
                <w14:textFill>
                  <w14:solidFill>
                    <w14:schemeClr w14:val="tx1"/>
                  </w14:solidFill>
                </w14:textFill>
              </w:rPr>
              <w:t>地形地貌恢复工程</w:t>
            </w:r>
          </w:p>
          <w:p w14:paraId="57676DFA">
            <w:pPr>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本项目DK-01、DK-02、DK-04、DK-05、DK-06、DK-07涉及</w:t>
            </w:r>
            <w:r>
              <w:rPr>
                <w:color w:val="000000" w:themeColor="text1"/>
                <w:lang w:val="en-US" w:eastAsia="zh-CN"/>
                <w14:textFill>
                  <w14:solidFill>
                    <w14:schemeClr w14:val="tx1"/>
                  </w14:solidFill>
                </w14:textFill>
              </w:rPr>
              <w:t>地形地貌恢复工程</w:t>
            </w:r>
            <w:r>
              <w:rPr>
                <w:rFonts w:hint="eastAsia"/>
                <w:color w:val="000000" w:themeColor="text1"/>
                <w:lang w:val="en-US" w:eastAsia="zh-CN"/>
                <w14:textFill>
                  <w14:solidFill>
                    <w14:schemeClr w14:val="tx1"/>
                  </w14:solidFill>
                </w14:textFill>
              </w:rPr>
              <w:t>，</w:t>
            </w:r>
            <w:r>
              <w:rPr>
                <w:color w:val="000000" w:themeColor="text1"/>
                <w:lang w:val="en-US" w:eastAsia="zh-CN"/>
                <w14:textFill>
                  <w14:solidFill>
                    <w14:schemeClr w14:val="tx1"/>
                  </w14:solidFill>
                </w14:textFill>
              </w:rPr>
              <w:t>地形地貌恢复工程包括渣堆清运、采坑回填、土地平整三部分内容。将治理区范围内的</w:t>
            </w:r>
            <w:r>
              <w:rPr>
                <w:rFonts w:hint="eastAsia"/>
                <w:color w:val="000000" w:themeColor="text1"/>
                <w:lang w:val="en-US" w:eastAsia="zh-CN"/>
                <w14:textFill>
                  <w14:solidFill>
                    <w14:schemeClr w14:val="tx1"/>
                  </w14:solidFill>
                </w14:textFill>
              </w:rPr>
              <w:t>弃渣就近运输至采坑内进行回填；将采坑填满后，将废石进行就地平整；若采坑填不满，则将采坑填方部分进行整平，对矿坑边坡进行修坡处理，将坡面散落石块进行清理，防止滑落。小型渣堆采用就地平整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治理区表土、矿渣筛分后细土用于</w:t>
            </w:r>
            <w:r>
              <w:rPr>
                <w:rFonts w:hint="eastAsia"/>
                <w:color w:val="000000" w:themeColor="text1"/>
                <w:lang w:val="en-US" w:eastAsia="zh-CN"/>
                <w14:textFill>
                  <w14:solidFill>
                    <w14:schemeClr w14:val="tx1"/>
                  </w14:solidFill>
                </w14:textFill>
              </w:rPr>
              <w:t>表面</w:t>
            </w:r>
            <w:r>
              <w:rPr>
                <w:rFonts w:hint="eastAsia"/>
                <w:color w:val="000000" w:themeColor="text1"/>
                <w14:textFill>
                  <w14:solidFill>
                    <w14:schemeClr w14:val="tx1"/>
                  </w14:solidFill>
                </w14:textFill>
              </w:rPr>
              <w:t>覆土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无需分层回填</w:t>
            </w:r>
            <w:r>
              <w:rPr>
                <w:rFonts w:hint="eastAsia"/>
                <w:color w:val="000000" w:themeColor="text1"/>
                <w:lang w:eastAsia="zh-CN"/>
                <w14:textFill>
                  <w14:solidFill>
                    <w14:schemeClr w14:val="tx1"/>
                  </w14:solidFill>
                </w14:textFill>
              </w:rPr>
              <w:t>。</w:t>
            </w:r>
          </w:p>
          <w:p w14:paraId="351672F2">
            <w:pPr>
              <w:bidi w:val="0"/>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3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⑶</w:t>
            </w:r>
            <w:r>
              <w:rPr>
                <w:rFonts w:hint="default"/>
                <w:color w:val="000000" w:themeColor="text1"/>
                <w:lang w:val="en-US" w:eastAsia="zh-CN"/>
                <w14:textFill>
                  <w14:solidFill>
                    <w14:schemeClr w14:val="tx1"/>
                  </w14:solidFill>
                </w14:textFill>
              </w:rPr>
              <w:fldChar w:fldCharType="end"/>
            </w:r>
            <w:r>
              <w:rPr>
                <w:color w:val="000000" w:themeColor="text1"/>
                <w14:textFill>
                  <w14:solidFill>
                    <w14:schemeClr w14:val="tx1"/>
                  </w14:solidFill>
                </w14:textFill>
              </w:rPr>
              <w:t>标识牌及卡口设立</w:t>
            </w:r>
          </w:p>
          <w:p w14:paraId="7A28F342">
            <w:pPr>
              <w:bidi w:val="0"/>
              <w:rPr>
                <w:rFonts w:hint="eastAsia"/>
                <w:color w:val="000000" w:themeColor="text1"/>
                <w:sz w:val="24"/>
                <w14:textFill>
                  <w14:solidFill>
                    <w14:schemeClr w14:val="tx1"/>
                  </w14:solidFill>
                </w14:textFill>
              </w:rPr>
            </w:pPr>
            <w:r>
              <w:rPr>
                <w:rFonts w:hint="eastAsia"/>
                <w:color w:val="000000" w:themeColor="text1"/>
                <w:lang w:val="en-US" w:eastAsia="zh-CN"/>
                <w14:textFill>
                  <w14:solidFill>
                    <w14:schemeClr w14:val="tx1"/>
                  </w14:solidFill>
                </w14:textFill>
              </w:rPr>
              <w:t>本项目DK-01、DK-03、DK-06、DK-07治理区</w:t>
            </w:r>
            <w:r>
              <w:rPr>
                <w:color w:val="000000" w:themeColor="text1"/>
                <w14:textFill>
                  <w14:solidFill>
                    <w14:schemeClr w14:val="tx1"/>
                  </w14:solidFill>
                </w14:textFill>
              </w:rPr>
              <w:t>完工后，在靠近主要交通干道的区域设置标识牌，应注明工程治理的范围及措施以及注意事项。必要时应树立警示牌，上面注明“落石危险，请勿靠近”等警示标语。</w:t>
            </w:r>
          </w:p>
          <w:p w14:paraId="16149818">
            <w:pPr>
              <w:pStyle w:val="2"/>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施工时序</w:t>
            </w:r>
          </w:p>
          <w:p w14:paraId="5C54829E">
            <w:pPr>
              <w:keepNext w:val="0"/>
              <w:keepLines w:val="0"/>
              <w:suppressLineNumbers w:val="0"/>
              <w:bidi w:val="0"/>
              <w:spacing w:before="0" w:beforeAutospacing="0" w:after="0" w:afterAutospacing="0"/>
              <w:ind w:left="0" w:right="0"/>
              <w:rPr>
                <w:rFonts w:hint="default" w:eastAsia="宋体" w:cs="Times New Roman"/>
                <w:color w:val="000000" w:themeColor="text1"/>
                <w:sz w:val="24"/>
                <w:lang w:val="en-US" w:eastAsia="zh-CN"/>
                <w14:textFill>
                  <w14:solidFill>
                    <w14:schemeClr w14:val="tx1"/>
                  </w14:solidFill>
                </w14:textFill>
              </w:rPr>
            </w:pPr>
            <w:r>
              <w:rPr>
                <w:rFonts w:hint="default"/>
                <w:color w:val="000000" w:themeColor="text1"/>
                <w14:textFill>
                  <w14:solidFill>
                    <w14:schemeClr w14:val="tx1"/>
                  </w14:solidFill>
                </w14:textFill>
              </w:rPr>
              <w:t>项目将在2025年</w:t>
            </w:r>
            <w:r>
              <w:rPr>
                <w:rFonts w:hint="eastAsia"/>
                <w:color w:val="000000" w:themeColor="text1"/>
                <w:lang w:val="en-US" w:eastAsia="zh-CN"/>
                <w14:textFill>
                  <w14:solidFill>
                    <w14:schemeClr w14:val="tx1"/>
                  </w14:solidFill>
                </w14:textFill>
              </w:rPr>
              <w:t>10</w:t>
            </w:r>
            <w:r>
              <w:rPr>
                <w:rFonts w:hint="default"/>
                <w:color w:val="000000" w:themeColor="text1"/>
                <w14:textFill>
                  <w14:solidFill>
                    <w14:schemeClr w14:val="tx1"/>
                  </w14:solidFill>
                </w14:textFill>
              </w:rPr>
              <w:t>月底前完成主体工程，项目计划建设期为</w:t>
            </w:r>
            <w:r>
              <w:rPr>
                <w:rFonts w:hint="eastAsia"/>
                <w:color w:val="000000" w:themeColor="text1"/>
                <w:lang w:val="en-US" w:eastAsia="zh-CN"/>
                <w14:textFill>
                  <w14:solidFill>
                    <w14:schemeClr w14:val="tx1"/>
                  </w14:solidFill>
                </w14:textFill>
              </w:rPr>
              <w:t>4</w:t>
            </w:r>
            <w:r>
              <w:rPr>
                <w:rFonts w:hint="default"/>
                <w:color w:val="000000" w:themeColor="text1"/>
                <w14:textFill>
                  <w14:solidFill>
                    <w14:schemeClr w14:val="tx1"/>
                  </w14:solidFill>
                </w14:textFill>
              </w:rPr>
              <w:t>个月，202</w:t>
            </w:r>
            <w:r>
              <w:rPr>
                <w:rFonts w:hint="eastAsia"/>
                <w:color w:val="000000" w:themeColor="text1"/>
                <w:lang w:val="en-US" w:eastAsia="zh-CN"/>
                <w14:textFill>
                  <w14:solidFill>
                    <w14:schemeClr w14:val="tx1"/>
                  </w14:solidFill>
                </w14:textFill>
              </w:rPr>
              <w:t>5</w:t>
            </w:r>
            <w:r>
              <w:rPr>
                <w:rFonts w:hint="default"/>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2-6</w:t>
            </w:r>
            <w:r>
              <w:rPr>
                <w:rFonts w:hint="default"/>
                <w:color w:val="000000" w:themeColor="text1"/>
                <w14:textFill>
                  <w14:solidFill>
                    <w14:schemeClr w14:val="tx1"/>
                  </w14:solidFill>
                </w14:textFill>
              </w:rPr>
              <w:t>月进行项目前期工作，2025年</w:t>
            </w:r>
            <w:r>
              <w:rPr>
                <w:rFonts w:hint="eastAsia"/>
                <w:color w:val="000000" w:themeColor="text1"/>
                <w:lang w:val="en-US" w:eastAsia="zh-CN"/>
                <w14:textFill>
                  <w14:solidFill>
                    <w14:schemeClr w14:val="tx1"/>
                  </w14:solidFill>
                </w14:textFill>
              </w:rPr>
              <w:t>6月-9完成场高边坡治理工程、地形地貌恢复工程、标识牌及卡口设立，</w:t>
            </w:r>
            <w:r>
              <w:rPr>
                <w:rFonts w:hint="default"/>
                <w:color w:val="000000" w:themeColor="text1"/>
                <w14:textFill>
                  <w14:solidFill>
                    <w14:schemeClr w14:val="tx1"/>
                  </w14:solidFill>
                </w14:textFill>
              </w:rPr>
              <w:t>2025年</w:t>
            </w:r>
            <w:r>
              <w:rPr>
                <w:rFonts w:hint="eastAsia"/>
                <w:color w:val="000000" w:themeColor="text1"/>
                <w:lang w:val="en-US" w:eastAsia="zh-CN"/>
                <w14:textFill>
                  <w14:solidFill>
                    <w14:schemeClr w14:val="tx1"/>
                  </w14:solidFill>
                </w14:textFill>
              </w:rPr>
              <w:t>10</w:t>
            </w:r>
            <w:r>
              <w:rPr>
                <w:rFonts w:hint="default"/>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进行工程验收。</w:t>
            </w:r>
          </w:p>
          <w:p w14:paraId="15498B79">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3、建设周期</w:t>
            </w:r>
          </w:p>
          <w:p w14:paraId="560BDB32">
            <w:pPr>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1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⑴</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施工阶段：</w:t>
            </w:r>
            <w:r>
              <w:rPr>
                <w:rFonts w:hint="default"/>
                <w:color w:val="000000" w:themeColor="text1"/>
                <w:lang w:val="en-US" w:eastAsia="zh-CN"/>
                <w14:textFill>
                  <w14:solidFill>
                    <w14:schemeClr w14:val="tx1"/>
                  </w14:solidFill>
                </w14:textFill>
              </w:rPr>
              <w:t>202</w:t>
            </w:r>
            <w:r>
              <w:rPr>
                <w:rFonts w:hint="eastAsia"/>
                <w:color w:val="000000" w:themeColor="text1"/>
                <w:lang w:val="en-US" w:eastAsia="zh-CN"/>
                <w14:textFill>
                  <w14:solidFill>
                    <w14:schemeClr w14:val="tx1"/>
                  </w14:solidFill>
                </w14:textFill>
              </w:rPr>
              <w:t>5年6月～</w:t>
            </w:r>
            <w:r>
              <w:rPr>
                <w:rFonts w:hint="default"/>
                <w:color w:val="000000" w:themeColor="text1"/>
                <w:lang w:val="en-US" w:eastAsia="zh-CN"/>
                <w14:textFill>
                  <w14:solidFill>
                    <w14:schemeClr w14:val="tx1"/>
                  </w14:solidFill>
                </w14:textFill>
              </w:rPr>
              <w:t>202</w:t>
            </w:r>
            <w:r>
              <w:rPr>
                <w:rFonts w:hint="eastAsia"/>
                <w:color w:val="000000" w:themeColor="text1"/>
                <w:lang w:val="en-US" w:eastAsia="zh-CN"/>
                <w14:textFill>
                  <w14:solidFill>
                    <w14:schemeClr w14:val="tx1"/>
                  </w14:solidFill>
                </w14:textFill>
              </w:rPr>
              <w:t>5年9月，完成全部施工工作；包括高边坡治理工程、地形地貌恢复工程、标识牌及卡口设立。</w:t>
            </w:r>
          </w:p>
          <w:p w14:paraId="3A1C19C0">
            <w:pPr>
              <w:bidi w:val="0"/>
              <w:rPr>
                <w:color w:val="000000" w:themeColor="text1"/>
                <w:szCs w:val="22"/>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2 \* GB2 \* MERGEFORMAT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14:textFill>
                  <w14:solidFill>
                    <w14:schemeClr w14:val="tx1"/>
                  </w14:solidFill>
                </w14:textFill>
              </w:rPr>
              <w:t>⑵</w:t>
            </w:r>
            <w:r>
              <w:rPr>
                <w:rFonts w:hint="default"/>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验收工作阶段：</w:t>
            </w:r>
            <w:r>
              <w:rPr>
                <w:rFonts w:hint="default"/>
                <w:color w:val="000000" w:themeColor="text1"/>
                <w:lang w:val="en-US" w:eastAsia="zh-CN"/>
                <w14:textFill>
                  <w14:solidFill>
                    <w14:schemeClr w14:val="tx1"/>
                  </w14:solidFill>
                </w14:textFill>
              </w:rPr>
              <w:t>202</w:t>
            </w:r>
            <w:r>
              <w:rPr>
                <w:rFonts w:hint="eastAsia"/>
                <w:color w:val="000000" w:themeColor="text1"/>
                <w:lang w:val="en-US" w:eastAsia="zh-CN"/>
                <w14:textFill>
                  <w14:solidFill>
                    <w14:schemeClr w14:val="tx1"/>
                  </w14:solidFill>
                </w14:textFill>
              </w:rPr>
              <w:t>5年10月完成竣工验收。</w:t>
            </w:r>
          </w:p>
        </w:tc>
      </w:tr>
      <w:tr w14:paraId="34C634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646" w:type="dxa"/>
            <w:noWrap w:val="0"/>
            <w:vAlign w:val="center"/>
          </w:tcPr>
          <w:p w14:paraId="1A60B0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其他</w:t>
            </w:r>
          </w:p>
          <w:p w14:paraId="2CD47B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4FF4EC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0D8AEA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6543B9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3A73AF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116202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kern w:val="0"/>
                <w:szCs w:val="21"/>
                <w14:textFill>
                  <w14:solidFill>
                    <w14:schemeClr w14:val="tx1"/>
                  </w14:solidFill>
                </w14:textFill>
              </w:rPr>
            </w:pPr>
          </w:p>
          <w:p w14:paraId="2D3A4AAC">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0CADECA9">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22FC3E1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61C32C06">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338B82A3">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55F46CF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2E440BCD">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33A7370D">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0250139A">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p w14:paraId="089EA494">
            <w:pPr>
              <w:keepNext w:val="0"/>
              <w:keepLines w:val="0"/>
              <w:pageBreakBefore w:val="0"/>
              <w:widowControl w:val="0"/>
              <w:kinsoku/>
              <w:wordWrap/>
              <w:overflowPunct/>
              <w:topLinePunct w:val="0"/>
              <w:autoSpaceDE/>
              <w:autoSpaceDN/>
              <w:bidi w:val="0"/>
              <w:adjustRightInd/>
              <w:snapToGrid/>
              <w:ind w:firstLine="0" w:firstLineChars="0"/>
              <w:jc w:val="both"/>
              <w:textAlignment w:val="auto"/>
              <w:rPr>
                <w:b/>
                <w:bCs/>
                <w:color w:val="000000" w:themeColor="text1"/>
                <w:kern w:val="0"/>
                <w:szCs w:val="21"/>
                <w14:textFill>
                  <w14:solidFill>
                    <w14:schemeClr w14:val="tx1"/>
                  </w14:solidFill>
                </w14:textFill>
              </w:rPr>
            </w:pPr>
          </w:p>
        </w:tc>
        <w:tc>
          <w:tcPr>
            <w:tcW w:w="8444" w:type="dxa"/>
            <w:noWrap w:val="0"/>
            <w:vAlign w:val="center"/>
          </w:tcPr>
          <w:p w14:paraId="27DA31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无</w:t>
            </w:r>
          </w:p>
          <w:p w14:paraId="0877E0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p>
          <w:p w14:paraId="3FF8AC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p>
          <w:p w14:paraId="3BB5BA31">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52A084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p>
          <w:p w14:paraId="36F638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p>
          <w:p w14:paraId="1C76D07A">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eastAsia="宋体"/>
                <w:color w:val="000000" w:themeColor="text1"/>
                <w:sz w:val="24"/>
                <w:lang w:eastAsia="zh-CN"/>
                <w14:textFill>
                  <w14:solidFill>
                    <w14:schemeClr w14:val="tx1"/>
                  </w14:solidFill>
                </w14:textFill>
              </w:rPr>
            </w:pPr>
          </w:p>
          <w:p w14:paraId="665EF5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4"/>
                <w14:textFill>
                  <w14:solidFill>
                    <w14:schemeClr w14:val="tx1"/>
                  </w14:solidFill>
                </w14:textFill>
              </w:rPr>
            </w:pPr>
          </w:p>
          <w:p w14:paraId="12B95C8E">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2D9E451F">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0292B7D1">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12B850AF">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4A17A64F">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4F8A9A8C">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2728A231">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45F59F5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p w14:paraId="011C8ED8">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000000" w:themeColor="text1"/>
                <w:sz w:val="24"/>
                <w14:textFill>
                  <w14:solidFill>
                    <w14:schemeClr w14:val="tx1"/>
                  </w14:solidFill>
                </w14:textFill>
              </w:rPr>
            </w:pPr>
          </w:p>
        </w:tc>
      </w:tr>
    </w:tbl>
    <w:p w14:paraId="1FAE46F3">
      <w:pPr>
        <w:pStyle w:val="4"/>
        <w:bidi w:val="0"/>
        <w:rPr>
          <w:rStyle w:val="37"/>
          <w:bCs/>
          <w:color w:val="000000" w:themeColor="text1"/>
          <w14:textFill>
            <w14:solidFill>
              <w14:schemeClr w14:val="tx1"/>
            </w14:solidFill>
          </w14:textFill>
        </w:rPr>
      </w:pPr>
      <w:r>
        <w:rPr>
          <w:rFonts w:ascii="Times New Roman" w:hAnsi="Times New Roman" w:eastAsia="仿宋_GB2312"/>
          <w:b/>
          <w:bCs w:val="0"/>
          <w:color w:val="000000" w:themeColor="text1"/>
          <w14:textFill>
            <w14:solidFill>
              <w14:schemeClr w14:val="tx1"/>
            </w14:solidFill>
          </w14:textFill>
        </w:rPr>
        <w:br w:type="page"/>
      </w:r>
      <w:r>
        <w:rPr>
          <w:color w:val="000000" w:themeColor="text1"/>
          <w14:textFill>
            <w14:solidFill>
              <w14:schemeClr w14:val="tx1"/>
            </w14:solidFill>
          </w14:textFill>
        </w:rPr>
        <w:t>三、</w:t>
      </w:r>
      <w:r>
        <w:rPr>
          <w:rFonts w:hint="eastAsia"/>
          <w:color w:val="000000" w:themeColor="text1"/>
          <w14:textFill>
            <w14:solidFill>
              <w14:schemeClr w14:val="tx1"/>
            </w14:solidFill>
          </w14:textFill>
        </w:rPr>
        <w:t>生态环境现状、保护目标及评价标准</w:t>
      </w:r>
    </w:p>
    <w:tbl>
      <w:tblPr>
        <w:tblStyle w:val="27"/>
        <w:tblW w:w="915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3"/>
        <w:gridCol w:w="8504"/>
      </w:tblGrid>
      <w:tr w14:paraId="110C4F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5" w:hRule="atLeast"/>
          <w:jc w:val="center"/>
        </w:trPr>
        <w:tc>
          <w:tcPr>
            <w:tcW w:w="653" w:type="dxa"/>
            <w:noWrap w:val="0"/>
            <w:vAlign w:val="center"/>
          </w:tcPr>
          <w:p w14:paraId="5034E81E">
            <w:pPr>
              <w:keepNext w:val="0"/>
              <w:keepLines w:val="0"/>
              <w:suppressLineNumbers w:val="0"/>
              <w:adjustRightInd w:val="0"/>
              <w:snapToGrid w:val="0"/>
              <w:spacing w:before="0" w:beforeAutospacing="0" w:after="0" w:afterAutospacing="0"/>
              <w:ind w:left="0" w:leftChars="0" w:right="0" w:firstLine="0" w:firstLineChars="0"/>
              <w:jc w:val="center"/>
              <w:rPr>
                <w:rFonts w:hint="default" w:cs="Times New Roman"/>
                <w:color w:val="000000" w:themeColor="text1"/>
                <w:kern w:val="0"/>
                <w:szCs w:val="21"/>
                <w14:textFill>
                  <w14:solidFill>
                    <w14:schemeClr w14:val="tx1"/>
                  </w14:solidFill>
                </w14:textFill>
              </w:rPr>
            </w:pPr>
            <w:r>
              <w:rPr>
                <w:rFonts w:hint="eastAsia" w:eastAsia="宋体"/>
                <w:b/>
                <w:bCs/>
                <w:color w:val="000000" w:themeColor="text1"/>
                <w:lang w:val="en-US" w:eastAsia="zh-CN"/>
                <w14:textFill>
                  <w14:solidFill>
                    <w14:schemeClr w14:val="tx1"/>
                  </w14:solidFill>
                </w14:textFill>
              </w:rPr>
              <w:t>生</w:t>
            </w:r>
            <w:r>
              <w:rPr>
                <w:rFonts w:hint="default" w:eastAsia="宋体"/>
                <w:b/>
                <w:bCs/>
                <w:color w:val="000000" w:themeColor="text1"/>
                <w14:textFill>
                  <w14:solidFill>
                    <w14:schemeClr w14:val="tx1"/>
                  </w14:solidFill>
                </w14:textFill>
              </w:rPr>
              <w:t>态环境现状</w:t>
            </w:r>
          </w:p>
        </w:tc>
        <w:tc>
          <w:tcPr>
            <w:tcW w:w="8504" w:type="dxa"/>
            <w:noWrap w:val="0"/>
            <w:vAlign w:val="center"/>
          </w:tcPr>
          <w:p w14:paraId="213D195B">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生态环境现状</w:t>
            </w:r>
          </w:p>
          <w:p w14:paraId="3203293D">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1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⑴</w:t>
            </w:r>
            <w:r>
              <w:rPr>
                <w:rFonts w:hint="eastAsia"/>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主体功能区规划</w:t>
            </w:r>
          </w:p>
          <w:p w14:paraId="1D7BB924">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本项目位于中卫市</w:t>
            </w:r>
            <w:r>
              <w:rPr>
                <w:rFonts w:hint="eastAsia" w:cs="Times New Roman"/>
                <w:color w:val="000000" w:themeColor="text1"/>
                <w14:textFill>
                  <w14:solidFill>
                    <w14:schemeClr w14:val="tx1"/>
                  </w14:solidFill>
                </w14:textFill>
              </w:rPr>
              <w:t>沙坡头区</w:t>
            </w:r>
            <w:r>
              <w:rPr>
                <w:rFonts w:hint="default"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根据宁夏回族自治区主体功能区规划图，本项目位于</w:t>
            </w:r>
            <w:r>
              <w:rPr>
                <w:rFonts w:hint="default" w:cs="Times New Roman"/>
                <w:color w:val="000000" w:themeColor="text1"/>
                <w:lang w:val="en-US" w:eastAsia="zh-CN"/>
                <w14:textFill>
                  <w14:solidFill>
                    <w14:schemeClr w14:val="tx1"/>
                  </w14:solidFill>
                </w14:textFill>
              </w:rPr>
              <w:t>国家重点开发区域、国家农产品主产区</w:t>
            </w:r>
            <w:r>
              <w:rPr>
                <w:rFonts w:hint="eastAsia" w:cs="Times New Roman"/>
                <w:color w:val="000000" w:themeColor="text1"/>
                <w:lang w:val="en-US" w:eastAsia="zh-CN"/>
                <w14:textFill>
                  <w14:solidFill>
                    <w14:schemeClr w14:val="tx1"/>
                  </w14:solidFill>
                </w14:textFill>
              </w:rPr>
              <w:t>、省级重点生态功能区。</w:t>
            </w:r>
          </w:p>
          <w:p w14:paraId="1C352C25">
            <w:pPr>
              <w:keepNext w:val="0"/>
              <w:keepLines w:val="0"/>
              <w:suppressLineNumbers w:val="0"/>
              <w:bidi w:val="0"/>
              <w:spacing w:before="0" w:beforeAutospacing="0" w:after="0" w:afterAutospacing="0"/>
              <w:ind w:left="0" w:right="0"/>
              <w:rPr>
                <w:rFonts w:hint="eastAsia" w:eastAsia="宋体"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国家重点开发区域</w:t>
            </w:r>
            <w:r>
              <w:rPr>
                <w:rFonts w:hint="eastAsia" w:cs="Times New Roman"/>
                <w:color w:val="000000" w:themeColor="text1"/>
                <w:lang w:val="en-US" w:eastAsia="zh-CN"/>
                <w14:textFill>
                  <w14:solidFill>
                    <w14:schemeClr w14:val="tx1"/>
                  </w14:solidFill>
                </w14:textFill>
              </w:rPr>
              <w:t>要求为：保护生态环境。做好生态环境、基本农田等保护规划，减少工业化、城镇化对生态环境的影响，避免出现土地过多占用、水资源过度开发和生态环境压力过大等问题，努力提高环境质量，加大防沙治沙力度，着力构建防风固沙生态屏障。本项目通过高边坡治理工程、地形地貌恢复工程、标识牌及卡口设立等工程措施对项目区</w:t>
            </w:r>
            <w:r>
              <w:rPr>
                <w:rFonts w:hint="eastAsia" w:cs="Times New Roman"/>
                <w:color w:val="000000" w:themeColor="text1"/>
                <w:sz w:val="24"/>
                <w:lang w:eastAsia="zh-CN"/>
                <w14:textFill>
                  <w14:solidFill>
                    <w14:schemeClr w14:val="tx1"/>
                  </w14:solidFill>
                </w14:textFill>
              </w:rPr>
              <w:t>历史遗留废弃矿山</w:t>
            </w:r>
            <w:r>
              <w:rPr>
                <w:rFonts w:hint="eastAsia" w:cs="Times New Roman"/>
                <w:color w:val="000000" w:themeColor="text1"/>
                <w:sz w:val="24"/>
                <w:lang w:val="en-US" w:eastAsia="zh-CN"/>
                <w14:textFill>
                  <w14:solidFill>
                    <w14:schemeClr w14:val="tx1"/>
                  </w14:solidFill>
                </w14:textFill>
              </w:rPr>
              <w:t>进行</w:t>
            </w:r>
            <w:r>
              <w:rPr>
                <w:rFonts w:hint="eastAsia" w:cs="Times New Roman"/>
                <w:color w:val="000000" w:themeColor="text1"/>
                <w:sz w:val="24"/>
                <w:lang w:eastAsia="zh-CN"/>
                <w14:textFill>
                  <w14:solidFill>
                    <w14:schemeClr w14:val="tx1"/>
                  </w14:solidFill>
                </w14:textFill>
              </w:rPr>
              <w:t>恢复治理，</w:t>
            </w:r>
            <w:r>
              <w:rPr>
                <w:rFonts w:hint="eastAsia" w:cs="Times New Roman"/>
                <w:b w:val="0"/>
                <w:bCs w:val="0"/>
                <w:snapToGrid w:val="0"/>
                <w:color w:val="000000" w:themeColor="text1"/>
                <w:kern w:val="0"/>
                <w:sz w:val="24"/>
                <w:szCs w:val="22"/>
                <w:lang w:val="en-US" w:eastAsia="zh-CN"/>
                <w14:textFill>
                  <w14:solidFill>
                    <w14:schemeClr w14:val="tx1"/>
                  </w14:solidFill>
                </w14:textFill>
              </w:rPr>
              <w:t>有利于</w:t>
            </w:r>
            <w:r>
              <w:rPr>
                <w:rFonts w:hint="eastAsia" w:cs="Times New Roman"/>
                <w:b w:val="0"/>
                <w:bCs w:val="0"/>
                <w:snapToGrid w:val="0"/>
                <w:color w:val="000000" w:themeColor="text1"/>
                <w:kern w:val="0"/>
                <w:sz w:val="24"/>
                <w:szCs w:val="22"/>
                <w14:textFill>
                  <w14:solidFill>
                    <w14:schemeClr w14:val="tx1"/>
                  </w14:solidFill>
                </w14:textFill>
              </w:rPr>
              <w:t>保护中卫市沙坡头区生态环境，提高中卫市沙坡头区环境质量</w:t>
            </w:r>
            <w:r>
              <w:rPr>
                <w:rFonts w:hint="eastAsia" w:cs="Times New Roman"/>
                <w:b w:val="0"/>
                <w:bCs w:val="0"/>
                <w:snapToGrid w:val="0"/>
                <w:color w:val="000000" w:themeColor="text1"/>
                <w:kern w:val="0"/>
                <w:sz w:val="24"/>
                <w:szCs w:val="22"/>
                <w:lang w:eastAsia="zh-CN"/>
                <w14:textFill>
                  <w14:solidFill>
                    <w14:schemeClr w14:val="tx1"/>
                  </w14:solidFill>
                </w14:textFill>
              </w:rPr>
              <w:t>。</w:t>
            </w:r>
            <w:r>
              <w:rPr>
                <w:rFonts w:hint="eastAsia" w:cs="Times New Roman"/>
                <w:b w:val="0"/>
                <w:bCs w:val="0"/>
                <w:snapToGrid w:val="0"/>
                <w:color w:val="000000" w:themeColor="text1"/>
                <w:kern w:val="0"/>
                <w:sz w:val="24"/>
                <w:szCs w:val="22"/>
                <w14:textFill>
                  <w14:solidFill>
                    <w14:schemeClr w14:val="tx1"/>
                  </w14:solidFill>
                </w14:textFill>
              </w:rPr>
              <w:t>因此项目的功能定位符合重点开发区域要求</w:t>
            </w:r>
            <w:r>
              <w:rPr>
                <w:rFonts w:hint="eastAsia" w:cs="Times New Roman"/>
                <w:b w:val="0"/>
                <w:bCs w:val="0"/>
                <w:snapToGrid w:val="0"/>
                <w:color w:val="000000" w:themeColor="text1"/>
                <w:kern w:val="0"/>
                <w:sz w:val="24"/>
                <w:szCs w:val="22"/>
                <w:lang w:eastAsia="zh-CN"/>
                <w14:textFill>
                  <w14:solidFill>
                    <w14:schemeClr w14:val="tx1"/>
                  </w14:solidFill>
                </w14:textFill>
              </w:rPr>
              <w:t>。</w:t>
            </w:r>
          </w:p>
          <w:p w14:paraId="58EAA5D2">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国家农产品主产区</w:t>
            </w:r>
            <w:r>
              <w:rPr>
                <w:rFonts w:hint="eastAsia" w:cs="Times New Roman"/>
                <w:color w:val="000000" w:themeColor="text1"/>
                <w:lang w:val="en-US" w:eastAsia="zh-CN"/>
                <w14:textFill>
                  <w14:solidFill>
                    <w14:schemeClr w14:val="tx1"/>
                  </w14:solidFill>
                </w14:textFill>
              </w:rPr>
              <w:t>要求为：农产品主产区应着力保护耕地，稳定粮食生产，增强农业综合生产能力，发展现代农业，增加农民收入，加快社会主义新农村建设，保障农产品供给，确保地区</w:t>
            </w:r>
            <w:r>
              <w:rPr>
                <w:rFonts w:hint="eastAsia" w:cs="Times New Roman"/>
                <w:color w:val="000000" w:themeColor="text1"/>
                <w:highlight w:val="none"/>
                <w:lang w:val="en-US" w:eastAsia="zh-CN"/>
                <w14:textFill>
                  <w14:solidFill>
                    <w14:schemeClr w14:val="tx1"/>
                  </w14:solidFill>
                </w14:textFill>
              </w:rPr>
              <w:t>粮食安全和食物安全。本项目的建设占用1.08</w:t>
            </w:r>
            <w:r>
              <w:rPr>
                <w:rFonts w:hint="eastAsia"/>
                <w:color w:val="000000" w:themeColor="text1"/>
                <w:lang w:val="en-US" w:eastAsia="zh-CN"/>
                <w14:textFill>
                  <w14:solidFill>
                    <w14:schemeClr w14:val="tx1"/>
                  </w14:solidFill>
                </w14:textFill>
              </w:rPr>
              <w:t>32</w:t>
            </w:r>
            <w:r>
              <w:rPr>
                <w:rFonts w:hint="eastAsia" w:cs="Times New Roman"/>
                <w:color w:val="000000" w:themeColor="text1"/>
                <w:highlight w:val="none"/>
                <w:lang w:val="en-US" w:eastAsia="zh-CN"/>
                <w14:textFill>
                  <w14:solidFill>
                    <w14:schemeClr w14:val="tx1"/>
                  </w14:solidFill>
                </w14:textFill>
              </w:rPr>
              <w:t>hm</w:t>
            </w:r>
            <w:r>
              <w:rPr>
                <w:rFonts w:hint="eastAsia" w:cs="Times New Roman"/>
                <w:color w:val="000000" w:themeColor="text1"/>
                <w:highlight w:val="none"/>
                <w:vertAlign w:val="superscript"/>
                <w:lang w:val="en-US" w:eastAsia="zh-CN"/>
                <w14:textFill>
                  <w14:solidFill>
                    <w14:schemeClr w14:val="tx1"/>
                  </w14:solidFill>
                </w14:textFill>
              </w:rPr>
              <w:t>2</w:t>
            </w:r>
            <w:r>
              <w:rPr>
                <w:rFonts w:hint="eastAsia" w:cs="Times New Roman"/>
                <w:color w:val="000000" w:themeColor="text1"/>
                <w:highlight w:val="none"/>
                <w:lang w:val="en-US" w:eastAsia="zh-CN"/>
                <w14:textFill>
                  <w14:solidFill>
                    <w14:schemeClr w14:val="tx1"/>
                  </w14:solidFill>
                </w14:textFill>
              </w:rPr>
              <w:t>耕地，对其进行</w:t>
            </w:r>
            <w:r>
              <w:rPr>
                <w:rFonts w:hint="eastAsia"/>
                <w:color w:val="000000" w:themeColor="text1"/>
                <w:highlight w:val="none"/>
                <w:lang w:val="en-US" w:eastAsia="zh-CN"/>
                <w14:textFill>
                  <w14:solidFill>
                    <w14:schemeClr w14:val="tx1"/>
                  </w14:solidFill>
                </w14:textFill>
              </w:rPr>
              <w:t>土地平整、地形地貌恢复，</w:t>
            </w:r>
            <w:r>
              <w:rPr>
                <w:rFonts w:hint="eastAsia"/>
                <w:color w:val="000000" w:themeColor="text1"/>
                <w:lang w:val="en-US" w:eastAsia="zh-CN"/>
                <w14:textFill>
                  <w14:solidFill>
                    <w14:schemeClr w14:val="tx1"/>
                  </w14:solidFill>
                </w14:textFill>
              </w:rPr>
              <w:t>涉及农田的区域恢复为农田，</w:t>
            </w:r>
            <w:r>
              <w:rPr>
                <w:rFonts w:hint="eastAsia" w:cs="Times New Roman"/>
                <w:color w:val="000000" w:themeColor="text1"/>
                <w:highlight w:val="none"/>
                <w:lang w:val="en-US" w:eastAsia="zh-CN"/>
                <w14:textFill>
                  <w14:solidFill>
                    <w14:schemeClr w14:val="tx1"/>
                  </w14:solidFill>
                </w14:textFill>
              </w:rPr>
              <w:t>有助于发展现代农业，增加农民收入。因此</w:t>
            </w:r>
            <w:r>
              <w:rPr>
                <w:rFonts w:hint="eastAsia" w:cs="Times New Roman"/>
                <w:b w:val="0"/>
                <w:bCs w:val="0"/>
                <w:snapToGrid w:val="0"/>
                <w:color w:val="000000" w:themeColor="text1"/>
                <w:kern w:val="0"/>
                <w:sz w:val="24"/>
                <w:szCs w:val="22"/>
                <w:highlight w:val="none"/>
                <w14:textFill>
                  <w14:solidFill>
                    <w14:schemeClr w14:val="tx1"/>
                  </w14:solidFill>
                </w14:textFill>
              </w:rPr>
              <w:t>项目的功能定位符合</w:t>
            </w:r>
            <w:r>
              <w:rPr>
                <w:rFonts w:hint="default" w:cs="Times New Roman"/>
                <w:color w:val="000000" w:themeColor="text1"/>
                <w:highlight w:val="none"/>
                <w:lang w:val="en-US" w:eastAsia="zh-CN"/>
                <w14:textFill>
                  <w14:solidFill>
                    <w14:schemeClr w14:val="tx1"/>
                  </w14:solidFill>
                </w14:textFill>
              </w:rPr>
              <w:t>国家农产品主产区</w:t>
            </w:r>
            <w:r>
              <w:rPr>
                <w:rFonts w:hint="eastAsia" w:cs="Times New Roman"/>
                <w:color w:val="000000" w:themeColor="text1"/>
                <w:highlight w:val="none"/>
                <w:lang w:val="en-US" w:eastAsia="zh-CN"/>
                <w14:textFill>
                  <w14:solidFill>
                    <w14:schemeClr w14:val="tx1"/>
                  </w14:solidFill>
                </w14:textFill>
              </w:rPr>
              <w:t>要求。</w:t>
            </w:r>
          </w:p>
          <w:p w14:paraId="4D972A91">
            <w:pPr>
              <w:keepNext w:val="0"/>
              <w:keepLines w:val="0"/>
              <w:suppressLineNumbers w:val="0"/>
              <w:bidi w:val="0"/>
              <w:spacing w:before="0" w:beforeAutospacing="0" w:after="0" w:afterAutospacing="0"/>
              <w:ind w:left="0" w:right="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省级重点生态功能区要求为：限制开发生态区域以修复生态、保护环境、提供生态产品为首要任务，增强水源涵养、水土保持、防风固沙、维护湿地生态等功能，提高生态产品供给的能力，因地制宜地发展资源环境可承载的适宜产业，引导超载人口逐步有序转移。本项目通过高边坡治理工程、地形地貌恢复工程、标识牌及卡口设立等工程措施对项目区</w:t>
            </w:r>
            <w:r>
              <w:rPr>
                <w:rFonts w:hint="eastAsia" w:cs="Times New Roman"/>
                <w:color w:val="000000" w:themeColor="text1"/>
                <w:sz w:val="24"/>
                <w:lang w:eastAsia="zh-CN"/>
                <w14:textFill>
                  <w14:solidFill>
                    <w14:schemeClr w14:val="tx1"/>
                  </w14:solidFill>
                </w14:textFill>
              </w:rPr>
              <w:t>历史遗留废弃矿山</w:t>
            </w:r>
            <w:r>
              <w:rPr>
                <w:rFonts w:hint="eastAsia" w:cs="Times New Roman"/>
                <w:color w:val="000000" w:themeColor="text1"/>
                <w:sz w:val="24"/>
                <w:lang w:val="en-US" w:eastAsia="zh-CN"/>
                <w14:textFill>
                  <w14:solidFill>
                    <w14:schemeClr w14:val="tx1"/>
                  </w14:solidFill>
                </w14:textFill>
              </w:rPr>
              <w:t>进行</w:t>
            </w:r>
            <w:r>
              <w:rPr>
                <w:rFonts w:hint="eastAsia" w:cs="Times New Roman"/>
                <w:color w:val="000000" w:themeColor="text1"/>
                <w:sz w:val="24"/>
                <w:lang w:eastAsia="zh-CN"/>
                <w14:textFill>
                  <w14:solidFill>
                    <w14:schemeClr w14:val="tx1"/>
                  </w14:solidFill>
                </w14:textFill>
              </w:rPr>
              <w:t>恢复治理，</w:t>
            </w:r>
            <w:r>
              <w:rPr>
                <w:rFonts w:hint="eastAsia" w:cs="Times New Roman"/>
                <w:color w:val="000000" w:themeColor="text1"/>
                <w:sz w:val="24"/>
                <w:lang w:val="en-US" w:eastAsia="zh-CN"/>
                <w14:textFill>
                  <w14:solidFill>
                    <w14:schemeClr w14:val="tx1"/>
                  </w14:solidFill>
                </w14:textFill>
              </w:rPr>
              <w:t>符合</w:t>
            </w:r>
            <w:r>
              <w:rPr>
                <w:rFonts w:hint="eastAsia" w:cs="Times New Roman"/>
                <w:color w:val="000000" w:themeColor="text1"/>
                <w:lang w:val="en-US" w:eastAsia="zh-CN"/>
                <w14:textFill>
                  <w14:solidFill>
                    <w14:schemeClr w14:val="tx1"/>
                  </w14:solidFill>
                </w14:textFill>
              </w:rPr>
              <w:t>修复生态的主要任务。</w:t>
            </w:r>
          </w:p>
          <w:p w14:paraId="0868384A">
            <w:pPr>
              <w:keepNext w:val="0"/>
              <w:keepLines w:val="0"/>
              <w:suppressLineNumbers w:val="0"/>
              <w:spacing w:before="0" w:beforeAutospacing="0" w:after="0" w:afterAutospacing="0"/>
              <w:ind w:left="0" w:right="0" w:firstLine="454"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sz w:val="24"/>
                <w14:textFill>
                  <w14:solidFill>
                    <w14:schemeClr w14:val="tx1"/>
                  </w14:solidFill>
                </w14:textFill>
              </w:rPr>
              <w:t>本项目主要</w:t>
            </w:r>
            <w:r>
              <w:rPr>
                <w:rFonts w:hint="eastAsia" w:cs="Times New Roman"/>
                <w:color w:val="000000" w:themeColor="text1"/>
                <w:sz w:val="24"/>
                <w:lang w:val="en-US" w:eastAsia="zh-CN"/>
                <w14:textFill>
                  <w14:solidFill>
                    <w14:schemeClr w14:val="tx1"/>
                  </w14:solidFill>
                </w14:textFill>
              </w:rPr>
              <w:t>通过边坡削坡治理工程、地形地貌恢复工程、基础设施配置等生态修复措施</w:t>
            </w:r>
            <w:r>
              <w:rPr>
                <w:rFonts w:hint="eastAsia" w:cs="Times New Roman"/>
                <w:color w:val="000000" w:themeColor="text1"/>
                <w:sz w:val="24"/>
                <w14:textFill>
                  <w14:solidFill>
                    <w14:schemeClr w14:val="tx1"/>
                  </w14:solidFill>
                </w14:textFill>
              </w:rPr>
              <w:t>对历史遗留废弃矿山进行生态修复治理</w:t>
            </w:r>
            <w:r>
              <w:rPr>
                <w:rFonts w:hint="default" w:cs="Times New Roman"/>
                <w:color w:val="000000" w:themeColor="text1"/>
                <w:sz w:val="24"/>
                <w14:textFill>
                  <w14:solidFill>
                    <w14:schemeClr w14:val="tx1"/>
                  </w14:solidFill>
                </w14:textFill>
              </w:rPr>
              <w:t>，</w:t>
            </w:r>
            <w:r>
              <w:rPr>
                <w:rFonts w:ascii="宋体" w:hAnsi="宋体" w:eastAsia="宋体" w:cs="宋体"/>
                <w:color w:val="000000" w:themeColor="text1"/>
                <w:sz w:val="24"/>
                <w:szCs w:val="24"/>
                <w14:textFill>
                  <w14:solidFill>
                    <w14:schemeClr w14:val="tx1"/>
                  </w14:solidFill>
                </w14:textFill>
              </w:rPr>
              <w:t>符合《宁夏回族自治区主体功能区规划》要求</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本项目与宁夏主体功能区规划图位置关系图见附图3-1。</w:t>
            </w:r>
          </w:p>
          <w:p w14:paraId="149460F7">
            <w:pPr>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2 \* GB2 \* MERGEFORMAT </w:instrText>
            </w:r>
            <w:r>
              <w:rPr>
                <w:rFonts w:hint="default"/>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⑵</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生态功能区划</w:t>
            </w:r>
          </w:p>
          <w:p w14:paraId="4C3BF47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根据《宁夏生态功能区划》（</w:t>
            </w:r>
            <w:r>
              <w:rPr>
                <w:rFonts w:hint="default"/>
                <w:color w:val="000000" w:themeColor="text1"/>
                <w:lang w:val="en-US" w:eastAsia="zh-CN"/>
                <w14:textFill>
                  <w14:solidFill>
                    <w14:schemeClr w14:val="tx1"/>
                  </w14:solidFill>
                </w14:textFill>
              </w:rPr>
              <w:t>2003.12</w:t>
            </w:r>
            <w:r>
              <w:rPr>
                <w:rFonts w:hint="eastAsia"/>
                <w:color w:val="000000" w:themeColor="text1"/>
                <w:lang w:val="en-US" w:eastAsia="zh-CN"/>
                <w14:textFill>
                  <w14:solidFill>
                    <w14:schemeClr w14:val="tx1"/>
                  </w14:solidFill>
                </w14:textFill>
              </w:rPr>
              <w:t>），宁夏生态功能区划共划分</w:t>
            </w:r>
            <w:r>
              <w:rPr>
                <w:rFonts w:hint="default"/>
                <w:color w:val="000000" w:themeColor="text1"/>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个一级区，</w:t>
            </w:r>
            <w:r>
              <w:rPr>
                <w:rFonts w:hint="default"/>
                <w:color w:val="000000" w:themeColor="text1"/>
                <w:lang w:val="en-US" w:eastAsia="zh-CN"/>
                <w14:textFill>
                  <w14:solidFill>
                    <w14:schemeClr w14:val="tx1"/>
                  </w14:solidFill>
                </w14:textFill>
              </w:rPr>
              <w:t>10</w:t>
            </w:r>
            <w:r>
              <w:rPr>
                <w:rFonts w:hint="eastAsia"/>
                <w:color w:val="000000" w:themeColor="text1"/>
                <w:lang w:val="en-US" w:eastAsia="zh-CN"/>
                <w14:textFill>
                  <w14:solidFill>
                    <w14:schemeClr w14:val="tx1"/>
                  </w14:solidFill>
                </w14:textFill>
              </w:rPr>
              <w:t>个二级区，</w:t>
            </w:r>
            <w:r>
              <w:rPr>
                <w:rFonts w:hint="default"/>
                <w:color w:val="000000" w:themeColor="text1"/>
                <w:lang w:val="en-US" w:eastAsia="zh-CN"/>
                <w14:textFill>
                  <w14:solidFill>
                    <w14:schemeClr w14:val="tx1"/>
                  </w14:solidFill>
                </w14:textFill>
              </w:rPr>
              <w:t>37</w:t>
            </w:r>
            <w:r>
              <w:rPr>
                <w:rFonts w:hint="eastAsia"/>
                <w:color w:val="000000" w:themeColor="text1"/>
                <w:lang w:val="en-US" w:eastAsia="zh-CN"/>
                <w14:textFill>
                  <w14:solidFill>
                    <w14:schemeClr w14:val="tx1"/>
                  </w14:solidFill>
                </w14:textFill>
              </w:rPr>
              <w:t>个三级区。本项目位于</w:t>
            </w:r>
            <w:r>
              <w:rPr>
                <w:rFonts w:hint="default"/>
                <w:color w:val="000000" w:themeColor="text1"/>
                <w:lang w:val="en-US" w:eastAsia="zh-CN"/>
                <w14:textFill>
                  <w14:solidFill>
                    <w14:schemeClr w14:val="tx1"/>
                  </w14:solidFill>
                </w14:textFill>
              </w:rPr>
              <w:t>II3-1卫宁北山荒漠半荒漠植被恢复生态功能区、II</w:t>
            </w:r>
            <w:r>
              <w:rPr>
                <w:rFonts w:hint="eastAsia"/>
                <w:color w:val="000000" w:themeColor="text1"/>
                <w:lang w:val="en-US" w:eastAsia="zh-CN"/>
                <w14:textFill>
                  <w14:solidFill>
                    <w14:schemeClr w14:val="tx1"/>
                  </w14:solidFill>
                </w14:textFill>
              </w:rPr>
              <w:t>2-4清水河下游平原、南山台子台地扬黄节灌农田生态功能区、</w:t>
            </w:r>
            <w:r>
              <w:rPr>
                <w:rFonts w:hint="default"/>
                <w:color w:val="000000" w:themeColor="text1"/>
                <w:lang w:val="en-US" w:eastAsia="zh-CN"/>
                <w14:textFill>
                  <w14:solidFill>
                    <w14:schemeClr w14:val="tx1"/>
                  </w14:solidFill>
                </w14:textFill>
              </w:rPr>
              <w:t>II</w:t>
            </w:r>
            <w:r>
              <w:rPr>
                <w:rFonts w:hint="eastAsia"/>
                <w:color w:val="000000" w:themeColor="text1"/>
                <w:lang w:val="en-US" w:eastAsia="zh-CN"/>
                <w14:textFill>
                  <w14:solidFill>
                    <w14:schemeClr w14:val="tx1"/>
                  </w14:solidFill>
                </w14:textFill>
              </w:rPr>
              <w:t>2-5香山低山丘陵荒漠草原保护、中卫山羊保种生态功能区、</w:t>
            </w:r>
            <w:r>
              <w:rPr>
                <w:rFonts w:hint="default"/>
                <w:color w:val="000000" w:themeColor="text1"/>
                <w:lang w:val="en-US" w:eastAsia="zh-CN"/>
                <w14:textFill>
                  <w14:solidFill>
                    <w14:schemeClr w14:val="tx1"/>
                  </w14:solidFill>
                </w14:textFill>
              </w:rPr>
              <w:t>II</w:t>
            </w:r>
            <w:r>
              <w:rPr>
                <w:rFonts w:hint="eastAsia"/>
                <w:color w:val="000000" w:themeColor="text1"/>
                <w:lang w:val="en-US" w:eastAsia="zh-CN"/>
                <w14:textFill>
                  <w14:solidFill>
                    <w14:schemeClr w14:val="tx1"/>
                  </w14:solidFill>
                </w14:textFill>
              </w:rPr>
              <w:t>2-6兴仁、喊叫水盆地旱地退耕还草生态功能区。各功能区特性见表3-1。本项目与宁夏生态功能区图位置关系图见附图3-2。</w:t>
            </w:r>
          </w:p>
          <w:p w14:paraId="5A9C71AA">
            <w:pPr>
              <w:pStyle w:val="6"/>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表3-1  生态功能分区特征表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6660"/>
            </w:tblGrid>
            <w:tr w14:paraId="555CD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7" w:type="dxa"/>
                  <w:tcBorders>
                    <w:tl2br w:val="nil"/>
                    <w:tr2bl w:val="nil"/>
                  </w:tcBorders>
                  <w:vAlign w:val="center"/>
                </w:tcPr>
                <w:p w14:paraId="55891940">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功能区代号</w:t>
                  </w:r>
                </w:p>
                <w:p w14:paraId="732DB93F">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及名称</w:t>
                  </w:r>
                </w:p>
              </w:tc>
              <w:tc>
                <w:tcPr>
                  <w:tcW w:w="6842" w:type="dxa"/>
                  <w:tcBorders>
                    <w:tl2br w:val="nil"/>
                    <w:tr2bl w:val="nil"/>
                  </w:tcBorders>
                  <w:vAlign w:val="center"/>
                </w:tcPr>
                <w:p w14:paraId="697F56B7">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主要生态特点、问题及措施</w:t>
                  </w:r>
                </w:p>
              </w:tc>
            </w:tr>
            <w:tr w14:paraId="72C35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7" w:type="dxa"/>
                  <w:tcBorders>
                    <w:tl2br w:val="nil"/>
                    <w:tr2bl w:val="nil"/>
                  </w:tcBorders>
                  <w:vAlign w:val="center"/>
                </w:tcPr>
                <w:p w14:paraId="7D80ED97">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Ⅱ3-1卫宁北山荒漠半荒漠植被恢复生态功能区</w:t>
                  </w:r>
                </w:p>
              </w:tc>
              <w:tc>
                <w:tcPr>
                  <w:tcW w:w="6842" w:type="dxa"/>
                  <w:tcBorders>
                    <w:tl2br w:val="nil"/>
                    <w:tr2bl w:val="nil"/>
                  </w:tcBorders>
                  <w:vAlign w:val="center"/>
                </w:tcPr>
                <w:p w14:paraId="4231C68A">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区的生态环境敏感问题是土地沙化、水土流失及土地荒漠化。其治理措施是：在卫宁北山地区靠近灌区农田的附近，营造乔、灌、草结合的防风固沙林，控制土地沙化南移，保护灌区农田和村庄。对沙丘实行草方格固沙，就地固定沙丘。对于各大山洪沟应采取生物措施和过程措施相结合，防止山洪破坏。</w:t>
                  </w:r>
                </w:p>
              </w:tc>
            </w:tr>
            <w:tr w14:paraId="6900A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7" w:type="dxa"/>
                  <w:tcBorders>
                    <w:tl2br w:val="nil"/>
                    <w:tr2bl w:val="nil"/>
                  </w:tcBorders>
                  <w:vAlign w:val="center"/>
                </w:tcPr>
                <w:p w14:paraId="7FF4CCF6">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II</w:t>
                  </w:r>
                  <w:r>
                    <w:rPr>
                      <w:rFonts w:hint="eastAsia"/>
                      <w:color w:val="000000" w:themeColor="text1"/>
                      <w:lang w:val="en-US" w:eastAsia="zh-CN"/>
                      <w14:textFill>
                        <w14:solidFill>
                          <w14:schemeClr w14:val="tx1"/>
                        </w14:solidFill>
                      </w14:textFill>
                    </w:rPr>
                    <w:t>2-4清水河下游平原、南山台子台地扬黄节灌农田生态功能区</w:t>
                  </w:r>
                </w:p>
              </w:tc>
              <w:tc>
                <w:tcPr>
                  <w:tcW w:w="6842" w:type="dxa"/>
                  <w:tcBorders>
                    <w:tl2br w:val="nil"/>
                    <w:tr2bl w:val="nil"/>
                  </w:tcBorders>
                  <w:vAlign w:val="center"/>
                </w:tcPr>
                <w:p w14:paraId="13281694">
                  <w:pPr>
                    <w:pStyle w:val="34"/>
                    <w:bidi w:val="0"/>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区渠系密布，千百年来，传统的大水漫灌，加上渠道渗漏，部分渠水补充给地下水，造成亩灌水量过大，因此本区生态环境的首要治理措施就是对灌区渠系和灌溉技术进行节水改造，加强农田基本建设，平田整地，缩小灌面，改大水漫灌、串灌为畦灌，推行节水新技术，降低灌水定额；提高本区农业集约化、规模化水平，完善和健全农田生态系统</w:t>
                  </w:r>
                </w:p>
              </w:tc>
            </w:tr>
            <w:tr w14:paraId="3FAC2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7" w:type="dxa"/>
                  <w:tcBorders>
                    <w:tl2br w:val="nil"/>
                    <w:tr2bl w:val="nil"/>
                  </w:tcBorders>
                  <w:vAlign w:val="center"/>
                </w:tcPr>
                <w:p w14:paraId="7E8B7BAF">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II</w:t>
                  </w:r>
                  <w:r>
                    <w:rPr>
                      <w:rFonts w:hint="eastAsia"/>
                      <w:color w:val="000000" w:themeColor="text1"/>
                      <w:lang w:val="en-US" w:eastAsia="zh-CN"/>
                      <w14:textFill>
                        <w14:solidFill>
                          <w14:schemeClr w14:val="tx1"/>
                        </w14:solidFill>
                      </w14:textFill>
                    </w:rPr>
                    <w:t>2-5香山低山丘陵荒漠草原保护、中卫山羊保种生态功能区</w:t>
                  </w:r>
                </w:p>
              </w:tc>
              <w:tc>
                <w:tcPr>
                  <w:tcW w:w="6842" w:type="dxa"/>
                  <w:tcBorders>
                    <w:tl2br w:val="nil"/>
                    <w:tr2bl w:val="nil"/>
                  </w:tcBorders>
                  <w:vAlign w:val="center"/>
                </w:tcPr>
                <w:p w14:paraId="2E4E8E83">
                  <w:pPr>
                    <w:pStyle w:val="34"/>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香山属中低山地貌，植被为荒漠草原类型，以猫头刺、短花针茅等旱生植物为主，覆盖度只有</w:t>
                  </w:r>
                  <w:r>
                    <w:rPr>
                      <w:color w:val="000000" w:themeColor="text1"/>
                      <w14:textFill>
                        <w14:solidFill>
                          <w14:schemeClr w14:val="tx1"/>
                        </w14:solidFill>
                      </w14:textFill>
                    </w:rPr>
                    <w:t>10~30%</w:t>
                  </w:r>
                  <w:r>
                    <w:rPr>
                      <w:rFonts w:hint="eastAsia"/>
                      <w:color w:val="000000" w:themeColor="text1"/>
                      <w14:textFill>
                        <w14:solidFill>
                          <w14:schemeClr w14:val="tx1"/>
                        </w14:solidFill>
                      </w14:textFill>
                    </w:rPr>
                    <w:t>，香山地区有大面积干旱草场，是中卫山羊的放牧基地，保护好荒漠草原和保护中卫山羊物种资源十分重要。本区的生态敏感问题是草场退化，其治理措施是先禁牧，雨季补种优质牧草，提高草场质量。香山地区三乡的坡耕地应全部退耕种草，建立人工草场，保护和发展中卫山羊的传统优势</w:t>
                  </w:r>
                </w:p>
              </w:tc>
            </w:tr>
            <w:tr w14:paraId="6DC0BA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7" w:type="dxa"/>
                  <w:tcBorders>
                    <w:tl2br w:val="nil"/>
                    <w:tr2bl w:val="nil"/>
                  </w:tcBorders>
                  <w:vAlign w:val="center"/>
                </w:tcPr>
                <w:p w14:paraId="5D20CE0B">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II</w:t>
                  </w:r>
                  <w:r>
                    <w:rPr>
                      <w:rFonts w:hint="eastAsia"/>
                      <w:color w:val="000000" w:themeColor="text1"/>
                      <w:lang w:val="en-US" w:eastAsia="zh-CN"/>
                      <w14:textFill>
                        <w14:solidFill>
                          <w14:schemeClr w14:val="tx1"/>
                        </w14:solidFill>
                      </w14:textFill>
                    </w:rPr>
                    <w:t>2-6兴仁、喊叫水盆地旱地退耕还草生态功能区</w:t>
                  </w:r>
                </w:p>
              </w:tc>
              <w:tc>
                <w:tcPr>
                  <w:tcW w:w="6842" w:type="dxa"/>
                  <w:tcBorders>
                    <w:tl2br w:val="nil"/>
                    <w:tr2bl w:val="nil"/>
                  </w:tcBorders>
                  <w:vAlign w:val="center"/>
                </w:tcPr>
                <w:p w14:paraId="2DBF8AD4">
                  <w:pPr>
                    <w:pStyle w:val="34"/>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本生态功能区除兴仁镇有部分水浇地外，其余均为旱耕地，十年九旱，旱作农业很不稳定。丘陵顶部多为荒漠草原，主要有猫头刺、针茅、红砂等耐旱植物，覆盖度只有</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左右。本区的生态敏感问题是：旱耕地面积大，干旱缺水，作物生长困难，地面光秃，极易引起土地沙化；另外，天然草场退化严重。针对此问题，当务之急是退耕种植耐旱牧草，既增加植被覆盖，减少土地沙化，又解决发展舍养畜牧业的饲草问题，有助于天然草场实行禁牧，实现退耕还草提高荒漠草原系统生态服务功能的目的</w:t>
                  </w:r>
                </w:p>
              </w:tc>
            </w:tr>
          </w:tbl>
          <w:p w14:paraId="75C620AC">
            <w:pPr>
              <w:bidi w:val="0"/>
              <w:rPr>
                <w:rFonts w:hint="eastAsia" w:eastAsia="宋体"/>
                <w:color w:val="000000" w:themeColor="text1"/>
                <w:lang w:val="en-US" w:eastAsia="zh-CN"/>
                <w14:textFill>
                  <w14:solidFill>
                    <w14:schemeClr w14:val="tx1"/>
                  </w14:solidFill>
                </w14:textFill>
              </w:rPr>
            </w:pPr>
            <w:r>
              <w:rPr>
                <w:rFonts w:hint="eastAsia" w:cs="Times New Roman"/>
                <w:color w:val="000000" w:themeColor="text1"/>
                <w:sz w:val="24"/>
                <w14:textFill>
                  <w14:solidFill>
                    <w14:schemeClr w14:val="tx1"/>
                  </w14:solidFill>
                </w14:textFill>
              </w:rPr>
              <w:t>本项目主要</w:t>
            </w:r>
            <w:r>
              <w:rPr>
                <w:rFonts w:hint="eastAsia" w:cs="Times New Roman"/>
                <w:color w:val="000000" w:themeColor="text1"/>
                <w:sz w:val="24"/>
                <w:lang w:val="en-US" w:eastAsia="zh-CN"/>
                <w14:textFill>
                  <w14:solidFill>
                    <w14:schemeClr w14:val="tx1"/>
                  </w14:solidFill>
                </w14:textFill>
              </w:rPr>
              <w:t>通过边坡削坡治理工程、地形地貌恢复工程、基础设施配置等生态修复措施</w:t>
            </w:r>
            <w:r>
              <w:rPr>
                <w:rFonts w:hint="eastAsia" w:cs="Times New Roman"/>
                <w:color w:val="000000" w:themeColor="text1"/>
                <w:sz w:val="24"/>
                <w14:textFill>
                  <w14:solidFill>
                    <w14:schemeClr w14:val="tx1"/>
                  </w14:solidFill>
                </w14:textFill>
              </w:rPr>
              <w:t>对历史遗留废弃矿山进行生态修复治理</w:t>
            </w:r>
            <w:r>
              <w:rPr>
                <w:rFonts w:ascii="宋体" w:hAnsi="宋体" w:eastAsia="宋体" w:cs="宋体"/>
                <w:color w:val="000000" w:themeColor="text1"/>
                <w:sz w:val="24"/>
                <w:szCs w:val="24"/>
                <w14:textFill>
                  <w14:solidFill>
                    <w14:schemeClr w14:val="tx1"/>
                  </w14:solidFill>
                </w14:textFill>
              </w:rPr>
              <w:t>。项目建成后将促进生态环境提升</w:t>
            </w:r>
            <w:r>
              <w:rPr>
                <w:rFonts w:hint="eastAsia" w:ascii="宋体" w:hAnsi="宋体" w:eastAsia="宋体" w:cs="宋体"/>
                <w:color w:val="000000" w:themeColor="text1"/>
                <w:sz w:val="24"/>
                <w:szCs w:val="24"/>
                <w:lang w:eastAsia="zh-CN"/>
                <w14:textFill>
                  <w14:solidFill>
                    <w14:schemeClr w14:val="tx1"/>
                  </w14:solidFill>
                </w14:textFill>
              </w:rPr>
              <w:t>，</w:t>
            </w:r>
            <w:r>
              <w:rPr>
                <w:rFonts w:ascii="宋体" w:hAnsi="宋体" w:eastAsia="宋体" w:cs="宋体"/>
                <w:color w:val="000000" w:themeColor="text1"/>
                <w:sz w:val="24"/>
                <w:szCs w:val="24"/>
                <w14:textFill>
                  <w14:solidFill>
                    <w14:schemeClr w14:val="tx1"/>
                  </w14:solidFill>
                </w14:textFill>
              </w:rPr>
              <w:t>符合《宁夏生态功能区规划》功能区生态保护措施要求</w:t>
            </w:r>
            <w:r>
              <w:rPr>
                <w:rFonts w:hint="eastAsia" w:ascii="宋体" w:hAnsi="宋体" w:eastAsia="宋体" w:cs="宋体"/>
                <w:color w:val="000000" w:themeColor="text1"/>
                <w:sz w:val="24"/>
                <w:szCs w:val="24"/>
                <w:lang w:eastAsia="zh-CN"/>
                <w14:textFill>
                  <w14:solidFill>
                    <w14:schemeClr w14:val="tx1"/>
                  </w14:solidFill>
                </w14:textFill>
              </w:rPr>
              <w:t>。</w:t>
            </w:r>
          </w:p>
          <w:p w14:paraId="15931025">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3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⑶</w:t>
            </w:r>
            <w:r>
              <w:rPr>
                <w:rFonts w:hint="eastAsia"/>
                <w:color w:val="000000" w:themeColor="text1"/>
                <w:lang w:val="en-US" w:eastAsia="zh-CN"/>
                <w14:textFill>
                  <w14:solidFill>
                    <w14:schemeClr w14:val="tx1"/>
                  </w14:solidFill>
                </w14:textFill>
              </w:rPr>
              <w:fldChar w:fldCharType="end"/>
            </w:r>
            <w:r>
              <w:rPr>
                <w:rFonts w:hint="default"/>
                <w:color w:val="000000" w:themeColor="text1"/>
                <w14:textFill>
                  <w14:solidFill>
                    <w14:schemeClr w14:val="tx1"/>
                  </w14:solidFill>
                </w14:textFill>
              </w:rPr>
              <w:t>生态环境</w:t>
            </w:r>
          </w:p>
          <w:p w14:paraId="70A6B275">
            <w:pPr>
              <w:keepNext w:val="0"/>
              <w:keepLines w:val="0"/>
              <w:suppressLineNumbers w:val="0"/>
              <w:spacing w:before="0" w:beforeAutospacing="0" w:after="0" w:afterAutospacing="0"/>
              <w:ind w:left="0" w:right="0" w:firstLine="454" w:firstLineChars="200"/>
              <w:rPr>
                <w:rFonts w:hint="default"/>
                <w:color w:val="000000" w:themeColor="text1"/>
                <w:sz w:val="24"/>
                <w:lang w:bidi="ar"/>
                <w14:textFill>
                  <w14:solidFill>
                    <w14:schemeClr w14:val="tx1"/>
                  </w14:solidFill>
                </w14:textFill>
              </w:rPr>
            </w:pPr>
            <w:r>
              <w:rPr>
                <w:rFonts w:hint="eastAsia" w:ascii="宋体" w:hAnsi="宋体" w:eastAsia="宋体" w:cs="宋体"/>
                <w:color w:val="000000" w:themeColor="text1"/>
                <w:sz w:val="24"/>
                <w:lang w:eastAsia="zh-CN" w:bidi="ar"/>
                <w14:textFill>
                  <w14:solidFill>
                    <w14:schemeClr w14:val="tx1"/>
                  </w14:solidFill>
                </w14:textFill>
              </w:rPr>
              <w:t>①</w:t>
            </w:r>
            <w:r>
              <w:rPr>
                <w:rFonts w:hint="default"/>
                <w:color w:val="000000" w:themeColor="text1"/>
                <w:sz w:val="24"/>
                <w:lang w:bidi="ar"/>
                <w14:textFill>
                  <w14:solidFill>
                    <w14:schemeClr w14:val="tx1"/>
                  </w14:solidFill>
                </w14:textFill>
              </w:rPr>
              <w:t>地形地貌</w:t>
            </w:r>
          </w:p>
          <w:p w14:paraId="21BC963A">
            <w:pPr>
              <w:keepNext w:val="0"/>
              <w:keepLines w:val="0"/>
              <w:widowControl/>
              <w:suppressLineNumbers w:val="0"/>
              <w:spacing w:before="0" w:beforeAutospacing="0" w:after="0" w:afterAutospacing="0"/>
              <w:ind w:left="0" w:right="0"/>
              <w:jc w:val="left"/>
              <w:rPr>
                <w:rFonts w:hint="default"/>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中卫市沙坡头区位于宁夏回族自治区中西部，地处内蒙古高原和黄土高原的过渡带，南、西、北三面环山，黄河由西而东穿过，地势南北两侧低而中间高，海拔高程</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1200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2400m</w:t>
            </w:r>
            <w:r>
              <w:rPr>
                <w:rFonts w:hint="eastAsia" w:ascii="宋体" w:hAnsi="宋体" w:eastAsia="宋体" w:cs="宋体"/>
                <w:color w:val="000000" w:themeColor="text1"/>
                <w:kern w:val="0"/>
                <w:sz w:val="24"/>
                <w:szCs w:val="24"/>
                <w:lang w:val="en-US" w:eastAsia="zh-CN" w:bidi="ar"/>
                <w14:textFill>
                  <w14:solidFill>
                    <w14:schemeClr w14:val="tx1"/>
                  </w14:solidFill>
                </w14:textFill>
              </w:rPr>
              <w:t>。地貌可分为中山、低山丘陵、沙地、平原和黄土丘陵五种类型，其中平原又可分为洪积倾斜平原和冲积平原两个亚类，项目区主要为沙地、低山丘陵、冲积平原。</w:t>
            </w:r>
          </w:p>
          <w:p w14:paraId="627C18EC">
            <w:pPr>
              <w:keepNext w:val="0"/>
              <w:keepLines w:val="0"/>
              <w:suppressLineNumbers w:val="0"/>
              <w:bidi w:val="0"/>
              <w:spacing w:before="0" w:beforeAutospacing="0" w:after="0" w:afterAutospacing="0"/>
              <w:ind w:left="0" w:right="0"/>
              <w:rPr>
                <w:rFonts w:hint="eastAsia"/>
                <w:color w:val="000000" w:themeColor="text1"/>
                <w:sz w:val="24"/>
                <w:lang w:bidi="ar"/>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②</w:t>
            </w:r>
            <w:r>
              <w:rPr>
                <w:rFonts w:hint="eastAsia"/>
                <w:color w:val="000000" w:themeColor="text1"/>
                <w:sz w:val="24"/>
                <w:lang w:bidi="ar"/>
                <w14:textFill>
                  <w14:solidFill>
                    <w14:schemeClr w14:val="tx1"/>
                  </w14:solidFill>
                </w14:textFill>
              </w:rPr>
              <w:t>气象条件</w:t>
            </w:r>
          </w:p>
          <w:p w14:paraId="16EEE213">
            <w:pPr>
              <w:keepNext w:val="0"/>
              <w:keepLines w:val="0"/>
              <w:suppressLineNumbers w:val="0"/>
              <w:spacing w:before="0" w:beforeAutospacing="0" w:after="0" w:afterAutospacing="0"/>
              <w:ind w:left="0" w:right="0" w:firstLine="454" w:firstLineChars="200"/>
              <w:rPr>
                <w:rFonts w:hint="default"/>
                <w:color w:val="000000" w:themeColor="text1"/>
                <w:sz w:val="24"/>
                <w:lang w:bidi="ar"/>
                <w14:textFill>
                  <w14:solidFill>
                    <w14:schemeClr w14:val="tx1"/>
                  </w14:solidFill>
                </w14:textFill>
              </w:rPr>
            </w:pPr>
            <w:r>
              <w:rPr>
                <w:rFonts w:hint="default"/>
                <w:color w:val="000000" w:themeColor="text1"/>
                <w:sz w:val="24"/>
                <w:lang w:bidi="ar"/>
                <w14:textFill>
                  <w14:solidFill>
                    <w14:schemeClr w14:val="tx1"/>
                  </w14:solidFill>
                </w14:textFill>
              </w:rPr>
              <w:t>沙坡头区深居内陆，远离海洋，处于温带干旱气候区，具有典型的大陆性季风气候和沙漠气候的特点。年均降水量180-367mm，属典型的中温带大陆性季风气候。春季寒冷干燥，风沙猛烈，夏季干旱炎热，昼夜温差大，秋季微寒，温度适中冬冷。年平均气温8.8℃，年降水量179.6</w:t>
            </w:r>
            <w:r>
              <w:rPr>
                <w:rFonts w:hint="eastAsia"/>
                <w:color w:val="000000" w:themeColor="text1"/>
                <w:sz w:val="24"/>
                <w:lang w:bidi="ar"/>
                <w14:textFill>
                  <w14:solidFill>
                    <w14:schemeClr w14:val="tx1"/>
                  </w14:solidFill>
                </w14:textFill>
              </w:rPr>
              <w:t>mm</w:t>
            </w:r>
            <w:r>
              <w:rPr>
                <w:rFonts w:hint="default"/>
                <w:color w:val="000000" w:themeColor="text1"/>
                <w:sz w:val="24"/>
                <w:lang w:bidi="ar"/>
                <w14:textFill>
                  <w14:solidFill>
                    <w14:schemeClr w14:val="tx1"/>
                  </w14:solidFill>
                </w14:textFill>
              </w:rPr>
              <w:t>，年蒸发量为1829.6毫</w:t>
            </w:r>
            <w:r>
              <w:rPr>
                <w:rFonts w:hint="eastAsia"/>
                <w:color w:val="000000" w:themeColor="text1"/>
                <w:sz w:val="24"/>
                <w:lang w:bidi="ar"/>
                <w14:textFill>
                  <w14:solidFill>
                    <w14:schemeClr w14:val="tx1"/>
                  </w14:solidFill>
                </w14:textFill>
              </w:rPr>
              <w:t>m</w:t>
            </w:r>
            <w:r>
              <w:rPr>
                <w:rFonts w:hint="default"/>
                <w:color w:val="000000" w:themeColor="text1"/>
                <w:sz w:val="24"/>
                <w:lang w:bidi="ar"/>
                <w14:textFill>
                  <w14:solidFill>
                    <w14:schemeClr w14:val="tx1"/>
                  </w14:solidFill>
                </w14:textFill>
              </w:rPr>
              <w:t>，为降水量的10.2倍。降水量主要集中在6~8月，占全年降水量的60%。全年无霜期平均167天，全年日照时数2870小时。</w:t>
            </w:r>
          </w:p>
          <w:p w14:paraId="62701FF6">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③</w:t>
            </w:r>
            <w:r>
              <w:rPr>
                <w:rFonts w:hint="eastAsia"/>
                <w:color w:val="000000" w:themeColor="text1"/>
                <w:sz w:val="24"/>
                <w:lang w:bidi="ar"/>
                <w14:textFill>
                  <w14:solidFill>
                    <w14:schemeClr w14:val="tx1"/>
                  </w14:solidFill>
                </w14:textFill>
              </w:rPr>
              <w:t>植被类型</w:t>
            </w:r>
          </w:p>
          <w:p w14:paraId="144AB06F">
            <w:pPr>
              <w:keepNext w:val="0"/>
              <w:keepLines w:val="0"/>
              <w:widowControl/>
              <w:suppressLineNumbers w:val="0"/>
              <w:spacing w:before="0" w:beforeAutospacing="0" w:after="0" w:afterAutospacing="0"/>
              <w:ind w:left="0" w:right="0"/>
              <w:jc w:val="left"/>
              <w:rPr>
                <w:rFonts w:hint="eastAsia"/>
                <w:color w:val="000000" w:themeColor="text1"/>
                <w:sz w:val="24"/>
                <w:lang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项目区属温带荒漠草原区，以多年生草本、半灌木为主，种群少结构简单，森林资源缺乏。植被主要有油蒿、白蒿、短花针茅、蓍状亚菊杂类草群落、黑沙蓬群落等荒漠草原植被。柠条、沙柳、油蒿、短花针茅、荒漠锦鸡儿等是本区代表性的植物</w:t>
            </w:r>
            <w:r>
              <w:rPr>
                <w:rFonts w:hint="eastAsia"/>
                <w:color w:val="000000" w:themeColor="text1"/>
                <w:sz w:val="24"/>
                <w:lang w:eastAsia="zh-CN" w:bidi="ar"/>
                <w14:textFill>
                  <w14:solidFill>
                    <w14:schemeClr w14:val="tx1"/>
                  </w14:solidFill>
                </w14:textFill>
              </w:rPr>
              <w:t>。</w:t>
            </w:r>
          </w:p>
          <w:tbl>
            <w:tblPr>
              <w:tblStyle w:val="2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16"/>
              <w:gridCol w:w="4217"/>
            </w:tblGrid>
            <w:tr w14:paraId="02B66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16" w:type="dxa"/>
                  <w:noWrap w:val="0"/>
                  <w:vAlign w:val="top"/>
                </w:tcPr>
                <w:p w14:paraId="312ADB20">
                  <w:pPr>
                    <w:keepNext w:val="0"/>
                    <w:keepLines w:val="0"/>
                    <w:widowControl/>
                    <w:suppressLineNumbers w:val="0"/>
                    <w:spacing w:before="0" w:beforeAutospacing="0" w:after="0" w:afterAutospacing="0"/>
                    <w:ind w:left="0" w:leftChars="0" w:right="0" w:firstLine="0" w:firstLineChars="0"/>
                    <w:jc w:val="both"/>
                    <w:rPr>
                      <w:rFonts w:hint="default" w:eastAsia="黑体"/>
                      <w:color w:val="000000" w:themeColor="text1"/>
                      <w:kern w:val="0"/>
                      <w:sz w:val="24"/>
                      <w:szCs w:val="20"/>
                      <w:vertAlign w:val="baseline"/>
                      <w14:textFill>
                        <w14:solidFill>
                          <w14:schemeClr w14:val="tx1"/>
                        </w14:solidFill>
                      </w14:textFill>
                    </w:rPr>
                  </w:pPr>
                  <w:r>
                    <w:rPr>
                      <w:rFonts w:hint="default" w:eastAsia="黑体"/>
                      <w:color w:val="000000" w:themeColor="text1"/>
                      <w:kern w:val="0"/>
                      <w:sz w:val="24"/>
                      <w:szCs w:val="20"/>
                      <w14:textFill>
                        <w14:solidFill>
                          <w14:schemeClr w14:val="tx1"/>
                        </w14:solidFill>
                      </w14:textFill>
                    </w:rPr>
                    <w:drawing>
                      <wp:inline distT="0" distB="0" distL="114300" distR="114300">
                        <wp:extent cx="2700020" cy="2032635"/>
                        <wp:effectExtent l="0" t="0" r="5080" b="5715"/>
                        <wp:docPr id="1" name="图片 63" descr="42c42483d9a9c2c45a27de04b93c8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3" descr="42c42483d9a9c2c45a27de04b93c8ad"/>
                                <pic:cNvPicPr>
                                  <a:picLocks noChangeAspect="1"/>
                                </pic:cNvPicPr>
                              </pic:nvPicPr>
                              <pic:blipFill>
                                <a:blip r:embed="rId14"/>
                                <a:stretch>
                                  <a:fillRect/>
                                </a:stretch>
                              </pic:blipFill>
                              <pic:spPr>
                                <a:xfrm>
                                  <a:off x="0" y="0"/>
                                  <a:ext cx="2700020" cy="2032635"/>
                                </a:xfrm>
                                <a:prstGeom prst="rect">
                                  <a:avLst/>
                                </a:prstGeom>
                                <a:noFill/>
                                <a:ln>
                                  <a:noFill/>
                                </a:ln>
                              </pic:spPr>
                            </pic:pic>
                          </a:graphicData>
                        </a:graphic>
                      </wp:inline>
                    </w:drawing>
                  </w:r>
                </w:p>
              </w:tc>
              <w:tc>
                <w:tcPr>
                  <w:tcW w:w="4217" w:type="dxa"/>
                  <w:noWrap w:val="0"/>
                  <w:vAlign w:val="top"/>
                </w:tcPr>
                <w:p w14:paraId="01EBB559">
                  <w:pPr>
                    <w:keepNext w:val="0"/>
                    <w:keepLines w:val="0"/>
                    <w:widowControl/>
                    <w:suppressLineNumbers w:val="0"/>
                    <w:spacing w:before="0" w:beforeAutospacing="0" w:after="0" w:afterAutospacing="0"/>
                    <w:ind w:left="0" w:leftChars="0" w:right="0" w:firstLine="0" w:firstLineChars="0"/>
                    <w:jc w:val="left"/>
                    <w:rPr>
                      <w:rFonts w:hint="default" w:eastAsia="黑体"/>
                      <w:color w:val="000000" w:themeColor="text1"/>
                      <w:kern w:val="0"/>
                      <w:sz w:val="24"/>
                      <w:szCs w:val="20"/>
                      <w:vertAlign w:val="baseline"/>
                      <w14:textFill>
                        <w14:solidFill>
                          <w14:schemeClr w14:val="tx1"/>
                        </w14:solidFill>
                      </w14:textFill>
                    </w:rPr>
                  </w:pPr>
                  <w:r>
                    <w:rPr>
                      <w:rFonts w:hint="default" w:eastAsia="黑体"/>
                      <w:color w:val="000000" w:themeColor="text1"/>
                      <w:kern w:val="0"/>
                      <w:sz w:val="24"/>
                      <w:szCs w:val="20"/>
                      <w14:textFill>
                        <w14:solidFill>
                          <w14:schemeClr w14:val="tx1"/>
                        </w14:solidFill>
                      </w14:textFill>
                    </w:rPr>
                    <w:drawing>
                      <wp:inline distT="0" distB="0" distL="114300" distR="114300">
                        <wp:extent cx="2700020" cy="2032635"/>
                        <wp:effectExtent l="0" t="0" r="5080" b="5715"/>
                        <wp:docPr id="2" name="图片 62" descr="1c23fb1fa709f7388c05faeae8aa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2" descr="1c23fb1fa709f7388c05faeae8aaba8"/>
                                <pic:cNvPicPr>
                                  <a:picLocks noChangeAspect="1"/>
                                </pic:cNvPicPr>
                              </pic:nvPicPr>
                              <pic:blipFill>
                                <a:blip r:embed="rId15"/>
                                <a:stretch>
                                  <a:fillRect/>
                                </a:stretch>
                              </pic:blipFill>
                              <pic:spPr>
                                <a:xfrm>
                                  <a:off x="0" y="0"/>
                                  <a:ext cx="2700020" cy="2032635"/>
                                </a:xfrm>
                                <a:prstGeom prst="rect">
                                  <a:avLst/>
                                </a:prstGeom>
                                <a:noFill/>
                                <a:ln>
                                  <a:noFill/>
                                </a:ln>
                              </pic:spPr>
                            </pic:pic>
                          </a:graphicData>
                        </a:graphic>
                      </wp:inline>
                    </w:drawing>
                  </w:r>
                </w:p>
              </w:tc>
            </w:tr>
          </w:tbl>
          <w:p w14:paraId="07814B12">
            <w:pPr>
              <w:pStyle w:val="3"/>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图3-</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 xml:space="preserve"> </w:t>
            </w:r>
            <w:r>
              <w:rPr>
                <w:rFonts w:hint="default"/>
                <w:color w:val="000000" w:themeColor="text1"/>
                <w14:textFill>
                  <w14:solidFill>
                    <w14:schemeClr w14:val="tx1"/>
                  </w14:solidFill>
                </w14:textFill>
              </w:rPr>
              <w:t xml:space="preserve"> 矿区周边植被</w:t>
            </w:r>
          </w:p>
          <w:p w14:paraId="69E8DD0C">
            <w:pPr>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野生动物分布状况</w:t>
            </w:r>
          </w:p>
          <w:p w14:paraId="309B9390">
            <w:pPr>
              <w:keepNext w:val="0"/>
              <w:keepLines w:val="0"/>
              <w:widowControl/>
              <w:suppressLineNumbers w:val="0"/>
              <w:spacing w:before="0" w:beforeAutospacing="0" w:after="0" w:afterAutospacing="0"/>
              <w:ind w:left="0" w:right="0" w:firstLine="454" w:firstLineChars="200"/>
              <w:jc w:val="left"/>
              <w:rPr>
                <w:rFonts w:hint="eastAsia"/>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本项目所在区域为中卫市沙坡头区</w:t>
            </w:r>
            <w:r>
              <w:rPr>
                <w:rFonts w:hint="eastAsia"/>
                <w:color w:val="000000" w:themeColor="text1"/>
                <w:kern w:val="0"/>
                <w:sz w:val="24"/>
                <w:lang w:val="en-US" w:eastAsia="zh-CN"/>
                <w14:textFill>
                  <w14:solidFill>
                    <w14:schemeClr w14:val="tx1"/>
                  </w14:solidFill>
                </w14:textFill>
              </w:rPr>
              <w:t>东园镇、迎水桥镇、永康镇、常乐镇、兴仁镇</w:t>
            </w:r>
            <w:r>
              <w:rPr>
                <w:rFonts w:hint="eastAsia"/>
                <w:color w:val="000000" w:themeColor="text1"/>
                <w:kern w:val="0"/>
                <w:sz w:val="24"/>
                <w14:textFill>
                  <w14:solidFill>
                    <w14:schemeClr w14:val="tx1"/>
                  </w14:solidFill>
                </w14:textFill>
              </w:rPr>
              <w:t>，野生动物主要为田鼠、黄鼠、长爪沙鼠等，无重点保护动物种分布。该区域内鸟类主要为麻雀等，无珍惜濒危鸟类分布。</w:t>
            </w:r>
          </w:p>
          <w:p w14:paraId="2961C816">
            <w:pPr>
              <w:keepNext w:val="0"/>
              <w:keepLines w:val="0"/>
              <w:suppressLineNumbers w:val="0"/>
              <w:bidi w:val="0"/>
              <w:spacing w:before="0" w:beforeAutospacing="0" w:after="0" w:afterAutospacing="0"/>
              <w:ind w:left="0" w:right="0"/>
              <w:rPr>
                <w:rFonts w:hint="eastAsia"/>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根据现场勘察，整个评价区内没有发现珍稀、濒危动物物种的栖息地和繁殖地。</w:t>
            </w:r>
          </w:p>
          <w:p w14:paraId="0B87D961">
            <w:pPr>
              <w:bidi w:val="0"/>
              <w:rPr>
                <w:rFonts w:hint="default"/>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⑤</w:t>
            </w:r>
            <w:r>
              <w:rPr>
                <w:rFonts w:hint="default"/>
                <w:color w:val="000000" w:themeColor="text1"/>
                <w14:textFill>
                  <w14:solidFill>
                    <w14:schemeClr w14:val="tx1"/>
                  </w14:solidFill>
                </w14:textFill>
              </w:rPr>
              <w:t>土地利用类型</w:t>
            </w:r>
          </w:p>
          <w:p w14:paraId="6F64DA9B">
            <w:pPr>
              <w:bidi w:val="0"/>
              <w:ind w:firstLine="1472"/>
              <w:rPr>
                <w:rFonts w:hint="eastAsia" w:ascii="Times New Roman" w:hAnsi="Times New Roman" w:eastAsia="宋体" w:cs="Times New Roman"/>
                <w:color w:val="000000" w:themeColor="text1"/>
                <w:lang w:val="en-US" w:eastAsia="zh-CN"/>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根据中卫市沙坡头区自然资源局提供的202</w:t>
            </w:r>
            <w:r>
              <w:rPr>
                <w:rFonts w:hint="eastAsia" w:cs="Times New Roman"/>
                <w:color w:val="000000" w:themeColor="text1"/>
                <w:lang w:val="en-US" w:eastAsia="zh-CN"/>
                <w14:textFill>
                  <w14:solidFill>
                    <w14:schemeClr w14:val="tx1"/>
                  </w14:solidFill>
                </w14:textFill>
              </w:rPr>
              <w:t>1</w:t>
            </w:r>
            <w:r>
              <w:rPr>
                <w:rFonts w:ascii="Times New Roman" w:hAnsi="Times New Roman" w:eastAsia="宋体" w:cs="Times New Roman"/>
                <w:color w:val="000000" w:themeColor="text1"/>
                <w14:textFill>
                  <w14:solidFill>
                    <w14:schemeClr w14:val="tx1"/>
                  </w14:solidFill>
                </w14:textFill>
              </w:rPr>
              <w:t>年变更调查成果数据，项目区总治理面积为</w:t>
            </w:r>
            <w:r>
              <w:rPr>
                <w:rFonts w:hint="eastAsia" w:ascii="Times New Roman" w:hAnsi="Times New Roman" w:eastAsia="宋体" w:cs="Times New Roman"/>
                <w:color w:val="000000" w:themeColor="text1"/>
                <w:lang w:val="en-US" w:eastAsia="zh-CN"/>
                <w14:textFill>
                  <w14:solidFill>
                    <w14:schemeClr w14:val="tx1"/>
                  </w14:solidFill>
                </w14:textFill>
              </w:rPr>
              <w:t>33.78</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各治理区</w:t>
            </w:r>
            <w:r>
              <w:rPr>
                <w:rFonts w:hint="eastAsia" w:cs="Times New Roman"/>
                <w:color w:val="000000" w:themeColor="text1"/>
                <w:highlight w:val="none"/>
                <w:lang w:val="en-US" w:eastAsia="zh-CN"/>
                <w14:textFill>
                  <w14:solidFill>
                    <w14:schemeClr w14:val="tx1"/>
                  </w14:solidFill>
                </w14:textFill>
              </w:rPr>
              <w:t>占地类型数据</w:t>
            </w:r>
            <w:r>
              <w:rPr>
                <w:rFonts w:hint="eastAsia"/>
                <w:color w:val="000000" w:themeColor="text1"/>
                <w:highlight w:val="none"/>
                <w:lang w:val="en-US" w:eastAsia="zh-CN"/>
                <w14:textFill>
                  <w14:solidFill>
                    <w14:schemeClr w14:val="tx1"/>
                  </w14:solidFill>
                </w14:textFill>
              </w:rPr>
              <w:t>详见表3-2</w:t>
            </w:r>
            <w:r>
              <w:rPr>
                <w:rFonts w:hint="eastAsia" w:cs="Times New Roman"/>
                <w:color w:val="000000" w:themeColor="text1"/>
                <w:lang w:val="en-US" w:eastAsia="zh-CN"/>
                <w14:textFill>
                  <w14:solidFill>
                    <w14:schemeClr w14:val="tx1"/>
                  </w14:solidFill>
                </w14:textFill>
              </w:rPr>
              <w:t>及附图3-3</w:t>
            </w:r>
            <w:r>
              <w:rPr>
                <w:rFonts w:hint="eastAsia" w:ascii="Times New Roman" w:hAnsi="Times New Roman" w:eastAsia="宋体" w:cs="Times New Roman"/>
                <w:color w:val="000000" w:themeColor="text1"/>
                <w:lang w:val="en-US" w:eastAsia="zh-CN"/>
                <w14:textFill>
                  <w14:solidFill>
                    <w14:schemeClr w14:val="tx1"/>
                  </w14:solidFill>
                </w14:textFill>
              </w:rPr>
              <w:t>。</w:t>
            </w:r>
          </w:p>
          <w:p w14:paraId="444D7C9A">
            <w:pPr>
              <w:ind w:left="0" w:leftChars="0" w:firstLine="0" w:firstLineChars="0"/>
              <w:jc w:val="center"/>
              <w:rPr>
                <w:rFonts w:hint="default" w:ascii="Times New Roman" w:eastAsia="黑体" w:cs="Times New Roman"/>
                <w:color w:val="000000" w:themeColor="text1"/>
                <w:sz w:val="24"/>
                <w:szCs w:val="24"/>
                <w:lang w:bidi="ar"/>
                <w14:textFill>
                  <w14:solidFill>
                    <w14:schemeClr w14:val="tx1"/>
                  </w14:solidFill>
                </w14:textFill>
              </w:rPr>
            </w:pPr>
          </w:p>
          <w:p w14:paraId="6EADFA9A">
            <w:pPr>
              <w:ind w:left="0" w:leftChars="0" w:firstLine="0" w:firstLineChars="0"/>
              <w:jc w:val="center"/>
              <w:rPr>
                <w:rFonts w:hint="default" w:ascii="Times New Roman" w:eastAsia="黑体" w:cs="Times New Roman"/>
                <w:color w:val="000000" w:themeColor="text1"/>
                <w:sz w:val="24"/>
                <w:szCs w:val="24"/>
                <w:lang w:bidi="ar"/>
                <w14:textFill>
                  <w14:solidFill>
                    <w14:schemeClr w14:val="tx1"/>
                  </w14:solidFill>
                </w14:textFill>
              </w:rPr>
            </w:pPr>
          </w:p>
          <w:p w14:paraId="054826FC">
            <w:pPr>
              <w:ind w:left="0" w:leftChars="0" w:firstLine="0" w:firstLineChars="0"/>
              <w:jc w:val="center"/>
              <w:rPr>
                <w:rFonts w:hint="default" w:ascii="Times New Roman" w:eastAsia="黑体" w:cs="Times New Roman"/>
                <w:color w:val="000000" w:themeColor="text1"/>
                <w:sz w:val="24"/>
                <w:szCs w:val="24"/>
                <w:lang w:bidi="ar"/>
                <w14:textFill>
                  <w14:solidFill>
                    <w14:schemeClr w14:val="tx1"/>
                  </w14:solidFill>
                </w14:textFill>
              </w:rPr>
            </w:pPr>
          </w:p>
          <w:p w14:paraId="6FB92D1A">
            <w:pPr>
              <w:ind w:left="0" w:leftChars="0" w:firstLine="0" w:firstLineChars="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eastAsia="黑体" w:cs="Times New Roman"/>
                <w:color w:val="000000" w:themeColor="text1"/>
                <w:sz w:val="24"/>
                <w:szCs w:val="24"/>
                <w:lang w:bidi="ar"/>
                <w14:textFill>
                  <w14:solidFill>
                    <w14:schemeClr w14:val="tx1"/>
                  </w14:solidFill>
                </w14:textFill>
              </w:rPr>
              <w:t>表3-</w:t>
            </w:r>
            <w:r>
              <w:rPr>
                <w:rFonts w:hint="eastAsia" w:eastAsia="黑体" w:cs="Times New Roman"/>
                <w:color w:val="000000" w:themeColor="text1"/>
                <w:sz w:val="24"/>
                <w:szCs w:val="24"/>
                <w:lang w:val="en-US" w:eastAsia="zh-CN" w:bidi="ar"/>
                <w14:textFill>
                  <w14:solidFill>
                    <w14:schemeClr w14:val="tx1"/>
                  </w14:solidFill>
                </w14:textFill>
              </w:rPr>
              <w:t>2</w:t>
            </w:r>
            <w:r>
              <w:rPr>
                <w:rFonts w:hint="default" w:ascii="Times New Roman" w:eastAsia="黑体" w:cs="Times New Roman"/>
                <w:color w:val="000000" w:themeColor="text1"/>
                <w:sz w:val="24"/>
                <w:szCs w:val="24"/>
                <w:lang w:bidi="ar"/>
                <w14:textFill>
                  <w14:solidFill>
                    <w14:schemeClr w14:val="tx1"/>
                  </w14:solidFill>
                </w14:textFill>
              </w:rPr>
              <w:t xml:space="preserve">  </w:t>
            </w:r>
            <w:r>
              <w:rPr>
                <w:rFonts w:hint="eastAsia" w:ascii="Times New Roman" w:eastAsia="黑体" w:cs="Times New Roman"/>
                <w:color w:val="000000" w:themeColor="text1"/>
                <w:sz w:val="24"/>
                <w:szCs w:val="24"/>
                <w:lang w:bidi="ar"/>
                <w14:textFill>
                  <w14:solidFill>
                    <w14:schemeClr w14:val="tx1"/>
                  </w14:solidFill>
                </w14:textFill>
              </w:rPr>
              <w:t>项目区土地类型</w:t>
            </w:r>
            <w:r>
              <w:rPr>
                <w:rFonts w:hint="default" w:ascii="Times New Roman" w:eastAsia="黑体" w:cs="Times New Roman"/>
                <w:color w:val="000000" w:themeColor="text1"/>
                <w:sz w:val="24"/>
                <w:szCs w:val="24"/>
                <w:lang w:bidi="ar"/>
                <w14:textFill>
                  <w14:solidFill>
                    <w14:schemeClr w14:val="tx1"/>
                  </w14:solidFill>
                </w14:textFill>
              </w:rPr>
              <w:t>表</w:t>
            </w:r>
            <w:r>
              <w:rPr>
                <w:rFonts w:hint="eastAsia" w:eastAsia="黑体" w:cs="Times New Roman"/>
                <w:color w:val="000000" w:themeColor="text1"/>
                <w:sz w:val="24"/>
                <w:szCs w:val="24"/>
                <w:lang w:val="en-US" w:eastAsia="zh-CN" w:bidi="ar"/>
                <w14:textFill>
                  <w14:solidFill>
                    <w14:schemeClr w14:val="tx1"/>
                  </w14:solidFill>
                </w14:textFill>
              </w:rPr>
              <w:t xml:space="preserve">  单位</w:t>
            </w:r>
            <w:r>
              <w:rPr>
                <w:rFonts w:hint="default" w:cs="Times New Roman"/>
                <w:color w:val="000000" w:themeColor="text1"/>
                <w:highlight w:val="none"/>
                <w14:textFill>
                  <w14:solidFill>
                    <w14:schemeClr w14:val="tx1"/>
                  </w14:solidFill>
                </w14:textFill>
              </w:rPr>
              <w:t>hm</w:t>
            </w:r>
            <w:r>
              <w:rPr>
                <w:rFonts w:hint="default" w:ascii="Times New Roman" w:hAnsi="Times New Roman" w:eastAsia="宋体" w:cs="Times New Roman"/>
                <w:color w:val="000000" w:themeColor="text1"/>
                <w:highlight w:val="none"/>
                <w:vertAlign w:val="superscript"/>
                <w14:textFill>
                  <w14:solidFill>
                    <w14:schemeClr w14:val="tx1"/>
                  </w14:solidFill>
                </w14:textFill>
              </w:rPr>
              <w:t>2</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909"/>
              <w:gridCol w:w="1487"/>
              <w:gridCol w:w="976"/>
              <w:gridCol w:w="978"/>
              <w:gridCol w:w="976"/>
              <w:gridCol w:w="976"/>
              <w:gridCol w:w="978"/>
              <w:gridCol w:w="978"/>
            </w:tblGrid>
            <w:tr w14:paraId="3B029C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restart"/>
                  <w:noWrap w:val="0"/>
                  <w:vAlign w:val="center"/>
                </w:tcPr>
                <w:p w14:paraId="5EED261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治理区编号</w:t>
                  </w:r>
                </w:p>
              </w:tc>
              <w:tc>
                <w:tcPr>
                  <w:tcW w:w="900" w:type="dxa"/>
                  <w:vMerge w:val="restart"/>
                  <w:noWrap w:val="0"/>
                  <w:vAlign w:val="center"/>
                </w:tcPr>
                <w:p w14:paraId="3BC91F2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治理面积</w:t>
                  </w:r>
                </w:p>
              </w:tc>
              <w:tc>
                <w:tcPr>
                  <w:tcW w:w="1183" w:type="dxa"/>
                  <w:gridSpan w:val="2"/>
                  <w:noWrap w:val="0"/>
                  <w:vAlign w:val="center"/>
                </w:tcPr>
                <w:p w14:paraId="44CDB4F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耕地</w:t>
                  </w:r>
                </w:p>
              </w:tc>
              <w:tc>
                <w:tcPr>
                  <w:tcW w:w="591" w:type="dxa"/>
                  <w:noWrap w:val="0"/>
                  <w:vAlign w:val="center"/>
                </w:tcPr>
                <w:p w14:paraId="165E05D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林地</w:t>
                  </w:r>
                </w:p>
              </w:tc>
              <w:tc>
                <w:tcPr>
                  <w:tcW w:w="591" w:type="dxa"/>
                  <w:noWrap w:val="0"/>
                  <w:vAlign w:val="center"/>
                </w:tcPr>
                <w:p w14:paraId="2F36A37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草地</w:t>
                  </w:r>
                </w:p>
              </w:tc>
              <w:tc>
                <w:tcPr>
                  <w:tcW w:w="592" w:type="dxa"/>
                  <w:noWrap w:val="0"/>
                  <w:vAlign w:val="center"/>
                </w:tcPr>
                <w:p w14:paraId="6B5DD4A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交通运输用地</w:t>
                  </w:r>
                </w:p>
              </w:tc>
              <w:tc>
                <w:tcPr>
                  <w:tcW w:w="592" w:type="dxa"/>
                  <w:noWrap w:val="0"/>
                  <w:vAlign w:val="center"/>
                </w:tcPr>
                <w:p w14:paraId="097EDDDF">
                  <w:pPr>
                    <w:keepNext w:val="0"/>
                    <w:keepLines w:val="0"/>
                    <w:widowControl w:val="0"/>
                    <w:suppressLineNumbers w:val="0"/>
                    <w:tabs>
                      <w:tab w:val="left" w:pos="946"/>
                      <w:tab w:val="center" w:pos="1520"/>
                    </w:tabs>
                    <w:bidi w:val="0"/>
                    <w:adjustRightInd w:val="0"/>
                    <w:snapToGrid w:val="0"/>
                    <w:spacing w:before="10" w:beforeLines="10" w:beforeAutospacing="0" w:after="10" w:afterLines="10" w:afterAutospacing="0" w:line="240" w:lineRule="auto"/>
                    <w:ind w:left="0" w:right="0" w:firstLine="0" w:firstLineChars="0"/>
                    <w:jc w:val="left"/>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其他土地</w:t>
                  </w:r>
                </w:p>
              </w:tc>
            </w:tr>
            <w:tr w14:paraId="12C45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continue"/>
                  <w:noWrap w:val="0"/>
                  <w:vAlign w:val="center"/>
                </w:tcPr>
                <w:p w14:paraId="171D97D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900" w:type="dxa"/>
                  <w:vMerge w:val="continue"/>
                  <w:noWrap w:val="0"/>
                  <w:vAlign w:val="center"/>
                </w:tcPr>
                <w:p w14:paraId="10250DF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0532D75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水田</w:t>
                  </w:r>
                </w:p>
              </w:tc>
              <w:tc>
                <w:tcPr>
                  <w:tcW w:w="592" w:type="dxa"/>
                  <w:noWrap w:val="0"/>
                  <w:vAlign w:val="center"/>
                </w:tcPr>
                <w:p w14:paraId="71871CD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旱地</w:t>
                  </w:r>
                </w:p>
              </w:tc>
              <w:tc>
                <w:tcPr>
                  <w:tcW w:w="591" w:type="dxa"/>
                  <w:noWrap w:val="0"/>
                  <w:vAlign w:val="center"/>
                </w:tcPr>
                <w:p w14:paraId="2495C31C">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灌木林地）</w:t>
                  </w:r>
                </w:p>
              </w:tc>
              <w:tc>
                <w:tcPr>
                  <w:tcW w:w="591" w:type="dxa"/>
                  <w:noWrap w:val="0"/>
                  <w:vAlign w:val="center"/>
                </w:tcPr>
                <w:p w14:paraId="4ED187F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天然牧草地</w:t>
                  </w:r>
                </w:p>
              </w:tc>
              <w:tc>
                <w:tcPr>
                  <w:tcW w:w="592" w:type="dxa"/>
                  <w:noWrap w:val="0"/>
                  <w:vAlign w:val="center"/>
                </w:tcPr>
                <w:p w14:paraId="2EA1B84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农村道路</w:t>
                  </w:r>
                </w:p>
              </w:tc>
              <w:tc>
                <w:tcPr>
                  <w:tcW w:w="592" w:type="dxa"/>
                  <w:noWrap w:val="0"/>
                  <w:vAlign w:val="center"/>
                </w:tcPr>
                <w:p w14:paraId="1B67618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裸土地</w:t>
                  </w:r>
                </w:p>
              </w:tc>
            </w:tr>
            <w:tr w14:paraId="5DCA08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1ED99E6E">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DK-01</w:t>
                  </w:r>
                </w:p>
              </w:tc>
              <w:tc>
                <w:tcPr>
                  <w:tcW w:w="900" w:type="dxa"/>
                  <w:noWrap w:val="0"/>
                  <w:vAlign w:val="center"/>
                </w:tcPr>
                <w:p w14:paraId="0E8DB001">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0.84</w:t>
                  </w:r>
                </w:p>
              </w:tc>
              <w:tc>
                <w:tcPr>
                  <w:tcW w:w="591" w:type="dxa"/>
                  <w:noWrap w:val="0"/>
                  <w:vAlign w:val="center"/>
                </w:tcPr>
                <w:p w14:paraId="761E0DE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548A7C9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0AD36B3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679D21A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0.37</w:t>
                  </w:r>
                </w:p>
              </w:tc>
              <w:tc>
                <w:tcPr>
                  <w:tcW w:w="592" w:type="dxa"/>
                  <w:noWrap w:val="0"/>
                  <w:vAlign w:val="center"/>
                </w:tcPr>
                <w:p w14:paraId="42D0A1C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6EA67F2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0.47</w:t>
                  </w:r>
                </w:p>
              </w:tc>
            </w:tr>
            <w:tr w14:paraId="768BF5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1C0D5158">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2</w:t>
                  </w:r>
                </w:p>
              </w:tc>
              <w:tc>
                <w:tcPr>
                  <w:tcW w:w="900" w:type="dxa"/>
                  <w:noWrap w:val="0"/>
                  <w:vAlign w:val="center"/>
                </w:tcPr>
                <w:p w14:paraId="14E65C12">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15.49</w:t>
                  </w:r>
                </w:p>
              </w:tc>
              <w:tc>
                <w:tcPr>
                  <w:tcW w:w="591" w:type="dxa"/>
                  <w:noWrap w:val="0"/>
                  <w:vAlign w:val="center"/>
                </w:tcPr>
                <w:p w14:paraId="586C2D7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109FD8B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70EDB88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2967F0B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15.49</w:t>
                  </w:r>
                </w:p>
              </w:tc>
              <w:tc>
                <w:tcPr>
                  <w:tcW w:w="592" w:type="dxa"/>
                  <w:noWrap w:val="0"/>
                  <w:vAlign w:val="center"/>
                </w:tcPr>
                <w:p w14:paraId="5C0B4D6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5418838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3B62CF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71C06932">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3</w:t>
                  </w:r>
                </w:p>
              </w:tc>
              <w:tc>
                <w:tcPr>
                  <w:tcW w:w="900" w:type="dxa"/>
                  <w:noWrap w:val="0"/>
                  <w:vAlign w:val="center"/>
                </w:tcPr>
                <w:p w14:paraId="2AA34A38">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4.34</w:t>
                  </w:r>
                </w:p>
              </w:tc>
              <w:tc>
                <w:tcPr>
                  <w:tcW w:w="591" w:type="dxa"/>
                  <w:noWrap w:val="0"/>
                  <w:vAlign w:val="center"/>
                </w:tcPr>
                <w:p w14:paraId="39DFE7D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15F37D0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6761267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3BC8ACC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4.16</w:t>
                  </w:r>
                </w:p>
              </w:tc>
              <w:tc>
                <w:tcPr>
                  <w:tcW w:w="592" w:type="dxa"/>
                  <w:noWrap w:val="0"/>
                  <w:vAlign w:val="center"/>
                </w:tcPr>
                <w:p w14:paraId="64C575D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0.18</w:t>
                  </w:r>
                </w:p>
              </w:tc>
              <w:tc>
                <w:tcPr>
                  <w:tcW w:w="592" w:type="dxa"/>
                  <w:noWrap w:val="0"/>
                  <w:vAlign w:val="center"/>
                </w:tcPr>
                <w:p w14:paraId="301FA15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4AD4D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1570C82F">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w:t>
                  </w:r>
                </w:p>
              </w:tc>
              <w:tc>
                <w:tcPr>
                  <w:tcW w:w="900" w:type="dxa"/>
                  <w:noWrap w:val="0"/>
                  <w:vAlign w:val="center"/>
                </w:tcPr>
                <w:p w14:paraId="1781551F">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8.1</w:t>
                  </w:r>
                </w:p>
              </w:tc>
              <w:tc>
                <w:tcPr>
                  <w:tcW w:w="591" w:type="dxa"/>
                  <w:noWrap w:val="0"/>
                  <w:vAlign w:val="center"/>
                </w:tcPr>
                <w:p w14:paraId="67A1AE4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0.33</w:t>
                  </w:r>
                </w:p>
              </w:tc>
              <w:tc>
                <w:tcPr>
                  <w:tcW w:w="592" w:type="dxa"/>
                  <w:noWrap w:val="0"/>
                  <w:vAlign w:val="center"/>
                </w:tcPr>
                <w:p w14:paraId="0BDC9F7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0.4</w:t>
                  </w:r>
                </w:p>
              </w:tc>
              <w:tc>
                <w:tcPr>
                  <w:tcW w:w="591" w:type="dxa"/>
                  <w:noWrap w:val="0"/>
                  <w:vAlign w:val="center"/>
                </w:tcPr>
                <w:p w14:paraId="200FA6B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7303D98D">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7.37</w:t>
                  </w:r>
                </w:p>
              </w:tc>
              <w:tc>
                <w:tcPr>
                  <w:tcW w:w="592" w:type="dxa"/>
                  <w:noWrap w:val="0"/>
                  <w:vAlign w:val="center"/>
                </w:tcPr>
                <w:p w14:paraId="26C28E6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66B1348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26D3A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229CFB1F">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900" w:type="dxa"/>
                  <w:noWrap w:val="0"/>
                  <w:vAlign w:val="center"/>
                </w:tcPr>
                <w:p w14:paraId="77F61C6F">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2.6</w:t>
                  </w:r>
                </w:p>
              </w:tc>
              <w:tc>
                <w:tcPr>
                  <w:tcW w:w="591" w:type="dxa"/>
                  <w:noWrap w:val="0"/>
                  <w:vAlign w:val="center"/>
                </w:tcPr>
                <w:p w14:paraId="050AEBD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w:t>
                  </w:r>
                  <w:r>
                    <w:rPr>
                      <w:rFonts w:hint="eastAsia" w:cs="Times New Roman"/>
                      <w:color w:val="000000" w:themeColor="text1"/>
                      <w:kern w:val="0"/>
                      <w:sz w:val="21"/>
                      <w:szCs w:val="21"/>
                      <w:lang w:val="en-US" w:eastAsia="zh-CN" w:bidi="ar-SA"/>
                      <w14:textFill>
                        <w14:solidFill>
                          <w14:schemeClr w14:val="tx1"/>
                        </w14:solidFill>
                      </w14:textFill>
                    </w:rPr>
                    <w:t>35</w:t>
                  </w:r>
                </w:p>
              </w:tc>
              <w:tc>
                <w:tcPr>
                  <w:tcW w:w="592" w:type="dxa"/>
                  <w:noWrap w:val="0"/>
                  <w:vAlign w:val="center"/>
                </w:tcPr>
                <w:p w14:paraId="7BA32C2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6ADC0C5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4E1666C0">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2.25</w:t>
                  </w:r>
                </w:p>
              </w:tc>
              <w:tc>
                <w:tcPr>
                  <w:tcW w:w="592" w:type="dxa"/>
                  <w:noWrap w:val="0"/>
                  <w:vAlign w:val="center"/>
                </w:tcPr>
                <w:p w14:paraId="06AEAB9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7CF1B1E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53E3F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45DB8BF7">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c>
                <w:tcPr>
                  <w:tcW w:w="900" w:type="dxa"/>
                  <w:noWrap w:val="0"/>
                  <w:vAlign w:val="center"/>
                </w:tcPr>
                <w:p w14:paraId="07F2FA1E">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0.65</w:t>
                  </w:r>
                </w:p>
              </w:tc>
              <w:tc>
                <w:tcPr>
                  <w:tcW w:w="591" w:type="dxa"/>
                  <w:noWrap w:val="0"/>
                  <w:vAlign w:val="center"/>
                </w:tcPr>
                <w:p w14:paraId="306B1431">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1E2A645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511547D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0.3</w:t>
                  </w:r>
                </w:p>
              </w:tc>
              <w:tc>
                <w:tcPr>
                  <w:tcW w:w="591" w:type="dxa"/>
                  <w:noWrap w:val="0"/>
                  <w:vAlign w:val="center"/>
                </w:tcPr>
                <w:p w14:paraId="41B8C04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744D371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2F9266D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0.35</w:t>
                  </w:r>
                </w:p>
              </w:tc>
            </w:tr>
            <w:tr w14:paraId="300CE4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noWrap w:val="0"/>
                  <w:vAlign w:val="center"/>
                </w:tcPr>
                <w:p w14:paraId="6C59FB06">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7</w:t>
                  </w:r>
                </w:p>
              </w:tc>
              <w:tc>
                <w:tcPr>
                  <w:tcW w:w="900" w:type="dxa"/>
                  <w:noWrap w:val="0"/>
                  <w:vAlign w:val="center"/>
                </w:tcPr>
                <w:p w14:paraId="3743151B">
                  <w:pPr>
                    <w:keepNext w:val="0"/>
                    <w:keepLines w:val="0"/>
                    <w:widowControl w:val="0"/>
                    <w:suppressLineNumbers w:val="0"/>
                    <w:bidi w:val="0"/>
                    <w:adjustRightInd w:val="0"/>
                    <w:snapToGrid w:val="0"/>
                    <w:spacing w:before="10" w:beforeLines="10" w:beforeAutospacing="0" w:after="10" w:afterLines="1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1.76</w:t>
                  </w:r>
                </w:p>
              </w:tc>
              <w:tc>
                <w:tcPr>
                  <w:tcW w:w="591" w:type="dxa"/>
                  <w:noWrap w:val="0"/>
                  <w:vAlign w:val="center"/>
                </w:tcPr>
                <w:p w14:paraId="0E0DCC3E">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6780A55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67429748">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1" w:type="dxa"/>
                  <w:noWrap w:val="0"/>
                  <w:vAlign w:val="center"/>
                </w:tcPr>
                <w:p w14:paraId="2DDF94C4">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0.63</w:t>
                  </w:r>
                </w:p>
              </w:tc>
              <w:tc>
                <w:tcPr>
                  <w:tcW w:w="592" w:type="dxa"/>
                  <w:noWrap w:val="0"/>
                  <w:vAlign w:val="center"/>
                </w:tcPr>
                <w:p w14:paraId="4F7D33F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2" w:type="dxa"/>
                  <w:noWrap w:val="0"/>
                  <w:vAlign w:val="center"/>
                </w:tcPr>
                <w:p w14:paraId="1660871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1.13</w:t>
                  </w:r>
                </w:p>
              </w:tc>
            </w:tr>
          </w:tbl>
          <w:p w14:paraId="54CFA944">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2、环境空气质量现状</w:t>
            </w:r>
          </w:p>
          <w:p w14:paraId="3CCF029F">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本项目位于</w:t>
            </w:r>
            <w:r>
              <w:rPr>
                <w:rFonts w:hint="eastAsia"/>
                <w:color w:val="000000" w:themeColor="text1"/>
                <w14:textFill>
                  <w14:solidFill>
                    <w14:schemeClr w14:val="tx1"/>
                  </w14:solidFill>
                </w14:textFill>
              </w:rPr>
              <w:t>中卫市沙坡头区</w:t>
            </w:r>
            <w:r>
              <w:rPr>
                <w:rFonts w:hint="default"/>
                <w:color w:val="000000" w:themeColor="text1"/>
                <w14:textFill>
                  <w14:solidFill>
                    <w14:schemeClr w14:val="tx1"/>
                  </w14:solidFill>
                </w14:textFill>
              </w:rPr>
              <w:t>，项目区域环境空气质量现状数据引用《</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年宁夏回族自治区生态环境状况公报》中</w:t>
            </w:r>
            <w:r>
              <w:rPr>
                <w:rFonts w:hint="eastAsia"/>
                <w:color w:val="000000" w:themeColor="text1"/>
                <w14:textFill>
                  <w14:solidFill>
                    <w14:schemeClr w14:val="tx1"/>
                  </w14:solidFill>
                </w14:textFill>
              </w:rPr>
              <w:t>沙坡头区</w:t>
            </w:r>
            <w:r>
              <w:rPr>
                <w:rFonts w:hint="default"/>
                <w:color w:val="000000" w:themeColor="text1"/>
                <w14:textFill>
                  <w14:solidFill>
                    <w14:schemeClr w14:val="tx1"/>
                  </w14:solidFill>
                </w14:textFill>
              </w:rPr>
              <w:t>环境空气质量监测数据</w:t>
            </w:r>
            <w:r>
              <w:rPr>
                <w:rFonts w:hint="eastAsia"/>
                <w:color w:val="000000" w:themeColor="text1"/>
                <w14:textFill>
                  <w14:solidFill>
                    <w14:schemeClr w14:val="tx1"/>
                  </w14:solidFill>
                </w14:textFill>
              </w:rPr>
              <w:t>（扣除沙尘实况数据）</w:t>
            </w:r>
            <w:r>
              <w:rPr>
                <w:rFonts w:hint="default"/>
                <w:color w:val="000000" w:themeColor="text1"/>
                <w14:textFill>
                  <w14:solidFill>
                    <w14:schemeClr w14:val="tx1"/>
                  </w14:solidFill>
                </w14:textFill>
              </w:rPr>
              <w:t>进行评价。项目所在区域环境空气质量达标情况见表3-</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w:t>
            </w:r>
          </w:p>
          <w:p w14:paraId="4EE921D0">
            <w:pPr>
              <w:pStyle w:val="3"/>
              <w:bidi w:val="0"/>
              <w:rPr>
                <w:rFonts w:hint="default" w:ascii="Times New Roman" w:cs="Times New Roman"/>
                <w:b/>
                <w:bCs/>
                <w:color w:val="000000" w:themeColor="text1"/>
                <w:sz w:val="24"/>
                <w:szCs w:val="24"/>
                <w:lang w:bidi="ar"/>
                <w14:textFill>
                  <w14:solidFill>
                    <w14:schemeClr w14:val="tx1"/>
                  </w14:solidFill>
                </w14:textFill>
              </w:rPr>
            </w:pPr>
            <w:r>
              <w:rPr>
                <w:rFonts w:hint="default" w:ascii="Times New Roman" w:eastAsia="黑体" w:cs="Times New Roman"/>
                <w:color w:val="000000" w:themeColor="text1"/>
                <w:sz w:val="24"/>
                <w:szCs w:val="24"/>
                <w:lang w:bidi="ar"/>
                <w14:textFill>
                  <w14:solidFill>
                    <w14:schemeClr w14:val="tx1"/>
                  </w14:solidFill>
                </w14:textFill>
              </w:rPr>
              <w:t>表3-</w:t>
            </w:r>
            <w:r>
              <w:rPr>
                <w:rFonts w:hint="eastAsia" w:cs="Times New Roman"/>
                <w:color w:val="000000" w:themeColor="text1"/>
                <w:sz w:val="24"/>
                <w:szCs w:val="24"/>
                <w:lang w:val="en-US" w:eastAsia="zh-CN" w:bidi="ar"/>
                <w14:textFill>
                  <w14:solidFill>
                    <w14:schemeClr w14:val="tx1"/>
                  </w14:solidFill>
                </w14:textFill>
              </w:rPr>
              <w:t>3</w:t>
            </w:r>
            <w:r>
              <w:rPr>
                <w:rFonts w:hint="default" w:ascii="Times New Roman" w:eastAsia="黑体" w:cs="Times New Roman"/>
                <w:color w:val="000000" w:themeColor="text1"/>
                <w:sz w:val="24"/>
                <w:szCs w:val="24"/>
                <w:lang w:bidi="ar"/>
                <w14:textFill>
                  <w14:solidFill>
                    <w14:schemeClr w14:val="tx1"/>
                  </w14:solidFill>
                </w14:textFill>
              </w:rPr>
              <w:t xml:space="preserve">  202</w:t>
            </w:r>
            <w:r>
              <w:rPr>
                <w:rFonts w:hint="eastAsia" w:ascii="Times New Roman" w:eastAsia="黑体" w:cs="Times New Roman"/>
                <w:color w:val="000000" w:themeColor="text1"/>
                <w:sz w:val="24"/>
                <w:szCs w:val="24"/>
                <w:lang w:val="en-US" w:eastAsia="zh-CN" w:bidi="ar"/>
                <w14:textFill>
                  <w14:solidFill>
                    <w14:schemeClr w14:val="tx1"/>
                  </w14:solidFill>
                </w14:textFill>
              </w:rPr>
              <w:t>3</w:t>
            </w:r>
            <w:r>
              <w:rPr>
                <w:rFonts w:hint="default" w:ascii="Times New Roman" w:eastAsia="黑体" w:cs="Times New Roman"/>
                <w:color w:val="000000" w:themeColor="text1"/>
                <w:sz w:val="24"/>
                <w:szCs w:val="24"/>
                <w:lang w:bidi="ar"/>
                <w14:textFill>
                  <w14:solidFill>
                    <w14:schemeClr w14:val="tx1"/>
                  </w14:solidFill>
                </w14:textFill>
              </w:rPr>
              <w:t>年</w:t>
            </w:r>
            <w:r>
              <w:rPr>
                <w:rFonts w:hint="eastAsia" w:ascii="Times New Roman" w:eastAsia="黑体" w:cs="Times New Roman"/>
                <w:color w:val="000000" w:themeColor="text1"/>
                <w:sz w:val="24"/>
                <w:szCs w:val="24"/>
                <w:lang w:bidi="ar"/>
                <w14:textFill>
                  <w14:solidFill>
                    <w14:schemeClr w14:val="tx1"/>
                  </w14:solidFill>
                </w14:textFill>
              </w:rPr>
              <w:t>沙坡头区</w:t>
            </w:r>
            <w:r>
              <w:rPr>
                <w:rFonts w:hint="default" w:ascii="Times New Roman" w:eastAsia="黑体" w:cs="Times New Roman"/>
                <w:color w:val="000000" w:themeColor="text1"/>
                <w:sz w:val="24"/>
                <w:szCs w:val="24"/>
                <w:lang w:bidi="ar"/>
                <w14:textFill>
                  <w14:solidFill>
                    <w14:schemeClr w14:val="tx1"/>
                  </w14:solidFill>
                </w14:textFill>
              </w:rPr>
              <w:t>环境空气质量监测结果统计表  单位：ug/m</w:t>
            </w:r>
            <w:r>
              <w:rPr>
                <w:rFonts w:hint="default" w:ascii="Times New Roman" w:eastAsia="黑体" w:cs="Times New Roman"/>
                <w:color w:val="000000" w:themeColor="text1"/>
                <w:sz w:val="24"/>
                <w:szCs w:val="24"/>
                <w:vertAlign w:val="superscript"/>
                <w:lang w:bidi="ar"/>
                <w14:textFill>
                  <w14:solidFill>
                    <w14:schemeClr w14:val="tx1"/>
                  </w14:solidFill>
                </w14:textFill>
              </w:rPr>
              <w:t>3</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23"/>
              <w:gridCol w:w="2521"/>
              <w:gridCol w:w="1315"/>
              <w:gridCol w:w="1315"/>
              <w:gridCol w:w="1114"/>
              <w:gridCol w:w="770"/>
            </w:tblGrid>
            <w:tr w14:paraId="1D8CF0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63D32C7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14:textFill>
                        <w14:solidFill>
                          <w14:schemeClr w14:val="tx1"/>
                        </w14:solidFill>
                      </w14:textFill>
                    </w:rPr>
                    <w:t>污染物</w:t>
                  </w:r>
                </w:p>
              </w:tc>
              <w:tc>
                <w:tcPr>
                  <w:tcW w:w="2560" w:type="dxa"/>
                  <w:noWrap w:val="0"/>
                  <w:vAlign w:val="center"/>
                </w:tcPr>
                <w:p w14:paraId="24CAB31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14:textFill>
                        <w14:solidFill>
                          <w14:schemeClr w14:val="tx1"/>
                        </w14:solidFill>
                      </w14:textFill>
                    </w:rPr>
                    <w:t>评价指标</w:t>
                  </w:r>
                </w:p>
              </w:tc>
              <w:tc>
                <w:tcPr>
                  <w:tcW w:w="1334" w:type="dxa"/>
                  <w:noWrap w:val="0"/>
                  <w:vAlign w:val="center"/>
                </w:tcPr>
                <w:p w14:paraId="6C7D3A5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eastAsia="zh-TW"/>
                      <w14:textFill>
                        <w14:solidFill>
                          <w14:schemeClr w14:val="tx1"/>
                        </w14:solidFill>
                      </w14:textFill>
                    </w:rPr>
                    <w:t>现状浓度</w:t>
                  </w:r>
                  <w:r>
                    <w:rPr>
                      <w:rFonts w:hint="default" w:cs="Times New Roman"/>
                      <w:b/>
                      <w:bCs/>
                      <w:color w:val="000000" w:themeColor="text1"/>
                      <w:lang w:val="zh-TW"/>
                      <w14:textFill>
                        <w14:solidFill>
                          <w14:schemeClr w14:val="tx1"/>
                        </w14:solidFill>
                      </w14:textFill>
                    </w:rPr>
                    <w:t>（μg/m</w:t>
                  </w:r>
                  <w:r>
                    <w:rPr>
                      <w:rFonts w:hint="default" w:cs="Times New Roman"/>
                      <w:b/>
                      <w:bCs/>
                      <w:color w:val="000000" w:themeColor="text1"/>
                      <w:vertAlign w:val="superscript"/>
                      <w:lang w:val="zh-TW"/>
                      <w14:textFill>
                        <w14:solidFill>
                          <w14:schemeClr w14:val="tx1"/>
                        </w14:solidFill>
                      </w14:textFill>
                    </w:rPr>
                    <w:t>3</w:t>
                  </w:r>
                  <w:r>
                    <w:rPr>
                      <w:rFonts w:hint="default" w:cs="Times New Roman"/>
                      <w:b/>
                      <w:bCs/>
                      <w:color w:val="000000" w:themeColor="text1"/>
                      <w:lang w:val="zh-TW"/>
                      <w14:textFill>
                        <w14:solidFill>
                          <w14:schemeClr w14:val="tx1"/>
                        </w14:solidFill>
                      </w14:textFill>
                    </w:rPr>
                    <w:t>）</w:t>
                  </w:r>
                </w:p>
              </w:tc>
              <w:tc>
                <w:tcPr>
                  <w:tcW w:w="1334" w:type="dxa"/>
                  <w:noWrap w:val="0"/>
                  <w:vAlign w:val="center"/>
                </w:tcPr>
                <w:p w14:paraId="12E3210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eastAsia="zh-TW"/>
                      <w14:textFill>
                        <w14:solidFill>
                          <w14:schemeClr w14:val="tx1"/>
                        </w14:solidFill>
                      </w14:textFill>
                    </w:rPr>
                  </w:pPr>
                  <w:r>
                    <w:rPr>
                      <w:rFonts w:hint="default" w:cs="Times New Roman"/>
                      <w:b/>
                      <w:bCs/>
                      <w:color w:val="000000" w:themeColor="text1"/>
                      <w:lang w:val="zh-TW" w:eastAsia="zh-TW"/>
                      <w14:textFill>
                        <w14:solidFill>
                          <w14:schemeClr w14:val="tx1"/>
                        </w14:solidFill>
                      </w14:textFill>
                    </w:rPr>
                    <w:t>标准值</w:t>
                  </w:r>
                </w:p>
                <w:p w14:paraId="7140B60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14:textFill>
                        <w14:solidFill>
                          <w14:schemeClr w14:val="tx1"/>
                        </w14:solidFill>
                      </w14:textFill>
                    </w:rPr>
                    <w:t>（μg/m</w:t>
                  </w:r>
                  <w:r>
                    <w:rPr>
                      <w:rFonts w:hint="default" w:cs="Times New Roman"/>
                      <w:b/>
                      <w:bCs/>
                      <w:color w:val="000000" w:themeColor="text1"/>
                      <w:vertAlign w:val="superscript"/>
                      <w:lang w:val="zh-TW"/>
                      <w14:textFill>
                        <w14:solidFill>
                          <w14:schemeClr w14:val="tx1"/>
                        </w14:solidFill>
                      </w14:textFill>
                    </w:rPr>
                    <w:t>3</w:t>
                  </w:r>
                  <w:r>
                    <w:rPr>
                      <w:rFonts w:hint="default" w:cs="Times New Roman"/>
                      <w:b/>
                      <w:bCs/>
                      <w:color w:val="000000" w:themeColor="text1"/>
                      <w:lang w:val="zh-TW"/>
                      <w14:textFill>
                        <w14:solidFill>
                          <w14:schemeClr w14:val="tx1"/>
                        </w14:solidFill>
                      </w14:textFill>
                    </w:rPr>
                    <w:t>）</w:t>
                  </w:r>
                </w:p>
              </w:tc>
              <w:tc>
                <w:tcPr>
                  <w:tcW w:w="1129" w:type="dxa"/>
                  <w:noWrap w:val="0"/>
                  <w:vAlign w:val="center"/>
                </w:tcPr>
                <w:p w14:paraId="2C598AC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eastAsia="zh-TW"/>
                      <w14:textFill>
                        <w14:solidFill>
                          <w14:schemeClr w14:val="tx1"/>
                        </w14:solidFill>
                      </w14:textFill>
                    </w:rPr>
                    <w:t>占标率</w:t>
                  </w:r>
                  <w:r>
                    <w:rPr>
                      <w:rFonts w:hint="default" w:cs="Times New Roman"/>
                      <w:b/>
                      <w:bCs/>
                      <w:color w:val="000000" w:themeColor="text1"/>
                      <w:lang w:val="zh-TW"/>
                      <w14:textFill>
                        <w14:solidFill>
                          <w14:schemeClr w14:val="tx1"/>
                        </w14:solidFill>
                      </w14:textFill>
                    </w:rPr>
                    <w:t>（%）</w:t>
                  </w:r>
                </w:p>
              </w:tc>
              <w:tc>
                <w:tcPr>
                  <w:tcW w:w="779" w:type="dxa"/>
                  <w:noWrap w:val="0"/>
                  <w:vAlign w:val="center"/>
                </w:tcPr>
                <w:p w14:paraId="38DF6C8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zh-TW"/>
                      <w14:textFill>
                        <w14:solidFill>
                          <w14:schemeClr w14:val="tx1"/>
                        </w14:solidFill>
                      </w14:textFill>
                    </w:rPr>
                  </w:pPr>
                  <w:r>
                    <w:rPr>
                      <w:rFonts w:hint="default" w:cs="Times New Roman"/>
                      <w:b/>
                      <w:bCs/>
                      <w:color w:val="000000" w:themeColor="text1"/>
                      <w:lang w:val="zh-TW" w:eastAsia="zh-TW"/>
                      <w14:textFill>
                        <w14:solidFill>
                          <w14:schemeClr w14:val="tx1"/>
                        </w14:solidFill>
                      </w14:textFill>
                    </w:rPr>
                    <w:t>达标情况</w:t>
                  </w:r>
                </w:p>
              </w:tc>
            </w:tr>
            <w:tr w14:paraId="22C64A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0B1AF57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SO</w:t>
                  </w:r>
                  <w:r>
                    <w:rPr>
                      <w:rFonts w:hint="default" w:cs="Times New Roman"/>
                      <w:color w:val="000000" w:themeColor="text1"/>
                      <w:vertAlign w:val="subscript"/>
                      <w14:textFill>
                        <w14:solidFill>
                          <w14:schemeClr w14:val="tx1"/>
                        </w14:solidFill>
                      </w14:textFill>
                    </w:rPr>
                    <w:t>2</w:t>
                  </w:r>
                </w:p>
              </w:tc>
              <w:tc>
                <w:tcPr>
                  <w:tcW w:w="2560" w:type="dxa"/>
                  <w:noWrap w:val="0"/>
                  <w:vAlign w:val="center"/>
                </w:tcPr>
                <w:p w14:paraId="74BB897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年平均质量浓度</w:t>
                  </w:r>
                </w:p>
              </w:tc>
              <w:tc>
                <w:tcPr>
                  <w:tcW w:w="1334" w:type="dxa"/>
                  <w:noWrap w:val="0"/>
                  <w:vAlign w:val="center"/>
                </w:tcPr>
                <w:p w14:paraId="7583BA5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10</w:t>
                  </w:r>
                </w:p>
              </w:tc>
              <w:tc>
                <w:tcPr>
                  <w:tcW w:w="1334" w:type="dxa"/>
                  <w:noWrap w:val="0"/>
                  <w:vAlign w:val="center"/>
                </w:tcPr>
                <w:p w14:paraId="576AA54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60</w:t>
                  </w:r>
                </w:p>
              </w:tc>
              <w:tc>
                <w:tcPr>
                  <w:tcW w:w="1129" w:type="dxa"/>
                  <w:noWrap w:val="0"/>
                  <w:vAlign w:val="center"/>
                </w:tcPr>
                <w:p w14:paraId="1884161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16.67</w:t>
                  </w:r>
                </w:p>
              </w:tc>
              <w:tc>
                <w:tcPr>
                  <w:tcW w:w="779" w:type="dxa"/>
                  <w:noWrap w:val="0"/>
                  <w:vAlign w:val="center"/>
                </w:tcPr>
                <w:p w14:paraId="5CDCE31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14:textFill>
                        <w14:solidFill>
                          <w14:schemeClr w14:val="tx1"/>
                        </w14:solidFill>
                      </w14:textFill>
                    </w:rPr>
                    <w:t>达标</w:t>
                  </w:r>
                </w:p>
              </w:tc>
            </w:tr>
            <w:tr w14:paraId="79B0AD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5875B89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NO</w:t>
                  </w:r>
                  <w:r>
                    <w:rPr>
                      <w:rFonts w:hint="default" w:cs="Times New Roman"/>
                      <w:color w:val="000000" w:themeColor="text1"/>
                      <w:vertAlign w:val="subscript"/>
                      <w14:textFill>
                        <w14:solidFill>
                          <w14:schemeClr w14:val="tx1"/>
                        </w14:solidFill>
                      </w14:textFill>
                    </w:rPr>
                    <w:t>2</w:t>
                  </w:r>
                </w:p>
              </w:tc>
              <w:tc>
                <w:tcPr>
                  <w:tcW w:w="2560" w:type="dxa"/>
                  <w:noWrap w:val="0"/>
                  <w:vAlign w:val="center"/>
                </w:tcPr>
                <w:p w14:paraId="00B419D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年平均质量浓度</w:t>
                  </w:r>
                </w:p>
              </w:tc>
              <w:tc>
                <w:tcPr>
                  <w:tcW w:w="1334" w:type="dxa"/>
                  <w:noWrap w:val="0"/>
                  <w:vAlign w:val="center"/>
                </w:tcPr>
                <w:p w14:paraId="6A4C213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23</w:t>
                  </w:r>
                </w:p>
              </w:tc>
              <w:tc>
                <w:tcPr>
                  <w:tcW w:w="1334" w:type="dxa"/>
                  <w:noWrap w:val="0"/>
                  <w:vAlign w:val="center"/>
                </w:tcPr>
                <w:p w14:paraId="687E1A1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40</w:t>
                  </w:r>
                </w:p>
              </w:tc>
              <w:tc>
                <w:tcPr>
                  <w:tcW w:w="1129" w:type="dxa"/>
                  <w:noWrap w:val="0"/>
                  <w:vAlign w:val="center"/>
                </w:tcPr>
                <w:p w14:paraId="3E3FA1C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57.50</w:t>
                  </w:r>
                </w:p>
              </w:tc>
              <w:tc>
                <w:tcPr>
                  <w:tcW w:w="779" w:type="dxa"/>
                  <w:noWrap w:val="0"/>
                  <w:vAlign w:val="center"/>
                </w:tcPr>
                <w:p w14:paraId="77A040B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14:textFill>
                        <w14:solidFill>
                          <w14:schemeClr w14:val="tx1"/>
                        </w14:solidFill>
                      </w14:textFill>
                    </w:rPr>
                    <w:t>达标</w:t>
                  </w:r>
                </w:p>
              </w:tc>
            </w:tr>
            <w:tr w14:paraId="35DA26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4BB218B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CO</w:t>
                  </w:r>
                </w:p>
              </w:tc>
              <w:tc>
                <w:tcPr>
                  <w:tcW w:w="2560" w:type="dxa"/>
                  <w:noWrap w:val="0"/>
                  <w:vAlign w:val="center"/>
                </w:tcPr>
                <w:p w14:paraId="504B22D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24h平均第95百分位数</w:t>
                  </w:r>
                </w:p>
              </w:tc>
              <w:tc>
                <w:tcPr>
                  <w:tcW w:w="1334" w:type="dxa"/>
                  <w:noWrap w:val="0"/>
                  <w:vAlign w:val="center"/>
                </w:tcPr>
                <w:p w14:paraId="2E2594A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0.7</w:t>
                  </w:r>
                </w:p>
              </w:tc>
              <w:tc>
                <w:tcPr>
                  <w:tcW w:w="1334" w:type="dxa"/>
                  <w:noWrap w:val="0"/>
                  <w:vAlign w:val="center"/>
                </w:tcPr>
                <w:p w14:paraId="2BB55BB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4</w:t>
                  </w:r>
                </w:p>
              </w:tc>
              <w:tc>
                <w:tcPr>
                  <w:tcW w:w="1129" w:type="dxa"/>
                  <w:noWrap w:val="0"/>
                  <w:vAlign w:val="center"/>
                </w:tcPr>
                <w:p w14:paraId="08FE891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17.50</w:t>
                  </w:r>
                </w:p>
              </w:tc>
              <w:tc>
                <w:tcPr>
                  <w:tcW w:w="779" w:type="dxa"/>
                  <w:noWrap w:val="0"/>
                  <w:vAlign w:val="center"/>
                </w:tcPr>
                <w:p w14:paraId="7722876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14:textFill>
                        <w14:solidFill>
                          <w14:schemeClr w14:val="tx1"/>
                        </w14:solidFill>
                      </w14:textFill>
                    </w:rPr>
                    <w:t>达标</w:t>
                  </w:r>
                </w:p>
              </w:tc>
            </w:tr>
            <w:tr w14:paraId="447BD4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4C6D766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O</w:t>
                  </w:r>
                  <w:r>
                    <w:rPr>
                      <w:rFonts w:hint="default" w:cs="Times New Roman"/>
                      <w:color w:val="000000" w:themeColor="text1"/>
                      <w:vertAlign w:val="subscript"/>
                      <w14:textFill>
                        <w14:solidFill>
                          <w14:schemeClr w14:val="tx1"/>
                        </w14:solidFill>
                      </w14:textFill>
                    </w:rPr>
                    <w:t>3</w:t>
                  </w:r>
                </w:p>
              </w:tc>
              <w:tc>
                <w:tcPr>
                  <w:tcW w:w="2560" w:type="dxa"/>
                  <w:noWrap w:val="0"/>
                  <w:vAlign w:val="center"/>
                </w:tcPr>
                <w:p w14:paraId="7603069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日最大8h滑动平均值的第90百分位数</w:t>
                  </w:r>
                </w:p>
              </w:tc>
              <w:tc>
                <w:tcPr>
                  <w:tcW w:w="1334" w:type="dxa"/>
                  <w:noWrap w:val="0"/>
                  <w:vAlign w:val="center"/>
                </w:tcPr>
                <w:p w14:paraId="28FC4B0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140</w:t>
                  </w:r>
                </w:p>
              </w:tc>
              <w:tc>
                <w:tcPr>
                  <w:tcW w:w="1334" w:type="dxa"/>
                  <w:noWrap w:val="0"/>
                  <w:vAlign w:val="center"/>
                </w:tcPr>
                <w:p w14:paraId="63CF88D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160</w:t>
                  </w:r>
                </w:p>
              </w:tc>
              <w:tc>
                <w:tcPr>
                  <w:tcW w:w="1129" w:type="dxa"/>
                  <w:noWrap w:val="0"/>
                  <w:vAlign w:val="center"/>
                </w:tcPr>
                <w:p w14:paraId="6E854B7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87.50</w:t>
                  </w:r>
                </w:p>
              </w:tc>
              <w:tc>
                <w:tcPr>
                  <w:tcW w:w="779" w:type="dxa"/>
                  <w:noWrap w:val="0"/>
                  <w:vAlign w:val="center"/>
                </w:tcPr>
                <w:p w14:paraId="17779D3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14:textFill>
                        <w14:solidFill>
                          <w14:schemeClr w14:val="tx1"/>
                        </w14:solidFill>
                      </w14:textFill>
                    </w:rPr>
                    <w:t>达标</w:t>
                  </w:r>
                </w:p>
              </w:tc>
            </w:tr>
            <w:tr w14:paraId="361CE1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5A2E3A5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PM</w:t>
                  </w:r>
                  <w:r>
                    <w:rPr>
                      <w:rFonts w:hint="default" w:cs="Times New Roman"/>
                      <w:color w:val="000000" w:themeColor="text1"/>
                      <w:vertAlign w:val="subscript"/>
                      <w14:textFill>
                        <w14:solidFill>
                          <w14:schemeClr w14:val="tx1"/>
                        </w14:solidFill>
                      </w14:textFill>
                    </w:rPr>
                    <w:t>2.5</w:t>
                  </w:r>
                </w:p>
              </w:tc>
              <w:tc>
                <w:tcPr>
                  <w:tcW w:w="2560" w:type="dxa"/>
                  <w:noWrap w:val="0"/>
                  <w:vAlign w:val="center"/>
                </w:tcPr>
                <w:p w14:paraId="4C67B7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年平均质量浓度</w:t>
                  </w:r>
                </w:p>
              </w:tc>
              <w:tc>
                <w:tcPr>
                  <w:tcW w:w="1334" w:type="dxa"/>
                  <w:noWrap w:val="0"/>
                  <w:vAlign w:val="center"/>
                </w:tcPr>
                <w:p w14:paraId="4863B60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28</w:t>
                  </w:r>
                </w:p>
              </w:tc>
              <w:tc>
                <w:tcPr>
                  <w:tcW w:w="1334" w:type="dxa"/>
                  <w:noWrap w:val="0"/>
                  <w:vAlign w:val="center"/>
                </w:tcPr>
                <w:p w14:paraId="633EA70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35</w:t>
                  </w:r>
                </w:p>
              </w:tc>
              <w:tc>
                <w:tcPr>
                  <w:tcW w:w="1129" w:type="dxa"/>
                  <w:noWrap w:val="0"/>
                  <w:vAlign w:val="center"/>
                </w:tcPr>
                <w:p w14:paraId="0F1D9E3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80.00</w:t>
                  </w:r>
                </w:p>
              </w:tc>
              <w:tc>
                <w:tcPr>
                  <w:tcW w:w="779" w:type="dxa"/>
                  <w:noWrap w:val="0"/>
                  <w:vAlign w:val="center"/>
                </w:tcPr>
                <w:p w14:paraId="0C578A3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eastAsia="zh-TW"/>
                      <w14:textFill>
                        <w14:solidFill>
                          <w14:schemeClr w14:val="tx1"/>
                        </w14:solidFill>
                      </w14:textFill>
                    </w:rPr>
                    <w:t>达标</w:t>
                  </w:r>
                </w:p>
              </w:tc>
            </w:tr>
            <w:tr w14:paraId="6ED94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1" w:type="dxa"/>
                  <w:noWrap w:val="0"/>
                  <w:vAlign w:val="center"/>
                </w:tcPr>
                <w:p w14:paraId="17B50D0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PM</w:t>
                  </w:r>
                  <w:r>
                    <w:rPr>
                      <w:rFonts w:hint="default" w:cs="Times New Roman"/>
                      <w:color w:val="000000" w:themeColor="text1"/>
                      <w:vertAlign w:val="subscript"/>
                      <w14:textFill>
                        <w14:solidFill>
                          <w14:schemeClr w14:val="tx1"/>
                        </w14:solidFill>
                      </w14:textFill>
                    </w:rPr>
                    <w:t>10</w:t>
                  </w:r>
                </w:p>
              </w:tc>
              <w:tc>
                <w:tcPr>
                  <w:tcW w:w="2560" w:type="dxa"/>
                  <w:noWrap w:val="0"/>
                  <w:vAlign w:val="center"/>
                </w:tcPr>
                <w:p w14:paraId="57B1D26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eastAsia="zh-TW"/>
                      <w14:textFill>
                        <w14:solidFill>
                          <w14:schemeClr w14:val="tx1"/>
                        </w14:solidFill>
                      </w14:textFill>
                    </w:rPr>
                  </w:pPr>
                  <w:r>
                    <w:rPr>
                      <w:rFonts w:hint="default" w:cs="Times New Roman"/>
                      <w:color w:val="000000" w:themeColor="text1"/>
                      <w14:textFill>
                        <w14:solidFill>
                          <w14:schemeClr w14:val="tx1"/>
                        </w14:solidFill>
                      </w14:textFill>
                    </w:rPr>
                    <w:t>年平均质量浓度</w:t>
                  </w:r>
                </w:p>
              </w:tc>
              <w:tc>
                <w:tcPr>
                  <w:tcW w:w="1334" w:type="dxa"/>
                  <w:noWrap w:val="0"/>
                  <w:vAlign w:val="center"/>
                </w:tcPr>
                <w:p w14:paraId="275141C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66</w:t>
                  </w:r>
                </w:p>
              </w:tc>
              <w:tc>
                <w:tcPr>
                  <w:tcW w:w="1334" w:type="dxa"/>
                  <w:noWrap w:val="0"/>
                  <w:vAlign w:val="center"/>
                </w:tcPr>
                <w:p w14:paraId="1A11ABA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14:textFill>
                        <w14:solidFill>
                          <w14:schemeClr w14:val="tx1"/>
                        </w14:solidFill>
                      </w14:textFill>
                    </w:rPr>
                    <w:t>70</w:t>
                  </w:r>
                </w:p>
              </w:tc>
              <w:tc>
                <w:tcPr>
                  <w:tcW w:w="1129" w:type="dxa"/>
                  <w:noWrap w:val="0"/>
                  <w:vAlign w:val="center"/>
                </w:tcPr>
                <w:p w14:paraId="0FA5388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94.29</w:t>
                  </w:r>
                </w:p>
              </w:tc>
              <w:tc>
                <w:tcPr>
                  <w:tcW w:w="779" w:type="dxa"/>
                  <w:noWrap w:val="0"/>
                  <w:vAlign w:val="center"/>
                </w:tcPr>
                <w:p w14:paraId="1982BC0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zh-TW"/>
                      <w14:textFill>
                        <w14:solidFill>
                          <w14:schemeClr w14:val="tx1"/>
                        </w14:solidFill>
                      </w14:textFill>
                    </w:rPr>
                  </w:pPr>
                  <w:r>
                    <w:rPr>
                      <w:rFonts w:hint="default" w:cs="Times New Roman"/>
                      <w:color w:val="000000" w:themeColor="text1"/>
                      <w:lang w:val="zh-TW" w:eastAsia="zh-TW"/>
                      <w14:textFill>
                        <w14:solidFill>
                          <w14:schemeClr w14:val="tx1"/>
                        </w14:solidFill>
                      </w14:textFill>
                    </w:rPr>
                    <w:t>达标</w:t>
                  </w:r>
                </w:p>
              </w:tc>
            </w:tr>
            <w:tr w14:paraId="2B2A36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77" w:type="dxa"/>
                  <w:gridSpan w:val="6"/>
                  <w:noWrap w:val="0"/>
                  <w:vAlign w:val="center"/>
                </w:tcPr>
                <w:p w14:paraId="248E0102">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ind w:left="0" w:leftChars="0" w:right="0"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注：1、CO现状浓度和标准值单位均为mg/m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p w14:paraId="3E50EAF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both"/>
                    <w:textAlignment w:val="auto"/>
                    <w:rPr>
                      <w:rFonts w:hint="default" w:cs="Times New Roman"/>
                      <w:color w:val="000000" w:themeColor="text1"/>
                      <w:lang w:val="zh-TW" w:eastAsia="zh-T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2、现状浓度中PM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color w:val="000000" w:themeColor="text1"/>
                      <w:sz w:val="21"/>
                      <w:szCs w:val="21"/>
                      <w:highlight w:val="none"/>
                      <w14:textFill>
                        <w14:solidFill>
                          <w14:schemeClr w14:val="tx1"/>
                        </w14:solidFill>
                      </w14:textFill>
                    </w:rPr>
                    <w:t>、PM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2.5</w:t>
                  </w:r>
                  <w:r>
                    <w:rPr>
                      <w:rFonts w:hint="default" w:ascii="Times New Roman" w:hAnsi="Times New Roman" w:cs="Times New Roman"/>
                      <w:color w:val="000000" w:themeColor="text1"/>
                      <w:sz w:val="21"/>
                      <w:szCs w:val="21"/>
                      <w:highlight w:val="none"/>
                      <w14:textFill>
                        <w14:solidFill>
                          <w14:schemeClr w14:val="tx1"/>
                        </w14:solidFill>
                      </w14:textFill>
                    </w:rPr>
                    <w:t>为剔除沙尘天气后的数值。</w:t>
                  </w:r>
                </w:p>
              </w:tc>
            </w:tr>
          </w:tbl>
          <w:p w14:paraId="28D612A9">
            <w:pPr>
              <w:keepNext w:val="0"/>
              <w:keepLines w:val="0"/>
              <w:suppressLineNumbers w:val="0"/>
              <w:spacing w:before="0" w:beforeAutospacing="0" w:after="0" w:afterAutospacing="0"/>
              <w:ind w:left="0" w:right="0" w:firstLine="454" w:firstLineChars="200"/>
              <w:rPr>
                <w:rFonts w:hint="eastAsia"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根据表3-</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可知，</w:t>
            </w:r>
            <w:r>
              <w:rPr>
                <w:rFonts w:hint="eastAsia" w:ascii="Times New Roman" w:hAnsi="Times New Roman" w:eastAsia="宋体" w:cs="Times New Roman"/>
                <w:color w:val="000000" w:themeColor="text1"/>
                <w:sz w:val="24"/>
                <w14:textFill>
                  <w14:solidFill>
                    <w14:schemeClr w14:val="tx1"/>
                  </w14:solidFill>
                </w14:textFill>
              </w:rPr>
              <w:t>沙坡头区</w:t>
            </w:r>
            <w:r>
              <w:rPr>
                <w:rFonts w:hint="default" w:ascii="Times New Roman" w:hAnsi="Times New Roman" w:cs="Times New Roman"/>
                <w:color w:val="000000" w:themeColor="text1"/>
                <w:sz w:val="24"/>
                <w14:textFill>
                  <w14:solidFill>
                    <w14:schemeClr w14:val="tx1"/>
                  </w14:solidFill>
                </w14:textFill>
              </w:rPr>
              <w:t>2023年PM</w:t>
            </w:r>
            <w:r>
              <w:rPr>
                <w:rFonts w:hint="default" w:ascii="Times New Roman" w:hAnsi="Times New Roman" w:cs="Times New Roman"/>
                <w:color w:val="000000" w:themeColor="text1"/>
                <w:sz w:val="24"/>
                <w:vertAlign w:val="subscript"/>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、PM</w:t>
            </w:r>
            <w:r>
              <w:rPr>
                <w:rFonts w:hint="default" w:ascii="Times New Roman" w:hAnsi="Times New Roman" w:cs="Times New Roman"/>
                <w:color w:val="000000" w:themeColor="text1"/>
                <w:sz w:val="24"/>
                <w:vertAlign w:val="subscript"/>
                <w14:textFill>
                  <w14:solidFill>
                    <w14:schemeClr w14:val="tx1"/>
                  </w14:solidFill>
                </w14:textFill>
              </w:rPr>
              <w:t>2.5</w:t>
            </w:r>
            <w:r>
              <w:rPr>
                <w:rFonts w:hint="default" w:ascii="Times New Roman" w:hAnsi="Times New Roman" w:cs="Times New Roman"/>
                <w:color w:val="000000" w:themeColor="text1"/>
                <w:sz w:val="24"/>
                <w14:textFill>
                  <w14:solidFill>
                    <w14:schemeClr w14:val="tx1"/>
                  </w14:solidFill>
                </w14:textFill>
              </w:rPr>
              <w:t>、SO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、CO、O</w:t>
            </w:r>
            <w:r>
              <w:rPr>
                <w:rFonts w:hint="default" w:ascii="Times New Roman" w:hAnsi="Times New Roman" w:cs="Times New Roman"/>
                <w:color w:val="000000" w:themeColor="text1"/>
                <w:sz w:val="24"/>
                <w:vertAlign w:val="sub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的年均浓度和相应百分位数24h平均浓度</w:t>
            </w:r>
            <w:r>
              <w:rPr>
                <w:rFonts w:hint="eastAsia" w:cs="Times New Roman"/>
                <w:color w:val="000000" w:themeColor="text1"/>
                <w:sz w:val="24"/>
                <w:lang w:val="en-US" w:eastAsia="zh-CN"/>
                <w14:textFill>
                  <w14:solidFill>
                    <w14:schemeClr w14:val="tx1"/>
                  </w14:solidFill>
                </w14:textFill>
              </w:rPr>
              <w:t>及</w:t>
            </w:r>
            <w:r>
              <w:rPr>
                <w:rFonts w:hint="default" w:cs="Times New Roman"/>
                <w:color w:val="000000" w:themeColor="text1"/>
                <w14:textFill>
                  <w14:solidFill>
                    <w14:schemeClr w14:val="tx1"/>
                  </w14:solidFill>
                </w14:textFill>
              </w:rPr>
              <w:t>日最大8h滑动平均值的第90百分位数</w:t>
            </w:r>
            <w:r>
              <w:rPr>
                <w:rFonts w:hint="default" w:ascii="Times New Roman" w:hAnsi="Times New Roman" w:cs="Times New Roman"/>
                <w:color w:val="000000" w:themeColor="text1"/>
                <w:sz w:val="24"/>
                <w14:textFill>
                  <w14:solidFill>
                    <w14:schemeClr w14:val="tx1"/>
                  </w14:solidFill>
                </w14:textFill>
              </w:rPr>
              <w:t>浓度（剔除沙尘天气）均满足《环境空气质量标准》（GB3095-2012）中二级标准及修改单要求，属于达标区。</w:t>
            </w:r>
          </w:p>
          <w:p w14:paraId="53BA2A47">
            <w:pPr>
              <w:pStyle w:val="2"/>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地表水环境</w:t>
            </w:r>
          </w:p>
          <w:p w14:paraId="71B15B86">
            <w:pPr>
              <w:keepNext w:val="0"/>
              <w:keepLines w:val="0"/>
              <w:widowControl w:val="0"/>
              <w:suppressLineNumbers w:val="0"/>
              <w:adjustRightInd w:val="0"/>
              <w:snapToGrid w:val="0"/>
              <w:spacing w:before="0" w:beforeAutospacing="0" w:after="0" w:afterAutospacing="0" w:line="360" w:lineRule="auto"/>
              <w:ind w:left="0" w:right="0" w:firstLine="454" w:firstLineChars="200"/>
              <w:jc w:val="both"/>
              <w:rPr>
                <w:rFonts w:hint="default" w:ascii="Times New Roman" w:hAnsi="Times New Roman" w:eastAsia="宋体"/>
                <w:color w:val="000000" w:themeColor="text1"/>
                <w:sz w:val="24"/>
                <w:lang w:val="en-US" w:eastAsia="zh-CN"/>
                <w14:textFill>
                  <w14:solidFill>
                    <w14:schemeClr w14:val="tx1"/>
                  </w14:solidFill>
                </w14:textFill>
              </w:rPr>
            </w:pPr>
            <w:r>
              <w:rPr>
                <w:rFonts w:hint="default" w:cs="Times New Roman"/>
                <w:color w:val="000000" w:themeColor="text1"/>
                <w:sz w:val="24"/>
                <w:highlight w:val="none"/>
                <w14:textFill>
                  <w14:solidFill>
                    <w14:schemeClr w14:val="tx1"/>
                  </w14:solidFill>
                </w14:textFill>
              </w:rPr>
              <w:t>本项目所在地最近的地表水体为黄河，黄河</w:t>
            </w:r>
            <w:r>
              <w:rPr>
                <w:rFonts w:hint="eastAsia" w:cs="Times New Roman"/>
                <w:color w:val="000000" w:themeColor="text1"/>
                <w:sz w:val="24"/>
                <w:highlight w:val="none"/>
                <w:lang w:val="en-US" w:eastAsia="zh-CN"/>
                <w14:textFill>
                  <w14:solidFill>
                    <w14:schemeClr w14:val="tx1"/>
                  </w14:solidFill>
                </w14:textFill>
              </w:rPr>
              <w:t>位于DK-02治理区南侧，</w:t>
            </w:r>
            <w:r>
              <w:rPr>
                <w:rFonts w:hint="eastAsia" w:cs="Times New Roman"/>
                <w:color w:val="000000" w:themeColor="text1"/>
                <w:sz w:val="24"/>
                <w:highlight w:val="none"/>
                <w14:textFill>
                  <w14:solidFill>
                    <w14:schemeClr w14:val="tx1"/>
                  </w14:solidFill>
                </w14:textFill>
              </w:rPr>
              <w:t>距离</w:t>
            </w:r>
            <w:r>
              <w:rPr>
                <w:rFonts w:hint="eastAsia" w:cs="Times New Roman"/>
                <w:color w:val="000000" w:themeColor="text1"/>
                <w:sz w:val="24"/>
                <w:highlight w:val="none"/>
                <w:lang w:val="en-US" w:eastAsia="zh-CN"/>
                <w14:textFill>
                  <w14:solidFill>
                    <w14:schemeClr w14:val="tx1"/>
                  </w14:solidFill>
                </w14:textFill>
              </w:rPr>
              <w:t>190</w:t>
            </w:r>
            <w:r>
              <w:rPr>
                <w:rFonts w:hint="eastAsia" w:cs="Times New Roman"/>
                <w:color w:val="000000" w:themeColor="text1"/>
                <w:sz w:val="24"/>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。本次评价黄河</w:t>
            </w:r>
            <w:r>
              <w:rPr>
                <w:rFonts w:hint="eastAsia" w:cs="Times New Roman"/>
                <w:color w:val="000000" w:themeColor="text1"/>
                <w:sz w:val="24"/>
                <w:highlight w:val="none"/>
                <w14:textFill>
                  <w14:solidFill>
                    <w14:schemeClr w14:val="tx1"/>
                  </w14:solidFill>
                </w14:textFill>
              </w:rPr>
              <w:t>引用</w:t>
            </w:r>
            <w:r>
              <w:rPr>
                <w:rFonts w:hint="default" w:cs="Times New Roman"/>
                <w:color w:val="000000" w:themeColor="text1"/>
                <w:sz w:val="24"/>
                <w:highlight w:val="none"/>
                <w14:textFill>
                  <w14:solidFill>
                    <w14:schemeClr w14:val="tx1"/>
                  </w14:solidFill>
                </w14:textFill>
              </w:rPr>
              <w:t>《202</w:t>
            </w:r>
            <w:r>
              <w:rPr>
                <w:rFonts w:hint="eastAsia" w:cs="Times New Roman"/>
                <w:color w:val="000000" w:themeColor="text1"/>
                <w:sz w:val="24"/>
                <w:highlight w:val="none"/>
                <w:lang w:val="en-US" w:eastAsia="zh-CN"/>
                <w14:textFill>
                  <w14:solidFill>
                    <w14:schemeClr w14:val="tx1"/>
                  </w14:solidFill>
                </w14:textFill>
              </w:rPr>
              <w:t>3</w:t>
            </w:r>
            <w:r>
              <w:rPr>
                <w:rFonts w:hint="default" w:cs="Times New Roman"/>
                <w:color w:val="000000" w:themeColor="text1"/>
                <w:sz w:val="24"/>
                <w:highlight w:val="none"/>
                <w14:textFill>
                  <w14:solidFill>
                    <w14:schemeClr w14:val="tx1"/>
                  </w14:solidFill>
                </w14:textFill>
              </w:rPr>
              <w:t>年宁夏生态环境质量状况报告》黄河中卫下河沿断面</w:t>
            </w:r>
            <w:r>
              <w:rPr>
                <w:rFonts w:hint="eastAsia" w:cs="Times New Roman"/>
                <w:color w:val="000000" w:themeColor="text1"/>
                <w:sz w:val="24"/>
                <w:highlight w:val="none"/>
                <w14:textFill>
                  <w14:solidFill>
                    <w14:schemeClr w14:val="tx1"/>
                  </w14:solidFill>
                </w14:textFill>
              </w:rPr>
              <w:t>（甘肃一宁夏省界）</w:t>
            </w:r>
            <w:r>
              <w:rPr>
                <w:rFonts w:hint="default" w:cs="Times New Roman"/>
                <w:color w:val="000000" w:themeColor="text1"/>
                <w:sz w:val="24"/>
                <w:highlight w:val="none"/>
                <w14:textFill>
                  <w14:solidFill>
                    <w14:schemeClr w14:val="tx1"/>
                  </w14:solidFill>
                </w14:textFill>
              </w:rPr>
              <w:t>的监测数据来评价本项目所在区域的地表水环境质量，202</w:t>
            </w:r>
            <w:r>
              <w:rPr>
                <w:rFonts w:hint="eastAsia" w:cs="Times New Roman"/>
                <w:color w:val="000000" w:themeColor="text1"/>
                <w:sz w:val="24"/>
                <w:highlight w:val="none"/>
                <w:lang w:val="en-US" w:eastAsia="zh-CN"/>
                <w14:textFill>
                  <w14:solidFill>
                    <w14:schemeClr w14:val="tx1"/>
                  </w14:solidFill>
                </w14:textFill>
              </w:rPr>
              <w:t>3</w:t>
            </w:r>
            <w:r>
              <w:rPr>
                <w:rFonts w:hint="default" w:cs="Times New Roman"/>
                <w:color w:val="000000" w:themeColor="text1"/>
                <w:sz w:val="24"/>
                <w:highlight w:val="none"/>
                <w14:textFill>
                  <w14:solidFill>
                    <w14:schemeClr w14:val="tx1"/>
                  </w14:solidFill>
                </w14:textFill>
              </w:rPr>
              <w:t>年黄河中卫下河沿断面的水质</w:t>
            </w:r>
            <w:r>
              <w:rPr>
                <w:rFonts w:hint="eastAsia" w:cs="Times New Roman"/>
                <w:color w:val="000000" w:themeColor="text1"/>
                <w:sz w:val="24"/>
                <w:highlight w:val="none"/>
                <w:lang w:val="en-US" w:eastAsia="zh-CN"/>
                <w14:textFill>
                  <w14:solidFill>
                    <w14:schemeClr w14:val="tx1"/>
                  </w14:solidFill>
                </w14:textFill>
              </w:rPr>
              <w:t>为</w:t>
            </w:r>
            <w:r>
              <w:rPr>
                <w:rFonts w:hint="default" w:cs="Times New Roman"/>
                <w:color w:val="000000" w:themeColor="text1"/>
                <w:sz w:val="24"/>
                <w:highlight w:val="none"/>
                <w14:textFill>
                  <w14:solidFill>
                    <w14:schemeClr w14:val="tx1"/>
                  </w14:solidFill>
                </w14:textFill>
              </w:rPr>
              <w:t>《地表水环境质量标准》Ⅱ类水质</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满足</w:t>
            </w:r>
            <w:r>
              <w:rPr>
                <w:rFonts w:hint="default" w:cs="Times New Roman"/>
                <w:color w:val="000000" w:themeColor="text1"/>
                <w:sz w:val="24"/>
                <w:highlight w:val="none"/>
                <w14:textFill>
                  <w14:solidFill>
                    <w14:schemeClr w14:val="tx1"/>
                  </w14:solidFill>
                </w14:textFill>
              </w:rPr>
              <w:t>Ⅱ类</w:t>
            </w:r>
            <w:r>
              <w:rPr>
                <w:rFonts w:hint="eastAsia" w:cs="Times New Roman"/>
                <w:color w:val="000000" w:themeColor="text1"/>
                <w:sz w:val="24"/>
                <w:highlight w:val="none"/>
                <w:lang w:val="en-US" w:eastAsia="zh-CN"/>
                <w14:textFill>
                  <w14:solidFill>
                    <w14:schemeClr w14:val="tx1"/>
                  </w14:solidFill>
                </w14:textFill>
              </w:rPr>
              <w:t>考核标准</w:t>
            </w:r>
            <w:r>
              <w:rPr>
                <w:rFonts w:hint="eastAsia" w:cs="Times New Roman"/>
                <w:color w:val="000000" w:themeColor="text1"/>
                <w:sz w:val="24"/>
                <w:highlight w:val="none"/>
                <w14:textFill>
                  <w14:solidFill>
                    <w14:schemeClr w14:val="tx1"/>
                  </w14:solidFill>
                </w14:textFill>
              </w:rPr>
              <w:t>。</w:t>
            </w:r>
          </w:p>
          <w:p w14:paraId="0998AF0D">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地下水环境质量</w:t>
            </w:r>
          </w:p>
          <w:p w14:paraId="3E3E16BC">
            <w:pPr>
              <w:keepNext w:val="0"/>
              <w:keepLines w:val="0"/>
              <w:suppressLineNumbers w:val="0"/>
              <w:bidi w:val="0"/>
              <w:spacing w:before="0" w:beforeAutospacing="0" w:after="0" w:afterAutospacing="0"/>
              <w:ind w:left="0" w:right="0"/>
              <w:rPr>
                <w:rFonts w:hint="default" w:eastAsia="宋体" w:cs="Times New Roman"/>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本项目主要对</w:t>
            </w:r>
            <w:r>
              <w:rPr>
                <w:rFonts w:hint="default"/>
                <w:color w:val="000000" w:themeColor="text1"/>
                <w14:textFill>
                  <w14:solidFill>
                    <w14:schemeClr w14:val="tx1"/>
                  </w14:solidFill>
                </w14:textFill>
              </w:rPr>
              <w:t>历史遗留废弃矿山</w:t>
            </w:r>
            <w:r>
              <w:rPr>
                <w:rFonts w:hint="eastAsia"/>
                <w:color w:val="000000" w:themeColor="text1"/>
                <w14:textFill>
                  <w14:solidFill>
                    <w14:schemeClr w14:val="tx1"/>
                  </w14:solidFill>
                </w14:textFill>
              </w:rPr>
              <w:t>进行</w:t>
            </w:r>
            <w:r>
              <w:rPr>
                <w:rFonts w:hint="eastAsia"/>
                <w:color w:val="000000" w:themeColor="text1"/>
                <w:lang w:val="en-US" w:eastAsia="zh-CN"/>
                <w14:textFill>
                  <w14:solidFill>
                    <w14:schemeClr w14:val="tx1"/>
                  </w14:solidFill>
                </w14:textFill>
              </w:rPr>
              <w:t>恢复治理</w:t>
            </w:r>
            <w:r>
              <w:rPr>
                <w:rFonts w:hint="eastAsia"/>
                <w:color w:val="000000" w:themeColor="text1"/>
                <w14:textFill>
                  <w14:solidFill>
                    <w14:schemeClr w14:val="tx1"/>
                  </w14:solidFill>
                </w14:textFill>
              </w:rPr>
              <w:t>，项目主要建设内容包括边坡治理工程、地形地貌恢复工程等，施工期及运营期不存在地下水的污染途径，</w:t>
            </w:r>
            <w:r>
              <w:rPr>
                <w:rFonts w:hint="default"/>
                <w:color w:val="000000" w:themeColor="text1"/>
                <w14:textFill>
                  <w14:solidFill>
                    <w14:schemeClr w14:val="tx1"/>
                  </w14:solidFill>
                </w14:textFill>
              </w:rPr>
              <w:t>根据《环境影响评价技术导则 地下水环境》（HJ610-2016）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w:t>
            </w:r>
            <w:r>
              <w:rPr>
                <w:rFonts w:hint="default" w:ascii="宋体" w:hAnsi="宋体" w:eastAsia="宋体" w:cs="宋体"/>
                <w:b w:val="0"/>
                <w:bCs w:val="0"/>
                <w:color w:val="000000" w:themeColor="text1"/>
                <w:sz w:val="24"/>
                <w:szCs w:val="24"/>
                <w14:textFill>
                  <w14:solidFill>
                    <w14:schemeClr w14:val="tx1"/>
                  </w14:solidFill>
                </w14:textFill>
              </w:rPr>
              <w:t>项目行业类别“</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5</w:t>
            </w:r>
            <w:r>
              <w:rPr>
                <w:rFonts w:hint="eastAsia" w:ascii="TimesNewRomanPSMT" w:hAnsi="TimesNewRomanPSMT" w:eastAsia="宋体" w:cs="TimesNewRomanPSMT"/>
                <w:b w:val="0"/>
                <w:bCs w:val="0"/>
                <w:color w:val="000000" w:themeColor="text1"/>
                <w:sz w:val="24"/>
                <w:szCs w:val="24"/>
                <w:lang w:val="en-US" w:eastAsia="zh-CN"/>
                <w14:textFill>
                  <w14:solidFill>
                    <w14:schemeClr w14:val="tx1"/>
                  </w14:solidFill>
                </w14:textFill>
              </w:rPr>
              <w:t>7</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w:t>
            </w:r>
            <w:r>
              <w:rPr>
                <w:rFonts w:hint="default" w:ascii="宋体" w:hAnsi="宋体" w:eastAsia="宋体" w:cs="宋体"/>
                <w:b w:val="0"/>
                <w:bCs w:val="0"/>
                <w:color w:val="000000" w:themeColor="text1"/>
                <w:sz w:val="24"/>
                <w:szCs w:val="24"/>
                <w14:textFill>
                  <w14:solidFill>
                    <w14:schemeClr w14:val="tx1"/>
                  </w14:solidFill>
                </w14:textFill>
              </w:rPr>
              <w:t>石棉及其他非金属矿采选”</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导则中未提及</w:t>
            </w:r>
            <w:r>
              <w:rPr>
                <w:rFonts w:hint="default" w:ascii="宋体" w:hAnsi="宋体" w:eastAsia="宋体" w:cs="宋体"/>
                <w:b w:val="0"/>
                <w:bCs w:val="0"/>
                <w:color w:val="000000" w:themeColor="text1"/>
                <w:sz w:val="24"/>
                <w:szCs w:val="24"/>
                <w14:textFill>
                  <w14:solidFill>
                    <w14:schemeClr w14:val="tx1"/>
                  </w14:solidFill>
                </w14:textFill>
              </w:rPr>
              <w:t>环评类别</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本项目施工期</w:t>
            </w:r>
            <w:r>
              <w:rPr>
                <w:rFonts w:hint="eastAsia" w:cs="Times New Roman"/>
                <w:color w:val="000000" w:themeColor="text1"/>
                <w14:textFill>
                  <w14:solidFill>
                    <w14:schemeClr w14:val="tx1"/>
                  </w14:solidFill>
                </w14:textFill>
              </w:rPr>
              <w:t>生活污水依托周边村庄旱厕处理，项目区无废水排放</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运营期无废水排放，不会对地下水环境产生影响。</w:t>
            </w:r>
            <w:r>
              <w:rPr>
                <w:rFonts w:hint="default" w:ascii="宋体" w:hAnsi="宋体" w:eastAsia="宋体" w:cs="宋体"/>
                <w:b w:val="0"/>
                <w:bCs w:val="0"/>
                <w:color w:val="000000" w:themeColor="text1"/>
                <w:sz w:val="24"/>
                <w:szCs w:val="24"/>
                <w14:textFill>
                  <w14:solidFill>
                    <w14:schemeClr w14:val="tx1"/>
                  </w14:solidFill>
                </w14:textFill>
              </w:rPr>
              <w:t>根据导则</w:t>
            </w:r>
            <w:r>
              <w:rPr>
                <w:rFonts w:hint="eastAsia" w:ascii="宋体" w:hAnsi="宋体" w:cs="宋体"/>
                <w:b w:val="0"/>
                <w:bCs w:val="0"/>
                <w:color w:val="000000" w:themeColor="text1"/>
                <w:sz w:val="24"/>
                <w:szCs w:val="24"/>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本次评价不开展地下水环境质量现状调查。</w:t>
            </w:r>
          </w:p>
          <w:p w14:paraId="1683F402">
            <w:pPr>
              <w:pStyle w:val="2"/>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default"/>
                <w:color w:val="000000" w:themeColor="text1"/>
                <w14:textFill>
                  <w14:solidFill>
                    <w14:schemeClr w14:val="tx1"/>
                  </w14:solidFill>
                </w14:textFill>
              </w:rPr>
              <w:t>声环境</w:t>
            </w:r>
          </w:p>
          <w:p w14:paraId="5675F48B">
            <w:pPr>
              <w:keepNext w:val="0"/>
              <w:keepLines w:val="0"/>
              <w:suppressLineNumbers w:val="0"/>
              <w:spacing w:before="0" w:beforeAutospacing="0" w:after="0" w:afterAutospacing="0"/>
              <w:ind w:left="0" w:right="0" w:firstLine="454" w:firstLineChars="200"/>
              <w:rPr>
                <w:rFonts w:hint="eastAsia" w:cs="Times New Roman"/>
                <w:b/>
                <w:bCs/>
                <w:snapToGrid w:val="0"/>
                <w:color w:val="000000" w:themeColor="text1"/>
                <w:kern w:val="0"/>
                <w:sz w:val="24"/>
                <w:szCs w:val="22"/>
                <w14:textFill>
                  <w14:solidFill>
                    <w14:schemeClr w14:val="tx1"/>
                  </w14:solidFill>
                </w14:textFill>
              </w:rPr>
            </w:pPr>
            <w:r>
              <w:rPr>
                <w:rFonts w:hint="default" w:cs="Times New Roman"/>
                <w:color w:val="000000" w:themeColor="text1"/>
                <w:kern w:val="0"/>
                <w:sz w:val="24"/>
                <w14:textFill>
                  <w14:solidFill>
                    <w14:schemeClr w14:val="tx1"/>
                  </w14:solidFill>
                </w14:textFill>
              </w:rPr>
              <w:t>根据实地调查，</w:t>
            </w:r>
            <w:r>
              <w:rPr>
                <w:rFonts w:hint="eastAsia" w:cs="Times New Roman"/>
                <w:color w:val="000000" w:themeColor="text1"/>
                <w:kern w:val="0"/>
                <w:sz w:val="24"/>
                <w14:textFill>
                  <w14:solidFill>
                    <w14:schemeClr w14:val="tx1"/>
                  </w14:solidFill>
                </w14:textFill>
              </w:rPr>
              <w:t>本项目各治理区</w:t>
            </w:r>
            <w:r>
              <w:rPr>
                <w:rFonts w:hint="default" w:cs="Times New Roman"/>
                <w:color w:val="000000" w:themeColor="text1"/>
                <w:kern w:val="0"/>
                <w:sz w:val="24"/>
                <w14:textFill>
                  <w14:solidFill>
                    <w14:schemeClr w14:val="tx1"/>
                  </w14:solidFill>
                </w14:textFill>
              </w:rPr>
              <w:t>周边50</w:t>
            </w:r>
            <w:r>
              <w:rPr>
                <w:rFonts w:hint="eastAsia" w:cs="Times New Roman"/>
                <w:color w:val="000000" w:themeColor="text1"/>
                <w:kern w:val="0"/>
                <w:sz w:val="24"/>
                <w14:textFill>
                  <w14:solidFill>
                    <w14:schemeClr w14:val="tx1"/>
                  </w14:solidFill>
                </w14:textFill>
              </w:rPr>
              <w:t>m</w:t>
            </w:r>
            <w:r>
              <w:rPr>
                <w:rFonts w:hint="default" w:cs="Times New Roman"/>
                <w:color w:val="000000" w:themeColor="text1"/>
                <w:kern w:val="0"/>
                <w:sz w:val="24"/>
                <w14:textFill>
                  <w14:solidFill>
                    <w14:schemeClr w14:val="tx1"/>
                  </w14:solidFill>
                </w14:textFill>
              </w:rPr>
              <w:t>范围内无声环境敏感目标</w:t>
            </w:r>
            <w:r>
              <w:rPr>
                <w:rFonts w:hint="eastAsia" w:cs="Times New Roman"/>
                <w:color w:val="000000" w:themeColor="text1"/>
                <w:kern w:val="0"/>
                <w:sz w:val="24"/>
                <w14:textFill>
                  <w14:solidFill>
                    <w14:schemeClr w14:val="tx1"/>
                  </w14:solidFill>
                </w14:textFill>
              </w:rPr>
              <w:t>，</w:t>
            </w:r>
            <w:r>
              <w:rPr>
                <w:rFonts w:hint="default" w:cs="Times New Roman"/>
                <w:color w:val="000000" w:themeColor="text1"/>
                <w:kern w:val="0"/>
                <w:sz w:val="24"/>
                <w14:textFill>
                  <w14:solidFill>
                    <w14:schemeClr w14:val="tx1"/>
                  </w14:solidFill>
                </w14:textFill>
              </w:rPr>
              <w:t>因此，不开展声环境质量现状调查。</w:t>
            </w:r>
          </w:p>
          <w:p w14:paraId="09069290">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土壤环境质量</w:t>
            </w:r>
          </w:p>
          <w:p w14:paraId="462A297E">
            <w:pPr>
              <w:keepNext w:val="0"/>
              <w:keepLines w:val="0"/>
              <w:suppressLineNumbers w:val="0"/>
              <w:bidi w:val="0"/>
              <w:spacing w:before="0" w:beforeAutospacing="0" w:after="0" w:afterAutospacing="0"/>
              <w:ind w:left="0" w:right="0"/>
              <w:rPr>
                <w:rFonts w:hint="default" w:cs="Times New Roman"/>
                <w:color w:val="000000" w:themeColor="text1"/>
                <w:kern w:val="0"/>
                <w:sz w:val="24"/>
                <w14:textFill>
                  <w14:solidFill>
                    <w14:schemeClr w14:val="tx1"/>
                  </w14:solidFill>
                </w14:textFill>
              </w:rPr>
            </w:pPr>
            <w:r>
              <w:rPr>
                <w:rFonts w:hint="eastAsia"/>
                <w:color w:val="000000" w:themeColor="text1"/>
                <w14:textFill>
                  <w14:solidFill>
                    <w14:schemeClr w14:val="tx1"/>
                  </w14:solidFill>
                </w14:textFill>
              </w:rPr>
              <w:t>本项目主要对</w:t>
            </w:r>
            <w:r>
              <w:rPr>
                <w:rFonts w:hint="default"/>
                <w:color w:val="000000" w:themeColor="text1"/>
                <w14:textFill>
                  <w14:solidFill>
                    <w14:schemeClr w14:val="tx1"/>
                  </w14:solidFill>
                </w14:textFill>
              </w:rPr>
              <w:t>历史遗留废弃矿山</w:t>
            </w:r>
            <w:r>
              <w:rPr>
                <w:rFonts w:hint="eastAsia"/>
                <w:color w:val="000000" w:themeColor="text1"/>
                <w14:textFill>
                  <w14:solidFill>
                    <w14:schemeClr w14:val="tx1"/>
                  </w14:solidFill>
                </w14:textFill>
              </w:rPr>
              <w:t>进行</w:t>
            </w:r>
            <w:r>
              <w:rPr>
                <w:rFonts w:hint="eastAsia"/>
                <w:color w:val="000000" w:themeColor="text1"/>
                <w:lang w:val="en-US" w:eastAsia="zh-CN"/>
                <w14:textFill>
                  <w14:solidFill>
                    <w14:schemeClr w14:val="tx1"/>
                  </w14:solidFill>
                </w14:textFill>
              </w:rPr>
              <w:t>恢复治理</w:t>
            </w:r>
            <w:r>
              <w:rPr>
                <w:rFonts w:hint="eastAsia"/>
                <w:color w:val="000000" w:themeColor="text1"/>
                <w14:textFill>
                  <w14:solidFill>
                    <w14:schemeClr w14:val="tx1"/>
                  </w14:solidFill>
                </w14:textFill>
              </w:rPr>
              <w:t>，项目主要建设内容高边坡治理工程、地形地貌恢复工程、标识牌及卡口设立等工程措施，施工期及运营期不存在土壤的污染途径</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根据</w:t>
            </w:r>
            <w:r>
              <w:rPr>
                <w:rFonts w:hint="default"/>
                <w:color w:val="000000" w:themeColor="text1"/>
                <w14:textFill>
                  <w14:solidFill>
                    <w14:schemeClr w14:val="tx1"/>
                  </w14:solidFill>
                </w14:textFill>
              </w:rPr>
              <w:t>《环境影响评价技术导则</w:t>
            </w:r>
            <w:r>
              <w:rPr>
                <w:rFonts w:hint="eastAsia"/>
                <w:color w:val="000000" w:themeColor="text1"/>
                <w:lang w:val="en-US" w:eastAsia="zh-CN"/>
                <w14:textFill>
                  <w14:solidFill>
                    <w14:schemeClr w14:val="tx1"/>
                  </w14:solidFill>
                </w14:textFill>
              </w:rPr>
              <w:t xml:space="preserve"> 土壤环境（试行）</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（HJ 964—2018），</w:t>
            </w:r>
            <w:r>
              <w:rPr>
                <w:rFonts w:hint="eastAsia"/>
                <w:color w:val="000000" w:themeColor="text1"/>
                <w:lang w:val="en-US" w:eastAsia="zh-CN"/>
                <w14:textFill>
                  <w14:solidFill>
                    <w14:schemeClr w14:val="tx1"/>
                  </w14:solidFill>
                </w14:textFill>
              </w:rPr>
              <w:t>本</w:t>
            </w:r>
            <w:r>
              <w:rPr>
                <w:rFonts w:hint="default"/>
                <w:color w:val="000000" w:themeColor="text1"/>
                <w14:textFill>
                  <w14:solidFill>
                    <w14:schemeClr w14:val="tx1"/>
                  </w14:solidFill>
                </w14:textFill>
              </w:rPr>
              <w:t>项目行业类别</w:t>
            </w:r>
            <w:r>
              <w:rPr>
                <w:rFonts w:hint="eastAsia"/>
                <w:color w:val="000000" w:themeColor="text1"/>
                <w:lang w:val="en-US" w:eastAsia="zh-CN"/>
                <w14:textFill>
                  <w14:solidFill>
                    <w14:schemeClr w14:val="tx1"/>
                  </w14:solidFill>
                </w14:textFill>
              </w:rPr>
              <w:t>属于其他行</w:t>
            </w:r>
            <w:r>
              <w:rPr>
                <w:rFonts w:hint="default"/>
                <w:color w:val="000000" w:themeColor="text1"/>
                <w14:textFill>
                  <w14:solidFill>
                    <w14:schemeClr w14:val="tx1"/>
                  </w14:solidFill>
                </w14:textFill>
              </w:rPr>
              <w:t>业</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本项目施工期。运营期均不存在土壤污染途径</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因此，本次评价不开展土壤环境质量现状调查。</w:t>
            </w:r>
          </w:p>
        </w:tc>
      </w:tr>
      <w:tr w14:paraId="7FF790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noWrap w:val="0"/>
            <w:vAlign w:val="center"/>
          </w:tcPr>
          <w:p w14:paraId="03667F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kern w:val="0"/>
                <w:szCs w:val="21"/>
                <w14:textFill>
                  <w14:solidFill>
                    <w14:schemeClr w14:val="tx1"/>
                  </w14:solidFill>
                </w14:textFill>
              </w:rPr>
            </w:pPr>
            <w:r>
              <w:rPr>
                <w:rFonts w:hint="default"/>
                <w:b/>
                <w:bCs/>
                <w:color w:val="000000" w:themeColor="text1"/>
                <w14:textFill>
                  <w14:solidFill>
                    <w14:schemeClr w14:val="tx1"/>
                  </w14:solidFill>
                </w14:textFill>
              </w:rPr>
              <w:t>与项目有关的原有环境污染和生态破坏问题</w:t>
            </w:r>
          </w:p>
        </w:tc>
        <w:tc>
          <w:tcPr>
            <w:tcW w:w="8504" w:type="dxa"/>
            <w:noWrap w:val="0"/>
            <w:vAlign w:val="center"/>
          </w:tcPr>
          <w:p w14:paraId="3BC967E8">
            <w:pPr>
              <w:keepNext w:val="0"/>
              <w:keepLines w:val="0"/>
              <w:suppressLineNumbers w:val="0"/>
              <w:bidi w:val="0"/>
              <w:spacing w:before="0" w:beforeAutospacing="0" w:after="0" w:afterAutospacing="0"/>
              <w:ind w:left="0" w:right="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治理区</w:t>
            </w:r>
            <w:r>
              <w:rPr>
                <w:rFonts w:hint="eastAsia"/>
                <w:color w:val="000000" w:themeColor="text1"/>
                <w:lang w:val="en-US" w:eastAsia="zh-CN"/>
                <w14:textFill>
                  <w14:solidFill>
                    <w14:schemeClr w14:val="tx1"/>
                  </w14:solidFill>
                </w14:textFill>
              </w:rPr>
              <w:t>原有</w:t>
            </w:r>
            <w:r>
              <w:rPr>
                <w:rFonts w:hint="default"/>
                <w:color w:val="000000" w:themeColor="text1"/>
                <w14:textFill>
                  <w14:solidFill>
                    <w14:schemeClr w14:val="tx1"/>
                  </w14:solidFill>
                </w14:textFill>
              </w:rPr>
              <w:t>环境问题主要为矿山开采引起，露天开采不但破坏了矿区内的原生地形地貌，形成强烈视觉污染，也导致一系列矿山地质环境问题发生或加剧已存在问题。目前区内主要地质环境问题为露天开采形成的高陡边坡引发潜在崩塌等地质灾害，采矿活动产生的采坑、渣堆破坏含水层、地形地貌景观、土地资源等</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不存在原有污染情况</w:t>
            </w:r>
            <w:r>
              <w:rPr>
                <w:rFonts w:hint="eastAsia"/>
                <w:color w:val="000000" w:themeColor="text1"/>
                <w:lang w:eastAsia="zh-CN"/>
                <w14:textFill>
                  <w14:solidFill>
                    <w14:schemeClr w14:val="tx1"/>
                  </w14:solidFill>
                </w14:textFill>
              </w:rPr>
              <w:t>。</w:t>
            </w:r>
          </w:p>
          <w:p w14:paraId="23148D59">
            <w:pPr>
              <w:bidi w:val="0"/>
              <w:rPr>
                <w:rFonts w:hint="eastAsia"/>
                <w:color w:val="000000" w:themeColor="text1"/>
                <w:lang w:val="en-US" w:eastAsia="zh-CN"/>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项目区</w:t>
            </w:r>
            <w:r>
              <w:rPr>
                <w:rFonts w:hint="eastAsia" w:ascii="宋体" w:hAnsi="宋体" w:cs="宋体"/>
                <w:b w:val="0"/>
                <w:bCs w:val="0"/>
                <w:color w:val="000000" w:themeColor="text1"/>
                <w:sz w:val="24"/>
                <w:szCs w:val="24"/>
                <w:lang w:val="en-US" w:eastAsia="zh-CN"/>
                <w14:textFill>
                  <w14:solidFill>
                    <w14:schemeClr w14:val="tx1"/>
                  </w14:solidFill>
                </w14:textFill>
              </w:rPr>
              <w:t>为私挖的小煤矿及土砂石矿，矿渣、渣堆为历史</w:t>
            </w:r>
            <w:r>
              <w:rPr>
                <w:rFonts w:hint="default" w:ascii="宋体" w:hAnsi="宋体" w:eastAsia="宋体" w:cs="宋体"/>
                <w:b w:val="0"/>
                <w:bCs w:val="0"/>
                <w:color w:val="000000" w:themeColor="text1"/>
                <w:sz w:val="24"/>
                <w:szCs w:val="24"/>
                <w14:textFill>
                  <w14:solidFill>
                    <w14:schemeClr w14:val="tx1"/>
                  </w14:solidFill>
                </w14:textFill>
              </w:rPr>
              <w:t>遗留剥离的废石</w:t>
            </w:r>
            <w:r>
              <w:rPr>
                <w:rFonts w:hint="eastAsia" w:ascii="宋体" w:hAnsi="宋体" w:cs="宋体"/>
                <w:b w:val="0"/>
                <w:bCs w:val="0"/>
                <w:color w:val="000000" w:themeColor="text1"/>
                <w:sz w:val="24"/>
                <w:szCs w:val="24"/>
                <w:lang w:val="en-US" w:eastAsia="zh-CN"/>
                <w14:textFill>
                  <w14:solidFill>
                    <w14:schemeClr w14:val="tx1"/>
                  </w14:solidFill>
                </w14:textFill>
              </w:rPr>
              <w:t>，均为一般工业固体废物，在治理区内就近填埋，</w:t>
            </w:r>
            <w:r>
              <w:rPr>
                <w:rFonts w:hint="eastAsia"/>
                <w:color w:val="000000" w:themeColor="text1"/>
                <w14:textFill>
                  <w14:solidFill>
                    <w14:schemeClr w14:val="tx1"/>
                  </w14:solidFill>
                </w14:textFill>
              </w:rPr>
              <w:t>与项目有关的生态破坏问题</w:t>
            </w:r>
            <w:r>
              <w:rPr>
                <w:rFonts w:hint="default"/>
                <w:color w:val="000000" w:themeColor="text1"/>
                <w14:textFill>
                  <w14:solidFill>
                    <w14:schemeClr w14:val="tx1"/>
                  </w14:solidFill>
                </w14:textFill>
              </w:rPr>
              <w:t>见表</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主要问题现状图及卫星图见图3-2至图3-13。</w:t>
            </w:r>
          </w:p>
          <w:p w14:paraId="6FA75D27">
            <w:pPr>
              <w:pStyle w:val="3"/>
              <w:bidi w:val="0"/>
              <w:rPr>
                <w:rFonts w:hint="default"/>
                <w:color w:val="000000" w:themeColor="text1"/>
                <w14:textFill>
                  <w14:solidFill>
                    <w14:schemeClr w14:val="tx1"/>
                  </w14:solidFill>
                </w14:textFill>
              </w:rPr>
            </w:pPr>
          </w:p>
          <w:p w14:paraId="2E017D0B">
            <w:pPr>
              <w:pStyle w:val="3"/>
              <w:bidi w:val="0"/>
              <w:rPr>
                <w:rFonts w:hint="default"/>
                <w:color w:val="000000" w:themeColor="text1"/>
                <w14:textFill>
                  <w14:solidFill>
                    <w14:schemeClr w14:val="tx1"/>
                  </w14:solidFill>
                </w14:textFill>
              </w:rPr>
            </w:pPr>
          </w:p>
          <w:p w14:paraId="50E875A7">
            <w:pPr>
              <w:pStyle w:val="3"/>
              <w:bidi w:val="0"/>
              <w:rPr>
                <w:rFonts w:hint="default"/>
                <w:color w:val="000000" w:themeColor="text1"/>
                <w14:textFill>
                  <w14:solidFill>
                    <w14:schemeClr w14:val="tx1"/>
                  </w14:solidFill>
                </w14:textFill>
              </w:rPr>
            </w:pPr>
          </w:p>
          <w:p w14:paraId="482D6286">
            <w:pPr>
              <w:pStyle w:val="3"/>
              <w:bidi w:val="0"/>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3-4</w:t>
            </w:r>
            <w:r>
              <w:rPr>
                <w:rFonts w:hint="default"/>
                <w:color w:val="000000" w:themeColor="text1"/>
                <w14:textFill>
                  <w14:solidFill>
                    <w14:schemeClr w14:val="tx1"/>
                  </w14:solidFill>
                </w14:textFill>
              </w:rPr>
              <w:t xml:space="preserve">  各治理区</w:t>
            </w:r>
            <w:r>
              <w:rPr>
                <w:rFonts w:hint="eastAsia"/>
                <w:color w:val="000000" w:themeColor="text1"/>
                <w:sz w:val="24"/>
                <w:szCs w:val="24"/>
                <w14:textFill>
                  <w14:solidFill>
                    <w14:schemeClr w14:val="tx1"/>
                  </w14:solidFill>
                </w14:textFill>
              </w:rPr>
              <w:t>生态破坏问题</w:t>
            </w:r>
            <w:r>
              <w:rPr>
                <w:rFonts w:hint="default"/>
                <w:color w:val="000000" w:themeColor="text1"/>
                <w14:textFill>
                  <w14:solidFill>
                    <w14:schemeClr w14:val="tx1"/>
                  </w14:solidFill>
                </w14:textFill>
              </w:rPr>
              <w:t>统计表</w:t>
            </w:r>
          </w:p>
          <w:tbl>
            <w:tblPr>
              <w:tblStyle w:val="80"/>
              <w:tblW w:w="843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84"/>
              <w:gridCol w:w="1297"/>
              <w:gridCol w:w="5877"/>
            </w:tblGrid>
            <w:tr w14:paraId="1B0EBA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4E2956D2">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b/>
                      <w:bCs/>
                      <w:color w:val="000000" w:themeColor="text1"/>
                      <w14:textFill>
                        <w14:solidFill>
                          <w14:schemeClr w14:val="tx1"/>
                        </w14:solidFill>
                      </w14:textFill>
                    </w:rPr>
                  </w:pPr>
                  <w:r>
                    <w:rPr>
                      <w:b/>
                      <w:bCs/>
                      <w:color w:val="000000" w:themeColor="text1"/>
                      <w14:textFill>
                        <w14:solidFill>
                          <w14:schemeClr w14:val="tx1"/>
                        </w14:solidFill>
                      </w14:textFill>
                    </w:rPr>
                    <w:t>片区编号</w:t>
                  </w:r>
                </w:p>
              </w:tc>
              <w:tc>
                <w:tcPr>
                  <w:tcW w:w="1297" w:type="dxa"/>
                  <w:tcBorders>
                    <w:tl2br w:val="nil"/>
                    <w:tr2bl w:val="nil"/>
                  </w:tcBorders>
                  <w:noWrap w:val="0"/>
                  <w:vAlign w:val="center"/>
                </w:tcPr>
                <w:p w14:paraId="44AA455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b/>
                      <w:bCs/>
                      <w:color w:val="000000" w:themeColor="text1"/>
                      <w14:textFill>
                        <w14:solidFill>
                          <w14:schemeClr w14:val="tx1"/>
                        </w14:solidFill>
                      </w14:textFill>
                    </w:rPr>
                  </w:pPr>
                  <w:r>
                    <w:rPr>
                      <w:b/>
                      <w:bCs/>
                      <w:color w:val="000000" w:themeColor="text1"/>
                      <w14:textFill>
                        <w14:solidFill>
                          <w14:schemeClr w14:val="tx1"/>
                        </w14:solidFill>
                      </w14:textFill>
                    </w:rPr>
                    <w:t>面积（hm</w:t>
                  </w:r>
                  <w:r>
                    <w:rPr>
                      <w:b/>
                      <w:bCs/>
                      <w:color w:val="000000" w:themeColor="text1"/>
                      <w:vertAlign w:val="superscript"/>
                      <w14:textFill>
                        <w14:solidFill>
                          <w14:schemeClr w14:val="tx1"/>
                        </w14:solidFill>
                      </w14:textFill>
                    </w:rPr>
                    <w:t>2</w:t>
                  </w:r>
                  <w:r>
                    <w:rPr>
                      <w:b/>
                      <w:bCs/>
                      <w:color w:val="000000" w:themeColor="text1"/>
                      <w14:textFill>
                        <w14:solidFill>
                          <w14:schemeClr w14:val="tx1"/>
                        </w14:solidFill>
                      </w14:textFill>
                    </w:rPr>
                    <w:t>）</w:t>
                  </w:r>
                </w:p>
              </w:tc>
              <w:tc>
                <w:tcPr>
                  <w:tcW w:w="5877" w:type="dxa"/>
                  <w:tcBorders>
                    <w:tl2br w:val="nil"/>
                    <w:tr2bl w:val="nil"/>
                  </w:tcBorders>
                  <w:noWrap w:val="0"/>
                  <w:vAlign w:val="center"/>
                </w:tcPr>
                <w:p w14:paraId="5BD8594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原有生态破坏问题</w:t>
                  </w:r>
                </w:p>
              </w:tc>
            </w:tr>
            <w:tr w14:paraId="46F2E0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1B438E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DK-01</w:t>
                  </w:r>
                </w:p>
              </w:tc>
              <w:tc>
                <w:tcPr>
                  <w:tcW w:w="1297" w:type="dxa"/>
                  <w:tcBorders>
                    <w:tl2br w:val="nil"/>
                    <w:tr2bl w:val="nil"/>
                  </w:tcBorders>
                  <w:noWrap w:val="0"/>
                  <w:vAlign w:val="center"/>
                </w:tcPr>
                <w:p w14:paraId="514444C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0.84</w:t>
                  </w:r>
                </w:p>
              </w:tc>
              <w:tc>
                <w:tcPr>
                  <w:tcW w:w="5877" w:type="dxa"/>
                  <w:tcBorders>
                    <w:tl2br w:val="nil"/>
                    <w:tr2bl w:val="nil"/>
                  </w:tcBorders>
                  <w:noWrap w:val="0"/>
                  <w:vAlign w:val="center"/>
                </w:tcPr>
                <w:p w14:paraId="1F241E4D">
                  <w:pPr>
                    <w:pStyle w:val="34"/>
                    <w:bidi w:val="0"/>
                    <w:rPr>
                      <w:rFonts w:hint="eastAsia"/>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DK-01</w:t>
                  </w:r>
                  <w:r>
                    <w:rPr>
                      <w:color w:val="000000" w:themeColor="text1"/>
                      <w:lang w:val="en-US" w:eastAsia="zh-CN"/>
                      <w14:textFill>
                        <w14:solidFill>
                          <w14:schemeClr w14:val="tx1"/>
                        </w14:solidFill>
                      </w14:textFill>
                    </w:rPr>
                    <w:t>位于北山区域</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属历史遗留急需治理的矿山，采矿区为露天采矿，停止开采后，</w:t>
                  </w:r>
                  <w:r>
                    <w:rPr>
                      <w:rFonts w:hint="eastAsia"/>
                      <w:color w:val="000000" w:themeColor="text1"/>
                      <w:lang w:eastAsia="zh-CN"/>
                      <w14:textFill>
                        <w14:solidFill>
                          <w14:schemeClr w14:val="tx1"/>
                        </w14:solidFill>
                      </w14:textFill>
                    </w:rPr>
                    <w:t>废石</w:t>
                  </w:r>
                  <w:r>
                    <w:rPr>
                      <w:color w:val="000000" w:themeColor="text1"/>
                      <w14:textFill>
                        <w14:solidFill>
                          <w14:schemeClr w14:val="tx1"/>
                        </w14:solidFill>
                      </w14:textFill>
                    </w:rPr>
                    <w:t>随意堆放，山体坡度陡峭</w:t>
                  </w:r>
                  <w:r>
                    <w:rPr>
                      <w:rFonts w:hint="eastAsia"/>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现有渣堆3处，占地面积189.6m</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，渣堆普遍高度为3-4m；有采坑2个，占地面积292.6m</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，最深处为5m；采矿地形损毁区2处，总面积3169m</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2</w:t>
                  </w:r>
                </w:p>
              </w:tc>
            </w:tr>
            <w:tr w14:paraId="7733CC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152B74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DK-02</w:t>
                  </w:r>
                </w:p>
              </w:tc>
              <w:tc>
                <w:tcPr>
                  <w:tcW w:w="1297" w:type="dxa"/>
                  <w:tcBorders>
                    <w:tl2br w:val="nil"/>
                    <w:tr2bl w:val="nil"/>
                  </w:tcBorders>
                  <w:noWrap w:val="0"/>
                  <w:vAlign w:val="center"/>
                </w:tcPr>
                <w:p w14:paraId="409EA32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15.49</w:t>
                  </w:r>
                </w:p>
              </w:tc>
              <w:tc>
                <w:tcPr>
                  <w:tcW w:w="5877" w:type="dxa"/>
                  <w:tcBorders>
                    <w:tl2br w:val="nil"/>
                    <w:tr2bl w:val="nil"/>
                  </w:tcBorders>
                  <w:noWrap w:val="0"/>
                  <w:vAlign w:val="center"/>
                </w:tcPr>
                <w:p w14:paraId="466FFF8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DK-02位于迎水桥孟家湾村，黄河北岸边，距离黄河不足1km，治理面积15.4</w:t>
                  </w:r>
                  <w:r>
                    <w:rPr>
                      <w:rFonts w:hint="eastAsia" w:cs="Times New Roman"/>
                      <w:color w:val="000000" w:themeColor="text1"/>
                      <w:kern w:val="0"/>
                      <w:sz w:val="21"/>
                      <w:szCs w:val="21"/>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hm</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，主要是采</w:t>
                  </w:r>
                  <w:r>
                    <w:rPr>
                      <w:rFonts w:hint="eastAsia" w:cs="Times New Roman"/>
                      <w:color w:val="000000" w:themeColor="text1"/>
                      <w:kern w:val="0"/>
                      <w:sz w:val="21"/>
                      <w:szCs w:val="21"/>
                      <w:lang w:val="en-US" w:eastAsia="zh-CN" w:bidi="ar"/>
                      <w14:textFill>
                        <w14:solidFill>
                          <w14:schemeClr w14:val="tx1"/>
                        </w14:solidFill>
                      </w14:textFill>
                    </w:rPr>
                    <w:t>废石</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堆压占土地，使地形地貌遭到破坏，东部及北部山体边坡损毁，产生高陡边坡。现场调查，损毁边坡高度6-8m，坡度在75°，坡脚下渣堆规模较小，高度在1-2.5m之间</w:t>
                  </w:r>
                </w:p>
              </w:tc>
            </w:tr>
            <w:tr w14:paraId="4A01E9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7FF7A0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DK-0</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3</w:t>
                  </w:r>
                </w:p>
              </w:tc>
              <w:tc>
                <w:tcPr>
                  <w:tcW w:w="1297" w:type="dxa"/>
                  <w:tcBorders>
                    <w:tl2br w:val="nil"/>
                    <w:tr2bl w:val="nil"/>
                  </w:tcBorders>
                  <w:noWrap w:val="0"/>
                  <w:vAlign w:val="center"/>
                </w:tcPr>
                <w:p w14:paraId="2404269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4.34</w:t>
                  </w:r>
                </w:p>
              </w:tc>
              <w:tc>
                <w:tcPr>
                  <w:tcW w:w="5877" w:type="dxa"/>
                  <w:tcBorders>
                    <w:tl2br w:val="nil"/>
                    <w:tr2bl w:val="nil"/>
                  </w:tcBorders>
                  <w:noWrap w:val="0"/>
                  <w:vAlign w:val="center"/>
                </w:tcPr>
                <w:p w14:paraId="1AFE0D6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DK-03位于永康镇乐台村西部，崾岘子沟东坡，为采砂石料表面剥离石渣堆积物，粗放的堆放渣堆，导致原始地形地貌遭到严重的破坏、土地损毁严重、植被无法生长，使得项目区生态环境遭到破坏，与周围环境形成强烈的反差，极不协调</w:t>
                  </w:r>
                </w:p>
              </w:tc>
            </w:tr>
            <w:tr w14:paraId="213478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4580AD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DK-04</w:t>
                  </w:r>
                </w:p>
              </w:tc>
              <w:tc>
                <w:tcPr>
                  <w:tcW w:w="1297" w:type="dxa"/>
                  <w:tcBorders>
                    <w:tl2br w:val="nil"/>
                    <w:tr2bl w:val="nil"/>
                  </w:tcBorders>
                  <w:noWrap w:val="0"/>
                  <w:vAlign w:val="center"/>
                </w:tcPr>
                <w:p w14:paraId="533E2F0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8.1</w:t>
                  </w:r>
                </w:p>
              </w:tc>
              <w:tc>
                <w:tcPr>
                  <w:tcW w:w="5877" w:type="dxa"/>
                  <w:tcBorders>
                    <w:tl2br w:val="nil"/>
                    <w:tr2bl w:val="nil"/>
                  </w:tcBorders>
                  <w:noWrap w:val="0"/>
                  <w:vAlign w:val="center"/>
                </w:tcPr>
                <w:p w14:paraId="122488B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DK-04位于南山台与卫宁平原缓冲带，丰台村和刘湾村交界处，盗采砂砾石形成的破坏，主要破坏类型是废弃石渣堆放压占土地，破坏地形地貌；盗采砂石矿随意堆放的表层土石，形成的渣堆压占土地，导致周边植被破坏，生态环境受损</w:t>
                  </w:r>
                </w:p>
              </w:tc>
            </w:tr>
            <w:tr w14:paraId="0E0172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4E9954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DK-05</w:t>
                  </w:r>
                </w:p>
              </w:tc>
              <w:tc>
                <w:tcPr>
                  <w:tcW w:w="1297" w:type="dxa"/>
                  <w:tcBorders>
                    <w:tl2br w:val="nil"/>
                    <w:tr2bl w:val="nil"/>
                  </w:tcBorders>
                  <w:noWrap w:val="0"/>
                  <w:vAlign w:val="center"/>
                </w:tcPr>
                <w:p w14:paraId="478CA4E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2.6</w:t>
                  </w:r>
                </w:p>
              </w:tc>
              <w:tc>
                <w:tcPr>
                  <w:tcW w:w="5877" w:type="dxa"/>
                  <w:tcBorders>
                    <w:tl2br w:val="nil"/>
                    <w:tr2bl w:val="nil"/>
                  </w:tcBorders>
                  <w:noWrap w:val="0"/>
                  <w:vAlign w:val="center"/>
                </w:tcPr>
                <w:p w14:paraId="1D168E1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5</w:t>
                  </w:r>
                  <w:r>
                    <w:rPr>
                      <w:color w:val="000000" w:themeColor="text1"/>
                      <w:lang w:val="en-US" w:eastAsia="zh-CN"/>
                      <w14:textFill>
                        <w14:solidFill>
                          <w14:schemeClr w14:val="tx1"/>
                        </w14:solidFill>
                      </w14:textFill>
                    </w:rPr>
                    <w:t>位于</w:t>
                  </w:r>
                  <w:r>
                    <w:rPr>
                      <w:rFonts w:hint="eastAsia"/>
                      <w:color w:val="000000" w:themeColor="text1"/>
                      <w:lang w:val="en-US" w:eastAsia="zh-CN"/>
                      <w14:textFill>
                        <w14:solidFill>
                          <w14:schemeClr w14:val="tx1"/>
                        </w14:solidFill>
                      </w14:textFill>
                    </w:rPr>
                    <w:t>永康镇北部，采砂形成的边坡缺少防护，容易形成塌方、滑坡等地质灾害；废弃废石随意堆放，破坏原始地形地貌；无序挖采，致使土地资源破坏</w:t>
                  </w:r>
                </w:p>
              </w:tc>
            </w:tr>
            <w:tr w14:paraId="3833DE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5683C1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DK-06</w:t>
                  </w:r>
                </w:p>
              </w:tc>
              <w:tc>
                <w:tcPr>
                  <w:tcW w:w="1297" w:type="dxa"/>
                  <w:tcBorders>
                    <w:tl2br w:val="nil"/>
                    <w:tr2bl w:val="nil"/>
                  </w:tcBorders>
                  <w:noWrap w:val="0"/>
                  <w:vAlign w:val="center"/>
                </w:tcPr>
                <w:p w14:paraId="746E1B2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0.65</w:t>
                  </w:r>
                </w:p>
              </w:tc>
              <w:tc>
                <w:tcPr>
                  <w:tcW w:w="5877" w:type="dxa"/>
                  <w:tcBorders>
                    <w:tl2br w:val="nil"/>
                    <w:tr2bl w:val="nil"/>
                  </w:tcBorders>
                  <w:noWrap w:val="0"/>
                  <w:vAlign w:val="center"/>
                </w:tcPr>
                <w:p w14:paraId="33CCA05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6</w:t>
                  </w:r>
                  <w:r>
                    <w:rPr>
                      <w:color w:val="000000" w:themeColor="text1"/>
                      <w:lang w:val="en-US" w:eastAsia="zh-CN"/>
                      <w14:textFill>
                        <w14:solidFill>
                          <w14:schemeClr w14:val="tx1"/>
                        </w14:solidFill>
                      </w14:textFill>
                    </w:rPr>
                    <w:t>位于</w:t>
                  </w:r>
                  <w:r>
                    <w:rPr>
                      <w:rFonts w:hint="eastAsia"/>
                      <w:color w:val="000000" w:themeColor="text1"/>
                      <w:lang w:val="en-US" w:eastAsia="zh-CN"/>
                      <w14:textFill>
                        <w14:solidFill>
                          <w14:schemeClr w14:val="tx1"/>
                        </w14:solidFill>
                      </w14:textFill>
                    </w:rPr>
                    <w:t>常乐镇北部，采砂形成的边坡缺少防护，容易形成塌方、滑坡等地质灾害；废弃废石随意堆放，破坏原始地形地貌；无序挖采，致使土地资源破坏</w:t>
                  </w:r>
                </w:p>
              </w:tc>
            </w:tr>
            <w:tr w14:paraId="040371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5D1857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000000" w:themeColor="text1"/>
                      <w:kern w:val="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DK-07</w:t>
                  </w:r>
                </w:p>
              </w:tc>
              <w:tc>
                <w:tcPr>
                  <w:tcW w:w="1297" w:type="dxa"/>
                  <w:tcBorders>
                    <w:tl2br w:val="nil"/>
                    <w:tr2bl w:val="nil"/>
                  </w:tcBorders>
                  <w:noWrap w:val="0"/>
                  <w:vAlign w:val="center"/>
                </w:tcPr>
                <w:p w14:paraId="28AEB35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1.76</w:t>
                  </w:r>
                </w:p>
              </w:tc>
              <w:tc>
                <w:tcPr>
                  <w:tcW w:w="5877" w:type="dxa"/>
                  <w:tcBorders>
                    <w:tl2br w:val="nil"/>
                    <w:tr2bl w:val="nil"/>
                  </w:tcBorders>
                  <w:noWrap w:val="0"/>
                  <w:vAlign w:val="center"/>
                </w:tcPr>
                <w:p w14:paraId="2CCD752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b/>
                      <w:bCs/>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DK-0</w:t>
                  </w:r>
                  <w:r>
                    <w:rPr>
                      <w:rFonts w:hint="eastAsia"/>
                      <w:color w:val="000000" w:themeColor="text1"/>
                      <w:lang w:val="en-US" w:eastAsia="zh-CN"/>
                      <w14:textFill>
                        <w14:solidFill>
                          <w14:schemeClr w14:val="tx1"/>
                        </w14:solidFill>
                      </w14:textFill>
                    </w:rPr>
                    <w:t>7</w:t>
                  </w:r>
                  <w:r>
                    <w:rPr>
                      <w:color w:val="000000" w:themeColor="text1"/>
                      <w:lang w:val="en-US" w:eastAsia="zh-CN"/>
                      <w14:textFill>
                        <w14:solidFill>
                          <w14:schemeClr w14:val="tx1"/>
                        </w14:solidFill>
                      </w14:textFill>
                    </w:rPr>
                    <w:t>位于</w:t>
                  </w:r>
                  <w:r>
                    <w:rPr>
                      <w:rFonts w:hint="eastAsia"/>
                      <w:color w:val="000000" w:themeColor="text1"/>
                      <w:lang w:val="en-US" w:eastAsia="zh-CN"/>
                      <w14:textFill>
                        <w14:solidFill>
                          <w14:schemeClr w14:val="tx1"/>
                        </w14:solidFill>
                      </w14:textFill>
                    </w:rPr>
                    <w:t>兴仁镇北部，盗采砂石料形成的地形地貌破坏导致，容易形成塌方、滑坡等地质灾害；废弃废石随意堆放，破坏原始地形地貌；无序挖采，致使土地资源破坏</w:t>
                  </w:r>
                </w:p>
              </w:tc>
            </w:tr>
            <w:tr w14:paraId="210F52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84" w:type="dxa"/>
                  <w:tcBorders>
                    <w:tl2br w:val="nil"/>
                    <w:tr2bl w:val="nil"/>
                  </w:tcBorders>
                  <w:noWrap w:val="0"/>
                  <w:vAlign w:val="center"/>
                </w:tcPr>
                <w:p w14:paraId="5A91083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合计</w:t>
                  </w:r>
                </w:p>
              </w:tc>
              <w:tc>
                <w:tcPr>
                  <w:tcW w:w="1297" w:type="dxa"/>
                  <w:tcBorders>
                    <w:tl2br w:val="nil"/>
                    <w:tr2bl w:val="nil"/>
                  </w:tcBorders>
                  <w:noWrap w:val="0"/>
                  <w:vAlign w:val="center"/>
                </w:tcPr>
                <w:p w14:paraId="490FBE6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3.78</w:t>
                  </w:r>
                </w:p>
              </w:tc>
              <w:tc>
                <w:tcPr>
                  <w:tcW w:w="5877" w:type="dxa"/>
                  <w:tcBorders>
                    <w:tl2br w:val="nil"/>
                    <w:tr2bl w:val="nil"/>
                  </w:tcBorders>
                  <w:noWrap w:val="0"/>
                  <w:vAlign w:val="center"/>
                </w:tcPr>
                <w:p w14:paraId="65AA3E0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jc w:val="center"/>
                    <w:textAlignment w:val="auto"/>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bl>
          <w:tbl>
            <w:tblPr>
              <w:tblStyle w:val="28"/>
              <w:tblW w:w="8439"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39"/>
            </w:tblGrid>
            <w:tr w14:paraId="617A0B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439" w:type="dxa"/>
                  <w:tcBorders>
                    <w:tl2br w:val="nil"/>
                    <w:tr2bl w:val="nil"/>
                  </w:tcBorders>
                  <w:noWrap w:val="0"/>
                  <w:vAlign w:val="top"/>
                </w:tcPr>
                <w:tbl>
                  <w:tblPr>
                    <w:tblStyle w:val="28"/>
                    <w:tblW w:w="8439" w:type="dxa"/>
                    <w:tblInd w:w="-20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83"/>
                    <w:gridCol w:w="4256"/>
                  </w:tblGrid>
                  <w:tr w14:paraId="3E8B3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3FB6D7A4">
                        <w:pPr>
                          <w:pStyle w:val="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图3-2  DK-01</w:t>
                        </w:r>
                        <w:r>
                          <w:rPr>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2664460" cy="1998345"/>
                              <wp:effectExtent l="0" t="0" r="2540" b="1905"/>
                              <wp:wrapTopAndBottom/>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6"/>
                                      <a:stretch>
                                        <a:fillRect/>
                                      </a:stretch>
                                    </pic:blipFill>
                                    <pic:spPr>
                                      <a:xfrm>
                                        <a:off x="0" y="0"/>
                                        <a:ext cx="2664460" cy="1998345"/>
                                      </a:xfrm>
                                      <a:prstGeom prst="rect">
                                        <a:avLst/>
                                      </a:prstGeom>
                                      <a:noFill/>
                                      <a:ln>
                                        <a:noFill/>
                                      </a:ln>
                                    </pic:spPr>
                                  </pic:pic>
                                </a:graphicData>
                              </a:graphic>
                            </wp:anchor>
                          </w:drawing>
                        </w:r>
                        <w:r>
                          <w:rPr>
                            <w:rFonts w:hint="eastAsia"/>
                            <w:color w:val="000000" w:themeColor="text1"/>
                            <w:lang w:val="en-US" w:eastAsia="zh-CN"/>
                            <w14:textFill>
                              <w14:solidFill>
                                <w14:schemeClr w14:val="tx1"/>
                              </w14:solidFill>
                            </w14:textFill>
                          </w:rPr>
                          <w:t>卫星图</w:t>
                        </w:r>
                      </w:p>
                      <w:p w14:paraId="28914C0A">
                        <w:pPr>
                          <w:rPr>
                            <w:rFonts w:hint="eastAsia"/>
                            <w:color w:val="000000" w:themeColor="text1"/>
                            <w:lang w:val="en-US" w:eastAsia="zh-CN"/>
                            <w14:textFill>
                              <w14:solidFill>
                                <w14:schemeClr w14:val="tx1"/>
                              </w14:solidFill>
                            </w14:textFill>
                          </w:rPr>
                        </w:pPr>
                      </w:p>
                      <w:p w14:paraId="360F3A71">
                        <w:pPr>
                          <w:rPr>
                            <w:rFonts w:hint="eastAsia"/>
                            <w:color w:val="000000" w:themeColor="text1"/>
                            <w:lang w:val="en-US" w:eastAsia="zh-CN"/>
                            <w14:textFill>
                              <w14:solidFill>
                                <w14:schemeClr w14:val="tx1"/>
                              </w14:solidFill>
                            </w14:textFill>
                          </w:rPr>
                        </w:pPr>
                      </w:p>
                      <w:p w14:paraId="47408073">
                        <w:pPr>
                          <w:rPr>
                            <w:rFonts w:hint="eastAsia"/>
                            <w:color w:val="000000" w:themeColor="text1"/>
                            <w:lang w:val="en-US" w:eastAsia="zh-CN"/>
                            <w14:textFill>
                              <w14:solidFill>
                                <w14:schemeClr w14:val="tx1"/>
                              </w14:solidFill>
                            </w14:textFill>
                          </w:rPr>
                        </w:pPr>
                      </w:p>
                      <w:p w14:paraId="7DFA624C">
                        <w:pPr>
                          <w:rPr>
                            <w:rFonts w:hint="eastAsia"/>
                            <w:color w:val="000000" w:themeColor="text1"/>
                            <w:lang w:val="en-US" w:eastAsia="zh-CN"/>
                            <w14:textFill>
                              <w14:solidFill>
                                <w14:schemeClr w14:val="tx1"/>
                              </w14:solidFill>
                            </w14:textFill>
                          </w:rPr>
                        </w:pPr>
                      </w:p>
                      <w:p w14:paraId="1A04258E">
                        <w:pPr>
                          <w:rPr>
                            <w:rFonts w:hint="eastAsia"/>
                            <w:color w:val="000000" w:themeColor="text1"/>
                            <w:lang w:val="en-US" w:eastAsia="zh-CN"/>
                            <w14:textFill>
                              <w14:solidFill>
                                <w14:schemeClr w14:val="tx1"/>
                              </w14:solidFill>
                            </w14:textFill>
                          </w:rPr>
                        </w:pPr>
                      </w:p>
                    </w:tc>
                    <w:tc>
                      <w:tcPr>
                        <w:tcW w:w="4256" w:type="dxa"/>
                        <w:vAlign w:val="top"/>
                      </w:tcPr>
                      <w:p w14:paraId="1456D5D2">
                        <w:pPr>
                          <w:pStyle w:val="6"/>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图3-3  </w:t>
                        </w:r>
                        <w:r>
                          <w:rPr>
                            <w:rFonts w:hint="eastAsia"/>
                            <w:color w:val="000000" w:themeColor="text1"/>
                            <w:lang w:val="en-US"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-25400</wp:posOffset>
                              </wp:positionH>
                              <wp:positionV relativeFrom="paragraph">
                                <wp:posOffset>15875</wp:posOffset>
                              </wp:positionV>
                              <wp:extent cx="2663825" cy="1997710"/>
                              <wp:effectExtent l="0" t="0" r="3175" b="2540"/>
                              <wp:wrapTopAndBottom/>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7"/>
                                      <a:stretch>
                                        <a:fillRect/>
                                      </a:stretch>
                                    </pic:blipFill>
                                    <pic:spPr>
                                      <a:xfrm>
                                        <a:off x="0" y="0"/>
                                        <a:ext cx="2663825" cy="1997710"/>
                                      </a:xfrm>
                                      <a:prstGeom prst="rect">
                                        <a:avLst/>
                                      </a:prstGeom>
                                      <a:noFill/>
                                      <a:ln>
                                        <a:noFill/>
                                      </a:ln>
                                    </pic:spPr>
                                  </pic:pic>
                                </a:graphicData>
                              </a:graphic>
                            </wp:anchor>
                          </w:drawing>
                        </w:r>
                        <w:r>
                          <w:rPr>
                            <w:rFonts w:hint="eastAsia"/>
                            <w:color w:val="000000" w:themeColor="text1"/>
                            <w:lang w:val="en-US" w:eastAsia="zh-CN"/>
                            <w14:textFill>
                              <w14:solidFill>
                                <w14:schemeClr w14:val="tx1"/>
                              </w14:solidFill>
                            </w14:textFill>
                          </w:rPr>
                          <w:t>DK-07卫星图</w:t>
                        </w:r>
                      </w:p>
                    </w:tc>
                  </w:tr>
                  <w:tr w14:paraId="4888E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06CDEFEF">
                        <w:pPr>
                          <w:pStyle w:val="34"/>
                          <w:bidi w:val="0"/>
                          <w:jc w:val="center"/>
                          <w:rPr>
                            <w:rFonts w:hint="eastAsia"/>
                            <w:color w:val="000000" w:themeColor="text1"/>
                            <w:lang w:val="en-US" w:eastAsia="zh-CN"/>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4</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DK-02卫星图</w:t>
                        </w:r>
                        <w:r>
                          <w:rPr>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2775585</wp:posOffset>
                              </wp:positionH>
                              <wp:positionV relativeFrom="paragraph">
                                <wp:posOffset>-2021205</wp:posOffset>
                              </wp:positionV>
                              <wp:extent cx="2663825" cy="1997710"/>
                              <wp:effectExtent l="0" t="0" r="3175" b="2540"/>
                              <wp:wrapTopAndBottom/>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8"/>
                                      <a:stretch>
                                        <a:fillRect/>
                                      </a:stretch>
                                    </pic:blipFill>
                                    <pic:spPr>
                                      <a:xfrm>
                                        <a:off x="0" y="0"/>
                                        <a:ext cx="2663825" cy="1997710"/>
                                      </a:xfrm>
                                      <a:prstGeom prst="rect">
                                        <a:avLst/>
                                      </a:prstGeom>
                                      <a:noFill/>
                                      <a:ln>
                                        <a:noFill/>
                                      </a:ln>
                                    </pic:spPr>
                                  </pic:pic>
                                </a:graphicData>
                              </a:graphic>
                            </wp:anchor>
                          </w:drawing>
                        </w:r>
                      </w:p>
                    </w:tc>
                    <w:tc>
                      <w:tcPr>
                        <w:tcW w:w="4256" w:type="dxa"/>
                        <w:vAlign w:val="top"/>
                      </w:tcPr>
                      <w:p w14:paraId="5B07D123">
                        <w:pPr>
                          <w:pStyle w:val="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图3-5  DK-02</w:t>
                        </w:r>
                        <w:r>
                          <w:rPr>
                            <w:rFonts w:hint="eastAsia"/>
                            <w:color w:val="000000" w:themeColor="text1"/>
                            <w:lang w:val="en-US" w:eastAsia="zh-CN"/>
                            <w14:textFill>
                              <w14:solidFill>
                                <w14:schemeClr w14:val="tx1"/>
                              </w14:solidFill>
                            </w14:textFill>
                          </w:rPr>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2663825" cy="1998345"/>
                              <wp:effectExtent l="0" t="0" r="3175" b="1905"/>
                              <wp:wrapTopAndBottom/>
                              <wp:docPr id="27" name="图片 27" descr="6750905a8b080ed666a18f86ebafa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6750905a8b080ed666a18f86ebafa81"/>
                                      <pic:cNvPicPr>
                                        <a:picLocks noChangeAspect="1"/>
                                      </pic:cNvPicPr>
                                    </pic:nvPicPr>
                                    <pic:blipFill>
                                      <a:blip r:embed="rId19"/>
                                      <a:stretch>
                                        <a:fillRect/>
                                      </a:stretch>
                                    </pic:blipFill>
                                    <pic:spPr>
                                      <a:xfrm>
                                        <a:off x="0" y="0"/>
                                        <a:ext cx="2663825" cy="1998345"/>
                                      </a:xfrm>
                                      <a:prstGeom prst="rect">
                                        <a:avLst/>
                                      </a:prstGeom>
                                    </pic:spPr>
                                  </pic:pic>
                                </a:graphicData>
                              </a:graphic>
                            </wp:anchor>
                          </w:drawing>
                        </w:r>
                        <w:r>
                          <w:rPr>
                            <w:rFonts w:hint="eastAsia"/>
                            <w:color w:val="000000" w:themeColor="text1"/>
                            <w:lang w:val="en-US" w:eastAsia="zh-CN"/>
                            <w14:textFill>
                              <w14:solidFill>
                                <w14:schemeClr w14:val="tx1"/>
                              </w14:solidFill>
                            </w14:textFill>
                          </w:rPr>
                          <w:t>现状图</w:t>
                        </w:r>
                      </w:p>
                    </w:tc>
                  </w:tr>
                  <w:tr w14:paraId="244146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52FED24D">
                        <w:pPr>
                          <w:pStyle w:val="34"/>
                          <w:bidi w:val="0"/>
                          <w:rPr>
                            <w:color w:val="000000" w:themeColor="text1"/>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6</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DK-03卫星图</w:t>
                        </w:r>
                        <w:r>
                          <w:rPr>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2663825" cy="1997710"/>
                              <wp:effectExtent l="0" t="0" r="3175" b="2540"/>
                              <wp:wrapTopAndBottom/>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0"/>
                                      <a:stretch>
                                        <a:fillRect/>
                                      </a:stretch>
                                    </pic:blipFill>
                                    <pic:spPr>
                                      <a:xfrm>
                                        <a:off x="0" y="0"/>
                                        <a:ext cx="2663825" cy="1997710"/>
                                      </a:xfrm>
                                      <a:prstGeom prst="rect">
                                        <a:avLst/>
                                      </a:prstGeom>
                                      <a:noFill/>
                                      <a:ln>
                                        <a:noFill/>
                                      </a:ln>
                                    </pic:spPr>
                                  </pic:pic>
                                </a:graphicData>
                              </a:graphic>
                            </wp:anchor>
                          </w:drawing>
                        </w:r>
                      </w:p>
                    </w:tc>
                    <w:tc>
                      <w:tcPr>
                        <w:tcW w:w="4256" w:type="dxa"/>
                        <w:vAlign w:val="top"/>
                      </w:tcPr>
                      <w:p w14:paraId="6C1079D5">
                        <w:pPr>
                          <w:pStyle w:val="34"/>
                          <w:bidi w:val="0"/>
                          <w:rPr>
                            <w:rFonts w:hint="eastAsia" w:eastAsia="宋体"/>
                            <w:color w:val="000000" w:themeColor="text1"/>
                            <w:lang w:eastAsia="zh-CN"/>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7</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drawing>
                            <wp:anchor distT="0" distB="0" distL="114300" distR="114300" simplePos="0" relativeHeight="251673600" behindDoc="0" locked="0" layoutInCell="1" allowOverlap="1">
                              <wp:simplePos x="0" y="0"/>
                              <wp:positionH relativeFrom="column">
                                <wp:posOffset>-33020</wp:posOffset>
                              </wp:positionH>
                              <wp:positionV relativeFrom="paragraph">
                                <wp:posOffset>0</wp:posOffset>
                              </wp:positionV>
                              <wp:extent cx="2663825" cy="1998345"/>
                              <wp:effectExtent l="0" t="0" r="3175" b="1905"/>
                              <wp:wrapTopAndBottom/>
                              <wp:docPr id="30" name="图片 30" descr="6750905a8b080ed666a18f86ebafa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750905a8b080ed666a18f86ebafa81"/>
                                      <pic:cNvPicPr>
                                        <a:picLocks noChangeAspect="1"/>
                                      </pic:cNvPicPr>
                                    </pic:nvPicPr>
                                    <pic:blipFill>
                                      <a:blip r:embed="rId19"/>
                                      <a:stretch>
                                        <a:fillRect/>
                                      </a:stretch>
                                    </pic:blipFill>
                                    <pic:spPr>
                                      <a:xfrm>
                                        <a:off x="0" y="0"/>
                                        <a:ext cx="2663825" cy="1998345"/>
                                      </a:xfrm>
                                      <a:prstGeom prst="rect">
                                        <a:avLst/>
                                      </a:prstGeom>
                                    </pic:spPr>
                                  </pic:pic>
                                </a:graphicData>
                              </a:graphic>
                            </wp:anchor>
                          </w:drawing>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3现状图</w:t>
                        </w:r>
                        <w:r>
                          <w:rPr>
                            <w:rFonts w:hint="eastAsia" w:eastAsia="宋体"/>
                            <w:color w:val="000000" w:themeColor="text1"/>
                            <w:lang w:eastAsia="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6350</wp:posOffset>
                              </wp:positionH>
                              <wp:positionV relativeFrom="paragraph">
                                <wp:posOffset>0</wp:posOffset>
                              </wp:positionV>
                              <wp:extent cx="2538730" cy="1911985"/>
                              <wp:effectExtent l="0" t="0" r="13970" b="12065"/>
                              <wp:wrapTopAndBottom/>
                              <wp:docPr id="29" name="图片 29" descr="603a9269adc5375e9366503b2811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03a9269adc5375e9366503b2811f26"/>
                                      <pic:cNvPicPr>
                                        <a:picLocks noChangeAspect="1"/>
                                      </pic:cNvPicPr>
                                    </pic:nvPicPr>
                                    <pic:blipFill>
                                      <a:blip r:embed="rId21"/>
                                      <a:stretch>
                                        <a:fillRect/>
                                      </a:stretch>
                                    </pic:blipFill>
                                    <pic:spPr>
                                      <a:xfrm>
                                        <a:off x="0" y="0"/>
                                        <a:ext cx="2538730" cy="1911985"/>
                                      </a:xfrm>
                                      <a:prstGeom prst="rect">
                                        <a:avLst/>
                                      </a:prstGeom>
                                    </pic:spPr>
                                  </pic:pic>
                                </a:graphicData>
                              </a:graphic>
                            </wp:anchor>
                          </w:drawing>
                        </w:r>
                      </w:p>
                    </w:tc>
                  </w:tr>
                  <w:tr w14:paraId="49E8D7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1B47A756">
                        <w:pPr>
                          <w:pStyle w:val="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图3-8  </w:t>
                        </w:r>
                        <w:r>
                          <w:rPr>
                            <w:rFonts w:hint="eastAsia"/>
                            <w:color w:val="000000" w:themeColor="text1"/>
                            <w:lang w:val="en-US" w:eastAsia="zh-CN"/>
                            <w14:textFill>
                              <w14:solidFill>
                                <w14:schemeClr w14:val="tx1"/>
                              </w14:solidFill>
                            </w14:textFill>
                          </w:rPr>
                          <w:drawing>
                            <wp:anchor distT="0" distB="0" distL="114300" distR="114300" simplePos="0" relativeHeight="251671552" behindDoc="0" locked="0" layoutInCell="1" allowOverlap="1">
                              <wp:simplePos x="0" y="0"/>
                              <wp:positionH relativeFrom="column">
                                <wp:posOffset>-96520</wp:posOffset>
                              </wp:positionH>
                              <wp:positionV relativeFrom="paragraph">
                                <wp:posOffset>-165100</wp:posOffset>
                              </wp:positionV>
                              <wp:extent cx="2663825" cy="1997710"/>
                              <wp:effectExtent l="0" t="0" r="3175" b="2540"/>
                              <wp:wrapTopAndBottom/>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22"/>
                                      <a:stretch>
                                        <a:fillRect/>
                                      </a:stretch>
                                    </pic:blipFill>
                                    <pic:spPr>
                                      <a:xfrm>
                                        <a:off x="0" y="0"/>
                                        <a:ext cx="2663825" cy="1997710"/>
                                      </a:xfrm>
                                      <a:prstGeom prst="rect">
                                        <a:avLst/>
                                      </a:prstGeom>
                                      <a:noFill/>
                                      <a:ln>
                                        <a:noFill/>
                                      </a:ln>
                                    </pic:spPr>
                                  </pic:pic>
                                </a:graphicData>
                              </a:graphic>
                            </wp:anchor>
                          </w:drawing>
                        </w:r>
                        <w:r>
                          <w:rPr>
                            <w:rFonts w:hint="eastAsia"/>
                            <w:color w:val="000000" w:themeColor="text1"/>
                            <w:lang w:val="en-US" w:eastAsia="zh-CN"/>
                            <w14:textFill>
                              <w14:solidFill>
                                <w14:schemeClr w14:val="tx1"/>
                              </w14:solidFill>
                            </w14:textFill>
                          </w:rPr>
                          <w:t>DK-04卫星图</w:t>
                        </w:r>
                      </w:p>
                    </w:tc>
                    <w:tc>
                      <w:tcPr>
                        <w:tcW w:w="4256" w:type="dxa"/>
                        <w:vAlign w:val="top"/>
                      </w:tcPr>
                      <w:p w14:paraId="34E5B602">
                        <w:pPr>
                          <w:pStyle w:val="34"/>
                          <w:bidi w:val="0"/>
                          <w:rPr>
                            <w:rFonts w:hint="eastAsia"/>
                            <w:color w:val="000000" w:themeColor="text1"/>
                            <w:lang w:val="en-US" w:eastAsia="zh-CN"/>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9</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DK-04现状图</w:t>
                        </w:r>
                        <w:r>
                          <w:rPr>
                            <w:rFonts w:hint="eastAsia"/>
                            <w:color w:val="000000" w:themeColor="text1"/>
                            <w:lang w:val="en-US" w:eastAsia="zh-CN"/>
                            <w14:textFill>
                              <w14:solidFill>
                                <w14:schemeClr w14:val="tx1"/>
                              </w14:solidFill>
                            </w14:textFill>
                          </w:rPr>
                          <w:drawing>
                            <wp:anchor distT="0" distB="0" distL="114300" distR="114300" simplePos="0" relativeHeight="251674624" behindDoc="0" locked="0" layoutInCell="1" allowOverlap="1">
                              <wp:simplePos x="0" y="0"/>
                              <wp:positionH relativeFrom="column">
                                <wp:posOffset>6350</wp:posOffset>
                              </wp:positionH>
                              <wp:positionV relativeFrom="paragraph">
                                <wp:posOffset>0</wp:posOffset>
                              </wp:positionV>
                              <wp:extent cx="2663825" cy="2005965"/>
                              <wp:effectExtent l="0" t="0" r="3175" b="13335"/>
                              <wp:wrapTopAndBottom/>
                              <wp:docPr id="32" name="图片 32" descr="8b853cc50e7a7b5405c193b75255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8b853cc50e7a7b5405c193b75255e59"/>
                                      <pic:cNvPicPr>
                                        <a:picLocks noChangeAspect="1"/>
                                      </pic:cNvPicPr>
                                    </pic:nvPicPr>
                                    <pic:blipFill>
                                      <a:blip r:embed="rId23"/>
                                      <a:stretch>
                                        <a:fillRect/>
                                      </a:stretch>
                                    </pic:blipFill>
                                    <pic:spPr>
                                      <a:xfrm>
                                        <a:off x="0" y="0"/>
                                        <a:ext cx="2663825" cy="2005965"/>
                                      </a:xfrm>
                                      <a:prstGeom prst="rect">
                                        <a:avLst/>
                                      </a:prstGeom>
                                    </pic:spPr>
                                  </pic:pic>
                                </a:graphicData>
                              </a:graphic>
                            </wp:anchor>
                          </w:drawing>
                        </w:r>
                      </w:p>
                    </w:tc>
                  </w:tr>
                  <w:tr w14:paraId="5C3BE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29DAB508">
                        <w:pPr>
                          <w:pStyle w:val="34"/>
                          <w:bidi w:val="0"/>
                          <w:rPr>
                            <w:color w:val="000000" w:themeColor="text1"/>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10</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DK-05卫星图</w:t>
                        </w: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-68580</wp:posOffset>
                              </wp:positionH>
                              <wp:positionV relativeFrom="paragraph">
                                <wp:posOffset>-2239645</wp:posOffset>
                              </wp:positionV>
                              <wp:extent cx="2663825" cy="1997710"/>
                              <wp:effectExtent l="0" t="0" r="3175" b="2540"/>
                              <wp:wrapTopAndBottom/>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4"/>
                                      <a:stretch>
                                        <a:fillRect/>
                                      </a:stretch>
                                    </pic:blipFill>
                                    <pic:spPr>
                                      <a:xfrm>
                                        <a:off x="0" y="0"/>
                                        <a:ext cx="2663825" cy="1997710"/>
                                      </a:xfrm>
                                      <a:prstGeom prst="rect">
                                        <a:avLst/>
                                      </a:prstGeom>
                                      <a:noFill/>
                                      <a:ln>
                                        <a:noFill/>
                                      </a:ln>
                                    </pic:spPr>
                                  </pic:pic>
                                </a:graphicData>
                              </a:graphic>
                            </wp:anchor>
                          </w:drawing>
                        </w:r>
                      </w:p>
                    </w:tc>
                    <w:tc>
                      <w:tcPr>
                        <w:tcW w:w="4256" w:type="dxa"/>
                        <w:vAlign w:val="top"/>
                      </w:tcPr>
                      <w:p w14:paraId="40427F5E">
                        <w:pPr>
                          <w:pStyle w:val="3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663825" cy="1998345"/>
                              <wp:effectExtent l="0" t="0" r="3175" b="1905"/>
                              <wp:docPr id="35" name="图片 35" descr="2dcb16b961280525fc650b8e7c2e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dcb16b961280525fc650b8e7c2e06c"/>
                                      <pic:cNvPicPr>
                                        <a:picLocks noChangeAspect="1"/>
                                      </pic:cNvPicPr>
                                    </pic:nvPicPr>
                                    <pic:blipFill>
                                      <a:blip r:embed="rId25"/>
                                      <a:stretch>
                                        <a:fillRect/>
                                      </a:stretch>
                                    </pic:blipFill>
                                    <pic:spPr>
                                      <a:xfrm>
                                        <a:off x="0" y="0"/>
                                        <a:ext cx="2663825" cy="1998345"/>
                                      </a:xfrm>
                                      <a:prstGeom prst="rect">
                                        <a:avLst/>
                                      </a:prstGeom>
                                    </pic:spPr>
                                  </pic:pic>
                                </a:graphicData>
                              </a:graphic>
                            </wp:inline>
                          </w:drawing>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11</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DK-05现状图</w:t>
                        </w:r>
                      </w:p>
                    </w:tc>
                  </w:tr>
                  <w:tr w14:paraId="6F10B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4183" w:type="dxa"/>
                        <w:vAlign w:val="top"/>
                      </w:tcPr>
                      <w:p w14:paraId="5E361DA2">
                        <w:pPr>
                          <w:pStyle w:val="34"/>
                          <w:bidi w:val="0"/>
                          <w:rPr>
                            <w:rFonts w:hint="eastAsia"/>
                            <w:color w:val="000000" w:themeColor="text1"/>
                            <w:lang w:val="en-US" w:eastAsia="zh-CN"/>
                            <w14:textFill>
                              <w14:solidFill>
                                <w14:schemeClr w14:val="tx1"/>
                              </w14:solidFill>
                            </w14:textFill>
                          </w:rPr>
                        </w:pP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图3-</w:t>
                        </w:r>
                        <w:r>
                          <w:rPr>
                            <w:rFonts w:hint="eastAsia" w:eastAsia="黑体" w:cs="Times New Roman"/>
                            <w:color w:val="000000" w:themeColor="text1"/>
                            <w:kern w:val="2"/>
                            <w:sz w:val="24"/>
                            <w:szCs w:val="24"/>
                            <w:lang w:val="en-US" w:eastAsia="zh-CN" w:bidi="ar-SA"/>
                            <w14:textFill>
                              <w14:solidFill>
                                <w14:schemeClr w14:val="tx1"/>
                              </w14:solidFill>
                            </w14:textFill>
                          </w:rPr>
                          <w:t>12</w:t>
                        </w:r>
                        <w:r>
                          <w:rPr>
                            <w:rFonts w:hint="eastAsia" w:ascii="Times New Roman" w:hAnsi="Times New Roman" w:eastAsia="黑体" w:cs="Times New Roman"/>
                            <w:color w:val="000000" w:themeColor="text1"/>
                            <w:kern w:val="2"/>
                            <w:sz w:val="24"/>
                            <w:szCs w:val="24"/>
                            <w:lang w:val="en-US" w:eastAsia="zh-CN" w:bidi="ar-SA"/>
                            <w14:textFill>
                              <w14:solidFill>
                                <w14:schemeClr w14:val="tx1"/>
                              </w14:solidFill>
                            </w14:textFill>
                          </w:rPr>
                          <w:t xml:space="preserve">  DK-06卫星图</w:t>
                        </w:r>
                        <w:r>
                          <w:rPr>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-68580</wp:posOffset>
                              </wp:positionH>
                              <wp:positionV relativeFrom="paragraph">
                                <wp:posOffset>-583565</wp:posOffset>
                              </wp:positionV>
                              <wp:extent cx="2663825" cy="1997710"/>
                              <wp:effectExtent l="0" t="0" r="3175" b="2540"/>
                              <wp:wrapTopAndBottom/>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6"/>
                                      <a:stretch>
                                        <a:fillRect/>
                                      </a:stretch>
                                    </pic:blipFill>
                                    <pic:spPr>
                                      <a:xfrm>
                                        <a:off x="0" y="0"/>
                                        <a:ext cx="2663825" cy="1997710"/>
                                      </a:xfrm>
                                      <a:prstGeom prst="rect">
                                        <a:avLst/>
                                      </a:prstGeom>
                                      <a:noFill/>
                                      <a:ln>
                                        <a:noFill/>
                                      </a:ln>
                                    </pic:spPr>
                                  </pic:pic>
                                </a:graphicData>
                              </a:graphic>
                            </wp:anchor>
                          </w:drawing>
                        </w:r>
                      </w:p>
                    </w:tc>
                    <w:tc>
                      <w:tcPr>
                        <w:tcW w:w="4256" w:type="dxa"/>
                        <w:vAlign w:val="top"/>
                      </w:tcPr>
                      <w:p w14:paraId="0F6DDDA0">
                        <w:pPr>
                          <w:pStyle w:val="6"/>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图3-13  </w:t>
                        </w:r>
                        <w:r>
                          <w:rPr>
                            <w:rFonts w:hint="eastAsia"/>
                            <w:color w:val="000000" w:themeColor="text1"/>
                            <w:lang w:val="en-US" w:eastAsia="zh-CN"/>
                            <w14:textFill>
                              <w14:solidFill>
                                <w14:schemeClr w14:val="tx1"/>
                              </w14:solidFill>
                            </w14:textFill>
                          </w:rPr>
                          <w:drawing>
                            <wp:anchor distT="0" distB="0" distL="114300" distR="114300" simplePos="0" relativeHeight="251676672" behindDoc="0" locked="0" layoutInCell="1" allowOverlap="1">
                              <wp:simplePos x="0" y="0"/>
                              <wp:positionH relativeFrom="column">
                                <wp:posOffset>-46990</wp:posOffset>
                              </wp:positionH>
                              <wp:positionV relativeFrom="paragraph">
                                <wp:posOffset>5715</wp:posOffset>
                              </wp:positionV>
                              <wp:extent cx="2663825" cy="2005965"/>
                              <wp:effectExtent l="0" t="0" r="3175" b="13335"/>
                              <wp:wrapTopAndBottom/>
                              <wp:docPr id="36" name="图片 36" descr="1c23fb1fa709f7388c05faeae8aa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c23fb1fa709f7388c05faeae8aaba8"/>
                                      <pic:cNvPicPr>
                                        <a:picLocks noChangeAspect="1"/>
                                      </pic:cNvPicPr>
                                    </pic:nvPicPr>
                                    <pic:blipFill>
                                      <a:blip r:embed="rId27"/>
                                      <a:stretch>
                                        <a:fillRect/>
                                      </a:stretch>
                                    </pic:blipFill>
                                    <pic:spPr>
                                      <a:xfrm>
                                        <a:off x="0" y="0"/>
                                        <a:ext cx="2663825" cy="2005965"/>
                                      </a:xfrm>
                                      <a:prstGeom prst="rect">
                                        <a:avLst/>
                                      </a:prstGeom>
                                    </pic:spPr>
                                  </pic:pic>
                                </a:graphicData>
                              </a:graphic>
                            </wp:anchor>
                          </w:drawing>
                        </w:r>
                        <w:r>
                          <w:rPr>
                            <w:rFonts w:hint="eastAsia"/>
                            <w:color w:val="000000" w:themeColor="text1"/>
                            <w:lang w:val="en-US" w:eastAsia="zh-CN"/>
                            <w14:textFill>
                              <w14:solidFill>
                                <w14:schemeClr w14:val="tx1"/>
                              </w14:solidFill>
                            </w14:textFill>
                          </w:rPr>
                          <w:t>DK-06现状图</w:t>
                        </w:r>
                      </w:p>
                    </w:tc>
                  </w:tr>
                </w:tbl>
                <w:p w14:paraId="5D8E75E5">
                  <w:pPr>
                    <w:pStyle w:val="34"/>
                    <w:keepNext w:val="0"/>
                    <w:keepLines w:val="0"/>
                    <w:suppressLineNumbers w:val="0"/>
                    <w:bidi w:val="0"/>
                    <w:spacing w:beforeAutospacing="0" w:afterAutospacing="0"/>
                    <w:ind w:left="0" w:right="0"/>
                    <w:jc w:val="both"/>
                    <w:rPr>
                      <w:rFonts w:hint="eastAsia"/>
                      <w:color w:val="000000" w:themeColor="text1"/>
                      <w:lang w:val="en-US" w:eastAsia="zh-CN"/>
                      <w14:textFill>
                        <w14:solidFill>
                          <w14:schemeClr w14:val="tx1"/>
                        </w14:solidFill>
                      </w14:textFill>
                    </w:rPr>
                  </w:pPr>
                </w:p>
              </w:tc>
            </w:tr>
          </w:tbl>
          <w:p w14:paraId="026513F6">
            <w:pPr>
              <w:keepNext w:val="0"/>
              <w:keepLines w:val="0"/>
              <w:widowControl/>
              <w:suppressLineNumbers w:val="0"/>
              <w:spacing w:before="0" w:beforeAutospacing="0" w:after="0" w:afterAutospacing="0"/>
              <w:ind w:left="0" w:leftChars="0" w:right="0" w:firstLine="0" w:firstLineChars="0"/>
              <w:jc w:val="both"/>
              <w:rPr>
                <w:rFonts w:hint="eastAsia" w:eastAsia="宋体" w:cs="Times New Roman"/>
                <w:color w:val="000000" w:themeColor="text1"/>
                <w:kern w:val="0"/>
                <w:szCs w:val="21"/>
                <w:lang w:eastAsia="zh-CN"/>
                <w14:textFill>
                  <w14:solidFill>
                    <w14:schemeClr w14:val="tx1"/>
                  </w14:solidFill>
                </w14:textFill>
              </w:rPr>
            </w:pPr>
          </w:p>
        </w:tc>
      </w:tr>
      <w:tr w14:paraId="1E0DDA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noWrap w:val="0"/>
            <w:vAlign w:val="center"/>
          </w:tcPr>
          <w:p w14:paraId="090CA9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cs="Times New Roman"/>
                <w:color w:val="000000" w:themeColor="text1"/>
                <w:kern w:val="0"/>
                <w:szCs w:val="21"/>
                <w14:textFill>
                  <w14:solidFill>
                    <w14:schemeClr w14:val="tx1"/>
                  </w14:solidFill>
                </w14:textFill>
              </w:rPr>
            </w:pPr>
            <w:r>
              <w:rPr>
                <w:rFonts w:hint="default" w:cs="Times New Roman"/>
                <w:b/>
                <w:bCs/>
                <w:color w:val="000000" w:themeColor="text1"/>
                <w:kern w:val="0"/>
                <w:sz w:val="24"/>
                <w14:textFill>
                  <w14:solidFill>
                    <w14:schemeClr w14:val="tx1"/>
                  </w14:solidFill>
                </w14:textFill>
              </w:rPr>
              <w:t>生态环境保护目标</w:t>
            </w:r>
          </w:p>
        </w:tc>
        <w:tc>
          <w:tcPr>
            <w:tcW w:w="8504" w:type="dxa"/>
            <w:noWrap w:val="0"/>
            <w:vAlign w:val="center"/>
          </w:tcPr>
          <w:p w14:paraId="538BA1A7">
            <w:pPr>
              <w:keepNext w:val="0"/>
              <w:keepLines w:val="0"/>
              <w:widowControl/>
              <w:suppressLineNumbers w:val="0"/>
              <w:spacing w:before="0" w:beforeAutospacing="0" w:after="0" w:afterAutospacing="0"/>
              <w:ind w:left="0" w:right="0"/>
              <w:jc w:val="both"/>
              <w:rPr>
                <w:rFonts w:hint="eastAsia" w:cs="Times New Roman"/>
                <w:color w:val="000000" w:themeColor="text1"/>
                <w:lang w:val="en-US"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根据《建设项目环境影响报告表编制技术指南（生态影响类）》（试行），生态环境保护目标按照环境影响评价相关技术导则要求确定评价范围并识别环境保护目标。</w:t>
            </w:r>
          </w:p>
          <w:p w14:paraId="71C99AFE">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大气环境</w:t>
            </w:r>
          </w:p>
          <w:p w14:paraId="1CDF9431">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0911F984">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本项目运营期无废气排放，废气影响主要在施工期，且随着施工期的结束而消失。根据《环境影响评价技术导则 大气环境》</w:t>
            </w:r>
            <w:r>
              <w:rPr>
                <w:rFonts w:hint="default"/>
                <w:color w:val="000000" w:themeColor="text1"/>
                <w:lang w:val="en-US" w:eastAsia="zh-CN"/>
                <w14:textFill>
                  <w14:solidFill>
                    <w14:schemeClr w14:val="tx1"/>
                  </w14:solidFill>
                </w14:textFill>
              </w:rPr>
              <w:t>(HJ 2.2-2018)</w:t>
            </w:r>
            <w:r>
              <w:rPr>
                <w:rFonts w:hint="eastAsia"/>
                <w:color w:val="000000" w:themeColor="text1"/>
                <w:lang w:val="en-US" w:eastAsia="zh-CN"/>
                <w14:textFill>
                  <w14:solidFill>
                    <w14:schemeClr w14:val="tx1"/>
                  </w14:solidFill>
                </w14:textFill>
              </w:rPr>
              <w:t>，营运期无废气排放，大气环境可以不用确定评价等级，因此本项目不需设置大气环境影响评价范围。</w:t>
            </w:r>
          </w:p>
          <w:p w14:paraId="5B7F56D5">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7A3C524E">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本项目不设置大气环境影响评价范围，因此本次评价不开展环境空气保护目标调查。</w:t>
            </w:r>
          </w:p>
          <w:p w14:paraId="14A9A3B4">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声环境</w:t>
            </w:r>
          </w:p>
          <w:p w14:paraId="38129721">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11CDE0A9">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根据《环境影响评价技术导则 声环境》</w:t>
            </w:r>
            <w:r>
              <w:rPr>
                <w:rFonts w:hint="default"/>
                <w:color w:val="000000" w:themeColor="text1"/>
                <w:lang w:val="en-US" w:eastAsia="zh-CN"/>
                <w14:textFill>
                  <w14:solidFill>
                    <w14:schemeClr w14:val="tx1"/>
                  </w14:solidFill>
                </w14:textFill>
              </w:rPr>
              <w:t>(HJ 2.4-2021)</w:t>
            </w:r>
            <w:r>
              <w:rPr>
                <w:rFonts w:hint="eastAsia"/>
                <w:color w:val="000000" w:themeColor="text1"/>
                <w:lang w:val="en-US" w:eastAsia="zh-CN"/>
                <w14:textFill>
                  <w14:solidFill>
                    <w14:schemeClr w14:val="tx1"/>
                  </w14:solidFill>
                </w14:textFill>
              </w:rPr>
              <w:t>，声环境评价范围为项目区边界向外</w:t>
            </w:r>
            <w:r>
              <w:rPr>
                <w:rFonts w:hint="default"/>
                <w:color w:val="000000" w:themeColor="text1"/>
                <w:lang w:val="en-US" w:eastAsia="zh-CN"/>
                <w14:textFill>
                  <w14:solidFill>
                    <w14:schemeClr w14:val="tx1"/>
                  </w14:solidFill>
                </w14:textFill>
              </w:rPr>
              <w:t>200m</w:t>
            </w:r>
            <w:r>
              <w:rPr>
                <w:rFonts w:hint="eastAsia"/>
                <w:color w:val="000000" w:themeColor="text1"/>
                <w:lang w:val="en-US" w:eastAsia="zh-CN"/>
                <w14:textFill>
                  <w14:solidFill>
                    <w14:schemeClr w14:val="tx1"/>
                  </w14:solidFill>
                </w14:textFill>
              </w:rPr>
              <w:t>范围。</w:t>
            </w:r>
          </w:p>
          <w:p w14:paraId="3C9C066A">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54C8448E">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项目区边界向外</w:t>
            </w:r>
            <w:r>
              <w:rPr>
                <w:rFonts w:hint="default"/>
                <w:color w:val="000000" w:themeColor="text1"/>
                <w:lang w:val="en-US" w:eastAsia="zh-CN"/>
                <w14:textFill>
                  <w14:solidFill>
                    <w14:schemeClr w14:val="tx1"/>
                  </w14:solidFill>
                </w14:textFill>
              </w:rPr>
              <w:t>200m</w:t>
            </w:r>
            <w:r>
              <w:rPr>
                <w:rFonts w:hint="eastAsia"/>
                <w:color w:val="000000" w:themeColor="text1"/>
                <w:lang w:val="en-US" w:eastAsia="zh-CN"/>
                <w14:textFill>
                  <w14:solidFill>
                    <w14:schemeClr w14:val="tx1"/>
                  </w14:solidFill>
                </w14:textFill>
              </w:rPr>
              <w:t>范围内声环境保护目标为治理区DK-05北侧刘湾村住户，详见表3-5及附图3-3。</w:t>
            </w:r>
          </w:p>
          <w:p w14:paraId="4B1C6598">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p>
          <w:p w14:paraId="56BA35E4">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p>
          <w:p w14:paraId="2E2EF201">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p>
          <w:p w14:paraId="573BE14D">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p>
          <w:p w14:paraId="00FFFA4E">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p>
          <w:p w14:paraId="5A37A35A">
            <w:pPr>
              <w:pStyle w:val="3"/>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表3-5  声环境保护目标一览表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663"/>
              <w:gridCol w:w="1084"/>
              <w:gridCol w:w="959"/>
              <w:gridCol w:w="635"/>
              <w:gridCol w:w="1274"/>
              <w:gridCol w:w="1634"/>
              <w:gridCol w:w="2205"/>
            </w:tblGrid>
            <w:tr w14:paraId="47AD29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661" w:type="dxa"/>
                  <w:tcBorders>
                    <w:tl2br w:val="nil"/>
                    <w:tr2bl w:val="nil"/>
                  </w:tcBorders>
                  <w:noWrap/>
                  <w:vAlign w:val="center"/>
                </w:tcPr>
                <w:p w14:paraId="6CA57415">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环境要素</w:t>
                  </w:r>
                </w:p>
              </w:tc>
              <w:tc>
                <w:tcPr>
                  <w:tcW w:w="1084" w:type="dxa"/>
                  <w:tcBorders>
                    <w:tl2br w:val="nil"/>
                    <w:tr2bl w:val="nil"/>
                  </w:tcBorders>
                  <w:noWrap/>
                  <w:vAlign w:val="center"/>
                </w:tcPr>
                <w:p w14:paraId="13DE394E">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名称</w:t>
                  </w:r>
                </w:p>
              </w:tc>
              <w:tc>
                <w:tcPr>
                  <w:tcW w:w="958" w:type="dxa"/>
                  <w:tcBorders>
                    <w:tl2br w:val="nil"/>
                    <w:tr2bl w:val="nil"/>
                  </w:tcBorders>
                  <w:noWrap/>
                  <w:vAlign w:val="center"/>
                </w:tcPr>
                <w:p w14:paraId="0360DBC7">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保护</w:t>
                  </w:r>
                </w:p>
                <w:p w14:paraId="4A236B1C">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对象</w:t>
                  </w:r>
                </w:p>
              </w:tc>
              <w:tc>
                <w:tcPr>
                  <w:tcW w:w="632" w:type="dxa"/>
                  <w:tcBorders>
                    <w:tl2br w:val="nil"/>
                    <w:tr2bl w:val="nil"/>
                  </w:tcBorders>
                  <w:noWrap/>
                  <w:vAlign w:val="center"/>
                </w:tcPr>
                <w:p w14:paraId="0CB94360">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t>功能</w:t>
                  </w:r>
                </w:p>
              </w:tc>
              <w:tc>
                <w:tcPr>
                  <w:tcW w:w="1274" w:type="dxa"/>
                  <w:tcBorders>
                    <w:tl2br w:val="nil"/>
                    <w:tr2bl w:val="nil"/>
                  </w:tcBorders>
                  <w:noWrap/>
                  <w:vAlign w:val="center"/>
                </w:tcPr>
                <w:p w14:paraId="5DDF7ACC">
                  <w:pPr>
                    <w:pStyle w:val="34"/>
                    <w:bidi w:val="0"/>
                    <w:rPr>
                      <w:rFonts w:hint="default"/>
                      <w:b/>
                      <w:bCs/>
                      <w:color w:val="000000" w:themeColor="text1"/>
                      <w:lang w:val="en-US" w:eastAsia="zh-CN"/>
                      <w14:textFill>
                        <w14:solidFill>
                          <w14:schemeClr w14:val="tx1"/>
                        </w14:solidFill>
                      </w14:textFill>
                    </w:rPr>
                  </w:pPr>
                  <w:r>
                    <w:rPr>
                      <w:rFonts w:hint="default"/>
                      <w:b/>
                      <w:bCs/>
                      <w:color w:val="000000" w:themeColor="text1"/>
                      <w14:textFill>
                        <w14:solidFill>
                          <w14:schemeClr w14:val="tx1"/>
                        </w14:solidFill>
                      </w14:textFill>
                    </w:rPr>
                    <w:t>相对方位</w:t>
                  </w:r>
                </w:p>
              </w:tc>
              <w:tc>
                <w:tcPr>
                  <w:tcW w:w="1636" w:type="dxa"/>
                  <w:tcBorders>
                    <w:tl2br w:val="nil"/>
                    <w:tr2bl w:val="nil"/>
                  </w:tcBorders>
                  <w:noWrap/>
                  <w:vAlign w:val="center"/>
                </w:tcPr>
                <w:p w14:paraId="1BD8AD06">
                  <w:pPr>
                    <w:pStyle w:val="34"/>
                    <w:bidi w:val="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相对距离(m)</w:t>
                  </w:r>
                </w:p>
              </w:tc>
              <w:tc>
                <w:tcPr>
                  <w:tcW w:w="2209" w:type="dxa"/>
                  <w:tcBorders>
                    <w:tl2br w:val="nil"/>
                    <w:tr2bl w:val="nil"/>
                  </w:tcBorders>
                  <w:noWrap/>
                  <w:vAlign w:val="center"/>
                </w:tcPr>
                <w:p w14:paraId="1AFF1270">
                  <w:pPr>
                    <w:pStyle w:val="34"/>
                    <w:bidi w:val="0"/>
                    <w:rPr>
                      <w:rFonts w:hint="default"/>
                      <w:b/>
                      <w:bCs/>
                      <w:color w:val="000000" w:themeColor="text1"/>
                      <w14:textFill>
                        <w14:solidFill>
                          <w14:schemeClr w14:val="tx1"/>
                        </w14:solidFill>
                      </w14:textFill>
                    </w:rPr>
                  </w:pPr>
                  <w:r>
                    <w:rPr>
                      <w:rFonts w:hint="default"/>
                      <w:b/>
                      <w:bCs/>
                      <w:color w:val="000000" w:themeColor="text1"/>
                      <w14:textFill>
                        <w14:solidFill>
                          <w14:schemeClr w14:val="tx1"/>
                        </w14:solidFill>
                      </w14:textFill>
                    </w:rPr>
                    <w:t>功能要求及保护级别</w:t>
                  </w:r>
                </w:p>
              </w:tc>
            </w:tr>
            <w:tr w14:paraId="36B6DA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661" w:type="dxa"/>
                  <w:tcBorders>
                    <w:tl2br w:val="nil"/>
                    <w:tr2bl w:val="nil"/>
                  </w:tcBorders>
                  <w:noWrap/>
                  <w:vAlign w:val="center"/>
                </w:tcPr>
                <w:p w14:paraId="6624D84A">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声</w:t>
                  </w:r>
                </w:p>
              </w:tc>
              <w:tc>
                <w:tcPr>
                  <w:tcW w:w="1084" w:type="dxa"/>
                  <w:tcBorders>
                    <w:tl2br w:val="nil"/>
                    <w:tr2bl w:val="nil"/>
                  </w:tcBorders>
                  <w:noWrap/>
                  <w:vAlign w:val="center"/>
                </w:tcPr>
                <w:p w14:paraId="3CE5CA04">
                  <w:pPr>
                    <w:pStyle w:val="3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刘湾村</w:t>
                  </w:r>
                </w:p>
                <w:p w14:paraId="64702484">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（DK-05）</w:t>
                  </w:r>
                </w:p>
              </w:tc>
              <w:tc>
                <w:tcPr>
                  <w:tcW w:w="958" w:type="dxa"/>
                  <w:tcBorders>
                    <w:tl2br w:val="nil"/>
                    <w:tr2bl w:val="nil"/>
                  </w:tcBorders>
                  <w:noWrap/>
                  <w:vAlign w:val="center"/>
                </w:tcPr>
                <w:p w14:paraId="6E6581E8">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居民</w:t>
                  </w: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户，</w:t>
                  </w:r>
                  <w:r>
                    <w:rPr>
                      <w:rFonts w:hint="eastAsia"/>
                      <w:color w:val="000000" w:themeColor="text1"/>
                      <w:lang w:val="en-US" w:eastAsia="zh-CN"/>
                      <w14:textFill>
                        <w14:solidFill>
                          <w14:schemeClr w14:val="tx1"/>
                        </w14:solidFill>
                      </w14:textFill>
                    </w:rPr>
                    <w:t>6</w:t>
                  </w:r>
                  <w:r>
                    <w:rPr>
                      <w:rFonts w:hint="default"/>
                      <w:color w:val="000000" w:themeColor="text1"/>
                      <w:lang w:val="en-US" w:eastAsia="zh-CN"/>
                      <w14:textFill>
                        <w14:solidFill>
                          <w14:schemeClr w14:val="tx1"/>
                        </w14:solidFill>
                      </w14:textFill>
                    </w:rPr>
                    <w:t>人</w:t>
                  </w:r>
                </w:p>
              </w:tc>
              <w:tc>
                <w:tcPr>
                  <w:tcW w:w="632" w:type="dxa"/>
                  <w:tcBorders>
                    <w:tl2br w:val="nil"/>
                    <w:tr2bl w:val="nil"/>
                  </w:tcBorders>
                  <w:noWrap/>
                  <w:vAlign w:val="center"/>
                </w:tcPr>
                <w:p w14:paraId="45AEDF39">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居住</w:t>
                  </w:r>
                </w:p>
              </w:tc>
              <w:tc>
                <w:tcPr>
                  <w:tcW w:w="1274" w:type="dxa"/>
                  <w:tcBorders>
                    <w:tl2br w:val="nil"/>
                    <w:tr2bl w:val="nil"/>
                  </w:tcBorders>
                  <w:noWrap/>
                  <w:vAlign w:val="center"/>
                </w:tcPr>
                <w:p w14:paraId="37D4F19D">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N（相对</w:t>
                  </w:r>
                  <w:r>
                    <w:rPr>
                      <w:rFonts w:hint="default"/>
                      <w:color w:val="000000" w:themeColor="text1"/>
                      <w:lang w:val="en-US" w:eastAsia="zh-CN"/>
                      <w14:textFill>
                        <w14:solidFill>
                          <w14:schemeClr w14:val="tx1"/>
                        </w14:solidFill>
                      </w14:textFill>
                    </w:rPr>
                    <w:t>DK-05</w:t>
                  </w:r>
                  <w:r>
                    <w:rPr>
                      <w:rFonts w:hint="eastAsia"/>
                      <w:color w:val="000000" w:themeColor="text1"/>
                      <w:lang w:val="en-US" w:eastAsia="zh-CN"/>
                      <w14:textFill>
                        <w14:solidFill>
                          <w14:schemeClr w14:val="tx1"/>
                        </w14:solidFill>
                      </w14:textFill>
                    </w:rPr>
                    <w:t>治理区）</w:t>
                  </w:r>
                </w:p>
              </w:tc>
              <w:tc>
                <w:tcPr>
                  <w:tcW w:w="1636" w:type="dxa"/>
                  <w:tcBorders>
                    <w:tl2br w:val="nil"/>
                    <w:tr2bl w:val="nil"/>
                  </w:tcBorders>
                  <w:noWrap/>
                  <w:vAlign w:val="center"/>
                </w:tcPr>
                <w:p w14:paraId="241D8397">
                  <w:pPr>
                    <w:pStyle w:val="34"/>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10</w:t>
                  </w:r>
                  <w:r>
                    <w:rPr>
                      <w:rFonts w:hint="eastAsia"/>
                      <w:color w:val="000000" w:themeColor="text1"/>
                      <w:lang w:val="en-US" w:eastAsia="zh-CN"/>
                      <w14:textFill>
                        <w14:solidFill>
                          <w14:schemeClr w14:val="tx1"/>
                        </w14:solidFill>
                      </w14:textFill>
                    </w:rPr>
                    <w:t>9（相对</w:t>
                  </w:r>
                  <w:r>
                    <w:rPr>
                      <w:rFonts w:hint="default"/>
                      <w:color w:val="000000" w:themeColor="text1"/>
                      <w:lang w:val="en-US" w:eastAsia="zh-CN"/>
                      <w14:textFill>
                        <w14:solidFill>
                          <w14:schemeClr w14:val="tx1"/>
                        </w14:solidFill>
                      </w14:textFill>
                    </w:rPr>
                    <w:t>DK-05</w:t>
                  </w:r>
                  <w:r>
                    <w:rPr>
                      <w:rFonts w:hint="eastAsia"/>
                      <w:color w:val="000000" w:themeColor="text1"/>
                      <w:lang w:val="en-US" w:eastAsia="zh-CN"/>
                      <w14:textFill>
                        <w14:solidFill>
                          <w14:schemeClr w14:val="tx1"/>
                        </w14:solidFill>
                      </w14:textFill>
                    </w:rPr>
                    <w:t>治理区）</w:t>
                  </w:r>
                </w:p>
              </w:tc>
              <w:tc>
                <w:tcPr>
                  <w:tcW w:w="2209" w:type="dxa"/>
                  <w:tcBorders>
                    <w:tl2br w:val="nil"/>
                    <w:tr2bl w:val="nil"/>
                  </w:tcBorders>
                  <w:noWrap/>
                  <w:vAlign w:val="center"/>
                </w:tcPr>
                <w:p w14:paraId="719677D4">
                  <w:pPr>
                    <w:pStyle w:val="34"/>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《声环境质量标准》(GB3096-2008)</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类标准</w:t>
                  </w:r>
                </w:p>
              </w:tc>
            </w:tr>
          </w:tbl>
          <w:p w14:paraId="0F81A292">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3、地表水</w:t>
            </w:r>
          </w:p>
          <w:p w14:paraId="0253D4CF">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3A8D9235">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本项目运营期无废水排放，废水影响主要在施工期，且随着施工期的结束而消失。根据《环境影响评价技术导则 地表水环境》</w:t>
            </w:r>
            <w:r>
              <w:rPr>
                <w:rFonts w:hint="default"/>
                <w:color w:val="000000" w:themeColor="text1"/>
                <w:lang w:val="en-US" w:eastAsia="zh-CN"/>
                <w14:textFill>
                  <w14:solidFill>
                    <w14:schemeClr w14:val="tx1"/>
                  </w14:solidFill>
                </w14:textFill>
              </w:rPr>
              <w:t>(HJ 2.3—2018)</w:t>
            </w:r>
            <w:r>
              <w:rPr>
                <w:rFonts w:hint="eastAsia"/>
                <w:color w:val="000000" w:themeColor="text1"/>
                <w:lang w:val="en-US" w:eastAsia="zh-CN"/>
                <w14:textFill>
                  <w14:solidFill>
                    <w14:schemeClr w14:val="tx1"/>
                  </w14:solidFill>
                </w14:textFill>
              </w:rPr>
              <w:t>，本项目不需要设置地表水环境影响评价范围。</w:t>
            </w:r>
          </w:p>
          <w:p w14:paraId="7109FE95">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69DC0B07">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本项目不设置地表水环境影响评价范围，因此本次评价不开展地表水环境保护目标调查。</w:t>
            </w:r>
          </w:p>
          <w:p w14:paraId="67A8133B">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4、地下水</w:t>
            </w:r>
          </w:p>
          <w:p w14:paraId="427C4039">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6BAF7182">
            <w:pPr>
              <w:bidi w:val="0"/>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根据《环境影响评价技术导则 地下水环境》（HJ610-2016）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项目行业类别“57.石棉及其他非金属矿采选”，导则中未提及环评类别。本项目施工期生活污水依托周边村庄旱厕处理，运营期无废水排放，不会对地下水环境产生影响。因此本项目不需设置地下水环境影响评价范围。</w:t>
            </w:r>
          </w:p>
          <w:p w14:paraId="5E7FC574">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5C0F0DFF">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本项目不设置地下水环境影响评价范围，因此本次评价不开展地下水保护目标调查</w:t>
            </w:r>
            <w:r>
              <w:rPr>
                <w:rFonts w:hint="eastAsia"/>
                <w:color w:val="000000" w:themeColor="text1"/>
                <w:lang w:eastAsia="zh-CN"/>
                <w14:textFill>
                  <w14:solidFill>
                    <w14:schemeClr w14:val="tx1"/>
                  </w14:solidFill>
                </w14:textFill>
              </w:rPr>
              <w:t>。</w:t>
            </w:r>
          </w:p>
          <w:p w14:paraId="36F5384C">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5、土壤</w:t>
            </w:r>
          </w:p>
          <w:p w14:paraId="3A818CF7">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620FD25D">
            <w:pPr>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根据</w:t>
            </w:r>
            <w:r>
              <w:rPr>
                <w:rFonts w:hint="default"/>
                <w:color w:val="000000" w:themeColor="text1"/>
                <w14:textFill>
                  <w14:solidFill>
                    <w14:schemeClr w14:val="tx1"/>
                  </w14:solidFill>
                </w14:textFill>
              </w:rPr>
              <w:t>《环境影响评价技术导则</w:t>
            </w:r>
            <w:r>
              <w:rPr>
                <w:rFonts w:hint="eastAsia"/>
                <w:color w:val="000000" w:themeColor="text1"/>
                <w:lang w:val="en-US" w:eastAsia="zh-CN"/>
                <w14:textFill>
                  <w14:solidFill>
                    <w14:schemeClr w14:val="tx1"/>
                  </w14:solidFill>
                </w14:textFill>
              </w:rPr>
              <w:t xml:space="preserve"> 土壤环境（试行）</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（HJ 964—2018），</w:t>
            </w:r>
            <w:r>
              <w:rPr>
                <w:rFonts w:hint="eastAsia"/>
                <w:color w:val="000000" w:themeColor="text1"/>
                <w:lang w:val="en-US" w:eastAsia="zh-CN"/>
                <w14:textFill>
                  <w14:solidFill>
                    <w14:schemeClr w14:val="tx1"/>
                  </w14:solidFill>
                </w14:textFill>
              </w:rPr>
              <w:t>本</w:t>
            </w:r>
            <w:r>
              <w:rPr>
                <w:rFonts w:hint="default"/>
                <w:color w:val="000000" w:themeColor="text1"/>
                <w14:textFill>
                  <w14:solidFill>
                    <w14:schemeClr w14:val="tx1"/>
                  </w14:solidFill>
                </w14:textFill>
              </w:rPr>
              <w:t>项目行业类别</w:t>
            </w:r>
            <w:r>
              <w:rPr>
                <w:rFonts w:hint="eastAsia"/>
                <w:color w:val="000000" w:themeColor="text1"/>
                <w:lang w:val="en-US" w:eastAsia="zh-CN"/>
                <w14:textFill>
                  <w14:solidFill>
                    <w14:schemeClr w14:val="tx1"/>
                  </w14:solidFill>
                </w14:textFill>
              </w:rPr>
              <w:t>属于</w:t>
            </w:r>
            <w:r>
              <w:rPr>
                <w:rFonts w:hint="default"/>
                <w:color w:val="000000" w:themeColor="text1"/>
                <w14:textFill>
                  <w14:solidFill>
                    <w14:schemeClr w14:val="tx1"/>
                  </w14:solidFill>
                </w14:textFill>
              </w:rPr>
              <w:t>采矿业</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根据导则中</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4.2 评价基本任务/……Ⅳ类建设项目可不开展土壤环境影响评价</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因此本项目不需设置</w:t>
            </w:r>
            <w:r>
              <w:rPr>
                <w:rFonts w:hint="default"/>
                <w:color w:val="000000" w:themeColor="text1"/>
                <w14:textFill>
                  <w14:solidFill>
                    <w14:schemeClr w14:val="tx1"/>
                  </w14:solidFill>
                </w14:textFill>
              </w:rPr>
              <w:t>土壤</w:t>
            </w:r>
            <w:r>
              <w:rPr>
                <w:rFonts w:hint="eastAsia"/>
                <w:color w:val="000000" w:themeColor="text1"/>
                <w:lang w:val="en-US" w:eastAsia="zh-CN"/>
                <w14:textFill>
                  <w14:solidFill>
                    <w14:schemeClr w14:val="tx1"/>
                  </w14:solidFill>
                </w14:textFill>
              </w:rPr>
              <w:t>环境影响评价范围。</w:t>
            </w:r>
          </w:p>
          <w:p w14:paraId="7D65A0C2">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7F2A9286">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本项目不设置</w:t>
            </w:r>
            <w:r>
              <w:rPr>
                <w:rFonts w:hint="default"/>
                <w:color w:val="000000" w:themeColor="text1"/>
                <w14:textFill>
                  <w14:solidFill>
                    <w14:schemeClr w14:val="tx1"/>
                  </w14:solidFill>
                </w14:textFill>
              </w:rPr>
              <w:t>土壤</w:t>
            </w:r>
            <w:r>
              <w:rPr>
                <w:rFonts w:hint="eastAsia"/>
                <w:color w:val="000000" w:themeColor="text1"/>
                <w:lang w:val="en-US" w:eastAsia="zh-CN"/>
                <w14:textFill>
                  <w14:solidFill>
                    <w14:schemeClr w14:val="tx1"/>
                  </w14:solidFill>
                </w14:textFill>
              </w:rPr>
              <w:t>环境影响评价范围，因此本次评价不开展</w:t>
            </w:r>
            <w:r>
              <w:rPr>
                <w:rFonts w:hint="default"/>
                <w:color w:val="000000" w:themeColor="text1"/>
                <w14:textFill>
                  <w14:solidFill>
                    <w14:schemeClr w14:val="tx1"/>
                  </w14:solidFill>
                </w14:textFill>
              </w:rPr>
              <w:t>土壤</w:t>
            </w:r>
            <w:r>
              <w:rPr>
                <w:rFonts w:hint="eastAsia"/>
                <w:color w:val="000000" w:themeColor="text1"/>
                <w:lang w:val="en-US" w:eastAsia="zh-CN"/>
                <w14:textFill>
                  <w14:solidFill>
                    <w14:schemeClr w14:val="tx1"/>
                  </w14:solidFill>
                </w14:textFill>
              </w:rPr>
              <w:t>保护目标调查</w:t>
            </w:r>
            <w:r>
              <w:rPr>
                <w:rFonts w:hint="eastAsia"/>
                <w:color w:val="000000" w:themeColor="text1"/>
                <w:lang w:eastAsia="zh-CN"/>
                <w14:textFill>
                  <w14:solidFill>
                    <w14:schemeClr w14:val="tx1"/>
                  </w14:solidFill>
                </w14:textFill>
              </w:rPr>
              <w:t>。</w:t>
            </w:r>
          </w:p>
          <w:p w14:paraId="4BB663EC">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6、生态环境</w:t>
            </w:r>
          </w:p>
          <w:p w14:paraId="010F2EE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⑴评价范围</w:t>
            </w:r>
          </w:p>
          <w:p w14:paraId="2F987BDE">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根据《环境影响评价技术导则 生态影响》</w:t>
            </w:r>
            <w:r>
              <w:rPr>
                <w:rFonts w:hint="default"/>
                <w:color w:val="000000" w:themeColor="text1"/>
                <w:lang w:val="en-US" w:eastAsia="zh-CN"/>
                <w14:textFill>
                  <w14:solidFill>
                    <w14:schemeClr w14:val="tx1"/>
                  </w14:solidFill>
                </w14:textFill>
              </w:rPr>
              <w:t>(HJ 19—2022)</w:t>
            </w:r>
            <w:r>
              <w:rPr>
                <w:rFonts w:hint="eastAsia"/>
                <w:color w:val="000000" w:themeColor="text1"/>
                <w:lang w:val="en-US" w:eastAsia="zh-CN"/>
                <w14:textFill>
                  <w14:solidFill>
                    <w14:schemeClr w14:val="tx1"/>
                  </w14:solidFill>
                </w14:textFill>
              </w:rPr>
              <w:t>，本次生态环境影响评价等级定为三级，根据“</w:t>
            </w:r>
            <w:r>
              <w:rPr>
                <w:rFonts w:hint="default"/>
                <w:color w:val="000000" w:themeColor="text1"/>
                <w:lang w:val="en-US" w:eastAsia="zh-CN"/>
                <w14:textFill>
                  <w14:solidFill>
                    <w14:schemeClr w14:val="tx1"/>
                  </w14:solidFill>
                </w14:textFill>
              </w:rPr>
              <w:t>6.2</w:t>
            </w:r>
            <w:r>
              <w:rPr>
                <w:rFonts w:hint="eastAsia"/>
                <w:color w:val="000000" w:themeColor="text1"/>
                <w:lang w:val="en-US" w:eastAsia="zh-CN"/>
                <w14:textFill>
                  <w14:solidFill>
                    <w14:schemeClr w14:val="tx1"/>
                  </w14:solidFill>
                </w14:textFill>
              </w:rPr>
              <w:t>评价范围确定”，</w:t>
            </w:r>
            <w:r>
              <w:rPr>
                <w:rFonts w:hint="eastAsia"/>
                <w:color w:val="000000" w:themeColor="text1"/>
                <w14:textFill>
                  <w14:solidFill>
                    <w14:schemeClr w14:val="tx1"/>
                  </w14:solidFill>
                </w14:textFill>
              </w:rPr>
              <w:t>生态影响评价应能够充分体现生态完整性和生物多样性保护要求，涵盖评价项目全部活动的直接影响区域和间接影响区域</w:t>
            </w:r>
            <w:r>
              <w:rPr>
                <w:rFonts w:hint="eastAsia"/>
                <w:color w:val="000000" w:themeColor="text1"/>
                <w:lang w:val="en-US" w:eastAsia="zh-CN"/>
                <w14:textFill>
                  <w14:solidFill>
                    <w14:schemeClr w14:val="tx1"/>
                  </w14:solidFill>
                </w14:textFill>
              </w:rPr>
              <w:t>。本项目直接影响及间接影响均在本项目占地范围内，因此确定本项目评价范围为本项目占地范围。</w:t>
            </w:r>
          </w:p>
          <w:p w14:paraId="08AD342F">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default"/>
                <w:color w:val="000000" w:themeColor="text1"/>
                <w:lang w:val="en-US" w:eastAsia="zh-CN"/>
                <w14:textFill>
                  <w14:solidFill>
                    <w14:schemeClr w14:val="tx1"/>
                  </w14:solidFill>
                </w14:textFill>
              </w:rPr>
              <w:t>环境保护目标</w:t>
            </w:r>
          </w:p>
          <w:p w14:paraId="66B3E861">
            <w:pPr>
              <w:bidi w:val="0"/>
              <w:rPr>
                <w:rFonts w:hint="default" w:cs="Times New Roman"/>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经现场踏勘，本项目生态环境影响评价范围内无生态环境保护目标。</w:t>
            </w:r>
          </w:p>
        </w:tc>
      </w:tr>
      <w:tr w14:paraId="30F0A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95" w:hRule="atLeast"/>
          <w:jc w:val="center"/>
        </w:trPr>
        <w:tc>
          <w:tcPr>
            <w:tcW w:w="653" w:type="dxa"/>
            <w:noWrap w:val="0"/>
            <w:vAlign w:val="center"/>
          </w:tcPr>
          <w:p w14:paraId="24921E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cs="Times New Roman"/>
                <w:b/>
                <w:bCs/>
                <w:color w:val="000000" w:themeColor="text1"/>
                <w:kern w:val="0"/>
                <w:sz w:val="24"/>
                <w14:textFill>
                  <w14:solidFill>
                    <w14:schemeClr w14:val="tx1"/>
                  </w14:solidFill>
                </w14:textFill>
              </w:rPr>
            </w:pPr>
            <w:r>
              <w:rPr>
                <w:rFonts w:hint="default" w:cs="Times New Roman"/>
                <w:b/>
                <w:bCs/>
                <w:color w:val="000000" w:themeColor="text1"/>
                <w:kern w:val="0"/>
                <w:sz w:val="24"/>
                <w14:textFill>
                  <w14:solidFill>
                    <w14:schemeClr w14:val="tx1"/>
                  </w14:solidFill>
                </w14:textFill>
              </w:rPr>
              <w:t>评价</w:t>
            </w:r>
          </w:p>
          <w:p w14:paraId="0904C7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cs="Times New Roman"/>
                <w:color w:val="000000" w:themeColor="text1"/>
                <w:kern w:val="0"/>
                <w:szCs w:val="21"/>
                <w14:textFill>
                  <w14:solidFill>
                    <w14:schemeClr w14:val="tx1"/>
                  </w14:solidFill>
                </w14:textFill>
              </w:rPr>
            </w:pPr>
            <w:r>
              <w:rPr>
                <w:rFonts w:hint="default" w:cs="Times New Roman"/>
                <w:b/>
                <w:bCs/>
                <w:color w:val="000000" w:themeColor="text1"/>
                <w:kern w:val="0"/>
                <w:sz w:val="24"/>
                <w14:textFill>
                  <w14:solidFill>
                    <w14:schemeClr w14:val="tx1"/>
                  </w14:solidFill>
                </w14:textFill>
              </w:rPr>
              <w:t>标准</w:t>
            </w:r>
          </w:p>
        </w:tc>
        <w:tc>
          <w:tcPr>
            <w:tcW w:w="8504" w:type="dxa"/>
            <w:noWrap w:val="0"/>
            <w:vAlign w:val="center"/>
          </w:tcPr>
          <w:p w14:paraId="5CFE9B4D">
            <w:pPr>
              <w:pStyle w:val="2"/>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环境质量标准</w:t>
            </w:r>
          </w:p>
          <w:p w14:paraId="6177857D">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⑴环境空气质量标准</w:t>
            </w:r>
          </w:p>
          <w:p w14:paraId="34DD1BDC">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项目所在区域</w:t>
            </w:r>
            <w:r>
              <w:rPr>
                <w:rFonts w:hint="eastAsia"/>
                <w:color w:val="000000" w:themeColor="text1"/>
                <w14:textFill>
                  <w14:solidFill>
                    <w14:schemeClr w14:val="tx1"/>
                  </w14:solidFill>
                </w14:textFill>
              </w:rPr>
              <w:t>属于环境空气质量功能二类区</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环境空气质量执行《环境空气质量标准》</w:t>
            </w:r>
            <w:r>
              <w:rPr>
                <w:rFonts w:hint="default"/>
                <w:color w:val="000000" w:themeColor="text1"/>
                <w:lang w:val="en-US" w:eastAsia="zh-CN"/>
                <w14:textFill>
                  <w14:solidFill>
                    <w14:schemeClr w14:val="tx1"/>
                  </w14:solidFill>
                </w14:textFill>
              </w:rPr>
              <w:t>(GB3095-2012)</w:t>
            </w:r>
            <w:r>
              <w:rPr>
                <w:rFonts w:hint="eastAsia"/>
                <w:color w:val="000000" w:themeColor="text1"/>
                <w:lang w:val="en-US" w:eastAsia="zh-CN"/>
                <w14:textFill>
                  <w14:solidFill>
                    <w14:schemeClr w14:val="tx1"/>
                  </w14:solidFill>
                </w14:textFill>
              </w:rPr>
              <w:t>及修改单二级标准。</w:t>
            </w:r>
          </w:p>
          <w:p w14:paraId="3768ADC2">
            <w:pPr>
              <w:pStyle w:val="3"/>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表3-</w:t>
            </w:r>
            <w:r>
              <w:rPr>
                <w:rFonts w:hint="eastAsia"/>
                <w:color w:val="000000" w:themeColor="text1"/>
                <w:lang w:val="en-US" w:eastAsia="zh-CN"/>
                <w14:textFill>
                  <w14:solidFill>
                    <w14:schemeClr w14:val="tx1"/>
                  </w14:solidFill>
                </w14:textFill>
              </w:rPr>
              <w:t xml:space="preserve">6 </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环境空气质量标准</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082"/>
              <w:gridCol w:w="1446"/>
              <w:gridCol w:w="1435"/>
              <w:gridCol w:w="953"/>
              <w:gridCol w:w="2378"/>
            </w:tblGrid>
            <w:tr w14:paraId="39A4DB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vMerge w:val="restart"/>
                  <w:tcBorders>
                    <w:tl2br w:val="nil"/>
                    <w:tr2bl w:val="nil"/>
                  </w:tcBorders>
                  <w:noWrap w:val="0"/>
                  <w:vAlign w:val="center"/>
                </w:tcPr>
                <w:p w14:paraId="77154DA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污染物名称</w:t>
                  </w:r>
                </w:p>
              </w:tc>
              <w:tc>
                <w:tcPr>
                  <w:tcW w:w="4880" w:type="dxa"/>
                  <w:gridSpan w:val="4"/>
                  <w:tcBorders>
                    <w:tl2br w:val="nil"/>
                    <w:tr2bl w:val="nil"/>
                  </w:tcBorders>
                  <w:noWrap w:val="0"/>
                  <w:vAlign w:val="center"/>
                </w:tcPr>
                <w:p w14:paraId="622223F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标准值</w:t>
                  </w:r>
                </w:p>
              </w:tc>
              <w:tc>
                <w:tcPr>
                  <w:tcW w:w="2361" w:type="dxa"/>
                  <w:vMerge w:val="restart"/>
                  <w:tcBorders>
                    <w:tl2br w:val="nil"/>
                    <w:tr2bl w:val="nil"/>
                  </w:tcBorders>
                  <w:noWrap w:val="0"/>
                  <w:vAlign w:val="center"/>
                </w:tcPr>
                <w:p w14:paraId="457C0E66">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b/>
                      <w:bCs/>
                      <w:color w:val="000000" w:themeColor="text1"/>
                      <w:kern w:val="2"/>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eastAsia="zh-CN"/>
                      <w14:textFill>
                        <w14:solidFill>
                          <w14:schemeClr w14:val="tx1"/>
                        </w14:solidFill>
                      </w14:textFill>
                    </w:rPr>
                    <w:t>依据</w:t>
                  </w:r>
                </w:p>
              </w:tc>
            </w:tr>
            <w:tr w14:paraId="062D8F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vMerge w:val="continue"/>
                  <w:tcBorders>
                    <w:tl2br w:val="nil"/>
                    <w:tr2bl w:val="nil"/>
                  </w:tcBorders>
                  <w:noWrap w:val="0"/>
                  <w:vAlign w:val="center"/>
                </w:tcPr>
                <w:p w14:paraId="0A5613B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p>
              </w:tc>
              <w:tc>
                <w:tcPr>
                  <w:tcW w:w="1074" w:type="dxa"/>
                  <w:tcBorders>
                    <w:tl2br w:val="nil"/>
                    <w:tr2bl w:val="nil"/>
                  </w:tcBorders>
                  <w:noWrap w:val="0"/>
                  <w:vAlign w:val="center"/>
                </w:tcPr>
                <w:p w14:paraId="37F0EF1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年平均</w:t>
                  </w:r>
                </w:p>
              </w:tc>
              <w:tc>
                <w:tcPr>
                  <w:tcW w:w="1435" w:type="dxa"/>
                  <w:tcBorders>
                    <w:tl2br w:val="nil"/>
                    <w:tr2bl w:val="nil"/>
                  </w:tcBorders>
                  <w:noWrap w:val="0"/>
                  <w:vAlign w:val="center"/>
                </w:tcPr>
                <w:p w14:paraId="1B9F0DC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24小时平均</w:t>
                  </w:r>
                </w:p>
              </w:tc>
              <w:tc>
                <w:tcPr>
                  <w:tcW w:w="1425" w:type="dxa"/>
                  <w:tcBorders>
                    <w:tl2br w:val="nil"/>
                    <w:tr2bl w:val="nil"/>
                  </w:tcBorders>
                  <w:noWrap w:val="0"/>
                  <w:vAlign w:val="center"/>
                </w:tcPr>
                <w:p w14:paraId="7D8A693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1小时平均</w:t>
                  </w:r>
                </w:p>
              </w:tc>
              <w:tc>
                <w:tcPr>
                  <w:tcW w:w="946" w:type="dxa"/>
                  <w:tcBorders>
                    <w:tl2br w:val="nil"/>
                    <w:tr2bl w:val="nil"/>
                  </w:tcBorders>
                  <w:noWrap w:val="0"/>
                  <w:vAlign w:val="center"/>
                </w:tcPr>
                <w:p w14:paraId="7362BCD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eastAsia="zh-CN"/>
                      <w14:textFill>
                        <w14:solidFill>
                          <w14:schemeClr w14:val="tx1"/>
                        </w14:solidFill>
                      </w14:textFill>
                    </w:rPr>
                  </w:pPr>
                  <w:r>
                    <w:rPr>
                      <w:rFonts w:hint="default" w:cs="Times New Roman"/>
                      <w:b/>
                      <w:bCs/>
                      <w:color w:val="000000" w:themeColor="text1"/>
                      <w:lang w:eastAsia="zh-CN"/>
                      <w14:textFill>
                        <w14:solidFill>
                          <w14:schemeClr w14:val="tx1"/>
                        </w14:solidFill>
                      </w14:textFill>
                    </w:rPr>
                    <w:t>单位</w:t>
                  </w:r>
                </w:p>
              </w:tc>
              <w:tc>
                <w:tcPr>
                  <w:tcW w:w="2361" w:type="dxa"/>
                  <w:vMerge w:val="continue"/>
                  <w:tcBorders>
                    <w:tl2br w:val="nil"/>
                    <w:tr2bl w:val="nil"/>
                  </w:tcBorders>
                  <w:noWrap w:val="0"/>
                  <w:vAlign w:val="center"/>
                </w:tcPr>
                <w:p w14:paraId="1AD96D74">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b/>
                      <w:bCs/>
                      <w:color w:val="000000" w:themeColor="text1"/>
                      <w:kern w:val="2"/>
                      <w:sz w:val="21"/>
                      <w:szCs w:val="21"/>
                      <w:highlight w:val="none"/>
                      <w:lang w:eastAsia="zh-CN"/>
                      <w14:textFill>
                        <w14:solidFill>
                          <w14:schemeClr w14:val="tx1"/>
                        </w14:solidFill>
                      </w14:textFill>
                    </w:rPr>
                  </w:pPr>
                </w:p>
              </w:tc>
            </w:tr>
            <w:tr w14:paraId="137D6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7988DCE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SO</w:t>
                  </w:r>
                  <w:r>
                    <w:rPr>
                      <w:rFonts w:hint="default" w:cs="Times New Roman"/>
                      <w:color w:val="000000" w:themeColor="text1"/>
                      <w:vertAlign w:val="subscript"/>
                      <w:lang w:eastAsia="zh-CN"/>
                      <w14:textFill>
                        <w14:solidFill>
                          <w14:schemeClr w14:val="tx1"/>
                        </w14:solidFill>
                      </w14:textFill>
                    </w:rPr>
                    <w:t>2</w:t>
                  </w:r>
                </w:p>
              </w:tc>
              <w:tc>
                <w:tcPr>
                  <w:tcW w:w="1074" w:type="dxa"/>
                  <w:tcBorders>
                    <w:tl2br w:val="nil"/>
                    <w:tr2bl w:val="nil"/>
                  </w:tcBorders>
                  <w:noWrap w:val="0"/>
                  <w:vAlign w:val="center"/>
                </w:tcPr>
                <w:p w14:paraId="1B79B5A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60</w:t>
                  </w:r>
                </w:p>
              </w:tc>
              <w:tc>
                <w:tcPr>
                  <w:tcW w:w="1435" w:type="dxa"/>
                  <w:tcBorders>
                    <w:tl2br w:val="nil"/>
                    <w:tr2bl w:val="nil"/>
                  </w:tcBorders>
                  <w:noWrap w:val="0"/>
                  <w:vAlign w:val="center"/>
                </w:tcPr>
                <w:p w14:paraId="176F14E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150</w:t>
                  </w:r>
                </w:p>
              </w:tc>
              <w:tc>
                <w:tcPr>
                  <w:tcW w:w="1425" w:type="dxa"/>
                  <w:tcBorders>
                    <w:tl2br w:val="nil"/>
                    <w:tr2bl w:val="nil"/>
                  </w:tcBorders>
                  <w:noWrap w:val="0"/>
                  <w:vAlign w:val="center"/>
                </w:tcPr>
                <w:p w14:paraId="2BA21A9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500</w:t>
                  </w:r>
                </w:p>
              </w:tc>
              <w:tc>
                <w:tcPr>
                  <w:tcW w:w="946" w:type="dxa"/>
                  <w:vMerge w:val="restart"/>
                  <w:tcBorders>
                    <w:tl2br w:val="nil"/>
                    <w:tr2bl w:val="nil"/>
                  </w:tcBorders>
                  <w:noWrap w:val="0"/>
                  <w:vAlign w:val="center"/>
                </w:tcPr>
                <w:p w14:paraId="7648A4E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μg/m³</w:t>
                  </w:r>
                </w:p>
              </w:tc>
              <w:tc>
                <w:tcPr>
                  <w:tcW w:w="2361" w:type="dxa"/>
                  <w:vMerge w:val="restart"/>
                  <w:tcBorders>
                    <w:tl2br w:val="nil"/>
                    <w:tr2bl w:val="nil"/>
                  </w:tcBorders>
                  <w:noWrap w:val="0"/>
                  <w:vAlign w:val="center"/>
                </w:tcPr>
                <w:p w14:paraId="2A37546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《环境空气质量标准》</w:t>
                  </w:r>
                  <w:r>
                    <w:rPr>
                      <w:rFonts w:hint="eastAsia" w:cs="Times New Roman"/>
                      <w:color w:val="000000" w:themeColor="text1"/>
                      <w:lang w:eastAsia="zh-CN"/>
                      <w14:textFill>
                        <w14:solidFill>
                          <w14:schemeClr w14:val="tx1"/>
                        </w14:solidFill>
                      </w14:textFill>
                    </w:rPr>
                    <w:t>（</w:t>
                  </w:r>
                  <w:r>
                    <w:rPr>
                      <w:rFonts w:hint="default" w:cs="Times New Roman"/>
                      <w:color w:val="000000" w:themeColor="text1"/>
                      <w:lang w:eastAsia="zh-CN"/>
                      <w14:textFill>
                        <w14:solidFill>
                          <w14:schemeClr w14:val="tx1"/>
                        </w14:solidFill>
                      </w14:textFill>
                    </w:rPr>
                    <w:t>GB3095-2012）二级标准及修改单</w:t>
                  </w:r>
                </w:p>
              </w:tc>
            </w:tr>
            <w:tr w14:paraId="21CED0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2E25BE2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NO</w:t>
                  </w:r>
                  <w:r>
                    <w:rPr>
                      <w:rFonts w:hint="default" w:cs="Times New Roman"/>
                      <w:color w:val="000000" w:themeColor="text1"/>
                      <w:vertAlign w:val="subscript"/>
                      <w:lang w:eastAsia="zh-CN"/>
                      <w14:textFill>
                        <w14:solidFill>
                          <w14:schemeClr w14:val="tx1"/>
                        </w14:solidFill>
                      </w14:textFill>
                    </w:rPr>
                    <w:t>2</w:t>
                  </w:r>
                </w:p>
              </w:tc>
              <w:tc>
                <w:tcPr>
                  <w:tcW w:w="1074" w:type="dxa"/>
                  <w:tcBorders>
                    <w:tl2br w:val="nil"/>
                    <w:tr2bl w:val="nil"/>
                  </w:tcBorders>
                  <w:noWrap w:val="0"/>
                  <w:vAlign w:val="center"/>
                </w:tcPr>
                <w:p w14:paraId="08E920C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40</w:t>
                  </w:r>
                </w:p>
              </w:tc>
              <w:tc>
                <w:tcPr>
                  <w:tcW w:w="1435" w:type="dxa"/>
                  <w:tcBorders>
                    <w:tl2br w:val="nil"/>
                    <w:tr2bl w:val="nil"/>
                  </w:tcBorders>
                  <w:noWrap w:val="0"/>
                  <w:vAlign w:val="center"/>
                </w:tcPr>
                <w:p w14:paraId="616441D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80</w:t>
                  </w:r>
                </w:p>
              </w:tc>
              <w:tc>
                <w:tcPr>
                  <w:tcW w:w="1425" w:type="dxa"/>
                  <w:tcBorders>
                    <w:tl2br w:val="nil"/>
                    <w:tr2bl w:val="nil"/>
                  </w:tcBorders>
                  <w:noWrap w:val="0"/>
                  <w:vAlign w:val="center"/>
                </w:tcPr>
                <w:p w14:paraId="3D2BFC9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200</w:t>
                  </w:r>
                </w:p>
              </w:tc>
              <w:tc>
                <w:tcPr>
                  <w:tcW w:w="946" w:type="dxa"/>
                  <w:vMerge w:val="continue"/>
                  <w:tcBorders>
                    <w:tl2br w:val="nil"/>
                    <w:tr2bl w:val="nil"/>
                  </w:tcBorders>
                  <w:noWrap w:val="0"/>
                  <w:vAlign w:val="center"/>
                </w:tcPr>
                <w:p w14:paraId="3E9FEFA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p>
              </w:tc>
              <w:tc>
                <w:tcPr>
                  <w:tcW w:w="2361" w:type="dxa"/>
                  <w:vMerge w:val="continue"/>
                  <w:tcBorders>
                    <w:tl2br w:val="nil"/>
                    <w:tr2bl w:val="nil"/>
                  </w:tcBorders>
                  <w:noWrap w:val="0"/>
                  <w:vAlign w:val="center"/>
                </w:tcPr>
                <w:p w14:paraId="411CE087">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r w14:paraId="17DA15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4817D7B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PM</w:t>
                  </w:r>
                  <w:r>
                    <w:rPr>
                      <w:rFonts w:hint="default" w:cs="Times New Roman"/>
                      <w:color w:val="000000" w:themeColor="text1"/>
                      <w:vertAlign w:val="subscript"/>
                      <w:lang w:eastAsia="zh-CN"/>
                      <w14:textFill>
                        <w14:solidFill>
                          <w14:schemeClr w14:val="tx1"/>
                        </w14:solidFill>
                      </w14:textFill>
                    </w:rPr>
                    <w:t>10</w:t>
                  </w:r>
                </w:p>
              </w:tc>
              <w:tc>
                <w:tcPr>
                  <w:tcW w:w="1074" w:type="dxa"/>
                  <w:tcBorders>
                    <w:tl2br w:val="nil"/>
                    <w:tr2bl w:val="nil"/>
                  </w:tcBorders>
                  <w:noWrap w:val="0"/>
                  <w:vAlign w:val="center"/>
                </w:tcPr>
                <w:p w14:paraId="2F41E42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70</w:t>
                  </w:r>
                </w:p>
              </w:tc>
              <w:tc>
                <w:tcPr>
                  <w:tcW w:w="1435" w:type="dxa"/>
                  <w:tcBorders>
                    <w:tl2br w:val="nil"/>
                    <w:tr2bl w:val="nil"/>
                  </w:tcBorders>
                  <w:noWrap w:val="0"/>
                  <w:vAlign w:val="center"/>
                </w:tcPr>
                <w:p w14:paraId="2A942F4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150</w:t>
                  </w:r>
                </w:p>
              </w:tc>
              <w:tc>
                <w:tcPr>
                  <w:tcW w:w="1425" w:type="dxa"/>
                  <w:tcBorders>
                    <w:tl2br w:val="nil"/>
                    <w:tr2bl w:val="nil"/>
                  </w:tcBorders>
                  <w:noWrap w:val="0"/>
                  <w:vAlign w:val="center"/>
                </w:tcPr>
                <w:p w14:paraId="2AA05D1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w:t>
                  </w:r>
                </w:p>
              </w:tc>
              <w:tc>
                <w:tcPr>
                  <w:tcW w:w="946" w:type="dxa"/>
                  <w:vMerge w:val="continue"/>
                  <w:tcBorders>
                    <w:tl2br w:val="nil"/>
                    <w:tr2bl w:val="nil"/>
                  </w:tcBorders>
                  <w:noWrap w:val="0"/>
                  <w:vAlign w:val="center"/>
                </w:tcPr>
                <w:p w14:paraId="266BE4B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p>
              </w:tc>
              <w:tc>
                <w:tcPr>
                  <w:tcW w:w="2361" w:type="dxa"/>
                  <w:vMerge w:val="continue"/>
                  <w:tcBorders>
                    <w:tl2br w:val="nil"/>
                    <w:tr2bl w:val="nil"/>
                  </w:tcBorders>
                  <w:noWrap w:val="0"/>
                  <w:vAlign w:val="center"/>
                </w:tcPr>
                <w:p w14:paraId="6E0A7C7D">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r w14:paraId="75D9A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26A9F06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PM</w:t>
                  </w:r>
                  <w:r>
                    <w:rPr>
                      <w:rFonts w:hint="default" w:cs="Times New Roman"/>
                      <w:color w:val="000000" w:themeColor="text1"/>
                      <w:vertAlign w:val="subscript"/>
                      <w:lang w:eastAsia="zh-CN"/>
                      <w14:textFill>
                        <w14:solidFill>
                          <w14:schemeClr w14:val="tx1"/>
                        </w14:solidFill>
                      </w14:textFill>
                    </w:rPr>
                    <w:t>2.5</w:t>
                  </w:r>
                </w:p>
              </w:tc>
              <w:tc>
                <w:tcPr>
                  <w:tcW w:w="1074" w:type="dxa"/>
                  <w:tcBorders>
                    <w:tl2br w:val="nil"/>
                    <w:tr2bl w:val="nil"/>
                  </w:tcBorders>
                  <w:noWrap w:val="0"/>
                  <w:vAlign w:val="center"/>
                </w:tcPr>
                <w:p w14:paraId="4C975BA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35</w:t>
                  </w:r>
                </w:p>
              </w:tc>
              <w:tc>
                <w:tcPr>
                  <w:tcW w:w="1435" w:type="dxa"/>
                  <w:tcBorders>
                    <w:tl2br w:val="nil"/>
                    <w:tr2bl w:val="nil"/>
                  </w:tcBorders>
                  <w:noWrap w:val="0"/>
                  <w:vAlign w:val="center"/>
                </w:tcPr>
                <w:p w14:paraId="683DF73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75</w:t>
                  </w:r>
                </w:p>
              </w:tc>
              <w:tc>
                <w:tcPr>
                  <w:tcW w:w="1425" w:type="dxa"/>
                  <w:tcBorders>
                    <w:tl2br w:val="nil"/>
                    <w:tr2bl w:val="nil"/>
                  </w:tcBorders>
                  <w:noWrap w:val="0"/>
                  <w:vAlign w:val="center"/>
                </w:tcPr>
                <w:p w14:paraId="4ECE156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w:t>
                  </w:r>
                </w:p>
              </w:tc>
              <w:tc>
                <w:tcPr>
                  <w:tcW w:w="946" w:type="dxa"/>
                  <w:vMerge w:val="continue"/>
                  <w:tcBorders>
                    <w:tl2br w:val="nil"/>
                    <w:tr2bl w:val="nil"/>
                  </w:tcBorders>
                  <w:noWrap w:val="0"/>
                  <w:vAlign w:val="center"/>
                </w:tcPr>
                <w:p w14:paraId="35D8415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p>
              </w:tc>
              <w:tc>
                <w:tcPr>
                  <w:tcW w:w="2361" w:type="dxa"/>
                  <w:vMerge w:val="continue"/>
                  <w:tcBorders>
                    <w:tl2br w:val="nil"/>
                    <w:tr2bl w:val="nil"/>
                  </w:tcBorders>
                  <w:noWrap w:val="0"/>
                  <w:vAlign w:val="center"/>
                </w:tcPr>
                <w:p w14:paraId="5150FCCA">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r w14:paraId="50802A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39045F4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O</w:t>
                  </w:r>
                  <w:r>
                    <w:rPr>
                      <w:rFonts w:hint="default" w:cs="Times New Roman"/>
                      <w:color w:val="000000" w:themeColor="text1"/>
                      <w:vertAlign w:val="subscript"/>
                      <w:lang w:eastAsia="zh-CN"/>
                      <w14:textFill>
                        <w14:solidFill>
                          <w14:schemeClr w14:val="tx1"/>
                        </w14:solidFill>
                      </w14:textFill>
                    </w:rPr>
                    <w:t>3</w:t>
                  </w:r>
                </w:p>
              </w:tc>
              <w:tc>
                <w:tcPr>
                  <w:tcW w:w="1074" w:type="dxa"/>
                  <w:tcBorders>
                    <w:tl2br w:val="nil"/>
                    <w:tr2bl w:val="nil"/>
                  </w:tcBorders>
                  <w:noWrap w:val="0"/>
                  <w:vAlign w:val="center"/>
                </w:tcPr>
                <w:p w14:paraId="6540CF3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w:t>
                  </w:r>
                </w:p>
              </w:tc>
              <w:tc>
                <w:tcPr>
                  <w:tcW w:w="1435" w:type="dxa"/>
                  <w:tcBorders>
                    <w:tl2br w:val="nil"/>
                    <w:tr2bl w:val="nil"/>
                  </w:tcBorders>
                  <w:noWrap w:val="0"/>
                  <w:vAlign w:val="center"/>
                </w:tcPr>
                <w:p w14:paraId="46610F5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160（日最大8小时平均）</w:t>
                  </w:r>
                </w:p>
              </w:tc>
              <w:tc>
                <w:tcPr>
                  <w:tcW w:w="1425" w:type="dxa"/>
                  <w:tcBorders>
                    <w:tl2br w:val="nil"/>
                    <w:tr2bl w:val="nil"/>
                  </w:tcBorders>
                  <w:noWrap w:val="0"/>
                  <w:vAlign w:val="center"/>
                </w:tcPr>
                <w:p w14:paraId="6D7F81A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200</w:t>
                  </w:r>
                </w:p>
              </w:tc>
              <w:tc>
                <w:tcPr>
                  <w:tcW w:w="946" w:type="dxa"/>
                  <w:vMerge w:val="continue"/>
                  <w:tcBorders>
                    <w:tl2br w:val="nil"/>
                    <w:tr2bl w:val="nil"/>
                  </w:tcBorders>
                  <w:noWrap w:val="0"/>
                  <w:vAlign w:val="center"/>
                </w:tcPr>
                <w:p w14:paraId="561FE8E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p>
              </w:tc>
              <w:tc>
                <w:tcPr>
                  <w:tcW w:w="2361" w:type="dxa"/>
                  <w:vMerge w:val="continue"/>
                  <w:tcBorders>
                    <w:tl2br w:val="nil"/>
                    <w:tr2bl w:val="nil"/>
                  </w:tcBorders>
                  <w:noWrap w:val="0"/>
                  <w:vAlign w:val="center"/>
                </w:tcPr>
                <w:p w14:paraId="0A9B7CDC">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r w14:paraId="4DEB5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174A375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CO</w:t>
                  </w:r>
                </w:p>
              </w:tc>
              <w:tc>
                <w:tcPr>
                  <w:tcW w:w="1074" w:type="dxa"/>
                  <w:tcBorders>
                    <w:tl2br w:val="nil"/>
                    <w:tr2bl w:val="nil"/>
                  </w:tcBorders>
                  <w:noWrap w:val="0"/>
                  <w:vAlign w:val="center"/>
                </w:tcPr>
                <w:p w14:paraId="5863872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w:t>
                  </w:r>
                </w:p>
              </w:tc>
              <w:tc>
                <w:tcPr>
                  <w:tcW w:w="1435" w:type="dxa"/>
                  <w:tcBorders>
                    <w:tl2br w:val="nil"/>
                    <w:tr2bl w:val="nil"/>
                  </w:tcBorders>
                  <w:noWrap w:val="0"/>
                  <w:vAlign w:val="center"/>
                </w:tcPr>
                <w:p w14:paraId="1F38802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4</w:t>
                  </w:r>
                </w:p>
              </w:tc>
              <w:tc>
                <w:tcPr>
                  <w:tcW w:w="1425" w:type="dxa"/>
                  <w:tcBorders>
                    <w:tl2br w:val="nil"/>
                    <w:tr2bl w:val="nil"/>
                  </w:tcBorders>
                  <w:noWrap w:val="0"/>
                  <w:vAlign w:val="center"/>
                </w:tcPr>
                <w:p w14:paraId="1E1099B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10</w:t>
                  </w:r>
                </w:p>
              </w:tc>
              <w:tc>
                <w:tcPr>
                  <w:tcW w:w="946" w:type="dxa"/>
                  <w:tcBorders>
                    <w:tl2br w:val="nil"/>
                    <w:tr2bl w:val="nil"/>
                  </w:tcBorders>
                  <w:noWrap w:val="0"/>
                  <w:vAlign w:val="center"/>
                </w:tcPr>
                <w:p w14:paraId="752975F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mg/m³</w:t>
                  </w:r>
                </w:p>
              </w:tc>
              <w:tc>
                <w:tcPr>
                  <w:tcW w:w="2361" w:type="dxa"/>
                  <w:vMerge w:val="continue"/>
                  <w:tcBorders>
                    <w:tl2br w:val="nil"/>
                    <w:tr2bl w:val="nil"/>
                  </w:tcBorders>
                  <w:noWrap w:val="0"/>
                  <w:vAlign w:val="center"/>
                </w:tcPr>
                <w:p w14:paraId="2905C59F">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r w14:paraId="004070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57" w:type="dxa"/>
                  <w:tcBorders>
                    <w:tl2br w:val="nil"/>
                    <w:tr2bl w:val="nil"/>
                  </w:tcBorders>
                  <w:noWrap w:val="0"/>
                  <w:vAlign w:val="center"/>
                </w:tcPr>
                <w:p w14:paraId="07B9B26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TSP</w:t>
                  </w:r>
                </w:p>
              </w:tc>
              <w:tc>
                <w:tcPr>
                  <w:tcW w:w="1074" w:type="dxa"/>
                  <w:tcBorders>
                    <w:tl2br w:val="nil"/>
                    <w:tr2bl w:val="nil"/>
                  </w:tcBorders>
                  <w:noWrap w:val="0"/>
                  <w:vAlign w:val="center"/>
                </w:tcPr>
                <w:p w14:paraId="78846B8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200</w:t>
                  </w:r>
                </w:p>
              </w:tc>
              <w:tc>
                <w:tcPr>
                  <w:tcW w:w="1435" w:type="dxa"/>
                  <w:tcBorders>
                    <w:tl2br w:val="nil"/>
                    <w:tr2bl w:val="nil"/>
                  </w:tcBorders>
                  <w:noWrap w:val="0"/>
                  <w:vAlign w:val="center"/>
                </w:tcPr>
                <w:p w14:paraId="2BF61D0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300</w:t>
                  </w:r>
                </w:p>
              </w:tc>
              <w:tc>
                <w:tcPr>
                  <w:tcW w:w="1425" w:type="dxa"/>
                  <w:tcBorders>
                    <w:tl2br w:val="nil"/>
                    <w:tr2bl w:val="nil"/>
                  </w:tcBorders>
                  <w:noWrap w:val="0"/>
                  <w:vAlign w:val="center"/>
                </w:tcPr>
                <w:p w14:paraId="639CAF2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w:t>
                  </w:r>
                </w:p>
              </w:tc>
              <w:tc>
                <w:tcPr>
                  <w:tcW w:w="946" w:type="dxa"/>
                  <w:tcBorders>
                    <w:tl2br w:val="nil"/>
                    <w:tr2bl w:val="nil"/>
                  </w:tcBorders>
                  <w:noWrap w:val="0"/>
                  <w:vAlign w:val="center"/>
                </w:tcPr>
                <w:p w14:paraId="358451B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eastAsia="zh-CN"/>
                      <w14:textFill>
                        <w14:solidFill>
                          <w14:schemeClr w14:val="tx1"/>
                        </w14:solidFill>
                      </w14:textFill>
                    </w:rPr>
                  </w:pPr>
                  <w:r>
                    <w:rPr>
                      <w:rFonts w:hint="default" w:cs="Times New Roman"/>
                      <w:color w:val="000000" w:themeColor="text1"/>
                      <w:lang w:eastAsia="zh-CN"/>
                      <w14:textFill>
                        <w14:solidFill>
                          <w14:schemeClr w14:val="tx1"/>
                        </w14:solidFill>
                      </w14:textFill>
                    </w:rPr>
                    <w:t>μg/m³</w:t>
                  </w:r>
                </w:p>
              </w:tc>
              <w:tc>
                <w:tcPr>
                  <w:tcW w:w="2361" w:type="dxa"/>
                  <w:vMerge w:val="continue"/>
                  <w:tcBorders>
                    <w:tl2br w:val="nil"/>
                    <w:tr2bl w:val="nil"/>
                  </w:tcBorders>
                  <w:noWrap w:val="0"/>
                  <w:vAlign w:val="center"/>
                </w:tcPr>
                <w:p w14:paraId="57FCE084">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p>
              </w:tc>
            </w:tr>
          </w:tbl>
          <w:p w14:paraId="08ACE008">
            <w:pPr>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⑵</w:t>
            </w:r>
            <w:r>
              <w:rPr>
                <w:rFonts w:hint="eastAsia"/>
                <w:color w:val="000000" w:themeColor="text1"/>
                <w14:textFill>
                  <w14:solidFill>
                    <w14:schemeClr w14:val="tx1"/>
                  </w14:solidFill>
                </w14:textFill>
              </w:rPr>
              <w:t>地表水环境质量标准</w:t>
            </w:r>
          </w:p>
          <w:p w14:paraId="49447B65">
            <w:pPr>
              <w:bidi w:val="0"/>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本项目所在地最近的地表水体为黄河</w:t>
            </w:r>
            <w:r>
              <w:rPr>
                <w:rFonts w:hint="eastAsia"/>
                <w:color w:val="000000" w:themeColor="text1"/>
                <w14:textFill>
                  <w14:solidFill>
                    <w14:schemeClr w14:val="tx1"/>
                  </w14:solidFill>
                </w14:textFill>
              </w:rPr>
              <w:t>，水质执行《地表水环境质量标准》（</w:t>
            </w:r>
            <w:r>
              <w:rPr>
                <w:rFonts w:hint="default"/>
                <w:color w:val="000000" w:themeColor="text1"/>
                <w14:textFill>
                  <w14:solidFill>
                    <w14:schemeClr w14:val="tx1"/>
                  </w14:solidFill>
                </w14:textFill>
              </w:rPr>
              <w:t>GB3838-2002</w:t>
            </w:r>
            <w:r>
              <w:rPr>
                <w:rFonts w:hint="eastAsia"/>
                <w:color w:val="000000" w:themeColor="text1"/>
                <w14:textFill>
                  <w14:solidFill>
                    <w14:schemeClr w14:val="tx1"/>
                  </w14:solidFill>
                </w14:textFill>
              </w:rPr>
              <w:t>）中的</w:t>
            </w:r>
            <w:r>
              <w:rPr>
                <w:rFonts w:hint="default"/>
                <w:color w:val="000000" w:themeColor="text1"/>
                <w14:textFill>
                  <w14:solidFill>
                    <w14:schemeClr w14:val="tx1"/>
                  </w14:solidFill>
                </w14:textFill>
              </w:rPr>
              <w:t>Ⅱ</w:t>
            </w:r>
            <w:r>
              <w:rPr>
                <w:rFonts w:hint="eastAsia"/>
                <w:color w:val="000000" w:themeColor="text1"/>
                <w14:textFill>
                  <w14:solidFill>
                    <w14:schemeClr w14:val="tx1"/>
                  </w14:solidFill>
                </w14:textFill>
              </w:rPr>
              <w:t>类水质标准。</w:t>
            </w:r>
          </w:p>
          <w:p w14:paraId="2150EA4E">
            <w:pPr>
              <w:pStyle w:val="3"/>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7</w:t>
            </w:r>
            <w:r>
              <w:rPr>
                <w:rFonts w:hint="default"/>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rFonts w:hint="default"/>
                <w:color w:val="000000" w:themeColor="text1"/>
                <w14:textFill>
                  <w14:solidFill>
                    <w14:schemeClr w14:val="tx1"/>
                  </w14:solidFill>
                </w14:textFill>
              </w:rPr>
              <w:t>《地表水环境质量标准》</w:t>
            </w:r>
            <w:r>
              <w:rPr>
                <w:rFonts w:hint="eastAsia"/>
                <w:color w:val="000000" w:themeColor="text1"/>
                <w:lang w:val="en-US" w:eastAsia="zh-CN"/>
                <w14:textFill>
                  <w14:solidFill>
                    <w14:schemeClr w14:val="tx1"/>
                  </w14:solidFill>
                </w14:textFill>
              </w:rPr>
              <w:t xml:space="preserve">  </w:t>
            </w:r>
            <w:r>
              <w:rPr>
                <w:rFonts w:hint="default"/>
                <w:color w:val="000000" w:themeColor="text1"/>
                <w14:textFill>
                  <w14:solidFill>
                    <w14:schemeClr w14:val="tx1"/>
                  </w14:solidFill>
                </w14:textFill>
              </w:rPr>
              <w:t>单位：mg/L（pH无量纲）</w:t>
            </w:r>
          </w:p>
          <w:tbl>
            <w:tblPr>
              <w:tblStyle w:val="2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59"/>
              <w:gridCol w:w="3395"/>
              <w:gridCol w:w="3404"/>
            </w:tblGrid>
            <w:tr w14:paraId="11B9FC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7A4F775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序号</w:t>
                  </w:r>
                </w:p>
              </w:tc>
              <w:tc>
                <w:tcPr>
                  <w:tcW w:w="2055" w:type="pct"/>
                  <w:noWrap w:val="0"/>
                  <w:vAlign w:val="center"/>
                </w:tcPr>
                <w:p w14:paraId="339E4EF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污染物名称</w:t>
                  </w:r>
                </w:p>
              </w:tc>
              <w:tc>
                <w:tcPr>
                  <w:tcW w:w="2060" w:type="pct"/>
                  <w:noWrap w:val="0"/>
                  <w:vAlign w:val="center"/>
                </w:tcPr>
                <w:p w14:paraId="310823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标准值Ⅱ类</w:t>
                  </w:r>
                </w:p>
              </w:tc>
            </w:tr>
            <w:tr w14:paraId="40AC71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5A7945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w:t>
                  </w:r>
                </w:p>
              </w:tc>
              <w:tc>
                <w:tcPr>
                  <w:tcW w:w="2055" w:type="pct"/>
                  <w:noWrap w:val="0"/>
                  <w:vAlign w:val="center"/>
                </w:tcPr>
                <w:p w14:paraId="7BEB2FF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水温</w:t>
                  </w:r>
                </w:p>
              </w:tc>
              <w:tc>
                <w:tcPr>
                  <w:tcW w:w="2060" w:type="pct"/>
                  <w:noWrap w:val="0"/>
                  <w:vAlign w:val="center"/>
                </w:tcPr>
                <w:p w14:paraId="420D4D4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周平均温升≤1，周平均温降≤2</w:t>
                  </w:r>
                </w:p>
              </w:tc>
            </w:tr>
            <w:tr w14:paraId="3B48E1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3F82158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w:t>
                  </w:r>
                </w:p>
              </w:tc>
              <w:tc>
                <w:tcPr>
                  <w:tcW w:w="2055" w:type="pct"/>
                  <w:noWrap w:val="0"/>
                  <w:vAlign w:val="center"/>
                </w:tcPr>
                <w:p w14:paraId="686378F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pH值</w:t>
                  </w:r>
                </w:p>
              </w:tc>
              <w:tc>
                <w:tcPr>
                  <w:tcW w:w="2060" w:type="pct"/>
                  <w:noWrap w:val="0"/>
                  <w:vAlign w:val="center"/>
                </w:tcPr>
                <w:p w14:paraId="690495E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6～9</w:t>
                  </w:r>
                </w:p>
              </w:tc>
            </w:tr>
            <w:tr w14:paraId="3B2BE7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1C4E709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3</w:t>
                  </w:r>
                </w:p>
              </w:tc>
              <w:tc>
                <w:tcPr>
                  <w:tcW w:w="2055" w:type="pct"/>
                  <w:noWrap w:val="0"/>
                  <w:vAlign w:val="center"/>
                </w:tcPr>
                <w:p w14:paraId="6E5C8A4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溶解氧</w:t>
                  </w:r>
                </w:p>
              </w:tc>
              <w:tc>
                <w:tcPr>
                  <w:tcW w:w="2060" w:type="pct"/>
                  <w:noWrap w:val="0"/>
                  <w:vAlign w:val="center"/>
                </w:tcPr>
                <w:p w14:paraId="69BFFC0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6</w:t>
                  </w:r>
                </w:p>
              </w:tc>
            </w:tr>
            <w:tr w14:paraId="092B2C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08F7B32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4</w:t>
                  </w:r>
                </w:p>
              </w:tc>
              <w:tc>
                <w:tcPr>
                  <w:tcW w:w="2055" w:type="pct"/>
                  <w:noWrap w:val="0"/>
                  <w:vAlign w:val="center"/>
                </w:tcPr>
                <w:p w14:paraId="60A0DC0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高锰酸盐指数</w:t>
                  </w:r>
                </w:p>
              </w:tc>
              <w:tc>
                <w:tcPr>
                  <w:tcW w:w="2060" w:type="pct"/>
                  <w:noWrap w:val="0"/>
                  <w:vAlign w:val="center"/>
                </w:tcPr>
                <w:p w14:paraId="765302F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4</w:t>
                  </w:r>
                </w:p>
              </w:tc>
            </w:tr>
            <w:tr w14:paraId="61D68E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1EB8DD3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5</w:t>
                  </w:r>
                </w:p>
              </w:tc>
              <w:tc>
                <w:tcPr>
                  <w:tcW w:w="2055" w:type="pct"/>
                  <w:noWrap w:val="0"/>
                  <w:vAlign w:val="center"/>
                </w:tcPr>
                <w:p w14:paraId="7A55626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COD</w:t>
                  </w:r>
                </w:p>
              </w:tc>
              <w:tc>
                <w:tcPr>
                  <w:tcW w:w="2060" w:type="pct"/>
                  <w:noWrap w:val="0"/>
                  <w:vAlign w:val="center"/>
                </w:tcPr>
                <w:p w14:paraId="2B6DEC1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15</w:t>
                  </w:r>
                </w:p>
              </w:tc>
            </w:tr>
            <w:tr w14:paraId="309957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0E87B97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6</w:t>
                  </w:r>
                </w:p>
              </w:tc>
              <w:tc>
                <w:tcPr>
                  <w:tcW w:w="2055" w:type="pct"/>
                  <w:noWrap w:val="0"/>
                  <w:vAlign w:val="center"/>
                </w:tcPr>
                <w:p w14:paraId="4FE1260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BOD</w:t>
                  </w:r>
                  <w:r>
                    <w:rPr>
                      <w:rFonts w:hint="default" w:cs="Times New Roman"/>
                      <w:color w:val="000000" w:themeColor="text1"/>
                      <w:vertAlign w:val="subscript"/>
                      <w14:textFill>
                        <w14:solidFill>
                          <w14:schemeClr w14:val="tx1"/>
                        </w14:solidFill>
                      </w14:textFill>
                    </w:rPr>
                    <w:t>5</w:t>
                  </w:r>
                </w:p>
              </w:tc>
              <w:tc>
                <w:tcPr>
                  <w:tcW w:w="2060" w:type="pct"/>
                  <w:noWrap w:val="0"/>
                  <w:vAlign w:val="center"/>
                </w:tcPr>
                <w:p w14:paraId="7CC764C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3</w:t>
                  </w:r>
                </w:p>
              </w:tc>
            </w:tr>
            <w:tr w14:paraId="0C173D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0BE529F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7</w:t>
                  </w:r>
                </w:p>
              </w:tc>
              <w:tc>
                <w:tcPr>
                  <w:tcW w:w="2055" w:type="pct"/>
                  <w:noWrap w:val="0"/>
                  <w:vAlign w:val="center"/>
                </w:tcPr>
                <w:p w14:paraId="5AFB326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氨氮</w:t>
                  </w:r>
                </w:p>
              </w:tc>
              <w:tc>
                <w:tcPr>
                  <w:tcW w:w="2060" w:type="pct"/>
                  <w:noWrap w:val="0"/>
                  <w:vAlign w:val="center"/>
                </w:tcPr>
                <w:p w14:paraId="60BF037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0.5</w:t>
                  </w:r>
                </w:p>
              </w:tc>
            </w:tr>
            <w:tr w14:paraId="21A5DB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79ECA11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8</w:t>
                  </w:r>
                </w:p>
              </w:tc>
              <w:tc>
                <w:tcPr>
                  <w:tcW w:w="2055" w:type="pct"/>
                  <w:noWrap w:val="0"/>
                  <w:vAlign w:val="center"/>
                </w:tcPr>
                <w:p w14:paraId="6EC4789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石油类</w:t>
                  </w:r>
                </w:p>
              </w:tc>
              <w:tc>
                <w:tcPr>
                  <w:tcW w:w="2060" w:type="pct"/>
                  <w:noWrap w:val="0"/>
                  <w:vAlign w:val="center"/>
                </w:tcPr>
                <w:p w14:paraId="3834E8A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≤0.05</w:t>
                  </w:r>
                </w:p>
              </w:tc>
            </w:tr>
            <w:tr w14:paraId="1C6073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6421094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9</w:t>
                  </w:r>
                </w:p>
              </w:tc>
              <w:tc>
                <w:tcPr>
                  <w:tcW w:w="2055" w:type="pct"/>
                  <w:noWrap w:val="0"/>
                  <w:vAlign w:val="center"/>
                </w:tcPr>
                <w:p w14:paraId="02D4DCC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硫化物</w:t>
                  </w:r>
                </w:p>
              </w:tc>
              <w:tc>
                <w:tcPr>
                  <w:tcW w:w="2060" w:type="pct"/>
                  <w:noWrap w:val="0"/>
                  <w:vAlign w:val="center"/>
                </w:tcPr>
                <w:p w14:paraId="28FEF4C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1</w:t>
                  </w:r>
                </w:p>
              </w:tc>
            </w:tr>
            <w:tr w14:paraId="669053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7B55409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10</w:t>
                  </w:r>
                </w:p>
              </w:tc>
              <w:tc>
                <w:tcPr>
                  <w:tcW w:w="2055" w:type="pct"/>
                  <w:noWrap w:val="0"/>
                  <w:vAlign w:val="center"/>
                </w:tcPr>
                <w:p w14:paraId="76D89E1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氟化物</w:t>
                  </w:r>
                </w:p>
              </w:tc>
              <w:tc>
                <w:tcPr>
                  <w:tcW w:w="2060" w:type="pct"/>
                  <w:noWrap w:val="0"/>
                  <w:vAlign w:val="center"/>
                </w:tcPr>
                <w:p w14:paraId="67BCCDC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≤1.0</w:t>
                  </w:r>
                </w:p>
              </w:tc>
            </w:tr>
            <w:tr w14:paraId="6A0DED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72E9C3A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11</w:t>
                  </w:r>
                </w:p>
              </w:tc>
              <w:tc>
                <w:tcPr>
                  <w:tcW w:w="2055" w:type="pct"/>
                  <w:noWrap w:val="0"/>
                  <w:vAlign w:val="center"/>
                </w:tcPr>
                <w:p w14:paraId="2E09405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挥发酚</w:t>
                  </w:r>
                </w:p>
              </w:tc>
              <w:tc>
                <w:tcPr>
                  <w:tcW w:w="2060" w:type="pct"/>
                  <w:noWrap w:val="0"/>
                  <w:vAlign w:val="center"/>
                </w:tcPr>
                <w:p w14:paraId="7BF366B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2</w:t>
                  </w:r>
                </w:p>
              </w:tc>
            </w:tr>
            <w:tr w14:paraId="0D3434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68E37BA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12</w:t>
                  </w:r>
                </w:p>
              </w:tc>
              <w:tc>
                <w:tcPr>
                  <w:tcW w:w="2055" w:type="pct"/>
                  <w:noWrap w:val="0"/>
                  <w:vAlign w:val="center"/>
                </w:tcPr>
                <w:p w14:paraId="508B926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氰化物</w:t>
                  </w:r>
                </w:p>
              </w:tc>
              <w:tc>
                <w:tcPr>
                  <w:tcW w:w="2060" w:type="pct"/>
                  <w:noWrap w:val="0"/>
                  <w:vAlign w:val="center"/>
                </w:tcPr>
                <w:p w14:paraId="69E15BC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≤0.</w:t>
                  </w:r>
                  <w:r>
                    <w:rPr>
                      <w:rFonts w:hint="eastAsia" w:cs="Times New Roman"/>
                      <w:color w:val="000000" w:themeColor="text1"/>
                      <w:lang w:val="en-US" w:eastAsia="zh-CN"/>
                      <w14:textFill>
                        <w14:solidFill>
                          <w14:schemeClr w14:val="tx1"/>
                        </w14:solidFill>
                      </w14:textFill>
                    </w:rPr>
                    <w:t>05</w:t>
                  </w:r>
                </w:p>
              </w:tc>
            </w:tr>
            <w:tr w14:paraId="192EDD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340F13E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13</w:t>
                  </w:r>
                </w:p>
              </w:tc>
              <w:tc>
                <w:tcPr>
                  <w:tcW w:w="2055" w:type="pct"/>
                  <w:noWrap w:val="0"/>
                  <w:vAlign w:val="center"/>
                </w:tcPr>
                <w:p w14:paraId="1B368C6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六价铬</w:t>
                  </w:r>
                </w:p>
              </w:tc>
              <w:tc>
                <w:tcPr>
                  <w:tcW w:w="2060" w:type="pct"/>
                  <w:noWrap w:val="0"/>
                  <w:vAlign w:val="center"/>
                </w:tcPr>
                <w:p w14:paraId="7711D94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≤0.05</w:t>
                  </w:r>
                </w:p>
              </w:tc>
            </w:tr>
            <w:tr w14:paraId="30F8D5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0741C79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14</w:t>
                  </w:r>
                </w:p>
              </w:tc>
              <w:tc>
                <w:tcPr>
                  <w:tcW w:w="2055" w:type="pct"/>
                  <w:noWrap w:val="0"/>
                  <w:vAlign w:val="center"/>
                </w:tcPr>
                <w:p w14:paraId="2B2C368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砷</w:t>
                  </w:r>
                </w:p>
              </w:tc>
              <w:tc>
                <w:tcPr>
                  <w:tcW w:w="2060" w:type="pct"/>
                  <w:noWrap w:val="0"/>
                  <w:vAlign w:val="center"/>
                </w:tcPr>
                <w:p w14:paraId="26F04D0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≤0.05</w:t>
                  </w:r>
                </w:p>
              </w:tc>
            </w:tr>
            <w:tr w14:paraId="16919C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050A253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15</w:t>
                  </w:r>
                </w:p>
              </w:tc>
              <w:tc>
                <w:tcPr>
                  <w:tcW w:w="2055" w:type="pct"/>
                  <w:noWrap w:val="0"/>
                  <w:vAlign w:val="center"/>
                </w:tcPr>
                <w:p w14:paraId="5488F48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汞</w:t>
                  </w:r>
                </w:p>
              </w:tc>
              <w:tc>
                <w:tcPr>
                  <w:tcW w:w="2060" w:type="pct"/>
                  <w:noWrap w:val="0"/>
                  <w:vAlign w:val="center"/>
                </w:tcPr>
                <w:p w14:paraId="2E6FD1F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≤0.000</w:t>
                  </w:r>
                  <w:r>
                    <w:rPr>
                      <w:rFonts w:hint="eastAsia" w:cs="Times New Roman"/>
                      <w:color w:val="000000" w:themeColor="text1"/>
                      <w14:textFill>
                        <w14:solidFill>
                          <w14:schemeClr w14:val="tx1"/>
                        </w14:solidFill>
                      </w14:textFill>
                    </w:rPr>
                    <w:t>05</w:t>
                  </w:r>
                </w:p>
              </w:tc>
            </w:tr>
            <w:tr w14:paraId="50CB29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280DD35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16</w:t>
                  </w:r>
                </w:p>
              </w:tc>
              <w:tc>
                <w:tcPr>
                  <w:tcW w:w="2055" w:type="pct"/>
                  <w:noWrap w:val="0"/>
                  <w:vAlign w:val="center"/>
                </w:tcPr>
                <w:p w14:paraId="5D6160E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铜</w:t>
                  </w:r>
                </w:p>
              </w:tc>
              <w:tc>
                <w:tcPr>
                  <w:tcW w:w="2060" w:type="pct"/>
                  <w:noWrap w:val="0"/>
                  <w:vAlign w:val="center"/>
                </w:tcPr>
                <w:p w14:paraId="23DAA9E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≤1.0</w:t>
                  </w:r>
                </w:p>
              </w:tc>
            </w:tr>
            <w:tr w14:paraId="2C8A4A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2E1A719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17</w:t>
                  </w:r>
                </w:p>
              </w:tc>
              <w:tc>
                <w:tcPr>
                  <w:tcW w:w="2055" w:type="pct"/>
                  <w:noWrap w:val="0"/>
                  <w:vAlign w:val="center"/>
                </w:tcPr>
                <w:p w14:paraId="5E7764A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铅</w:t>
                  </w:r>
                </w:p>
              </w:tc>
              <w:tc>
                <w:tcPr>
                  <w:tcW w:w="2060" w:type="pct"/>
                  <w:noWrap w:val="0"/>
                  <w:vAlign w:val="center"/>
                </w:tcPr>
                <w:p w14:paraId="7EB3E69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w:t>
                  </w:r>
                  <w:r>
                    <w:rPr>
                      <w:rFonts w:hint="eastAsia" w:cs="Times New Roman"/>
                      <w:color w:val="000000" w:themeColor="text1"/>
                      <w14:textFill>
                        <w14:solidFill>
                          <w14:schemeClr w14:val="tx1"/>
                        </w14:solidFill>
                      </w14:textFill>
                    </w:rPr>
                    <w:t>1</w:t>
                  </w:r>
                </w:p>
              </w:tc>
            </w:tr>
            <w:tr w14:paraId="1ECBB7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325B314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18</w:t>
                  </w:r>
                </w:p>
              </w:tc>
              <w:tc>
                <w:tcPr>
                  <w:tcW w:w="2055" w:type="pct"/>
                  <w:noWrap w:val="0"/>
                  <w:vAlign w:val="center"/>
                </w:tcPr>
                <w:p w14:paraId="2F6C19C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锌</w:t>
                  </w:r>
                </w:p>
              </w:tc>
              <w:tc>
                <w:tcPr>
                  <w:tcW w:w="2060" w:type="pct"/>
                  <w:noWrap w:val="0"/>
                  <w:vAlign w:val="center"/>
                </w:tcPr>
                <w:p w14:paraId="3F160E5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≤1.0</w:t>
                  </w:r>
                </w:p>
              </w:tc>
            </w:tr>
            <w:tr w14:paraId="510736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7D93E1B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19</w:t>
                  </w:r>
                </w:p>
              </w:tc>
              <w:tc>
                <w:tcPr>
                  <w:tcW w:w="2055" w:type="pct"/>
                  <w:noWrap w:val="0"/>
                  <w:vAlign w:val="center"/>
                </w:tcPr>
                <w:p w14:paraId="4A018F3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镉</w:t>
                  </w:r>
                </w:p>
              </w:tc>
              <w:tc>
                <w:tcPr>
                  <w:tcW w:w="2060" w:type="pct"/>
                  <w:noWrap w:val="0"/>
                  <w:vAlign w:val="center"/>
                </w:tcPr>
                <w:p w14:paraId="731FE22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≤0.005</w:t>
                  </w:r>
                </w:p>
              </w:tc>
            </w:tr>
            <w:tr w14:paraId="4AFBFD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6F6F2EF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20</w:t>
                  </w:r>
                </w:p>
              </w:tc>
              <w:tc>
                <w:tcPr>
                  <w:tcW w:w="2055" w:type="pct"/>
                  <w:noWrap w:val="0"/>
                  <w:vAlign w:val="center"/>
                </w:tcPr>
                <w:p w14:paraId="272C44B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总磷</w:t>
                  </w:r>
                </w:p>
              </w:tc>
              <w:tc>
                <w:tcPr>
                  <w:tcW w:w="2060" w:type="pct"/>
                  <w:noWrap w:val="0"/>
                  <w:vAlign w:val="center"/>
                </w:tcPr>
                <w:p w14:paraId="1EE415F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1</w:t>
                  </w:r>
                </w:p>
              </w:tc>
            </w:tr>
            <w:tr w14:paraId="6C7186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4305C48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21</w:t>
                  </w:r>
                </w:p>
              </w:tc>
              <w:tc>
                <w:tcPr>
                  <w:tcW w:w="2055" w:type="pct"/>
                  <w:noWrap w:val="0"/>
                  <w:vAlign w:val="center"/>
                </w:tcPr>
                <w:p w14:paraId="3C67E9C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阴离子表面活性剂</w:t>
                  </w:r>
                </w:p>
              </w:tc>
              <w:tc>
                <w:tcPr>
                  <w:tcW w:w="2060" w:type="pct"/>
                  <w:noWrap w:val="0"/>
                  <w:vAlign w:val="center"/>
                </w:tcPr>
                <w:p w14:paraId="0E826BA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default"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0.2</w:t>
                  </w:r>
                </w:p>
              </w:tc>
            </w:tr>
            <w:tr w14:paraId="599B77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jc w:val="center"/>
              </w:trPr>
              <w:tc>
                <w:tcPr>
                  <w:tcW w:w="883" w:type="pct"/>
                  <w:noWrap w:val="0"/>
                  <w:vAlign w:val="center"/>
                </w:tcPr>
                <w:p w14:paraId="25177A0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22</w:t>
                  </w:r>
                </w:p>
              </w:tc>
              <w:tc>
                <w:tcPr>
                  <w:tcW w:w="2055" w:type="pct"/>
                  <w:noWrap w:val="0"/>
                  <w:vAlign w:val="center"/>
                </w:tcPr>
                <w:p w14:paraId="1987D66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硒</w:t>
                  </w:r>
                </w:p>
              </w:tc>
              <w:tc>
                <w:tcPr>
                  <w:tcW w:w="2060" w:type="pct"/>
                  <w:noWrap w:val="0"/>
                  <w:vAlign w:val="center"/>
                </w:tcPr>
                <w:p w14:paraId="1DF826C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0.01</w:t>
                  </w:r>
                </w:p>
              </w:tc>
            </w:tr>
          </w:tbl>
          <w:p w14:paraId="04732949">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3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⑶</w:t>
            </w:r>
            <w:r>
              <w:rPr>
                <w:rFonts w:hint="eastAsia"/>
                <w:color w:val="000000" w:themeColor="text1"/>
                <w:lang w:val="en-US" w:eastAsia="zh-CN"/>
                <w14:textFill>
                  <w14:solidFill>
                    <w14:schemeClr w14:val="tx1"/>
                  </w14:solidFill>
                </w14:textFill>
              </w:rPr>
              <w:fldChar w:fldCharType="end"/>
            </w:r>
            <w:r>
              <w:rPr>
                <w:rFonts w:hint="eastAsia"/>
                <w:color w:val="000000" w:themeColor="text1"/>
                <w14:textFill>
                  <w14:solidFill>
                    <w14:schemeClr w14:val="tx1"/>
                  </w14:solidFill>
                </w14:textFill>
              </w:rPr>
              <w:t>声环境质量标准</w:t>
            </w:r>
          </w:p>
          <w:p w14:paraId="7A213759">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w:t>
            </w:r>
            <w:r>
              <w:rPr>
                <w:rFonts w:hint="default"/>
                <w:color w:val="000000" w:themeColor="text1"/>
                <w14:textFill>
                  <w14:solidFill>
                    <w14:schemeClr w14:val="tx1"/>
                  </w14:solidFill>
                </w14:textFill>
              </w:rPr>
              <w:t>《中卫市沙坡头区城区声环境功能区调整划分方案》</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2021.4.7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项目所在区域划分为乡村，未给出声环境功能区划。经现场踏勘及周边环境综合考虑，DK-05、DK-04位于农村地区执行</w:t>
            </w:r>
            <w:r>
              <w:rPr>
                <w:rFonts w:hint="eastAsia" w:ascii="宋体" w:hAnsi="宋体" w:eastAsia="宋体" w:cs="宋体"/>
                <w:color w:val="000000" w:themeColor="text1"/>
                <w:kern w:val="0"/>
                <w:sz w:val="24"/>
                <w:szCs w:val="24"/>
                <w:lang w:val="en-US" w:eastAsia="zh-CN" w:bidi="ar"/>
                <w14:textFill>
                  <w14:solidFill>
                    <w14:schemeClr w14:val="tx1"/>
                  </w14:solidFill>
                </w14:textFill>
              </w:rPr>
              <w:t>《声环境质量标准》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(GB3096-2008)</w:t>
            </w:r>
            <w:r>
              <w:rPr>
                <w:rFonts w:hint="eastAsia"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类标准，</w:t>
            </w:r>
            <w:r>
              <w:rPr>
                <w:rFonts w:hint="eastAsia"/>
                <w:color w:val="000000" w:themeColor="text1"/>
                <w:lang w:val="en-US" w:eastAsia="zh-CN"/>
                <w14:textFill>
                  <w14:solidFill>
                    <w14:schemeClr w14:val="tx1"/>
                  </w14:solidFill>
                </w14:textFill>
              </w:rPr>
              <w:t>DK-01、DK-02、DK-03、DK-06、DK-05位于荒山，执行</w:t>
            </w:r>
            <w:r>
              <w:rPr>
                <w:rFonts w:hint="eastAsia" w:ascii="宋体" w:hAnsi="宋体" w:eastAsia="宋体" w:cs="宋体"/>
                <w:color w:val="000000" w:themeColor="text1"/>
                <w:kern w:val="0"/>
                <w:sz w:val="24"/>
                <w:szCs w:val="24"/>
                <w:lang w:val="en-US" w:eastAsia="zh-CN" w:bidi="ar"/>
                <w14:textFill>
                  <w14:solidFill>
                    <w14:schemeClr w14:val="tx1"/>
                  </w14:solidFill>
                </w14:textFill>
              </w:rPr>
              <w:t>《声环境质量标准》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(GB3096-2008)</w:t>
            </w:r>
            <w:r>
              <w:rPr>
                <w:rFonts w:hint="eastAsia"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类标准。</w:t>
            </w:r>
          </w:p>
          <w:p w14:paraId="643C2FB1">
            <w:pPr>
              <w:pStyle w:val="3"/>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w:t>
            </w: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8</w:t>
            </w:r>
            <w:r>
              <w:rPr>
                <w:rFonts w:hint="default"/>
                <w:color w:val="000000" w:themeColor="text1"/>
                <w14:textFill>
                  <w14:solidFill>
                    <w14:schemeClr w14:val="tx1"/>
                  </w14:solidFill>
                </w14:textFill>
              </w:rPr>
              <w:t xml:space="preserve">  项目声环境质量标准  单位：dB(A)</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44"/>
              <w:gridCol w:w="1700"/>
              <w:gridCol w:w="2815"/>
            </w:tblGrid>
            <w:tr w14:paraId="3FF49D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6" w:type="pct"/>
                  <w:noWrap w:val="0"/>
                  <w:vAlign w:val="center"/>
                </w:tcPr>
                <w:p w14:paraId="738F2092">
                  <w:pPr>
                    <w:keepNext w:val="0"/>
                    <w:keepLines w:val="0"/>
                    <w:suppressLineNumbers w:val="0"/>
                    <w:adjustRightInd w:val="0"/>
                    <w:snapToGrid w:val="0"/>
                    <w:spacing w:before="0" w:beforeAutospacing="0" w:after="0" w:afterAutospacing="0"/>
                    <w:ind w:left="0" w:right="0" w:firstLine="0" w:firstLineChars="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类别</w:t>
                  </w:r>
                </w:p>
              </w:tc>
              <w:tc>
                <w:tcPr>
                  <w:tcW w:w="1029" w:type="pct"/>
                  <w:noWrap w:val="0"/>
                  <w:vAlign w:val="center"/>
                </w:tcPr>
                <w:p w14:paraId="1317EA4A">
                  <w:pPr>
                    <w:keepNext w:val="0"/>
                    <w:keepLines w:val="0"/>
                    <w:suppressLineNumbers w:val="0"/>
                    <w:adjustRightInd w:val="0"/>
                    <w:snapToGrid w:val="0"/>
                    <w:spacing w:before="0" w:beforeAutospacing="0" w:after="0" w:afterAutospacing="0"/>
                    <w:ind w:left="0" w:right="0" w:firstLine="0" w:firstLineChars="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昼间</w:t>
                  </w:r>
                </w:p>
              </w:tc>
              <w:tc>
                <w:tcPr>
                  <w:tcW w:w="1704" w:type="pct"/>
                  <w:noWrap w:val="0"/>
                  <w:vAlign w:val="center"/>
                </w:tcPr>
                <w:p w14:paraId="2BCD4516">
                  <w:pPr>
                    <w:keepNext w:val="0"/>
                    <w:keepLines w:val="0"/>
                    <w:suppressLineNumbers w:val="0"/>
                    <w:adjustRightInd w:val="0"/>
                    <w:snapToGrid w:val="0"/>
                    <w:spacing w:before="0" w:beforeAutospacing="0" w:after="0" w:afterAutospacing="0"/>
                    <w:ind w:left="0" w:right="0" w:firstLine="0" w:firstLineChars="0"/>
                    <w:jc w:val="center"/>
                    <w:rPr>
                      <w:rFonts w:hint="default"/>
                      <w:b/>
                      <w:color w:val="000000" w:themeColor="text1"/>
                      <w:sz w:val="21"/>
                      <w:szCs w:val="21"/>
                      <w14:textFill>
                        <w14:solidFill>
                          <w14:schemeClr w14:val="tx1"/>
                        </w14:solidFill>
                      </w14:textFill>
                    </w:rPr>
                  </w:pPr>
                  <w:r>
                    <w:rPr>
                      <w:rFonts w:hint="default"/>
                      <w:b/>
                      <w:color w:val="000000" w:themeColor="text1"/>
                      <w:sz w:val="21"/>
                      <w:szCs w:val="21"/>
                      <w14:textFill>
                        <w14:solidFill>
                          <w14:schemeClr w14:val="tx1"/>
                        </w14:solidFill>
                      </w14:textFill>
                    </w:rPr>
                    <w:t>夜间</w:t>
                  </w:r>
                </w:p>
              </w:tc>
            </w:tr>
            <w:tr w14:paraId="17131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6" w:type="pct"/>
                  <w:noWrap w:val="0"/>
                  <w:vAlign w:val="center"/>
                </w:tcPr>
                <w:p w14:paraId="10E4ADBE">
                  <w:pPr>
                    <w:keepNext w:val="0"/>
                    <w:keepLines w:val="0"/>
                    <w:suppressLineNumbers w:val="0"/>
                    <w:adjustRightInd w:val="0"/>
                    <w:snapToGrid w:val="0"/>
                    <w:spacing w:before="0" w:beforeAutospacing="0" w:after="0" w:afterAutospacing="0"/>
                    <w:ind w:left="0" w:right="0" w:firstLine="0" w:firstLineChars="0"/>
                    <w:jc w:val="center"/>
                    <w:rPr>
                      <w:rFonts w:hint="default" w:eastAsia="宋体"/>
                      <w:color w:val="000000" w:themeColor="text1"/>
                      <w:sz w:val="21"/>
                      <w:szCs w:val="21"/>
                      <w:lang w:eastAsia="zh-CN"/>
                      <w14:textFill>
                        <w14:solidFill>
                          <w14:schemeClr w14:val="tx1"/>
                        </w14:solidFill>
                      </w14:textFill>
                    </w:rPr>
                  </w:pPr>
                  <w:r>
                    <w:rPr>
                      <w:rFonts w:hint="default" w:ascii="宋体" w:hAnsi="宋体" w:eastAsia="宋体" w:cs="宋体"/>
                      <w:b w:val="0"/>
                      <w:bCs w:val="0"/>
                      <w:color w:val="000000" w:themeColor="text1"/>
                      <w:sz w:val="20"/>
                      <w:szCs w:val="20"/>
                      <w14:textFill>
                        <w14:solidFill>
                          <w14:schemeClr w14:val="tx1"/>
                        </w14:solidFill>
                      </w14:textFill>
                    </w:rPr>
                    <w:t>《声环境质量标准》（</w:t>
                  </w:r>
                  <w:r>
                    <w:rPr>
                      <w:rFonts w:hint="default" w:ascii="TimesNewRomanPSMT" w:hAnsi="TimesNewRomanPSMT" w:eastAsia="TimesNewRomanPSMT" w:cs="TimesNewRomanPSMT"/>
                      <w:b w:val="0"/>
                      <w:bCs w:val="0"/>
                      <w:color w:val="000000" w:themeColor="text1"/>
                      <w:sz w:val="20"/>
                      <w:szCs w:val="20"/>
                      <w14:textFill>
                        <w14:solidFill>
                          <w14:schemeClr w14:val="tx1"/>
                        </w14:solidFill>
                      </w14:textFill>
                    </w:rPr>
                    <w:t>GB3096-2008</w:t>
                  </w:r>
                  <w:r>
                    <w:rPr>
                      <w:rFonts w:hint="default" w:ascii="宋体" w:hAnsi="宋体" w:eastAsia="宋体" w:cs="宋体"/>
                      <w:b w:val="0"/>
                      <w:bCs w:val="0"/>
                      <w:color w:val="000000" w:themeColor="text1"/>
                      <w:sz w:val="20"/>
                      <w:szCs w:val="20"/>
                      <w14:textFill>
                        <w14:solidFill>
                          <w14:schemeClr w14:val="tx1"/>
                        </w14:solidFill>
                      </w14:textFill>
                    </w:rPr>
                    <w:t>）</w:t>
                  </w:r>
                  <w:r>
                    <w:rPr>
                      <w:rFonts w:hint="default" w:ascii="TimesNewRomanPSMT" w:hAnsi="TimesNewRomanPSMT" w:eastAsia="TimesNewRomanPSMT" w:cs="TimesNewRomanPSMT"/>
                      <w:b w:val="0"/>
                      <w:bCs w:val="0"/>
                      <w:color w:val="000000" w:themeColor="text1"/>
                      <w:sz w:val="20"/>
                      <w:szCs w:val="20"/>
                      <w14:textFill>
                        <w14:solidFill>
                          <w14:schemeClr w14:val="tx1"/>
                        </w14:solidFill>
                      </w14:textFill>
                    </w:rPr>
                    <w:t>1</w:t>
                  </w:r>
                  <w:r>
                    <w:rPr>
                      <w:rFonts w:hint="default" w:ascii="宋体" w:hAnsi="宋体" w:eastAsia="宋体" w:cs="宋体"/>
                      <w:b w:val="0"/>
                      <w:bCs w:val="0"/>
                      <w:color w:val="000000" w:themeColor="text1"/>
                      <w:sz w:val="20"/>
                      <w:szCs w:val="20"/>
                      <w14:textFill>
                        <w14:solidFill>
                          <w14:schemeClr w14:val="tx1"/>
                        </w14:solidFill>
                      </w14:textFill>
                    </w:rPr>
                    <w:t>类</w:t>
                  </w:r>
                </w:p>
              </w:tc>
              <w:tc>
                <w:tcPr>
                  <w:tcW w:w="1029" w:type="pct"/>
                  <w:noWrap w:val="0"/>
                  <w:vAlign w:val="center"/>
                </w:tcPr>
                <w:p w14:paraId="34E7B8CD">
                  <w:pPr>
                    <w:keepNext w:val="0"/>
                    <w:keepLines w:val="0"/>
                    <w:suppressLineNumbers w:val="0"/>
                    <w:adjustRightInd w:val="0"/>
                    <w:snapToGrid w:val="0"/>
                    <w:spacing w:before="0" w:beforeAutospacing="0" w:after="0" w:afterAutospacing="0"/>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55</w:t>
                  </w:r>
                </w:p>
              </w:tc>
              <w:tc>
                <w:tcPr>
                  <w:tcW w:w="1704" w:type="pct"/>
                  <w:noWrap w:val="0"/>
                  <w:vAlign w:val="center"/>
                </w:tcPr>
                <w:p w14:paraId="14F61FFE">
                  <w:pPr>
                    <w:keepNext w:val="0"/>
                    <w:keepLines w:val="0"/>
                    <w:suppressLineNumbers w:val="0"/>
                    <w:adjustRightInd w:val="0"/>
                    <w:snapToGrid w:val="0"/>
                    <w:spacing w:before="0" w:beforeAutospacing="0" w:after="0" w:afterAutospacing="0"/>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r>
          </w:tbl>
          <w:p w14:paraId="554714BC">
            <w:pPr>
              <w:pStyle w:val="2"/>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污染物排放标准</w:t>
            </w:r>
          </w:p>
          <w:p w14:paraId="735D2316">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⑴</w:t>
            </w:r>
            <w:r>
              <w:rPr>
                <w:rFonts w:hint="eastAsia"/>
                <w:color w:val="000000" w:themeColor="text1"/>
                <w14:textFill>
                  <w14:solidFill>
                    <w14:schemeClr w14:val="tx1"/>
                  </w14:solidFill>
                </w14:textFill>
              </w:rPr>
              <w:t>噪声排放</w:t>
            </w:r>
            <w:r>
              <w:rPr>
                <w:rFonts w:hint="eastAsia"/>
                <w:color w:val="000000" w:themeColor="text1"/>
                <w:lang w:val="en-US" w:eastAsia="zh-CN"/>
                <w14:textFill>
                  <w14:solidFill>
                    <w14:schemeClr w14:val="tx1"/>
                  </w14:solidFill>
                </w14:textFill>
              </w:rPr>
              <w:t>标准</w:t>
            </w:r>
          </w:p>
          <w:p w14:paraId="1207A3C1">
            <w:pPr>
              <w:keepNext w:val="0"/>
              <w:keepLines w:val="0"/>
              <w:suppressLineNumbers w:val="0"/>
              <w:spacing w:before="0" w:beforeAutospacing="0" w:after="0" w:afterAutospacing="0"/>
              <w:ind w:left="0" w:right="0" w:firstLine="454" w:firstLineChars="200"/>
              <w:rPr>
                <w:rFonts w:hint="default"/>
                <w:color w:val="000000" w:themeColor="text1"/>
                <w14:textFill>
                  <w14:solidFill>
                    <w14:schemeClr w14:val="tx1"/>
                  </w14:solidFill>
                </w14:textFill>
              </w:rPr>
            </w:pPr>
            <w:r>
              <w:rPr>
                <w:rFonts w:hint="eastAsia" w:ascii="Times New Roman" w:hAnsi="Times New Roman" w:cs="Times New Roman"/>
                <w:color w:val="000000" w:themeColor="text1"/>
                <w:kern w:val="0"/>
                <w:sz w:val="24"/>
                <w14:textFill>
                  <w14:solidFill>
                    <w14:schemeClr w14:val="tx1"/>
                  </w14:solidFill>
                </w14:textFill>
              </w:rPr>
              <w:t>项目区噪声排放执行《建筑施工场界环境噪声排放标准》（GB12523-2011），具体见表3-</w:t>
            </w:r>
            <w:r>
              <w:rPr>
                <w:rFonts w:hint="eastAsia" w:cs="Times New Roman"/>
                <w:color w:val="000000" w:themeColor="text1"/>
                <w:kern w:val="0"/>
                <w:sz w:val="24"/>
                <w:lang w:val="en-US" w:eastAsia="zh-CN"/>
                <w14:textFill>
                  <w14:solidFill>
                    <w14:schemeClr w14:val="tx1"/>
                  </w14:solidFill>
                </w14:textFill>
              </w:rPr>
              <w:t>9</w:t>
            </w:r>
            <w:r>
              <w:rPr>
                <w:rFonts w:hint="eastAsia" w:ascii="Times New Roman" w:hAnsi="Times New Roman" w:cs="Times New Roman"/>
                <w:color w:val="000000" w:themeColor="text1"/>
                <w:kern w:val="0"/>
                <w:sz w:val="24"/>
                <w14:textFill>
                  <w14:solidFill>
                    <w14:schemeClr w14:val="tx1"/>
                  </w14:solidFill>
                </w14:textFill>
              </w:rPr>
              <w:t>。</w:t>
            </w:r>
          </w:p>
          <w:p w14:paraId="6C06E3D6">
            <w:pPr>
              <w:pStyle w:val="3"/>
              <w:keepNext w:val="0"/>
              <w:keepLines w:val="0"/>
              <w:suppressLineNumbers w:val="0"/>
              <w:bidi w:val="0"/>
              <w:spacing w:before="0" w:beforeAutospacing="0" w:after="0" w:afterAutospacing="0"/>
              <w:ind w:left="0" w:right="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9</w:t>
            </w:r>
            <w:r>
              <w:rPr>
                <w:rFonts w:hint="default"/>
                <w:color w:val="000000" w:themeColor="text1"/>
                <w14:textFill>
                  <w14:solidFill>
                    <w14:schemeClr w14:val="tx1"/>
                  </w14:solidFill>
                </w14:textFill>
              </w:rPr>
              <w:t xml:space="preserve">  建筑施工场界环境噪声排放标准  单位</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dB(A)</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9"/>
              <w:gridCol w:w="3039"/>
              <w:gridCol w:w="3320"/>
            </w:tblGrid>
            <w:tr w14:paraId="75D24B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0" w:type="pct"/>
                  <w:vMerge w:val="restart"/>
                  <w:tcBorders>
                    <w:top w:val="single" w:color="auto" w:sz="12" w:space="0"/>
                    <w:left w:val="single" w:color="auto" w:sz="12" w:space="0"/>
                    <w:bottom w:val="single" w:color="auto" w:sz="12" w:space="0"/>
                    <w:right w:val="single" w:color="auto" w:sz="4" w:space="0"/>
                  </w:tcBorders>
                  <w:noWrap w:val="0"/>
                  <w:vAlign w:val="center"/>
                </w:tcPr>
                <w:p w14:paraId="5B75362A">
                  <w:pPr>
                    <w:keepNext w:val="0"/>
                    <w:keepLines w:val="0"/>
                    <w:suppressLineNumbers w:val="0"/>
                    <w:spacing w:before="0" w:beforeAutospacing="0" w:after="0" w:afterAutospacing="0"/>
                    <w:ind w:left="0" w:right="0"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14:textFill>
                        <w14:solidFill>
                          <w14:schemeClr w14:val="tx1"/>
                        </w14:solidFill>
                      </w14:textFill>
                    </w:rPr>
                    <w:t>施工阶段</w:t>
                  </w:r>
                </w:p>
              </w:tc>
              <w:tc>
                <w:tcPr>
                  <w:tcW w:w="3850" w:type="pct"/>
                  <w:gridSpan w:val="2"/>
                  <w:tcBorders>
                    <w:top w:val="single" w:color="auto" w:sz="12" w:space="0"/>
                    <w:left w:val="single" w:color="auto" w:sz="4" w:space="0"/>
                    <w:bottom w:val="single" w:color="auto" w:sz="4" w:space="0"/>
                    <w:right w:val="single" w:color="auto" w:sz="12" w:space="0"/>
                  </w:tcBorders>
                  <w:noWrap w:val="0"/>
                  <w:vAlign w:val="center"/>
                </w:tcPr>
                <w:p w14:paraId="416FAF35">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14:textFill>
                        <w14:solidFill>
                          <w14:schemeClr w14:val="tx1"/>
                        </w14:solidFill>
                      </w14:textFill>
                    </w:rPr>
                    <w:t>噪声限值〔</w:t>
                  </w:r>
                  <w:r>
                    <w:rPr>
                      <w:rFonts w:hint="default" w:ascii="Times New Roman" w:hAnsi="Times New Roman" w:cs="Times New Roman"/>
                      <w:b/>
                      <w:color w:val="000000" w:themeColor="text1"/>
                      <w:sz w:val="21"/>
                      <w:szCs w:val="21"/>
                      <w14:textFill>
                        <w14:solidFill>
                          <w14:schemeClr w14:val="tx1"/>
                        </w14:solidFill>
                      </w14:textFill>
                    </w:rPr>
                    <w:t>dB(A)</w:t>
                  </w:r>
                  <w:r>
                    <w:rPr>
                      <w:rFonts w:hint="eastAsia" w:ascii="Times New Roman" w:hAnsi="Times New Roman" w:cs="Times New Roman"/>
                      <w:b/>
                      <w:color w:val="000000" w:themeColor="text1"/>
                      <w:sz w:val="21"/>
                      <w:szCs w:val="21"/>
                      <w14:textFill>
                        <w14:solidFill>
                          <w14:schemeClr w14:val="tx1"/>
                        </w14:solidFill>
                      </w14:textFill>
                    </w:rPr>
                    <w:t>〕</w:t>
                  </w:r>
                </w:p>
              </w:tc>
            </w:tr>
            <w:tr w14:paraId="3545BC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0" w:type="pct"/>
                  <w:vMerge w:val="continue"/>
                  <w:tcBorders>
                    <w:top w:val="single" w:color="auto" w:sz="12" w:space="0"/>
                    <w:left w:val="single" w:color="auto" w:sz="12" w:space="0"/>
                    <w:bottom w:val="single" w:color="auto" w:sz="12" w:space="0"/>
                    <w:right w:val="single" w:color="auto" w:sz="4" w:space="0"/>
                  </w:tcBorders>
                  <w:noWrap w:val="0"/>
                  <w:vAlign w:val="center"/>
                </w:tcPr>
                <w:p w14:paraId="7FC9E3A7">
                  <w:pPr>
                    <w:keepNext w:val="0"/>
                    <w:keepLines w:val="0"/>
                    <w:widowControl/>
                    <w:suppressLineNumbers w:val="0"/>
                    <w:spacing w:before="0" w:beforeAutospacing="0" w:after="0" w:afterAutospacing="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840" w:type="pct"/>
                  <w:tcBorders>
                    <w:top w:val="single" w:color="auto" w:sz="4" w:space="0"/>
                    <w:left w:val="single" w:color="auto" w:sz="4" w:space="0"/>
                    <w:bottom w:val="single" w:color="auto" w:sz="12" w:space="0"/>
                    <w:right w:val="single" w:color="auto" w:sz="4" w:space="0"/>
                  </w:tcBorders>
                  <w:noWrap w:val="0"/>
                  <w:vAlign w:val="center"/>
                </w:tcPr>
                <w:p w14:paraId="3ADD230E">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昼间</w:t>
                  </w:r>
                  <w:r>
                    <w:rPr>
                      <w:rFonts w:hint="default" w:ascii="Times New Roman" w:hAnsi="Times New Roman" w:cs="Times New Roman"/>
                      <w:color w:val="000000" w:themeColor="text1"/>
                      <w:sz w:val="21"/>
                      <w:szCs w:val="21"/>
                      <w14:textFill>
                        <w14:solidFill>
                          <w14:schemeClr w14:val="tx1"/>
                        </w14:solidFill>
                      </w14:textFill>
                    </w:rPr>
                    <w:t>7</w:t>
                  </w:r>
                  <w:r>
                    <w:rPr>
                      <w:rFonts w:hint="eastAsia" w:ascii="Times New Roman" w:hAnsi="Times New Roman" w:cs="Times New Roman"/>
                      <w:color w:val="000000" w:themeColor="text1"/>
                      <w:sz w:val="21"/>
                      <w:szCs w:val="21"/>
                      <w14:textFill>
                        <w14:solidFill>
                          <w14:schemeClr w14:val="tx1"/>
                        </w14:solidFill>
                      </w14:textFill>
                    </w:rPr>
                    <w:t>0</w:t>
                  </w:r>
                </w:p>
              </w:tc>
              <w:tc>
                <w:tcPr>
                  <w:tcW w:w="2011" w:type="pct"/>
                  <w:tcBorders>
                    <w:top w:val="single" w:color="auto" w:sz="4" w:space="0"/>
                    <w:left w:val="single" w:color="auto" w:sz="4" w:space="0"/>
                    <w:bottom w:val="single" w:color="auto" w:sz="12" w:space="0"/>
                    <w:right w:val="single" w:color="auto" w:sz="12" w:space="0"/>
                  </w:tcBorders>
                  <w:noWrap w:val="0"/>
                  <w:vAlign w:val="center"/>
                </w:tcPr>
                <w:p w14:paraId="5B59F473">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夜间</w:t>
                  </w:r>
                  <w:r>
                    <w:rPr>
                      <w:rFonts w:hint="default" w:ascii="Times New Roman" w:hAnsi="Times New Roman" w:cs="Times New Roman"/>
                      <w:color w:val="000000" w:themeColor="text1"/>
                      <w:sz w:val="21"/>
                      <w:szCs w:val="21"/>
                      <w14:textFill>
                        <w14:solidFill>
                          <w14:schemeClr w14:val="tx1"/>
                        </w14:solidFill>
                      </w14:textFill>
                    </w:rPr>
                    <w:t>55</w:t>
                  </w:r>
                </w:p>
              </w:tc>
            </w:tr>
          </w:tbl>
          <w:p w14:paraId="46E57E54">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⑵大气</w:t>
            </w:r>
            <w:r>
              <w:rPr>
                <w:rFonts w:hint="eastAsia"/>
                <w:color w:val="000000" w:themeColor="text1"/>
                <w14:textFill>
                  <w14:solidFill>
                    <w14:schemeClr w14:val="tx1"/>
                  </w14:solidFill>
                </w14:textFill>
              </w:rPr>
              <w:t>排放</w:t>
            </w:r>
            <w:r>
              <w:rPr>
                <w:rFonts w:hint="eastAsia"/>
                <w:color w:val="000000" w:themeColor="text1"/>
                <w:lang w:val="en-US" w:eastAsia="zh-CN"/>
                <w14:textFill>
                  <w14:solidFill>
                    <w14:schemeClr w14:val="tx1"/>
                  </w14:solidFill>
                </w14:textFill>
              </w:rPr>
              <w:t>标准</w:t>
            </w:r>
          </w:p>
          <w:p w14:paraId="7CBB304F">
            <w:pPr>
              <w:keepNext w:val="0"/>
              <w:keepLines w:val="0"/>
              <w:suppressLineNumbers w:val="0"/>
              <w:spacing w:before="0" w:beforeLines="0" w:beforeAutospacing="0" w:after="0" w:afterAutospacing="0"/>
              <w:ind w:left="0" w:right="0" w:firstLine="454" w:firstLineChars="200"/>
              <w:rPr>
                <w:rFonts w:hint="default" w:ascii="Times New Roman" w:hAnsi="Times New Roman" w:cs="Times New Roman"/>
                <w:bCs/>
                <w:color w:val="000000" w:themeColor="text1"/>
                <w:sz w:val="24"/>
                <w:lang w:bidi="ar"/>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施工期</w:t>
            </w:r>
            <w:r>
              <w:rPr>
                <w:rFonts w:hint="eastAsia" w:ascii="Times New Roman" w:hAnsi="Times New Roman" w:cs="Times New Roman"/>
                <w:color w:val="000000" w:themeColor="text1"/>
                <w:kern w:val="0"/>
                <w:sz w:val="24"/>
                <w14:textFill>
                  <w14:solidFill>
                    <w14:schemeClr w14:val="tx1"/>
                  </w14:solidFill>
                </w14:textFill>
              </w:rPr>
              <w:t>项目区大气污染物排放执行《大气污染物综合排放标准》（GB16297-1996）表2二级标准限值，具体见表3-</w:t>
            </w:r>
            <w:r>
              <w:rPr>
                <w:rFonts w:hint="eastAsia" w:cs="Times New Roman"/>
                <w:color w:val="000000" w:themeColor="text1"/>
                <w:kern w:val="0"/>
                <w:sz w:val="24"/>
                <w:lang w:val="en-US" w:eastAsia="zh-CN"/>
                <w14:textFill>
                  <w14:solidFill>
                    <w14:schemeClr w14:val="tx1"/>
                  </w14:solidFill>
                </w14:textFill>
              </w:rPr>
              <w:t>10</w:t>
            </w:r>
            <w:r>
              <w:rPr>
                <w:rFonts w:hint="eastAsia" w:ascii="Times New Roman" w:hAnsi="Times New Roman" w:cs="Times New Roman"/>
                <w:color w:val="000000" w:themeColor="text1"/>
                <w:kern w:val="0"/>
                <w:sz w:val="24"/>
                <w14:textFill>
                  <w14:solidFill>
                    <w14:schemeClr w14:val="tx1"/>
                  </w14:solidFill>
                </w14:textFill>
              </w:rPr>
              <w:t>。</w:t>
            </w:r>
          </w:p>
          <w:p w14:paraId="1BEC042C">
            <w:pPr>
              <w:pStyle w:val="3"/>
              <w:bidi w:val="0"/>
              <w:rPr>
                <w:rFonts w:hint="eastAsia"/>
                <w:color w:val="000000" w:themeColor="text1"/>
                <w14:textFill>
                  <w14:solidFill>
                    <w14:schemeClr w14:val="tx1"/>
                  </w14:solidFill>
                </w14:textFill>
              </w:rPr>
            </w:pPr>
            <w:r>
              <w:rPr>
                <w:rFonts w:hint="default"/>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10</w:t>
            </w:r>
            <w:r>
              <w:rPr>
                <w:rFonts w:hint="default"/>
                <w:color w:val="000000" w:themeColor="text1"/>
                <w14:textFill>
                  <w14:solidFill>
                    <w14:schemeClr w14:val="tx1"/>
                  </w14:solidFill>
                </w14:textFill>
              </w:rPr>
              <w:t xml:space="preserve">  大气污染物综合排放标准  单位</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dB(A)</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fixed"/>
              <w:tblCellMar>
                <w:top w:w="0" w:type="dxa"/>
                <w:left w:w="108" w:type="dxa"/>
                <w:bottom w:w="0" w:type="dxa"/>
                <w:right w:w="108" w:type="dxa"/>
              </w:tblCellMar>
            </w:tblPr>
            <w:tblGrid>
              <w:gridCol w:w="1850"/>
              <w:gridCol w:w="3312"/>
              <w:gridCol w:w="3096"/>
            </w:tblGrid>
            <w:tr w14:paraId="0FBC4278">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1120" w:type="pct"/>
                  <w:vMerge w:val="restart"/>
                  <w:noWrap w:val="0"/>
                  <w:vAlign w:val="center"/>
                </w:tcPr>
                <w:p w14:paraId="106E4F7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b/>
                      <w:color w:val="000000" w:themeColor="text1"/>
                      <w:sz w:val="21"/>
                      <w:szCs w:val="21"/>
                      <w14:textFill>
                        <w14:solidFill>
                          <w14:schemeClr w14:val="tx1"/>
                        </w14:solidFill>
                      </w14:textFill>
                    </w:rPr>
                  </w:pPr>
                  <w:r>
                    <w:rPr>
                      <w:rFonts w:hint="eastAsia" w:ascii="Times New Roman" w:hAnsi="宋体" w:cs="Times New Roman"/>
                      <w:b/>
                      <w:color w:val="000000" w:themeColor="text1"/>
                      <w:sz w:val="21"/>
                      <w:szCs w:val="21"/>
                      <w14:textFill>
                        <w14:solidFill>
                          <w14:schemeClr w14:val="tx1"/>
                        </w14:solidFill>
                      </w14:textFill>
                    </w:rPr>
                    <w:t>污染物</w:t>
                  </w:r>
                </w:p>
              </w:tc>
              <w:tc>
                <w:tcPr>
                  <w:tcW w:w="3879" w:type="pct"/>
                  <w:gridSpan w:val="2"/>
                  <w:noWrap w:val="0"/>
                  <w:vAlign w:val="center"/>
                </w:tcPr>
                <w:p w14:paraId="3796B8E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b/>
                      <w:color w:val="000000" w:themeColor="text1"/>
                      <w:sz w:val="21"/>
                      <w:szCs w:val="21"/>
                      <w14:textFill>
                        <w14:solidFill>
                          <w14:schemeClr w14:val="tx1"/>
                        </w14:solidFill>
                      </w14:textFill>
                    </w:rPr>
                  </w:pPr>
                  <w:r>
                    <w:rPr>
                      <w:rFonts w:hint="eastAsia" w:ascii="Times New Roman" w:hAnsi="宋体" w:cs="Times New Roman"/>
                      <w:b/>
                      <w:color w:val="000000" w:themeColor="text1"/>
                      <w:sz w:val="21"/>
                      <w:szCs w:val="21"/>
                      <w14:textFill>
                        <w14:solidFill>
                          <w14:schemeClr w14:val="tx1"/>
                        </w14:solidFill>
                      </w14:textFill>
                    </w:rPr>
                    <w:t>无组织排放监控浓度限值</w:t>
                  </w:r>
                </w:p>
              </w:tc>
            </w:tr>
            <w:tr w14:paraId="5FF007D1">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1120" w:type="pct"/>
                  <w:vMerge w:val="continue"/>
                  <w:noWrap w:val="0"/>
                  <w:vAlign w:val="center"/>
                </w:tcPr>
                <w:p w14:paraId="44A6AC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Times New Roman" w:hAnsi="宋体" w:cs="Times New Roman"/>
                      <w:b/>
                      <w:color w:val="000000" w:themeColor="text1"/>
                      <w:sz w:val="21"/>
                      <w:szCs w:val="21"/>
                      <w14:textFill>
                        <w14:solidFill>
                          <w14:schemeClr w14:val="tx1"/>
                        </w14:solidFill>
                      </w14:textFill>
                    </w:rPr>
                  </w:pPr>
                </w:p>
              </w:tc>
              <w:tc>
                <w:tcPr>
                  <w:tcW w:w="2005" w:type="pct"/>
                  <w:noWrap w:val="0"/>
                  <w:vAlign w:val="center"/>
                </w:tcPr>
                <w:p w14:paraId="6DC1B7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b/>
                      <w:color w:val="000000" w:themeColor="text1"/>
                      <w:sz w:val="21"/>
                      <w:szCs w:val="21"/>
                      <w14:textFill>
                        <w14:solidFill>
                          <w14:schemeClr w14:val="tx1"/>
                        </w14:solidFill>
                      </w14:textFill>
                    </w:rPr>
                  </w:pPr>
                  <w:r>
                    <w:rPr>
                      <w:rFonts w:hint="eastAsia" w:ascii="Times New Roman" w:hAnsi="宋体" w:cs="Times New Roman"/>
                      <w:b/>
                      <w:color w:val="000000" w:themeColor="text1"/>
                      <w:sz w:val="21"/>
                      <w:szCs w:val="21"/>
                      <w14:textFill>
                        <w14:solidFill>
                          <w14:schemeClr w14:val="tx1"/>
                        </w14:solidFill>
                      </w14:textFill>
                    </w:rPr>
                    <w:t>监控点</w:t>
                  </w:r>
                </w:p>
              </w:tc>
              <w:tc>
                <w:tcPr>
                  <w:tcW w:w="1873" w:type="pct"/>
                  <w:noWrap w:val="0"/>
                  <w:vAlign w:val="center"/>
                </w:tcPr>
                <w:p w14:paraId="33DC10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b/>
                      <w:color w:val="000000" w:themeColor="text1"/>
                      <w:sz w:val="21"/>
                      <w:szCs w:val="21"/>
                      <w14:textFill>
                        <w14:solidFill>
                          <w14:schemeClr w14:val="tx1"/>
                        </w14:solidFill>
                      </w14:textFill>
                    </w:rPr>
                  </w:pPr>
                  <w:r>
                    <w:rPr>
                      <w:rFonts w:hint="eastAsia" w:ascii="Times New Roman" w:hAnsi="宋体" w:cs="Times New Roman"/>
                      <w:b/>
                      <w:color w:val="000000" w:themeColor="text1"/>
                      <w:sz w:val="21"/>
                      <w:szCs w:val="21"/>
                      <w14:textFill>
                        <w14:solidFill>
                          <w14:schemeClr w14:val="tx1"/>
                        </w14:solidFill>
                      </w14:textFill>
                    </w:rPr>
                    <w:t>浓度（</w:t>
                  </w:r>
                  <w:r>
                    <w:rPr>
                      <w:rFonts w:hint="default" w:ascii="Times New Roman" w:hAnsi="宋体" w:cs="Times New Roman"/>
                      <w:b/>
                      <w:color w:val="000000" w:themeColor="text1"/>
                      <w:sz w:val="21"/>
                      <w:szCs w:val="21"/>
                      <w14:textFill>
                        <w14:solidFill>
                          <w14:schemeClr w14:val="tx1"/>
                        </w14:solidFill>
                      </w14:textFill>
                    </w:rPr>
                    <w:t>mg/m</w:t>
                  </w:r>
                  <w:r>
                    <w:rPr>
                      <w:rFonts w:hint="default" w:ascii="Times New Roman" w:hAnsi="宋体" w:cs="Times New Roman"/>
                      <w:b/>
                      <w:color w:val="000000" w:themeColor="text1"/>
                      <w:sz w:val="21"/>
                      <w:szCs w:val="21"/>
                      <w:vertAlign w:val="superscript"/>
                      <w14:textFill>
                        <w14:solidFill>
                          <w14:schemeClr w14:val="tx1"/>
                        </w14:solidFill>
                      </w14:textFill>
                    </w:rPr>
                    <w:t>3</w:t>
                  </w:r>
                  <w:r>
                    <w:rPr>
                      <w:rFonts w:hint="eastAsia" w:ascii="Times New Roman" w:hAnsi="宋体" w:cs="Times New Roman"/>
                      <w:b/>
                      <w:color w:val="000000" w:themeColor="text1"/>
                      <w:sz w:val="21"/>
                      <w:szCs w:val="21"/>
                      <w14:textFill>
                        <w14:solidFill>
                          <w14:schemeClr w14:val="tx1"/>
                        </w14:solidFill>
                      </w14:textFill>
                    </w:rPr>
                    <w:t>）</w:t>
                  </w:r>
                </w:p>
              </w:tc>
            </w:tr>
            <w:tr w14:paraId="2A01EE1A">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1120" w:type="pct"/>
                  <w:noWrap w:val="0"/>
                  <w:vAlign w:val="center"/>
                </w:tcPr>
                <w:p w14:paraId="0473CA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color w:val="000000" w:themeColor="text1"/>
                      <w:sz w:val="21"/>
                      <w:szCs w:val="21"/>
                      <w14:textFill>
                        <w14:solidFill>
                          <w14:schemeClr w14:val="tx1"/>
                        </w14:solidFill>
                      </w14:textFill>
                    </w:rPr>
                    <w:t>颗粒物</w:t>
                  </w:r>
                </w:p>
              </w:tc>
              <w:tc>
                <w:tcPr>
                  <w:tcW w:w="2005" w:type="pct"/>
                  <w:noWrap w:val="0"/>
                  <w:vAlign w:val="center"/>
                </w:tcPr>
                <w:p w14:paraId="5EC817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color w:val="000000" w:themeColor="text1"/>
                      <w:sz w:val="21"/>
                      <w:szCs w:val="21"/>
                      <w14:textFill>
                        <w14:solidFill>
                          <w14:schemeClr w14:val="tx1"/>
                        </w14:solidFill>
                      </w14:textFill>
                    </w:rPr>
                    <w:t>周界外浓度最高点</w:t>
                  </w:r>
                </w:p>
              </w:tc>
              <w:tc>
                <w:tcPr>
                  <w:tcW w:w="1873" w:type="pct"/>
                  <w:noWrap w:val="0"/>
                  <w:vAlign w:val="center"/>
                </w:tcPr>
                <w:p w14:paraId="7BB6C3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宋体" w:cs="Times New Roman"/>
                      <w:color w:val="000000" w:themeColor="text1"/>
                      <w:sz w:val="21"/>
                      <w:szCs w:val="21"/>
                      <w14:textFill>
                        <w14:solidFill>
                          <w14:schemeClr w14:val="tx1"/>
                        </w14:solidFill>
                      </w14:textFill>
                    </w:rPr>
                  </w:pPr>
                  <w:r>
                    <w:rPr>
                      <w:rFonts w:hint="default" w:ascii="Times New Roman" w:hAnsi="宋体" w:cs="Times New Roman"/>
                      <w:color w:val="000000" w:themeColor="text1"/>
                      <w:sz w:val="21"/>
                      <w:szCs w:val="21"/>
                      <w14:textFill>
                        <w14:solidFill>
                          <w14:schemeClr w14:val="tx1"/>
                        </w14:solidFill>
                      </w14:textFill>
                    </w:rPr>
                    <w:t>1.0</w:t>
                  </w:r>
                </w:p>
              </w:tc>
            </w:tr>
          </w:tbl>
          <w:p w14:paraId="73F310A7">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3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⑶</w:t>
            </w:r>
            <w:r>
              <w:rPr>
                <w:rFonts w:hint="eastAsia"/>
                <w:color w:val="000000" w:themeColor="text1"/>
                <w:lang w:val="en-US" w:eastAsia="zh-CN"/>
                <w14:textFill>
                  <w14:solidFill>
                    <w14:schemeClr w14:val="tx1"/>
                  </w14:solidFill>
                </w14:textFill>
              </w:rPr>
              <w:fldChar w:fldCharType="end"/>
            </w:r>
            <w:r>
              <w:rPr>
                <w:rFonts w:hint="eastAsia"/>
                <w:color w:val="000000" w:themeColor="text1"/>
                <w14:textFill>
                  <w14:solidFill>
                    <w14:schemeClr w14:val="tx1"/>
                  </w14:solidFill>
                </w14:textFill>
              </w:rPr>
              <w:t>固体废物</w:t>
            </w:r>
            <w:r>
              <w:rPr>
                <w:rFonts w:hint="eastAsia"/>
                <w:color w:val="000000" w:themeColor="text1"/>
                <w:lang w:val="en-US" w:eastAsia="zh-CN"/>
                <w14:textFill>
                  <w14:solidFill>
                    <w14:schemeClr w14:val="tx1"/>
                  </w14:solidFill>
                </w14:textFill>
              </w:rPr>
              <w:t>排放标准</w:t>
            </w:r>
          </w:p>
          <w:p w14:paraId="34A05D1C">
            <w:pPr>
              <w:bidi w:val="0"/>
              <w:rPr>
                <w:rFonts w:hint="eastAsia" w:cs="Times New Roman"/>
                <w:color w:val="000000" w:themeColor="text1"/>
                <w:kern w:val="0"/>
                <w14:textFill>
                  <w14:solidFill>
                    <w14:schemeClr w14:val="tx1"/>
                  </w14:solidFill>
                </w14:textFill>
              </w:rPr>
            </w:pPr>
            <w:r>
              <w:rPr>
                <w:rFonts w:hint="default"/>
                <w:color w:val="000000" w:themeColor="text1"/>
                <w14:textFill>
                  <w14:solidFill>
                    <w14:schemeClr w14:val="tx1"/>
                  </w14:solidFill>
                </w14:textFill>
              </w:rPr>
              <w:t>一般工业固体废物暂存做好防雨、防渗、防扬尘等遮挡措施，存贮参照《中华人民共和国固体废物污染环境防治法》执行。</w:t>
            </w:r>
          </w:p>
        </w:tc>
      </w:tr>
      <w:tr w14:paraId="377AA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82" w:hRule="atLeast"/>
          <w:jc w:val="center"/>
        </w:trPr>
        <w:tc>
          <w:tcPr>
            <w:tcW w:w="653" w:type="dxa"/>
            <w:noWrap w:val="0"/>
            <w:vAlign w:val="center"/>
          </w:tcPr>
          <w:p w14:paraId="59B9CB0C">
            <w:pPr>
              <w:keepNext w:val="0"/>
              <w:keepLines w:val="0"/>
              <w:suppressLineNumbers w:val="0"/>
              <w:bidi w:val="0"/>
              <w:spacing w:before="0" w:beforeAutospacing="0" w:after="0" w:afterAutospacing="0"/>
              <w:ind w:left="0" w:leftChars="0" w:right="0" w:firstLine="0" w:firstLineChars="0"/>
              <w:jc w:val="center"/>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其他</w:t>
            </w:r>
          </w:p>
          <w:p w14:paraId="3F380008">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01D421A6">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5AA9A5BC">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613E129C">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58F38895">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67166D68">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26C73F5D">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4DC8E861">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170A9254">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186E3B8D">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5E1B4D89">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32B4CE74">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29310682">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06D90E43">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05326D35">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71B7366C">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6D76159D">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6AFA644F">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4D41EB6D">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p w14:paraId="02B0CD14">
            <w:pPr>
              <w:keepNext w:val="0"/>
              <w:keepLines w:val="0"/>
              <w:suppressLineNumbers w:val="0"/>
              <w:bidi w:val="0"/>
              <w:spacing w:before="0" w:beforeAutospacing="0" w:after="0" w:afterAutospacing="0"/>
              <w:ind w:left="0" w:leftChars="0" w:right="0" w:firstLine="0" w:firstLineChars="0"/>
              <w:rPr>
                <w:rFonts w:hint="default" w:cs="Times New Roman"/>
                <w:b/>
                <w:bCs/>
                <w:color w:val="000000" w:themeColor="text1"/>
                <w:lang w:val="en-US" w:eastAsia="zh-CN"/>
                <w14:textFill>
                  <w14:solidFill>
                    <w14:schemeClr w14:val="tx1"/>
                  </w14:solidFill>
                </w14:textFill>
              </w:rPr>
            </w:pPr>
          </w:p>
        </w:tc>
        <w:tc>
          <w:tcPr>
            <w:tcW w:w="8504" w:type="dxa"/>
            <w:noWrap w:val="0"/>
            <w:vAlign w:val="center"/>
          </w:tcPr>
          <w:p w14:paraId="27AAC378">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sz w:val="24"/>
                <w:szCs w:val="32"/>
                <w14:textFill>
                  <w14:solidFill>
                    <w14:schemeClr w14:val="tx1"/>
                  </w14:solidFill>
                </w14:textFill>
              </w:rPr>
            </w:pPr>
          </w:p>
          <w:p w14:paraId="30C2131E">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r>
              <w:rPr>
                <w:rFonts w:hint="default" w:cs="Times New Roman"/>
                <w:color w:val="000000" w:themeColor="text1"/>
                <w:sz w:val="24"/>
                <w:szCs w:val="32"/>
                <w14:textFill>
                  <w14:solidFill>
                    <w14:schemeClr w14:val="tx1"/>
                  </w14:solidFill>
                </w14:textFill>
              </w:rPr>
              <w:t>无</w:t>
            </w:r>
          </w:p>
          <w:p w14:paraId="2183F3E9">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6F8D64C9">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692E785">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BE062EF">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7367F0A">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5701B95">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E78E92E">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3ED9C314">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157142FF">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72080ECD">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E5360A1">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46687024">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2D018129">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5805A58D">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3FE1A4FE">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072D0EB3">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1E6804A8">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4BD01649">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00BB5A99">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3EB6DBB5">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126580B5">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cs="Times New Roman"/>
                <w:color w:val="000000" w:themeColor="text1"/>
                <w14:textFill>
                  <w14:solidFill>
                    <w14:schemeClr w14:val="tx1"/>
                  </w14:solidFill>
                </w14:textFill>
              </w:rPr>
            </w:pPr>
          </w:p>
          <w:p w14:paraId="460F8785">
            <w:pPr>
              <w:keepNext w:val="0"/>
              <w:keepLines w:val="0"/>
              <w:suppressLineNumbers w:val="0"/>
              <w:adjustRightInd w:val="0"/>
              <w:snapToGrid w:val="0"/>
              <w:spacing w:before="0" w:beforeAutospacing="0" w:after="0" w:afterAutospacing="0" w:line="360" w:lineRule="auto"/>
              <w:ind w:left="0" w:leftChars="0" w:right="0" w:firstLine="0" w:firstLineChars="0"/>
              <w:jc w:val="both"/>
              <w:rPr>
                <w:rFonts w:hint="default" w:cs="Times New Roman"/>
                <w:color w:val="000000" w:themeColor="text1"/>
                <w14:textFill>
                  <w14:solidFill>
                    <w14:schemeClr w14:val="tx1"/>
                  </w14:solidFill>
                </w14:textFill>
              </w:rPr>
            </w:pPr>
          </w:p>
          <w:p w14:paraId="56B16848">
            <w:pPr>
              <w:keepNext w:val="0"/>
              <w:keepLines w:val="0"/>
              <w:suppressLineNumbers w:val="0"/>
              <w:adjustRightInd w:val="0"/>
              <w:snapToGrid w:val="0"/>
              <w:spacing w:before="0" w:beforeAutospacing="0" w:after="0" w:afterAutospacing="0" w:line="360" w:lineRule="auto"/>
              <w:ind w:left="0" w:leftChars="0" w:right="0" w:firstLine="0" w:firstLineChars="0"/>
              <w:jc w:val="both"/>
              <w:rPr>
                <w:rFonts w:hint="default" w:cs="Times New Roman"/>
                <w:color w:val="000000" w:themeColor="text1"/>
                <w14:textFill>
                  <w14:solidFill>
                    <w14:schemeClr w14:val="tx1"/>
                  </w14:solidFill>
                </w14:textFill>
              </w:rPr>
            </w:pPr>
          </w:p>
        </w:tc>
      </w:tr>
    </w:tbl>
    <w:p w14:paraId="2C4AB903">
      <w:pPr>
        <w:pStyle w:val="4"/>
        <w:bidi w:val="0"/>
        <w:rPr>
          <w:rFonts w:ascii="Times New Roman" w:hAnsi="Times New Roman" w:eastAsia="黑体"/>
          <w:snapToGrid w:val="0"/>
          <w:color w:val="000000" w:themeColor="text1"/>
          <w:szCs w:val="30"/>
          <w14:textFill>
            <w14:solidFill>
              <w14:schemeClr w14:val="tx1"/>
            </w14:solidFill>
          </w14:textFill>
        </w:rPr>
      </w:pPr>
      <w:r>
        <w:rPr>
          <w:rFonts w:ascii="Times New Roman" w:hAnsi="Times New Roman" w:eastAsia="黑体"/>
          <w:snapToGrid w:val="0"/>
          <w:color w:val="000000" w:themeColor="text1"/>
          <w:kern w:val="2"/>
          <w:szCs w:val="36"/>
          <w14:textFill>
            <w14:solidFill>
              <w14:schemeClr w14:val="tx1"/>
            </w14:solidFill>
          </w14:textFill>
        </w:rPr>
        <w:br w:type="page"/>
      </w:r>
      <w:r>
        <w:rPr>
          <w:color w:val="000000" w:themeColor="text1"/>
          <w14:textFill>
            <w14:solidFill>
              <w14:schemeClr w14:val="tx1"/>
            </w14:solidFill>
          </w14:textFill>
        </w:rPr>
        <w:t>四、生态环境影响分析</w:t>
      </w:r>
    </w:p>
    <w:tbl>
      <w:tblPr>
        <w:tblStyle w:val="27"/>
        <w:tblW w:w="92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7"/>
        <w:gridCol w:w="8535"/>
      </w:tblGrid>
      <w:tr w14:paraId="07FC66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6" w:hRule="atLeast"/>
          <w:jc w:val="center"/>
        </w:trPr>
        <w:tc>
          <w:tcPr>
            <w:tcW w:w="707" w:type="dxa"/>
            <w:tcBorders>
              <w:tl2br w:val="nil"/>
              <w:tr2bl w:val="nil"/>
            </w:tcBorders>
            <w:noWrap w:val="0"/>
            <w:tcMar>
              <w:left w:w="28" w:type="dxa"/>
              <w:right w:w="28" w:type="dxa"/>
            </w:tcMar>
            <w:vAlign w:val="center"/>
          </w:tcPr>
          <w:p w14:paraId="03EE65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bookmarkStart w:id="3" w:name="_Hlk49796138"/>
            <w:r>
              <w:rPr>
                <w:rFonts w:hint="default" w:cs="Times New Roman"/>
                <w:b/>
                <w:bCs/>
                <w:color w:val="000000" w:themeColor="text1"/>
                <w14:textFill>
                  <w14:solidFill>
                    <w14:schemeClr w14:val="tx1"/>
                  </w14:solidFill>
                </w14:textFill>
              </w:rPr>
              <w:t>施工期生态环境影响分析</w:t>
            </w:r>
            <w:bookmarkEnd w:id="3"/>
          </w:p>
        </w:tc>
        <w:tc>
          <w:tcPr>
            <w:tcW w:w="8535" w:type="dxa"/>
            <w:tcBorders>
              <w:tl2br w:val="nil"/>
              <w:tr2bl w:val="nil"/>
            </w:tcBorders>
            <w:noWrap w:val="0"/>
            <w:vAlign w:val="top"/>
          </w:tcPr>
          <w:p w14:paraId="36C5E973">
            <w:pPr>
              <w:pStyle w:val="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1、生态环境影响分析</w:t>
            </w:r>
          </w:p>
          <w:p w14:paraId="1530233F">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⑴生态土地利用影响分析</w:t>
            </w:r>
          </w:p>
          <w:p w14:paraId="2D6B7F5C">
            <w:pPr>
              <w:bidi w:val="0"/>
              <w:ind w:firstLine="1472"/>
              <w:rPr>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根据中卫市沙坡头区自然资源局提供的202</w:t>
            </w:r>
            <w:r>
              <w:rPr>
                <w:rFonts w:hint="eastAsia" w:ascii="Times New Roman" w:hAnsi="Times New Roman" w:eastAsia="宋体" w:cs="Times New Roman"/>
                <w:color w:val="000000" w:themeColor="text1"/>
                <w:lang w:val="en-US" w:eastAsia="zh-CN"/>
                <w14:textFill>
                  <w14:solidFill>
                    <w14:schemeClr w14:val="tx1"/>
                  </w14:solidFill>
                </w14:textFill>
              </w:rPr>
              <w:t>1</w:t>
            </w:r>
            <w:r>
              <w:rPr>
                <w:rFonts w:ascii="Times New Roman" w:hAnsi="Times New Roman" w:eastAsia="宋体" w:cs="Times New Roman"/>
                <w:color w:val="000000" w:themeColor="text1"/>
                <w14:textFill>
                  <w14:solidFill>
                    <w14:schemeClr w14:val="tx1"/>
                  </w14:solidFill>
                </w14:textFill>
              </w:rPr>
              <w:t>年变更调查成果数据，项目区总治理面积为</w:t>
            </w:r>
            <w:r>
              <w:rPr>
                <w:rFonts w:hint="eastAsia" w:ascii="Times New Roman" w:hAnsi="Times New Roman" w:eastAsia="宋体" w:cs="Times New Roman"/>
                <w:color w:val="000000" w:themeColor="text1"/>
                <w:lang w:val="en-US" w:eastAsia="zh-CN"/>
                <w14:textFill>
                  <w14:solidFill>
                    <w14:schemeClr w14:val="tx1"/>
                  </w14:solidFill>
                </w14:textFill>
              </w:rPr>
              <w:t>33.78</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均为临时占地。</w:t>
            </w:r>
            <w:r>
              <w:rPr>
                <w:rFonts w:ascii="Times New Roman" w:hAnsi="Times New Roman" w:eastAsia="宋体" w:cs="Times New Roman"/>
                <w:color w:val="000000" w:themeColor="text1"/>
                <w14:textFill>
                  <w14:solidFill>
                    <w14:schemeClr w14:val="tx1"/>
                  </w14:solidFill>
                </w14:textFill>
              </w:rPr>
              <w:t>其中：耕地面积1.08hm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w:t>
            </w:r>
            <w:r>
              <w:rPr>
                <w:rFonts w:hint="eastAsia" w:ascii="Times New Roman" w:hAnsi="Times New Roman" w:eastAsia="宋体" w:cs="Times New Roman"/>
                <w:color w:val="000000" w:themeColor="text1"/>
                <w:lang w:val="en-US" w:eastAsia="zh-CN"/>
                <w14:textFill>
                  <w14:solidFill>
                    <w14:schemeClr w14:val="tx1"/>
                  </w14:solidFill>
                </w14:textFill>
              </w:rPr>
              <w:t>3.2</w:t>
            </w:r>
            <w:r>
              <w:rPr>
                <w:rFonts w:ascii="Times New Roman" w:hAnsi="Times New Roman" w:eastAsia="宋体" w:cs="Times New Roman"/>
                <w:color w:val="000000" w:themeColor="text1"/>
                <w14:textFill>
                  <w14:solidFill>
                    <w14:schemeClr w14:val="tx1"/>
                  </w14:solidFill>
                </w14:textFill>
              </w:rPr>
              <w:t>%；林地面积0.2974hm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，占项目区面积的0.8</w:t>
            </w:r>
            <w:r>
              <w:rPr>
                <w:rFonts w:hint="eastAsia" w:ascii="Times New Roman" w:hAnsi="Times New Roman" w:eastAsia="宋体" w:cs="Times New Roman"/>
                <w:color w:val="000000" w:themeColor="text1"/>
                <w:lang w:val="en-US" w:eastAsia="zh-CN"/>
                <w14:textFill>
                  <w14:solidFill>
                    <w14:schemeClr w14:val="tx1"/>
                  </w14:solidFill>
                </w14:textFill>
              </w:rPr>
              <w:t>9</w:t>
            </w:r>
            <w:r>
              <w:rPr>
                <w:rFonts w:ascii="Times New Roman" w:hAnsi="Times New Roman" w:eastAsia="宋体" w:cs="Times New Roman"/>
                <w:color w:val="000000" w:themeColor="text1"/>
                <w14:textFill>
                  <w14:solidFill>
                    <w14:schemeClr w14:val="tx1"/>
                  </w14:solidFill>
                </w14:textFill>
              </w:rPr>
              <w:t>%；草地面积30.26hm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，占项目区面积的89.</w:t>
            </w:r>
            <w:r>
              <w:rPr>
                <w:rFonts w:hint="eastAsia" w:ascii="Times New Roman" w:hAnsi="Times New Roman" w:eastAsia="宋体" w:cs="Times New Roman"/>
                <w:color w:val="000000" w:themeColor="text1"/>
                <w:lang w:val="en-US" w:eastAsia="zh-CN"/>
                <w14:textFill>
                  <w14:solidFill>
                    <w14:schemeClr w14:val="tx1"/>
                  </w14:solidFill>
                </w14:textFill>
              </w:rPr>
              <w:t>58</w:t>
            </w:r>
            <w:r>
              <w:rPr>
                <w:rFonts w:ascii="Times New Roman" w:hAnsi="Times New Roman" w:eastAsia="宋体" w:cs="Times New Roman"/>
                <w:color w:val="000000" w:themeColor="text1"/>
                <w14:textFill>
                  <w14:solidFill>
                    <w14:schemeClr w14:val="tx1"/>
                  </w14:solidFill>
                </w14:textFill>
              </w:rPr>
              <w:t>%；交通运输用地0.18hm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，占项目区面积的0.5</w:t>
            </w:r>
            <w:r>
              <w:rPr>
                <w:rFonts w:hint="eastAsia" w:ascii="Times New Roman" w:hAnsi="Times New Roman" w:eastAsia="宋体" w:cs="Times New Roman"/>
                <w:color w:val="000000" w:themeColor="text1"/>
                <w:lang w:val="en-US" w:eastAsia="zh-CN"/>
                <w14:textFill>
                  <w14:solidFill>
                    <w14:schemeClr w14:val="tx1"/>
                  </w14:solidFill>
                </w14:textFill>
              </w:rPr>
              <w:t>3</w:t>
            </w:r>
            <w:r>
              <w:rPr>
                <w:rFonts w:ascii="Times New Roman" w:hAnsi="Times New Roman" w:eastAsia="宋体" w:cs="Times New Roman"/>
                <w:color w:val="000000" w:themeColor="text1"/>
                <w14:textFill>
                  <w14:solidFill>
                    <w14:schemeClr w14:val="tx1"/>
                  </w14:solidFill>
                </w14:textFill>
              </w:rPr>
              <w:t>%；其他土地面积</w:t>
            </w:r>
            <w:r>
              <w:rPr>
                <w:rFonts w:hint="eastAsia" w:ascii="Times New Roman" w:hAnsi="Times New Roman" w:eastAsia="宋体" w:cs="Times New Roman"/>
                <w:color w:val="000000" w:themeColor="text1"/>
                <w:lang w:val="en-US" w:eastAsia="zh-CN"/>
                <w14:textFill>
                  <w14:solidFill>
                    <w14:schemeClr w14:val="tx1"/>
                  </w14:solidFill>
                </w14:textFill>
              </w:rPr>
              <w:t>1.96</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，占项目区面积的5.</w:t>
            </w:r>
            <w:r>
              <w:rPr>
                <w:rFonts w:hint="eastAsia" w:ascii="Times New Roman" w:hAnsi="Times New Roman" w:eastAsia="宋体" w:cs="Times New Roman"/>
                <w:color w:val="000000" w:themeColor="text1"/>
                <w:lang w:val="en-US" w:eastAsia="zh-CN"/>
                <w14:textFill>
                  <w14:solidFill>
                    <w14:schemeClr w14:val="tx1"/>
                  </w14:solidFill>
                </w14:textFill>
              </w:rPr>
              <w:t>8</w:t>
            </w:r>
            <w:r>
              <w:rPr>
                <w:rFonts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。项目实施后，土地利用结构不发生变化</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因此，项目的实施对土地利用影响较小（本项目耕地占用永久基本农田，通过</w:t>
            </w:r>
            <w:r>
              <w:rPr>
                <w:rFonts w:hint="eastAsia"/>
                <w:color w:val="000000" w:themeColor="text1"/>
                <w:lang w:val="en-US" w:eastAsia="zh-CN"/>
                <w14:textFill>
                  <w14:solidFill>
                    <w14:schemeClr w14:val="tx1"/>
                  </w14:solidFill>
                </w14:textFill>
              </w:rPr>
              <w:t>土地平整、地形地貌恢复等措施</w:t>
            </w:r>
            <w:r>
              <w:rPr>
                <w:rFonts w:hint="eastAsia" w:ascii="Times New Roman" w:hAnsi="Times New Roman" w:cs="Times New Roman"/>
                <w:color w:val="000000" w:themeColor="text1"/>
                <w:lang w:val="en-US" w:eastAsia="zh-CN"/>
                <w14:textFill>
                  <w14:solidFill>
                    <w14:schemeClr w14:val="tx1"/>
                  </w14:solidFill>
                </w14:textFill>
              </w:rPr>
              <w:t>恢复为</w:t>
            </w:r>
            <w:r>
              <w:rPr>
                <w:rFonts w:hint="eastAsia" w:cs="Times New Roman"/>
                <w:color w:val="000000" w:themeColor="text1"/>
                <w:lang w:val="en-US" w:eastAsia="zh-CN"/>
                <w14:textFill>
                  <w14:solidFill>
                    <w14:schemeClr w14:val="tx1"/>
                  </w14:solidFill>
                </w14:textFill>
              </w:rPr>
              <w:t>永久基本农田）</w:t>
            </w:r>
            <w:r>
              <w:rPr>
                <w:rFonts w:hint="eastAsia" w:ascii="Times New Roman" w:hAnsi="Times New Roman" w:eastAsia="宋体" w:cs="Times New Roman"/>
                <w:color w:val="000000" w:themeColor="text1"/>
                <w:lang w:val="en-US" w:eastAsia="zh-CN"/>
                <w14:textFill>
                  <w14:solidFill>
                    <w14:schemeClr w14:val="tx1"/>
                  </w14:solidFill>
                </w14:textFill>
              </w:rPr>
              <w:t>。</w:t>
            </w:r>
          </w:p>
          <w:p w14:paraId="355EA0A2">
            <w:pPr>
              <w:pStyle w:val="3"/>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表4-1  土地类型表  单位：</w:t>
            </w:r>
            <w:r>
              <w:rPr>
                <w:rFonts w:ascii="Times New Roman" w:hAnsi="Times New Roman" w:eastAsia="宋体" w:cs="Times New Roman"/>
                <w:color w:val="000000" w:themeColor="text1"/>
                <w14:textFill>
                  <w14:solidFill>
                    <w14:schemeClr w14:val="tx1"/>
                  </w14:solidFill>
                </w14:textFill>
              </w:rPr>
              <w:t>hm</w:t>
            </w:r>
            <w:r>
              <w:rPr>
                <w:rFonts w:ascii="Times New Roman" w:hAnsi="Times New Roman" w:eastAsia="宋体" w:cs="Times New Roman"/>
                <w:color w:val="000000" w:themeColor="text1"/>
                <w:vertAlign w:val="superscript"/>
                <w14:textFill>
                  <w14:solidFill>
                    <w14:schemeClr w14:val="tx1"/>
                  </w14:solidFill>
                </w14:textFill>
              </w:rPr>
              <w:t>2</w:t>
            </w:r>
          </w:p>
          <w:tbl>
            <w:tblPr>
              <w:tblStyle w:val="80"/>
              <w:tblW w:w="833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6"/>
              <w:gridCol w:w="1067"/>
              <w:gridCol w:w="654"/>
              <w:gridCol w:w="655"/>
              <w:gridCol w:w="679"/>
              <w:gridCol w:w="500"/>
              <w:gridCol w:w="464"/>
              <w:gridCol w:w="595"/>
              <w:gridCol w:w="727"/>
              <w:gridCol w:w="669"/>
              <w:gridCol w:w="669"/>
              <w:gridCol w:w="719"/>
            </w:tblGrid>
            <w:tr w14:paraId="5420F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vMerge w:val="restart"/>
                  <w:tcBorders>
                    <w:top w:val="single" w:color="000000" w:sz="10" w:space="0"/>
                    <w:left w:val="single" w:color="000000" w:sz="10" w:space="0"/>
                    <w:bottom w:val="nil"/>
                  </w:tcBorders>
                  <w:noWrap w:val="0"/>
                  <w:vAlign w:val="center"/>
                </w:tcPr>
                <w:p w14:paraId="461550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一级地类</w:t>
                  </w:r>
                </w:p>
              </w:tc>
              <w:tc>
                <w:tcPr>
                  <w:tcW w:w="1067" w:type="dxa"/>
                  <w:vMerge w:val="restart"/>
                  <w:tcBorders>
                    <w:top w:val="single" w:color="000000" w:sz="10" w:space="0"/>
                    <w:bottom w:val="nil"/>
                  </w:tcBorders>
                  <w:noWrap w:val="0"/>
                  <w:vAlign w:val="center"/>
                </w:tcPr>
                <w:p w14:paraId="0B6601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二级地类</w:t>
                  </w:r>
                </w:p>
              </w:tc>
              <w:tc>
                <w:tcPr>
                  <w:tcW w:w="654" w:type="dxa"/>
                  <w:tcBorders>
                    <w:top w:val="single" w:color="000000" w:sz="10" w:space="0"/>
                  </w:tcBorders>
                  <w:noWrap w:val="0"/>
                  <w:vAlign w:val="center"/>
                </w:tcPr>
                <w:p w14:paraId="6CF1ED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DK-01</w:t>
                  </w:r>
                </w:p>
              </w:tc>
              <w:tc>
                <w:tcPr>
                  <w:tcW w:w="655" w:type="dxa"/>
                  <w:tcBorders>
                    <w:top w:val="single" w:color="000000" w:sz="10" w:space="0"/>
                  </w:tcBorders>
                  <w:noWrap w:val="0"/>
                  <w:vAlign w:val="center"/>
                </w:tcPr>
                <w:p w14:paraId="2486FB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DK-02</w:t>
                  </w:r>
                </w:p>
              </w:tc>
              <w:tc>
                <w:tcPr>
                  <w:tcW w:w="679" w:type="dxa"/>
                  <w:tcBorders>
                    <w:top w:val="single" w:color="000000" w:sz="10" w:space="0"/>
                  </w:tcBorders>
                  <w:noWrap w:val="0"/>
                  <w:vAlign w:val="center"/>
                </w:tcPr>
                <w:p w14:paraId="3DC5C8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DK-03</w:t>
                  </w:r>
                </w:p>
              </w:tc>
              <w:tc>
                <w:tcPr>
                  <w:tcW w:w="964" w:type="dxa"/>
                  <w:gridSpan w:val="2"/>
                  <w:tcBorders>
                    <w:top w:val="single" w:color="000000" w:sz="10" w:space="0"/>
                  </w:tcBorders>
                  <w:noWrap w:val="0"/>
                  <w:vAlign w:val="center"/>
                </w:tcPr>
                <w:p w14:paraId="39BC59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DK-04</w:t>
                  </w:r>
                </w:p>
              </w:tc>
              <w:tc>
                <w:tcPr>
                  <w:tcW w:w="595" w:type="dxa"/>
                  <w:tcBorders>
                    <w:top w:val="single" w:color="000000" w:sz="10" w:space="0"/>
                  </w:tcBorders>
                  <w:noWrap w:val="0"/>
                  <w:vAlign w:val="center"/>
                </w:tcPr>
                <w:p w14:paraId="708973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DK-05</w:t>
                  </w:r>
                </w:p>
              </w:tc>
              <w:tc>
                <w:tcPr>
                  <w:tcW w:w="727" w:type="dxa"/>
                  <w:tcBorders>
                    <w:top w:val="single" w:color="000000" w:sz="10" w:space="0"/>
                  </w:tcBorders>
                  <w:noWrap w:val="0"/>
                  <w:vAlign w:val="center"/>
                </w:tcPr>
                <w:p w14:paraId="1B4D60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DK-06</w:t>
                  </w:r>
                </w:p>
              </w:tc>
              <w:tc>
                <w:tcPr>
                  <w:tcW w:w="669" w:type="dxa"/>
                  <w:tcBorders>
                    <w:top w:val="single" w:color="000000" w:sz="10" w:space="0"/>
                  </w:tcBorders>
                  <w:noWrap w:val="0"/>
                  <w:vAlign w:val="center"/>
                </w:tcPr>
                <w:p w14:paraId="02A397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DK-07</w:t>
                  </w:r>
                </w:p>
              </w:tc>
              <w:tc>
                <w:tcPr>
                  <w:tcW w:w="669" w:type="dxa"/>
                  <w:vMerge w:val="restart"/>
                  <w:tcBorders>
                    <w:top w:val="single" w:color="000000" w:sz="10" w:space="0"/>
                  </w:tcBorders>
                  <w:noWrap w:val="0"/>
                  <w:vAlign w:val="center"/>
                </w:tcPr>
                <w:p w14:paraId="2AFABF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cs="Times New Roman"/>
                      <w:b/>
                      <w:bCs/>
                      <w:color w:val="000000" w:themeColor="text1"/>
                      <w:kern w:val="0"/>
                      <w:sz w:val="21"/>
                      <w:szCs w:val="21"/>
                      <w:lang w:val="en-US" w:eastAsia="zh-CN" w:bidi="ar-SA"/>
                      <w14:textFill>
                        <w14:solidFill>
                          <w14:schemeClr w14:val="tx1"/>
                        </w14:solidFill>
                      </w14:textFill>
                    </w:rPr>
                    <w:t>治理后变化情况</w:t>
                  </w:r>
                </w:p>
              </w:tc>
              <w:tc>
                <w:tcPr>
                  <w:tcW w:w="719" w:type="dxa"/>
                  <w:vMerge w:val="restart"/>
                  <w:tcBorders>
                    <w:top w:val="single" w:color="000000" w:sz="10" w:space="0"/>
                    <w:bottom w:val="nil"/>
                    <w:right w:val="single" w:color="000000" w:sz="10" w:space="0"/>
                  </w:tcBorders>
                  <w:noWrap w:val="0"/>
                  <w:vAlign w:val="center"/>
                </w:tcPr>
                <w:p w14:paraId="121E6C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t>总计</w:t>
                  </w:r>
                </w:p>
              </w:tc>
            </w:tr>
            <w:tr w14:paraId="771F5D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vMerge w:val="continue"/>
                  <w:tcBorders>
                    <w:top w:val="nil"/>
                    <w:left w:val="single" w:color="000000" w:sz="10" w:space="0"/>
                  </w:tcBorders>
                  <w:noWrap w:val="0"/>
                  <w:vAlign w:val="center"/>
                </w:tcPr>
                <w:p w14:paraId="3529EE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067" w:type="dxa"/>
                  <w:vMerge w:val="continue"/>
                  <w:tcBorders>
                    <w:top w:val="nil"/>
                  </w:tcBorders>
                  <w:noWrap w:val="0"/>
                  <w:vAlign w:val="center"/>
                </w:tcPr>
                <w:p w14:paraId="4557E0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54" w:type="dxa"/>
                  <w:noWrap w:val="0"/>
                  <w:vAlign w:val="center"/>
                </w:tcPr>
                <w:p w14:paraId="4F9835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新北山区</w:t>
                  </w:r>
                </w:p>
              </w:tc>
              <w:tc>
                <w:tcPr>
                  <w:tcW w:w="655" w:type="dxa"/>
                  <w:noWrap w:val="0"/>
                  <w:vAlign w:val="center"/>
                </w:tcPr>
                <w:p w14:paraId="5FF9D0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孟家湾村</w:t>
                  </w:r>
                </w:p>
              </w:tc>
              <w:tc>
                <w:tcPr>
                  <w:tcW w:w="679" w:type="dxa"/>
                  <w:noWrap w:val="0"/>
                  <w:vAlign w:val="center"/>
                </w:tcPr>
                <w:p w14:paraId="7B67B9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孟家湾村</w:t>
                  </w:r>
                </w:p>
              </w:tc>
              <w:tc>
                <w:tcPr>
                  <w:tcW w:w="500" w:type="dxa"/>
                  <w:noWrap w:val="0"/>
                  <w:vAlign w:val="center"/>
                </w:tcPr>
                <w:p w14:paraId="6083EC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丰台村</w:t>
                  </w:r>
                </w:p>
              </w:tc>
              <w:tc>
                <w:tcPr>
                  <w:tcW w:w="464" w:type="dxa"/>
                  <w:noWrap w:val="0"/>
                  <w:vAlign w:val="center"/>
                </w:tcPr>
                <w:p w14:paraId="5FE939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乐台村</w:t>
                  </w:r>
                </w:p>
              </w:tc>
              <w:tc>
                <w:tcPr>
                  <w:tcW w:w="595" w:type="dxa"/>
                  <w:noWrap w:val="0"/>
                  <w:vAlign w:val="center"/>
                </w:tcPr>
                <w:p w14:paraId="412B1F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刘湾村</w:t>
                  </w:r>
                </w:p>
              </w:tc>
              <w:tc>
                <w:tcPr>
                  <w:tcW w:w="727" w:type="dxa"/>
                  <w:noWrap w:val="0"/>
                  <w:vAlign w:val="center"/>
                </w:tcPr>
                <w:p w14:paraId="595748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上游村</w:t>
                  </w:r>
                </w:p>
              </w:tc>
              <w:tc>
                <w:tcPr>
                  <w:tcW w:w="669" w:type="dxa"/>
                  <w:noWrap w:val="0"/>
                  <w:vAlign w:val="center"/>
                </w:tcPr>
                <w:p w14:paraId="37D3F0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兴仁村</w:t>
                  </w:r>
                </w:p>
              </w:tc>
              <w:tc>
                <w:tcPr>
                  <w:tcW w:w="669" w:type="dxa"/>
                  <w:vMerge w:val="continue"/>
                  <w:noWrap w:val="0"/>
                  <w:vAlign w:val="center"/>
                </w:tcPr>
                <w:p w14:paraId="365A37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19" w:type="dxa"/>
                  <w:vMerge w:val="continue"/>
                  <w:tcBorders>
                    <w:top w:val="nil"/>
                    <w:right w:val="single" w:color="000000" w:sz="10" w:space="0"/>
                  </w:tcBorders>
                  <w:noWrap w:val="0"/>
                  <w:vAlign w:val="center"/>
                </w:tcPr>
                <w:p w14:paraId="09BD0D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202DF3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vMerge w:val="restart"/>
                  <w:tcBorders>
                    <w:left w:val="single" w:color="000000" w:sz="10" w:space="0"/>
                    <w:bottom w:val="nil"/>
                  </w:tcBorders>
                  <w:noWrap w:val="0"/>
                  <w:vAlign w:val="center"/>
                </w:tcPr>
                <w:p w14:paraId="438661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耕地（01）</w:t>
                  </w:r>
                </w:p>
              </w:tc>
              <w:tc>
                <w:tcPr>
                  <w:tcW w:w="1067" w:type="dxa"/>
                  <w:noWrap w:val="0"/>
                  <w:vAlign w:val="center"/>
                </w:tcPr>
                <w:p w14:paraId="76E943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水田</w:t>
                  </w:r>
                </w:p>
                <w:p w14:paraId="2F9DDE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（0101）</w:t>
                  </w:r>
                </w:p>
              </w:tc>
              <w:tc>
                <w:tcPr>
                  <w:tcW w:w="654" w:type="dxa"/>
                  <w:noWrap w:val="0"/>
                  <w:vAlign w:val="center"/>
                </w:tcPr>
                <w:p w14:paraId="54D9D9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55" w:type="dxa"/>
                  <w:noWrap w:val="0"/>
                  <w:vAlign w:val="center"/>
                </w:tcPr>
                <w:p w14:paraId="3C23BF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79" w:type="dxa"/>
                  <w:noWrap w:val="0"/>
                  <w:vAlign w:val="center"/>
                </w:tcPr>
                <w:p w14:paraId="673C7D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0" w:type="dxa"/>
                  <w:noWrap w:val="0"/>
                  <w:vAlign w:val="center"/>
                </w:tcPr>
                <w:p w14:paraId="1E82FA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0.33</w:t>
                  </w:r>
                </w:p>
              </w:tc>
              <w:tc>
                <w:tcPr>
                  <w:tcW w:w="464" w:type="dxa"/>
                  <w:noWrap w:val="0"/>
                  <w:vAlign w:val="center"/>
                </w:tcPr>
                <w:p w14:paraId="1459FB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5" w:type="dxa"/>
                  <w:noWrap w:val="0"/>
                  <w:vAlign w:val="center"/>
                </w:tcPr>
                <w:p w14:paraId="2EE453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0.35</w:t>
                  </w:r>
                </w:p>
              </w:tc>
              <w:tc>
                <w:tcPr>
                  <w:tcW w:w="727" w:type="dxa"/>
                  <w:noWrap w:val="0"/>
                  <w:vAlign w:val="center"/>
                </w:tcPr>
                <w:p w14:paraId="535D00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6228F3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59A41A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78974F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0.68</w:t>
                  </w:r>
                </w:p>
              </w:tc>
            </w:tr>
            <w:tr w14:paraId="6DE377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vMerge w:val="continue"/>
                  <w:tcBorders>
                    <w:top w:val="nil"/>
                    <w:left w:val="single" w:color="000000" w:sz="10" w:space="0"/>
                  </w:tcBorders>
                  <w:noWrap w:val="0"/>
                  <w:vAlign w:val="center"/>
                </w:tcPr>
                <w:p w14:paraId="3B8EA8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067" w:type="dxa"/>
                  <w:noWrap w:val="0"/>
                  <w:vAlign w:val="center"/>
                </w:tcPr>
                <w:p w14:paraId="4CC131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旱地</w:t>
                  </w:r>
                </w:p>
                <w:p w14:paraId="5F4C20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（0103）</w:t>
                  </w:r>
                </w:p>
              </w:tc>
              <w:tc>
                <w:tcPr>
                  <w:tcW w:w="654" w:type="dxa"/>
                  <w:noWrap w:val="0"/>
                  <w:vAlign w:val="center"/>
                </w:tcPr>
                <w:p w14:paraId="1A62BE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55" w:type="dxa"/>
                  <w:noWrap w:val="0"/>
                  <w:vAlign w:val="center"/>
                </w:tcPr>
                <w:p w14:paraId="79A4EF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79" w:type="dxa"/>
                  <w:noWrap w:val="0"/>
                  <w:vAlign w:val="center"/>
                </w:tcPr>
                <w:p w14:paraId="34A636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0" w:type="dxa"/>
                  <w:noWrap w:val="0"/>
                  <w:vAlign w:val="center"/>
                </w:tcPr>
                <w:p w14:paraId="21E2D6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464" w:type="dxa"/>
                  <w:noWrap w:val="0"/>
                  <w:vAlign w:val="center"/>
                </w:tcPr>
                <w:p w14:paraId="21D878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w:t>
                  </w:r>
                </w:p>
              </w:tc>
              <w:tc>
                <w:tcPr>
                  <w:tcW w:w="595" w:type="dxa"/>
                  <w:noWrap w:val="0"/>
                  <w:vAlign w:val="center"/>
                </w:tcPr>
                <w:p w14:paraId="26735E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7" w:type="dxa"/>
                  <w:noWrap w:val="0"/>
                  <w:vAlign w:val="center"/>
                </w:tcPr>
                <w:p w14:paraId="202537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16F95B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5BE62A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3EBE93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w:t>
                  </w:r>
                </w:p>
              </w:tc>
            </w:tr>
            <w:tr w14:paraId="73DC43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tcBorders>
                    <w:left w:val="single" w:color="000000" w:sz="10" w:space="0"/>
                  </w:tcBorders>
                  <w:noWrap w:val="0"/>
                  <w:vAlign w:val="center"/>
                </w:tcPr>
                <w:p w14:paraId="265254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林地（02）</w:t>
                  </w:r>
                </w:p>
              </w:tc>
              <w:tc>
                <w:tcPr>
                  <w:tcW w:w="1067" w:type="dxa"/>
                  <w:noWrap w:val="0"/>
                  <w:vAlign w:val="center"/>
                </w:tcPr>
                <w:p w14:paraId="39B518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灌木林地</w:t>
                  </w:r>
                </w:p>
                <w:p w14:paraId="69136E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（0305）</w:t>
                  </w:r>
                </w:p>
              </w:tc>
              <w:tc>
                <w:tcPr>
                  <w:tcW w:w="654" w:type="dxa"/>
                  <w:noWrap w:val="0"/>
                  <w:vAlign w:val="center"/>
                </w:tcPr>
                <w:p w14:paraId="4B9D06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55" w:type="dxa"/>
                  <w:noWrap w:val="0"/>
                  <w:vAlign w:val="center"/>
                </w:tcPr>
                <w:p w14:paraId="6D6BAC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79" w:type="dxa"/>
                  <w:noWrap w:val="0"/>
                  <w:vAlign w:val="center"/>
                </w:tcPr>
                <w:p w14:paraId="326447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0" w:type="dxa"/>
                  <w:noWrap w:val="0"/>
                  <w:vAlign w:val="center"/>
                </w:tcPr>
                <w:p w14:paraId="7B4206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464" w:type="dxa"/>
                  <w:noWrap w:val="0"/>
                  <w:vAlign w:val="center"/>
                </w:tcPr>
                <w:p w14:paraId="234B28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5" w:type="dxa"/>
                  <w:noWrap w:val="0"/>
                  <w:vAlign w:val="center"/>
                </w:tcPr>
                <w:p w14:paraId="400514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7" w:type="dxa"/>
                  <w:noWrap w:val="0"/>
                  <w:vAlign w:val="center"/>
                </w:tcPr>
                <w:p w14:paraId="46C46C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30</w:t>
                  </w:r>
                </w:p>
              </w:tc>
              <w:tc>
                <w:tcPr>
                  <w:tcW w:w="669" w:type="dxa"/>
                  <w:noWrap w:val="0"/>
                  <w:vAlign w:val="center"/>
                </w:tcPr>
                <w:p w14:paraId="0A286E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26C3ED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0B4FE6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30</w:t>
                  </w:r>
                </w:p>
              </w:tc>
            </w:tr>
            <w:tr w14:paraId="484E7F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tcBorders>
                    <w:left w:val="single" w:color="000000" w:sz="10" w:space="0"/>
                  </w:tcBorders>
                  <w:noWrap w:val="0"/>
                  <w:vAlign w:val="center"/>
                </w:tcPr>
                <w:p w14:paraId="06CD01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草地（03）</w:t>
                  </w:r>
                </w:p>
              </w:tc>
              <w:tc>
                <w:tcPr>
                  <w:tcW w:w="1067" w:type="dxa"/>
                  <w:noWrap w:val="0"/>
                  <w:vAlign w:val="center"/>
                </w:tcPr>
                <w:p w14:paraId="3638CC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天然牧草地</w:t>
                  </w:r>
                </w:p>
                <w:p w14:paraId="612A33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（0401）</w:t>
                  </w:r>
                </w:p>
              </w:tc>
              <w:tc>
                <w:tcPr>
                  <w:tcW w:w="654" w:type="dxa"/>
                  <w:noWrap w:val="0"/>
                  <w:vAlign w:val="center"/>
                </w:tcPr>
                <w:p w14:paraId="662939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0.37</w:t>
                  </w:r>
                </w:p>
              </w:tc>
              <w:tc>
                <w:tcPr>
                  <w:tcW w:w="655" w:type="dxa"/>
                  <w:noWrap w:val="0"/>
                  <w:vAlign w:val="center"/>
                </w:tcPr>
                <w:p w14:paraId="3F9C50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15.4</w:t>
                  </w:r>
                  <w:r>
                    <w:rPr>
                      <w:rFonts w:hint="eastAsia" w:cs="Times New Roman"/>
                      <w:color w:val="000000" w:themeColor="text1"/>
                      <w:kern w:val="0"/>
                      <w:sz w:val="21"/>
                      <w:szCs w:val="21"/>
                      <w:lang w:val="en-US" w:eastAsia="zh-CN" w:bidi="ar-SA"/>
                      <w14:textFill>
                        <w14:solidFill>
                          <w14:schemeClr w14:val="tx1"/>
                        </w14:solidFill>
                      </w14:textFill>
                    </w:rPr>
                    <w:t>9</w:t>
                  </w:r>
                </w:p>
              </w:tc>
              <w:tc>
                <w:tcPr>
                  <w:tcW w:w="679" w:type="dxa"/>
                  <w:noWrap w:val="0"/>
                  <w:vAlign w:val="center"/>
                </w:tcPr>
                <w:p w14:paraId="2F6D7B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4.1</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c>
                <w:tcPr>
                  <w:tcW w:w="500" w:type="dxa"/>
                  <w:noWrap w:val="0"/>
                  <w:vAlign w:val="center"/>
                </w:tcPr>
                <w:p w14:paraId="49113C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2.4</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464" w:type="dxa"/>
                  <w:noWrap w:val="0"/>
                  <w:vAlign w:val="center"/>
                </w:tcPr>
                <w:p w14:paraId="7EF529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4.92</w:t>
                  </w:r>
                </w:p>
              </w:tc>
              <w:tc>
                <w:tcPr>
                  <w:tcW w:w="595" w:type="dxa"/>
                  <w:noWrap w:val="0"/>
                  <w:vAlign w:val="center"/>
                </w:tcPr>
                <w:p w14:paraId="260F9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2.2</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727" w:type="dxa"/>
                  <w:noWrap w:val="0"/>
                  <w:vAlign w:val="center"/>
                </w:tcPr>
                <w:p w14:paraId="54028C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04A880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0.63</w:t>
                  </w:r>
                </w:p>
              </w:tc>
              <w:tc>
                <w:tcPr>
                  <w:tcW w:w="669" w:type="dxa"/>
                  <w:noWrap w:val="0"/>
                  <w:vAlign w:val="center"/>
                </w:tcPr>
                <w:p w14:paraId="1D16D6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152891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30.26</w:t>
                  </w:r>
                </w:p>
              </w:tc>
            </w:tr>
            <w:tr w14:paraId="2C3092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tcBorders>
                    <w:left w:val="single" w:color="000000" w:sz="10" w:space="0"/>
                  </w:tcBorders>
                  <w:noWrap w:val="0"/>
                  <w:vAlign w:val="center"/>
                </w:tcPr>
                <w:p w14:paraId="25F62A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交通运输</w:t>
                  </w:r>
                </w:p>
                <w:p w14:paraId="3D353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用地</w:t>
                  </w:r>
                </w:p>
                <w:p w14:paraId="47442C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（10）</w:t>
                  </w:r>
                </w:p>
              </w:tc>
              <w:tc>
                <w:tcPr>
                  <w:tcW w:w="1067" w:type="dxa"/>
                  <w:noWrap w:val="0"/>
                  <w:vAlign w:val="center"/>
                </w:tcPr>
                <w:p w14:paraId="3DD51E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农村道路</w:t>
                  </w:r>
                </w:p>
                <w:p w14:paraId="1A8834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（1006）</w:t>
                  </w:r>
                </w:p>
              </w:tc>
              <w:tc>
                <w:tcPr>
                  <w:tcW w:w="654" w:type="dxa"/>
                  <w:noWrap w:val="0"/>
                  <w:vAlign w:val="center"/>
                </w:tcPr>
                <w:p w14:paraId="6C9E11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55" w:type="dxa"/>
                  <w:noWrap w:val="0"/>
                  <w:vAlign w:val="center"/>
                </w:tcPr>
                <w:p w14:paraId="20023E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79" w:type="dxa"/>
                  <w:noWrap w:val="0"/>
                  <w:vAlign w:val="center"/>
                </w:tcPr>
                <w:p w14:paraId="23180B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8</w:t>
                  </w:r>
                </w:p>
              </w:tc>
              <w:tc>
                <w:tcPr>
                  <w:tcW w:w="500" w:type="dxa"/>
                  <w:noWrap w:val="0"/>
                  <w:vAlign w:val="center"/>
                </w:tcPr>
                <w:p w14:paraId="5BC8CE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464" w:type="dxa"/>
                  <w:noWrap w:val="0"/>
                  <w:vAlign w:val="center"/>
                </w:tcPr>
                <w:p w14:paraId="6873A7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5" w:type="dxa"/>
                  <w:noWrap w:val="0"/>
                  <w:vAlign w:val="center"/>
                </w:tcPr>
                <w:p w14:paraId="4BE627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7" w:type="dxa"/>
                  <w:noWrap w:val="0"/>
                  <w:vAlign w:val="center"/>
                </w:tcPr>
                <w:p w14:paraId="25E55E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569984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69" w:type="dxa"/>
                  <w:noWrap w:val="0"/>
                  <w:vAlign w:val="center"/>
                </w:tcPr>
                <w:p w14:paraId="08F8C1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573226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p w14:paraId="44E9CE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0.18</w:t>
                  </w:r>
                </w:p>
              </w:tc>
            </w:tr>
            <w:tr w14:paraId="420B4A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6" w:type="dxa"/>
                  <w:tcBorders>
                    <w:left w:val="single" w:color="000000" w:sz="10" w:space="0"/>
                  </w:tcBorders>
                  <w:noWrap w:val="0"/>
                  <w:vAlign w:val="center"/>
                </w:tcPr>
                <w:p w14:paraId="4D8B2F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其他土地（12）</w:t>
                  </w:r>
                </w:p>
              </w:tc>
              <w:tc>
                <w:tcPr>
                  <w:tcW w:w="1067" w:type="dxa"/>
                  <w:noWrap w:val="0"/>
                  <w:vAlign w:val="center"/>
                </w:tcPr>
                <w:p w14:paraId="259456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裸土地</w:t>
                  </w:r>
                </w:p>
                <w:p w14:paraId="14EC9A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（1206）</w:t>
                  </w:r>
                </w:p>
              </w:tc>
              <w:tc>
                <w:tcPr>
                  <w:tcW w:w="654" w:type="dxa"/>
                  <w:noWrap w:val="0"/>
                  <w:vAlign w:val="center"/>
                </w:tcPr>
                <w:p w14:paraId="0E9E29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0.4</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7</w:t>
                  </w:r>
                </w:p>
              </w:tc>
              <w:tc>
                <w:tcPr>
                  <w:tcW w:w="655" w:type="dxa"/>
                  <w:noWrap w:val="0"/>
                  <w:vAlign w:val="center"/>
                </w:tcPr>
                <w:p w14:paraId="65ACF4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679" w:type="dxa"/>
                  <w:noWrap w:val="0"/>
                  <w:vAlign w:val="center"/>
                </w:tcPr>
                <w:p w14:paraId="097320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00" w:type="dxa"/>
                  <w:noWrap w:val="0"/>
                  <w:vAlign w:val="center"/>
                </w:tcPr>
                <w:p w14:paraId="39D7AC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464" w:type="dxa"/>
                  <w:noWrap w:val="0"/>
                  <w:vAlign w:val="center"/>
                </w:tcPr>
                <w:p w14:paraId="5BA2AE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95" w:type="dxa"/>
                  <w:noWrap w:val="0"/>
                  <w:vAlign w:val="center"/>
                </w:tcPr>
                <w:p w14:paraId="6B3E38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727" w:type="dxa"/>
                  <w:noWrap w:val="0"/>
                  <w:vAlign w:val="center"/>
                </w:tcPr>
                <w:p w14:paraId="6A2023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0.3</w:t>
                  </w:r>
                  <w:r>
                    <w:rPr>
                      <w:rFonts w:hint="eastAsia" w:cs="Times New Roman"/>
                      <w:color w:val="000000" w:themeColor="text1"/>
                      <w:kern w:val="0"/>
                      <w:sz w:val="21"/>
                      <w:szCs w:val="21"/>
                      <w:lang w:val="en-US" w:eastAsia="zh-CN" w:bidi="ar-SA"/>
                      <w14:textFill>
                        <w14:solidFill>
                          <w14:schemeClr w14:val="tx1"/>
                        </w14:solidFill>
                      </w14:textFill>
                    </w:rPr>
                    <w:t>5</w:t>
                  </w:r>
                </w:p>
              </w:tc>
              <w:tc>
                <w:tcPr>
                  <w:tcW w:w="669" w:type="dxa"/>
                  <w:noWrap w:val="0"/>
                  <w:vAlign w:val="center"/>
                </w:tcPr>
                <w:p w14:paraId="4B55A7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1.13</w:t>
                  </w:r>
                </w:p>
              </w:tc>
              <w:tc>
                <w:tcPr>
                  <w:tcW w:w="669" w:type="dxa"/>
                  <w:noWrap w:val="0"/>
                  <w:vAlign w:val="center"/>
                </w:tcPr>
                <w:p w14:paraId="1B9936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right w:val="single" w:color="000000" w:sz="10" w:space="0"/>
                  </w:tcBorders>
                  <w:noWrap w:val="0"/>
                  <w:vAlign w:val="center"/>
                </w:tcPr>
                <w:p w14:paraId="6E3462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1.9</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r>
            <w:tr w14:paraId="62CC2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03" w:type="dxa"/>
                  <w:gridSpan w:val="2"/>
                  <w:tcBorders>
                    <w:left w:val="single" w:color="000000" w:sz="10" w:space="0"/>
                    <w:bottom w:val="single" w:color="000000" w:sz="10" w:space="0"/>
                  </w:tcBorders>
                  <w:noWrap w:val="0"/>
                  <w:vAlign w:val="center"/>
                </w:tcPr>
                <w:p w14:paraId="6F7CD5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总计</w:t>
                  </w:r>
                </w:p>
              </w:tc>
              <w:tc>
                <w:tcPr>
                  <w:tcW w:w="654" w:type="dxa"/>
                  <w:tcBorders>
                    <w:bottom w:val="single" w:color="000000" w:sz="10" w:space="0"/>
                  </w:tcBorders>
                  <w:noWrap w:val="0"/>
                  <w:vAlign w:val="center"/>
                </w:tcPr>
                <w:p w14:paraId="19D46D4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0.84</w:t>
                  </w:r>
                </w:p>
              </w:tc>
              <w:tc>
                <w:tcPr>
                  <w:tcW w:w="655" w:type="dxa"/>
                  <w:tcBorders>
                    <w:bottom w:val="single" w:color="000000" w:sz="10" w:space="0"/>
                  </w:tcBorders>
                  <w:noWrap w:val="0"/>
                  <w:vAlign w:val="center"/>
                </w:tcPr>
                <w:p w14:paraId="3CBA2138">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15.49</w:t>
                  </w:r>
                </w:p>
              </w:tc>
              <w:tc>
                <w:tcPr>
                  <w:tcW w:w="679" w:type="dxa"/>
                  <w:tcBorders>
                    <w:bottom w:val="single" w:color="000000" w:sz="10" w:space="0"/>
                  </w:tcBorders>
                  <w:noWrap w:val="0"/>
                  <w:vAlign w:val="center"/>
                </w:tcPr>
                <w:p w14:paraId="60825146">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4.34</w:t>
                  </w:r>
                </w:p>
              </w:tc>
              <w:tc>
                <w:tcPr>
                  <w:tcW w:w="500" w:type="dxa"/>
                  <w:tcBorders>
                    <w:bottom w:val="single" w:color="000000" w:sz="10" w:space="0"/>
                  </w:tcBorders>
                  <w:noWrap w:val="0"/>
                  <w:vAlign w:val="center"/>
                </w:tcPr>
                <w:p w14:paraId="75563B7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2.78</w:t>
                  </w:r>
                </w:p>
              </w:tc>
              <w:tc>
                <w:tcPr>
                  <w:tcW w:w="464" w:type="dxa"/>
                  <w:tcBorders>
                    <w:bottom w:val="single" w:color="000000" w:sz="10" w:space="0"/>
                  </w:tcBorders>
                  <w:noWrap w:val="0"/>
                  <w:vAlign w:val="center"/>
                </w:tcPr>
                <w:p w14:paraId="7940C9D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5.32</w:t>
                  </w:r>
                </w:p>
              </w:tc>
              <w:tc>
                <w:tcPr>
                  <w:tcW w:w="595" w:type="dxa"/>
                  <w:tcBorders>
                    <w:bottom w:val="single" w:color="000000" w:sz="10" w:space="0"/>
                  </w:tcBorders>
                  <w:noWrap w:val="0"/>
                  <w:vAlign w:val="center"/>
                </w:tcPr>
                <w:p w14:paraId="4A136FD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2.6</w:t>
                  </w:r>
                </w:p>
              </w:tc>
              <w:tc>
                <w:tcPr>
                  <w:tcW w:w="727" w:type="dxa"/>
                  <w:tcBorders>
                    <w:bottom w:val="single" w:color="000000" w:sz="10" w:space="0"/>
                  </w:tcBorders>
                  <w:noWrap w:val="0"/>
                  <w:vAlign w:val="center"/>
                </w:tcPr>
                <w:p w14:paraId="7683AC5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0.6</w:t>
                  </w:r>
                  <w:r>
                    <w:rPr>
                      <w:rFonts w:hint="eastAsia"/>
                      <w:color w:val="000000" w:themeColor="text1"/>
                      <w:lang w:val="en-US" w:eastAsia="zh-CN"/>
                      <w14:textFill>
                        <w14:solidFill>
                          <w14:schemeClr w14:val="tx1"/>
                        </w14:solidFill>
                      </w14:textFill>
                    </w:rPr>
                    <w:t>5</w:t>
                  </w:r>
                </w:p>
              </w:tc>
              <w:tc>
                <w:tcPr>
                  <w:tcW w:w="669" w:type="dxa"/>
                  <w:tcBorders>
                    <w:bottom w:val="single" w:color="000000" w:sz="10" w:space="0"/>
                  </w:tcBorders>
                  <w:noWrap w:val="0"/>
                  <w:vAlign w:val="center"/>
                </w:tcPr>
                <w:p w14:paraId="658E599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1.76</w:t>
                  </w:r>
                </w:p>
              </w:tc>
              <w:tc>
                <w:tcPr>
                  <w:tcW w:w="669" w:type="dxa"/>
                  <w:tcBorders>
                    <w:bottom w:val="single" w:color="000000" w:sz="10" w:space="0"/>
                  </w:tcBorders>
                  <w:noWrap w:val="0"/>
                  <w:vAlign w:val="center"/>
                </w:tcPr>
                <w:p w14:paraId="2387F82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无变化</w:t>
                  </w:r>
                </w:p>
              </w:tc>
              <w:tc>
                <w:tcPr>
                  <w:tcW w:w="719" w:type="dxa"/>
                  <w:tcBorders>
                    <w:bottom w:val="single" w:color="000000" w:sz="10" w:space="0"/>
                    <w:right w:val="single" w:color="000000" w:sz="10" w:space="0"/>
                  </w:tcBorders>
                  <w:noWrap w:val="0"/>
                  <w:vAlign w:val="center"/>
                </w:tcPr>
                <w:p w14:paraId="043598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t>33.7</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8</w:t>
                  </w:r>
                </w:p>
              </w:tc>
            </w:tr>
          </w:tbl>
          <w:p w14:paraId="154CC412">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⑵对陆生生态的影响分析</w:t>
            </w:r>
          </w:p>
          <w:p w14:paraId="24C851C9">
            <w:pPr>
              <w:bidi w:val="0"/>
              <w:rPr>
                <w:rFonts w:hint="default"/>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①</w:t>
            </w:r>
            <w:r>
              <w:rPr>
                <w:rFonts w:hint="eastAsia"/>
                <w:color w:val="000000" w:themeColor="text1"/>
                <w:lang w:val="en-US" w:eastAsia="zh-CN"/>
                <w14:textFill>
                  <w14:solidFill>
                    <w14:schemeClr w14:val="tx1"/>
                  </w14:solidFill>
                </w14:textFill>
              </w:rPr>
              <w:t>陆生植被</w:t>
            </w:r>
          </w:p>
          <w:p w14:paraId="339C3A7B">
            <w:pPr>
              <w:bidi w:val="0"/>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DK-01、DK-02、DK-03、DK-06、DK-07</w:t>
            </w:r>
            <w:r>
              <w:rPr>
                <w:color w:val="000000" w:themeColor="text1"/>
                <w14:textFill>
                  <w14:solidFill>
                    <w14:schemeClr w14:val="tx1"/>
                  </w14:solidFill>
                </w14:textFill>
              </w:rPr>
              <w:t>项目区植被类型主要为荒漠草原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建设破坏的植物物种均为当地常见油蒿、白蒿、短花针茅等陆生植被。现场踏勘期间占地范围内无国家及地方重点保护野生植物名录所列的物种，《中国生物多样性红色名录》中列为极危、濒危和易危的物种，国家和地方政府列入拯救保护的极小种群物种，特有种以及古树名木等。</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施工占地</w:t>
            </w:r>
            <w:r>
              <w:rPr>
                <w:rFonts w:hint="eastAsia" w:cs="Times New Roman"/>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场地清理</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扰动地表，破坏用地范围内植被，使评价区内植被面积减少，植被覆盖率降低。加强施工人员培训，严禁踩踏、乱砍、乱伐等破坏植物的行为。本项目拟通过高边坡治理工程、地形地貌恢复工程、标识牌及卡口设立等生态修复措施，恢复区域内的地形地貌。因此，项目的建设对区域植物多样性的影响较小。</w:t>
            </w:r>
          </w:p>
          <w:p w14:paraId="0FBB7E14">
            <w:pPr>
              <w:keepNext w:val="0"/>
              <w:keepLines w:val="0"/>
              <w:widowControl/>
              <w:suppressLineNumbers w:val="0"/>
              <w:jc w:val="left"/>
              <w:rPr>
                <w:rFonts w:hint="default"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本项目区治理区范围内无林木，DK-04、DK-05治理区周边</w:t>
            </w:r>
            <w:r>
              <w:rPr>
                <w:color w:val="000000" w:themeColor="text1"/>
                <w14:textFill>
                  <w14:solidFill>
                    <w14:schemeClr w14:val="tx1"/>
                  </w14:solidFill>
                </w14:textFill>
              </w:rPr>
              <w:t>植被类型</w:t>
            </w:r>
            <w:r>
              <w:rPr>
                <w:rFonts w:hint="eastAsia"/>
                <w:color w:val="000000" w:themeColor="text1"/>
                <w:lang w:val="en-US" w:eastAsia="zh-CN"/>
                <w14:textFill>
                  <w14:solidFill>
                    <w14:schemeClr w14:val="tx1"/>
                  </w14:solidFill>
                </w14:textFill>
              </w:rPr>
              <w:t>为农作物</w:t>
            </w:r>
            <w:r>
              <w:rPr>
                <w:rFonts w:hint="eastAsia"/>
                <w:color w:val="000000" w:themeColor="text1"/>
                <w:lang w:eastAsia="zh-CN"/>
                <w14:textFill>
                  <w14:solidFill>
                    <w14:schemeClr w14:val="tx1"/>
                  </w14:solidFill>
                </w14:textFill>
              </w:rPr>
              <w:t>，</w:t>
            </w:r>
            <w:r>
              <w:rPr>
                <w:rFonts w:ascii="宋体" w:hAnsi="宋体" w:eastAsia="宋体" w:cs="宋体"/>
                <w:b w:val="0"/>
                <w:bCs w:val="0"/>
                <w:color w:val="000000" w:themeColor="text1"/>
                <w:kern w:val="0"/>
                <w:sz w:val="24"/>
                <w:szCs w:val="24"/>
                <w:lang w:val="en-US" w:eastAsia="zh-CN" w:bidi="ar"/>
                <w14:textFill>
                  <w14:solidFill>
                    <w14:schemeClr w14:val="tx1"/>
                  </w14:solidFill>
                </w14:textFill>
              </w:rPr>
              <w:t>施工过程中，运输车辆产生的扬尘，会对沿线农作物带来直接的影响。这些尘土降落到植物的叶面上，会堵塞毛孔，影响农作物的光合作用，从而使之生长减缓甚至死去，导致生产力下降</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。项目施工过程中</w:t>
            </w:r>
            <w:r>
              <w:rPr>
                <w:rFonts w:hint="default" w:cs="Times New Roman"/>
                <w:color w:val="000000" w:themeColor="text1"/>
                <w:lang w:val="en-US" w:eastAsia="zh-CN"/>
                <w14:textFill>
                  <w14:solidFill>
                    <w14:schemeClr w14:val="tx1"/>
                  </w14:solidFill>
                </w14:textFill>
              </w:rPr>
              <w:t>对散料堆场采用水喷淋法防尘；汽车运输加盖蓬布、控制车速；运输车辆进出的主干道应定期洒水清扫；对施工废料设置围栏、定期洒水降尘</w:t>
            </w:r>
            <w:r>
              <w:rPr>
                <w:rFonts w:hint="eastAsia" w:cs="Times New Roman"/>
                <w:color w:val="000000" w:themeColor="text1"/>
                <w:lang w:val="en-US" w:eastAsia="zh-CN"/>
                <w14:textFill>
                  <w14:solidFill>
                    <w14:schemeClr w14:val="tx1"/>
                  </w14:solidFill>
                </w14:textFill>
              </w:rPr>
              <w:t>。</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因此，项目的建设对区</w:t>
            </w:r>
            <w:r>
              <w:rPr>
                <w:rFonts w:hint="eastAsia" w:ascii="宋体" w:hAnsi="宋体" w:cs="宋体"/>
                <w:color w:val="000000" w:themeColor="text1"/>
                <w:kern w:val="0"/>
                <w:sz w:val="24"/>
                <w:szCs w:val="24"/>
                <w:highlight w:val="none"/>
                <w:lang w:val="en-US" w:eastAsia="zh-CN" w:bidi="ar"/>
                <w14:textFill>
                  <w14:solidFill>
                    <w14:schemeClr w14:val="tx1"/>
                  </w14:solidFill>
                </w14:textFill>
              </w:rPr>
              <w:t>农作物</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的影响较小。</w:t>
            </w:r>
          </w:p>
          <w:p w14:paraId="09B60FDE">
            <w:pPr>
              <w:keepNext w:val="0"/>
              <w:keepLines w:val="0"/>
              <w:widowControl/>
              <w:suppressLineNumbers w:val="0"/>
              <w:spacing w:before="0" w:beforeAutospacing="0" w:after="0" w:afterAutospacing="0"/>
              <w:ind w:left="0" w:right="0"/>
              <w:jc w:val="left"/>
              <w:rPr>
                <w:rFonts w:hint="default" w:cs="Times New Roman"/>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②陆生动物</w:t>
            </w:r>
          </w:p>
          <w:p w14:paraId="7953973A">
            <w:pPr>
              <w:pStyle w:val="7"/>
              <w:keepNext w:val="0"/>
              <w:keepLines w:val="0"/>
              <w:suppressLineNumbers w:val="0"/>
              <w:bidi w:val="0"/>
              <w:spacing w:before="0" w:beforeAutospacing="0" w:after="0" w:afterAutospacing="0"/>
              <w:ind w:left="0" w:right="0"/>
              <w:rPr>
                <w:rFonts w:hint="default" w:eastAsia="宋体" w:cs="Times New Roman"/>
                <w:color w:val="000000" w:themeColor="text1"/>
                <w:lang w:val="en-US"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现场踏勘期间占地范围内</w:t>
            </w:r>
            <w:r>
              <w:rPr>
                <w:rFonts w:hint="eastAsia" w:ascii="宋体" w:hAnsi="宋体" w:cs="宋体"/>
                <w:color w:val="000000" w:themeColor="text1"/>
                <w:kern w:val="0"/>
                <w:sz w:val="24"/>
                <w:szCs w:val="24"/>
                <w:lang w:val="en-US" w:eastAsia="zh-CN" w:bidi="ar"/>
                <w14:textFill>
                  <w14:solidFill>
                    <w14:schemeClr w14:val="tx1"/>
                  </w14:solidFill>
                </w14:textFill>
              </w:rPr>
              <w:t>无</w:t>
            </w:r>
            <w:r>
              <w:rPr>
                <w:rFonts w:hint="default" w:cs="Times New Roman"/>
                <w:color w:val="000000" w:themeColor="text1"/>
                <w14:textFill>
                  <w14:solidFill>
                    <w14:schemeClr w14:val="tx1"/>
                  </w14:solidFill>
                </w14:textFill>
              </w:rPr>
              <w:t>国家及地方重点保护野生动物名录所列的物种，《中国生物多样性红色名录》中列为极危、濒危和易危的物种，国家和地方政府列入拯救保护的极小种群物种，特有种以及古树名木等。</w:t>
            </w:r>
            <w:r>
              <w:rPr>
                <w:rFonts w:hint="eastAsia" w:cs="Times New Roman"/>
                <w:color w:val="000000" w:themeColor="text1"/>
                <w:lang w:val="en-US" w:eastAsia="zh-CN"/>
                <w14:textFill>
                  <w14:solidFill>
                    <w14:schemeClr w14:val="tx1"/>
                  </w14:solidFill>
                </w14:textFill>
              </w:rPr>
              <w:t>可能会受到影响的有</w:t>
            </w:r>
            <w:r>
              <w:rPr>
                <w:rFonts w:hint="eastAsia" w:cs="Times New Roman"/>
                <w:color w:val="000000" w:themeColor="text1"/>
                <w14:textFill>
                  <w14:solidFill>
                    <w14:schemeClr w14:val="tx1"/>
                  </w14:solidFill>
                </w14:textFill>
              </w:rPr>
              <w:t>小型哺乳类动物</w:t>
            </w:r>
            <w:r>
              <w:rPr>
                <w:rFonts w:hint="eastAsia" w:cs="Times New Roman"/>
                <w:color w:val="000000" w:themeColor="text1"/>
                <w:lang w:val="en-US" w:eastAsia="zh-CN"/>
                <w14:textFill>
                  <w14:solidFill>
                    <w14:schemeClr w14:val="tx1"/>
                  </w14:solidFill>
                </w14:textFill>
              </w:rPr>
              <w:t>及鸟类。</w:t>
            </w:r>
          </w:p>
          <w:p w14:paraId="647385CA">
            <w:pPr>
              <w:pStyle w:val="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A.</w:t>
            </w:r>
            <w:r>
              <w:rPr>
                <w:rFonts w:hint="default" w:cs="Times New Roman"/>
                <w:color w:val="000000" w:themeColor="text1"/>
                <w14:textFill>
                  <w14:solidFill>
                    <w14:schemeClr w14:val="tx1"/>
                  </w14:solidFill>
                </w14:textFill>
              </w:rPr>
              <w:t>对</w:t>
            </w:r>
            <w:r>
              <w:rPr>
                <w:rFonts w:hint="eastAsia" w:cs="Times New Roman"/>
                <w:color w:val="000000" w:themeColor="text1"/>
                <w14:textFill>
                  <w14:solidFill>
                    <w14:schemeClr w14:val="tx1"/>
                  </w14:solidFill>
                </w14:textFill>
              </w:rPr>
              <w:t>小型哺乳类动物</w:t>
            </w:r>
            <w:r>
              <w:rPr>
                <w:rFonts w:hint="default" w:cs="Times New Roman"/>
                <w:color w:val="000000" w:themeColor="text1"/>
                <w14:textFill>
                  <w14:solidFill>
                    <w14:schemeClr w14:val="tx1"/>
                  </w14:solidFill>
                </w14:textFill>
              </w:rPr>
              <w:t>的影响分析</w:t>
            </w:r>
          </w:p>
          <w:p w14:paraId="5957234D">
            <w:pPr>
              <w:pStyle w:val="7"/>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施工期对</w:t>
            </w:r>
            <w:r>
              <w:rPr>
                <w:rFonts w:hint="eastAsia" w:cs="Times New Roman"/>
                <w:color w:val="000000" w:themeColor="text1"/>
                <w14:textFill>
                  <w14:solidFill>
                    <w14:schemeClr w14:val="tx1"/>
                  </w14:solidFill>
                </w14:textFill>
              </w:rPr>
              <w:t>小型哺乳</w:t>
            </w:r>
            <w:r>
              <w:rPr>
                <w:rFonts w:hint="default" w:cs="Times New Roman"/>
                <w:color w:val="000000" w:themeColor="text1"/>
                <w14:textFill>
                  <w14:solidFill>
                    <w14:schemeClr w14:val="tx1"/>
                  </w14:solidFill>
                </w14:textFill>
              </w:rPr>
              <w:t>类</w:t>
            </w:r>
            <w:r>
              <w:rPr>
                <w:rFonts w:hint="eastAsia" w:cs="Times New Roman"/>
                <w:color w:val="000000" w:themeColor="text1"/>
                <w14:textFill>
                  <w14:solidFill>
                    <w14:schemeClr w14:val="tx1"/>
                  </w14:solidFill>
                </w14:textFill>
              </w:rPr>
              <w:t>动物</w:t>
            </w:r>
            <w:r>
              <w:rPr>
                <w:rFonts w:hint="default" w:cs="Times New Roman"/>
                <w:color w:val="000000" w:themeColor="text1"/>
                <w14:textFill>
                  <w14:solidFill>
                    <w14:schemeClr w14:val="tx1"/>
                  </w14:solidFill>
                </w14:textFill>
              </w:rPr>
              <w:t>的影响主要体现在对动物饮水、觅食、栖息、繁殖等所在生境的破坏</w:t>
            </w:r>
            <w:r>
              <w:rPr>
                <w:rFonts w:hint="eastAsia" w:cs="Times New Roman"/>
                <w:color w:val="000000" w:themeColor="text1"/>
                <w14:textFill>
                  <w14:solidFill>
                    <w14:schemeClr w14:val="tx1"/>
                  </w14:solidFill>
                </w14:textFill>
              </w:rPr>
              <w:t>。</w:t>
            </w:r>
          </w:p>
          <w:p w14:paraId="5D0474DC">
            <w:pPr>
              <w:pStyle w:val="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施工噪声</w:t>
            </w:r>
            <w:r>
              <w:rPr>
                <w:rFonts w:hint="eastAsia" w:cs="Times New Roman"/>
                <w:color w:val="000000" w:themeColor="text1"/>
                <w14:textFill>
                  <w14:solidFill>
                    <w14:schemeClr w14:val="tx1"/>
                  </w14:solidFill>
                </w14:textFill>
              </w:rPr>
              <w:t>及</w:t>
            </w:r>
            <w:r>
              <w:rPr>
                <w:rFonts w:hint="default" w:cs="Times New Roman"/>
                <w:color w:val="000000" w:themeColor="text1"/>
                <w14:textFill>
                  <w14:solidFill>
                    <w14:schemeClr w14:val="tx1"/>
                  </w14:solidFill>
                </w14:textFill>
              </w:rPr>
              <w:t>施工人员</w:t>
            </w:r>
            <w:r>
              <w:rPr>
                <w:rFonts w:hint="eastAsia" w:cs="Times New Roman"/>
                <w:color w:val="000000" w:themeColor="text1"/>
                <w14:textFill>
                  <w14:solidFill>
                    <w14:schemeClr w14:val="tx1"/>
                  </w14:solidFill>
                </w14:textFill>
              </w:rPr>
              <w:t>、</w:t>
            </w:r>
            <w:r>
              <w:rPr>
                <w:rFonts w:hint="default" w:cs="Times New Roman"/>
                <w:color w:val="000000" w:themeColor="text1"/>
                <w14:textFill>
                  <w14:solidFill>
                    <w14:schemeClr w14:val="tx1"/>
                  </w14:solidFill>
                </w14:textFill>
              </w:rPr>
              <w:t>施工机械的干扰等，使生于灌草丛的</w:t>
            </w:r>
            <w:r>
              <w:rPr>
                <w:rFonts w:hint="eastAsia" w:cs="Times New Roman"/>
                <w:color w:val="000000" w:themeColor="text1"/>
                <w:lang w:eastAsia="zh-CN"/>
                <w14:textFill>
                  <w14:solidFill>
                    <w14:schemeClr w14:val="tx1"/>
                  </w14:solidFill>
                </w14:textFill>
              </w:rPr>
              <w:t>小型</w:t>
            </w:r>
            <w:r>
              <w:rPr>
                <w:rFonts w:hint="eastAsia" w:cs="Times New Roman"/>
                <w:color w:val="000000" w:themeColor="text1"/>
                <w14:textFill>
                  <w14:solidFill>
                    <w14:schemeClr w14:val="tx1"/>
                  </w14:solidFill>
                </w14:textFill>
              </w:rPr>
              <w:t>哺乳类动物</w:t>
            </w:r>
            <w:r>
              <w:rPr>
                <w:rFonts w:hint="default" w:cs="Times New Roman"/>
                <w:color w:val="000000" w:themeColor="text1"/>
                <w14:textFill>
                  <w14:solidFill>
                    <w14:schemeClr w14:val="tx1"/>
                  </w14:solidFill>
                </w14:textFill>
              </w:rPr>
              <w:t>，迁移至附近受干扰小的区域，种类和数量将相应减少，评价区生物量、生物多样性、种群分布将发生变化。但由于评价区范围内或附近具有相同的生境，其容易找到栖息场所。另外，工程建设影响的范围小且时间短，因此对</w:t>
            </w:r>
            <w:r>
              <w:rPr>
                <w:rFonts w:hint="eastAsia" w:cs="Times New Roman"/>
                <w:color w:val="000000" w:themeColor="text1"/>
                <w14:textFill>
                  <w14:solidFill>
                    <w14:schemeClr w14:val="tx1"/>
                  </w14:solidFill>
                </w14:textFill>
              </w:rPr>
              <w:t>小型哺乳类动物</w:t>
            </w:r>
            <w:r>
              <w:rPr>
                <w:rFonts w:hint="default" w:cs="Times New Roman"/>
                <w:color w:val="000000" w:themeColor="text1"/>
                <w14:textFill>
                  <w14:solidFill>
                    <w14:schemeClr w14:val="tx1"/>
                  </w14:solidFill>
                </w14:textFill>
              </w:rPr>
              <w:t>不会造成大的影响。</w:t>
            </w:r>
          </w:p>
          <w:p w14:paraId="38F4CD03">
            <w:pPr>
              <w:pStyle w:val="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B.</w:t>
            </w:r>
            <w:r>
              <w:rPr>
                <w:rFonts w:hint="default" w:cs="Times New Roman"/>
                <w:color w:val="000000" w:themeColor="text1"/>
                <w14:textFill>
                  <w14:solidFill>
                    <w14:schemeClr w14:val="tx1"/>
                  </w14:solidFill>
                </w14:textFill>
              </w:rPr>
              <w:t>对鸟类的影响分析</w:t>
            </w:r>
          </w:p>
          <w:p w14:paraId="06AA1E94">
            <w:pPr>
              <w:pStyle w:val="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施工期对鸟类的影响主要为施工机械、车辆噪声等会导致鸟类饮水、觅食、栖息、繁殖等生境质量暂时下降。施工区域人为活动增加、车辆穿梭、施工机械噪声的惊吓、干扰，在一定程度上会影响迁徙鸟类的南迁北往活动，进而间接影响鸟类在施工区域内的分布与种群数量，但这些鸟类可以通过迁徙和飞翔来避免施工对其直接的影响，该项目建设对区域鸟类的生态活动影响较小。</w:t>
            </w:r>
          </w:p>
          <w:p w14:paraId="069F6464">
            <w:pPr>
              <w:pStyle w:val="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根据现场调查和勘测目测，工程区域内鸟类较少。该项目施工对附近鸟类的影响是暂时的，项目建成后，各种施工机械撤离，这种影响就会逐渐消失。综上所述，工程沿线区域不属于鸟类的重点分布区域，不涉及重要物种、生态敏感区以及其他需要保护的物种、种群、生物群落。工程建设对于周边鸟类及其生境整体而言影响较小。</w:t>
            </w:r>
          </w:p>
          <w:p w14:paraId="332FF5C3">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3 \* GB2 \* MERGEFORMAT </w:instrText>
            </w:r>
            <w:r>
              <w:rPr>
                <w:rFonts w:hint="default"/>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⑶</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水土流失影响分析</w:t>
            </w:r>
          </w:p>
          <w:p w14:paraId="0B5D9ED7">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highlight w:val="none"/>
                <w14:textFill>
                  <w14:solidFill>
                    <w14:schemeClr w14:val="tx1"/>
                  </w14:solidFill>
                </w14:textFill>
              </w:rPr>
            </w:pPr>
            <w:r>
              <w:rPr>
                <w:rFonts w:hint="default" w:ascii="宋体" w:hAnsi="宋体" w:eastAsia="宋体" w:cs="宋体"/>
                <w:b w:val="0"/>
                <w:bCs w:val="0"/>
                <w:color w:val="000000" w:themeColor="text1"/>
                <w:sz w:val="24"/>
                <w:szCs w:val="24"/>
                <w:highlight w:val="none"/>
                <w14:textFill>
                  <w14:solidFill>
                    <w14:schemeClr w14:val="tx1"/>
                  </w14:solidFill>
                </w14:textFill>
              </w:rPr>
              <w:t>本项目施工期间施工占地、场地清理、</w:t>
            </w:r>
            <w:r>
              <w:rPr>
                <w:rFonts w:hint="eastAsia" w:ascii="宋体" w:hAnsi="宋体" w:eastAsia="宋体" w:cs="宋体"/>
                <w:b w:val="0"/>
                <w:bCs w:val="0"/>
                <w:color w:val="000000" w:themeColor="text1"/>
                <w:sz w:val="24"/>
                <w:szCs w:val="24"/>
                <w:highlight w:val="none"/>
                <w14:textFill>
                  <w14:solidFill>
                    <w14:schemeClr w14:val="tx1"/>
                  </w14:solidFill>
                </w14:textFill>
              </w:rPr>
              <w:t>高边坡治理工程、地形地貌恢复工程、标识牌及卡口设立</w:t>
            </w:r>
            <w:r>
              <w:rPr>
                <w:rFonts w:hint="default" w:ascii="宋体" w:hAnsi="宋体" w:eastAsia="宋体" w:cs="宋体"/>
                <w:b w:val="0"/>
                <w:bCs w:val="0"/>
                <w:color w:val="000000" w:themeColor="text1"/>
                <w:sz w:val="24"/>
                <w:szCs w:val="24"/>
                <w:highlight w:val="none"/>
                <w14:textFill>
                  <w14:solidFill>
                    <w14:schemeClr w14:val="tx1"/>
                  </w14:solidFill>
                </w14:textFill>
              </w:rPr>
              <w:t>等施工活动对地表土体产生扰动，导致土壤结构改变及植被破坏。当地表植被破坏后，表层土壤裸露，在降雨形成的地表径流的作用下发生流失，但影响是暂时的，且造成的水土流失均在本项目占地范围内，不会外损。工程完工和生态恢复后，其水土流失程度会随着施工的结束而结束，项目通过恢复原有的地形地貌及土地资源，可以起到防治水土流失的作用，并且使遭到破坏的生态环境得到改善和基本恢复。</w:t>
            </w:r>
          </w:p>
          <w:p w14:paraId="140E51DC">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4 \* GB2 \* MERGEFORMAT </w:instrText>
            </w:r>
            <w:r>
              <w:rPr>
                <w:rFonts w:hint="default"/>
                <w:color w:val="000000" w:themeColor="text1"/>
                <w14:textFill>
                  <w14:solidFill>
                    <w14:schemeClr w14:val="tx1"/>
                  </w14:solidFill>
                </w14:textFill>
              </w:rPr>
              <w:fldChar w:fldCharType="separate"/>
            </w:r>
            <w:r>
              <w:rPr>
                <w:color w:val="000000" w:themeColor="text1"/>
                <w14:textFill>
                  <w14:solidFill>
                    <w14:schemeClr w14:val="tx1"/>
                  </w14:solidFill>
                </w14:textFill>
              </w:rPr>
              <w:t>⑷</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生态景观的影响</w:t>
            </w:r>
            <w:r>
              <w:rPr>
                <w:rFonts w:hint="eastAsia"/>
                <w:color w:val="000000" w:themeColor="text1"/>
                <w:lang w:val="en-US" w:eastAsia="zh-CN"/>
                <w14:textFill>
                  <w14:solidFill>
                    <w14:schemeClr w14:val="tx1"/>
                  </w14:solidFill>
                </w14:textFill>
              </w:rPr>
              <w:t>分析</w:t>
            </w:r>
          </w:p>
          <w:p w14:paraId="155EA9F7">
            <w:pPr>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本项目施工期间施工占地、场地清理、</w:t>
            </w:r>
            <w:r>
              <w:rPr>
                <w:rFonts w:hint="eastAsia"/>
                <w:color w:val="000000" w:themeColor="text1"/>
                <w14:textFill>
                  <w14:solidFill>
                    <w14:schemeClr w14:val="tx1"/>
                  </w14:solidFill>
                </w14:textFill>
              </w:rPr>
              <w:t>高边坡治理工程、地形地貌恢复工程、标识牌及卡口设立</w:t>
            </w:r>
            <w:r>
              <w:rPr>
                <w:rFonts w:hint="default"/>
                <w:color w:val="000000" w:themeColor="text1"/>
                <w14:textFill>
                  <w14:solidFill>
                    <w14:schemeClr w14:val="tx1"/>
                  </w14:solidFill>
                </w14:textFill>
              </w:rPr>
              <w:t>等施工活动对原地貌进行扰动。施工期结束后，被改变的原有景观无法恢复。但当本项目建成后，通过</w:t>
            </w:r>
            <w:r>
              <w:rPr>
                <w:rFonts w:hint="eastAsia"/>
                <w:color w:val="000000" w:themeColor="text1"/>
                <w:lang w:val="en-US" w:eastAsia="zh-CN"/>
                <w14:textFill>
                  <w14:solidFill>
                    <w14:schemeClr w14:val="tx1"/>
                  </w14:solidFill>
                </w14:textFill>
              </w:rPr>
              <w:t>地形地貌被恢复，有利于后期植物生长</w:t>
            </w:r>
            <w:r>
              <w:rPr>
                <w:rFonts w:hint="default"/>
                <w:color w:val="000000" w:themeColor="text1"/>
                <w14:textFill>
                  <w14:solidFill>
                    <w14:schemeClr w14:val="tx1"/>
                  </w14:solidFill>
                </w14:textFill>
              </w:rPr>
              <w:t>，因此，对自然生态景观不会造成不良影响。</w:t>
            </w:r>
          </w:p>
          <w:p w14:paraId="415B6D42">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5 \* GB2 \* MERGEFORMAT </w:instrText>
            </w:r>
            <w:r>
              <w:rPr>
                <w:rFonts w:hint="default"/>
                <w:color w:val="000000" w:themeColor="text1"/>
                <w14:textFill>
                  <w14:solidFill>
                    <w14:schemeClr w14:val="tx1"/>
                  </w14:solidFill>
                </w14:textFill>
              </w:rPr>
              <w:fldChar w:fldCharType="separate"/>
            </w:r>
            <w:r>
              <w:rPr>
                <w:color w:val="000000" w:themeColor="text1"/>
                <w14:textFill>
                  <w14:solidFill>
                    <w14:schemeClr w14:val="tx1"/>
                  </w14:solidFill>
                </w14:textFill>
              </w:rPr>
              <w:t>⑸</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生物多样性影响分析</w:t>
            </w:r>
          </w:p>
          <w:p w14:paraId="7A6BB629">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default"/>
                <w:color w:val="000000" w:themeColor="text1"/>
                <w14:textFill>
                  <w14:solidFill>
                    <w14:schemeClr w14:val="tx1"/>
                  </w14:solidFill>
                </w14:textFill>
              </w:rPr>
              <w:t>占地范围内</w:t>
            </w:r>
            <w:r>
              <w:rPr>
                <w:rFonts w:hint="eastAsia"/>
                <w:color w:val="000000" w:themeColor="text1"/>
                <w:lang w:val="en-US" w:eastAsia="zh-CN"/>
                <w14:textFill>
                  <w14:solidFill>
                    <w14:schemeClr w14:val="tx1"/>
                  </w14:solidFill>
                </w14:textFill>
              </w:rPr>
              <w:t>植物物种均为当地常见油蒿、白蒿、短花针茅等陆生植被。</w:t>
            </w:r>
            <w:r>
              <w:rPr>
                <w:rFonts w:hint="default"/>
                <w:color w:val="000000" w:themeColor="text1"/>
                <w14:textFill>
                  <w14:solidFill>
                    <w14:schemeClr w14:val="tx1"/>
                  </w14:solidFill>
                </w14:textFill>
              </w:rPr>
              <w:t>项目施工期占地会造成短时的植被数量减少，野生动物活动会受到干扰；项目为矿山修复生态治理项目，项目通过</w:t>
            </w:r>
            <w:r>
              <w:rPr>
                <w:rFonts w:hint="eastAsia"/>
                <w:color w:val="000000" w:themeColor="text1"/>
                <w14:textFill>
                  <w14:solidFill>
                    <w14:schemeClr w14:val="tx1"/>
                  </w14:solidFill>
                </w14:textFill>
              </w:rPr>
              <w:t>高边坡治理工程、地形地貌恢复工程、标识牌及卡口设立</w:t>
            </w:r>
            <w:r>
              <w:rPr>
                <w:rFonts w:hint="default"/>
                <w:color w:val="000000" w:themeColor="text1"/>
                <w14:textFill>
                  <w14:solidFill>
                    <w14:schemeClr w14:val="tx1"/>
                  </w14:solidFill>
                </w14:textFill>
              </w:rPr>
              <w:t>等</w:t>
            </w:r>
            <w:r>
              <w:rPr>
                <w:rFonts w:hint="eastAsia"/>
                <w:color w:val="000000" w:themeColor="text1"/>
                <w:lang w:val="en-US" w:eastAsia="zh-CN"/>
                <w14:textFill>
                  <w14:solidFill>
                    <w14:schemeClr w14:val="tx1"/>
                  </w14:solidFill>
                </w14:textFill>
              </w:rPr>
              <w:t>治理措施</w:t>
            </w:r>
            <w:r>
              <w:rPr>
                <w:rFonts w:hint="default"/>
                <w:color w:val="000000" w:themeColor="text1"/>
                <w14:textFill>
                  <w14:solidFill>
                    <w14:schemeClr w14:val="tx1"/>
                  </w14:solidFill>
                </w14:textFill>
              </w:rPr>
              <w:t>，恢复损毁土地的利用功能，提高项目区生态功能，项目实施对治理植被动物影响为正环境效益。因此，本项目的建设对评价区域内生物多样性的影响较小。</w:t>
            </w:r>
          </w:p>
          <w:p w14:paraId="3617ABF7">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6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⑹</w:t>
            </w:r>
            <w:r>
              <w:rPr>
                <w:rFonts w:hint="eastAsia"/>
                <w:color w:val="000000" w:themeColor="text1"/>
                <w:lang w:val="en-US" w:eastAsia="zh-CN"/>
                <w14:textFill>
                  <w14:solidFill>
                    <w14:schemeClr w14:val="tx1"/>
                  </w14:solidFill>
                </w14:textFill>
              </w:rPr>
              <w:fldChar w:fldCharType="end"/>
            </w:r>
            <w:r>
              <w:rPr>
                <w:rFonts w:hint="eastAsia"/>
                <w:color w:val="000000" w:themeColor="text1"/>
                <w:lang w:val="en-US" w:eastAsia="zh-CN"/>
                <w14:textFill>
                  <w14:solidFill>
                    <w14:schemeClr w14:val="tx1"/>
                  </w14:solidFill>
                </w14:textFill>
              </w:rPr>
              <w:t>生态系统影响分析</w:t>
            </w:r>
          </w:p>
          <w:p w14:paraId="61A57CC4">
            <w:pPr>
              <w:bidi w:val="0"/>
              <w:rPr>
                <w:rFonts w:hint="eastAsia"/>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本项目施工期间施工占地、场地清理等施工活动对</w:t>
            </w:r>
            <w:r>
              <w:rPr>
                <w:rFonts w:hint="eastAsia"/>
                <w:color w:val="000000" w:themeColor="text1"/>
                <w:lang w:val="en-US" w:eastAsia="zh-CN"/>
                <w14:textFill>
                  <w14:solidFill>
                    <w14:schemeClr w14:val="tx1"/>
                  </w14:solidFill>
                </w14:textFill>
              </w:rPr>
              <w:t>生态系统</w:t>
            </w:r>
            <w:r>
              <w:rPr>
                <w:rFonts w:hint="default"/>
                <w:color w:val="000000" w:themeColor="text1"/>
                <w14:textFill>
                  <w14:solidFill>
                    <w14:schemeClr w14:val="tx1"/>
                  </w14:solidFill>
                </w14:textFill>
              </w:rPr>
              <w:t>进行扰动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会</w:t>
            </w:r>
            <w:r>
              <w:rPr>
                <w:rFonts w:hint="eastAsia"/>
                <w:color w:val="000000" w:themeColor="text1"/>
                <w14:textFill>
                  <w14:solidFill>
                    <w14:schemeClr w14:val="tx1"/>
                  </w14:solidFill>
                </w14:textFill>
              </w:rPr>
              <w:t>造成区域</w:t>
            </w:r>
            <w:r>
              <w:rPr>
                <w:rFonts w:hint="eastAsia"/>
                <w:color w:val="000000" w:themeColor="text1"/>
                <w:lang w:val="en-US" w:eastAsia="zh-CN"/>
                <w14:textFill>
                  <w14:solidFill>
                    <w14:schemeClr w14:val="tx1"/>
                  </w14:solidFill>
                </w14:textFill>
              </w:rPr>
              <w:t>生物量的减少，生产力下降，</w:t>
            </w:r>
            <w:r>
              <w:rPr>
                <w:rFonts w:hint="eastAsia"/>
                <w:color w:val="000000" w:themeColor="text1"/>
                <w14:textFill>
                  <w14:solidFill>
                    <w14:schemeClr w14:val="tx1"/>
                  </w14:solidFill>
                </w14:textFill>
              </w:rPr>
              <w:t>生态系统服务功能</w:t>
            </w:r>
            <w:r>
              <w:rPr>
                <w:rFonts w:hint="eastAsia"/>
                <w:color w:val="000000" w:themeColor="text1"/>
                <w:lang w:val="en-US" w:eastAsia="zh-CN"/>
                <w14:textFill>
                  <w14:solidFill>
                    <w14:schemeClr w14:val="tx1"/>
                  </w14:solidFill>
                </w14:textFill>
              </w:rPr>
              <w:t>削弱。</w:t>
            </w:r>
            <w:r>
              <w:rPr>
                <w:rFonts w:hint="default"/>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的建设</w:t>
            </w:r>
            <w:r>
              <w:rPr>
                <w:rFonts w:hint="default"/>
                <w:color w:val="000000" w:themeColor="text1"/>
                <w14:textFill>
                  <w14:solidFill>
                    <w14:schemeClr w14:val="tx1"/>
                  </w14:solidFill>
                </w14:textFill>
              </w:rPr>
              <w:t>项目通过</w:t>
            </w:r>
            <w:r>
              <w:rPr>
                <w:rFonts w:hint="eastAsia"/>
                <w:color w:val="000000" w:themeColor="text1"/>
                <w14:textFill>
                  <w14:solidFill>
                    <w14:schemeClr w14:val="tx1"/>
                  </w14:solidFill>
                </w14:textFill>
              </w:rPr>
              <w:t>高边坡治理工程、地形地貌恢复工程、标识牌及卡口设立</w:t>
            </w:r>
            <w:r>
              <w:rPr>
                <w:rFonts w:hint="default"/>
                <w:color w:val="000000" w:themeColor="text1"/>
                <w14:textFill>
                  <w14:solidFill>
                    <w14:schemeClr w14:val="tx1"/>
                  </w14:solidFill>
                </w14:textFill>
              </w:rPr>
              <w:t>等生态建设，</w:t>
            </w:r>
            <w:r>
              <w:rPr>
                <w:rFonts w:hint="eastAsia"/>
                <w:color w:val="000000" w:themeColor="text1"/>
                <w:lang w:val="en-US" w:eastAsia="zh-CN"/>
                <w14:textFill>
                  <w14:solidFill>
                    <w14:schemeClr w14:val="tx1"/>
                  </w14:solidFill>
                </w14:textFill>
              </w:rPr>
              <w:t>可</w:t>
            </w:r>
            <w:r>
              <w:rPr>
                <w:rFonts w:hint="default"/>
                <w:color w:val="000000" w:themeColor="text1"/>
                <w14:textFill>
                  <w14:solidFill>
                    <w14:schemeClr w14:val="tx1"/>
                  </w14:solidFill>
                </w14:textFill>
              </w:rPr>
              <w:t>恢复损毁土地的利用功能</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提高项目区生态功能</w:t>
            </w:r>
            <w:r>
              <w:rPr>
                <w:rFonts w:hint="eastAsia"/>
                <w:color w:val="000000" w:themeColor="text1"/>
                <w:lang w:val="en-US" w:eastAsia="zh-CN"/>
                <w14:textFill>
                  <w14:solidFill>
                    <w14:schemeClr w14:val="tx1"/>
                  </w14:solidFill>
                </w14:textFill>
              </w:rPr>
              <w:t>等，对区域生态系统的影响</w:t>
            </w:r>
            <w:r>
              <w:rPr>
                <w:rFonts w:hint="default"/>
                <w:color w:val="000000" w:themeColor="text1"/>
                <w14:textFill>
                  <w14:solidFill>
                    <w14:schemeClr w14:val="tx1"/>
                  </w14:solidFill>
                </w14:textFill>
              </w:rPr>
              <w:t>为正环境效益</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因此，</w:t>
            </w:r>
            <w:r>
              <w:rPr>
                <w:rFonts w:hint="default"/>
                <w:color w:val="000000" w:themeColor="text1"/>
                <w14:textFill>
                  <w14:solidFill>
                    <w14:schemeClr w14:val="tx1"/>
                  </w14:solidFill>
                </w14:textFill>
              </w:rPr>
              <w:t>本项目的建设对评价区域</w:t>
            </w:r>
            <w:r>
              <w:rPr>
                <w:rFonts w:hint="eastAsia"/>
                <w:color w:val="000000" w:themeColor="text1"/>
                <w:lang w:val="en-US" w:eastAsia="zh-CN"/>
                <w14:textFill>
                  <w14:solidFill>
                    <w14:schemeClr w14:val="tx1"/>
                  </w14:solidFill>
                </w14:textFill>
              </w:rPr>
              <w:t>生态系统影响</w:t>
            </w:r>
            <w:r>
              <w:rPr>
                <w:rFonts w:hint="default"/>
                <w:color w:val="000000" w:themeColor="text1"/>
                <w14:textFill>
                  <w14:solidFill>
                    <w14:schemeClr w14:val="tx1"/>
                  </w14:solidFill>
                </w14:textFill>
              </w:rPr>
              <w:t>较小。</w:t>
            </w:r>
          </w:p>
          <w:p w14:paraId="6C694A81">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 7 \* GB2 \* MERGEFORMAT </w:instrText>
            </w:r>
            <w:r>
              <w:rPr>
                <w:rFonts w:hint="default"/>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⑺</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小结</w:t>
            </w:r>
          </w:p>
          <w:p w14:paraId="7D507B76">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综上，本项目工程量小、施工时间短，施工期会对周边生态环境影响有限，并随施工期的结束、植被恢复，将逐渐得到缓解，并趋于稳定。</w:t>
            </w:r>
          </w:p>
          <w:p w14:paraId="6336E0EA">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施工废气影响分析</w:t>
            </w:r>
          </w:p>
          <w:p w14:paraId="15CD9FD6">
            <w:pPr>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环境空气污染主要是土方开挖、运输等施工过程中产生的粉尘、扬尘，机械施工、车辆运行、柴油发电机发电等产生的废气对周边环境空气产生一定的污染，主要污染物为CO、NO</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、SO</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等。本工程施工中主要在以下几个方面对施工区的大气环境质量产生影响：</w:t>
            </w:r>
          </w:p>
          <w:p w14:paraId="5AF38C55">
            <w:pPr>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⑴施工现场扬尘</w:t>
            </w:r>
          </w:p>
          <w:p w14:paraId="39E4DBC9">
            <w:pPr>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施工作业面扬尘：施工作业面的裸露地面，在干燥天气，尤其是在大风时容易产生扬尘；开挖面、开挖场、推整点和利用材料堆放场等施工作业面均会产生扬尘；扬尘产生量与作业面大小、施工机械、施工方法、天气状况及洒水频率等都有关系。工程区主要是土方开挖、临时材料堆放等施工过程会产生粉尘。根据施工工程的调查资料，工程施工期间施工现场近地面粉尘浓度可达1.5～30mg/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。施工中土石方开挖等产生的扬尘，基本上都是间歇式排放。一般只要定时洒水，施工作业面扬尘即可得到有效控制，对环境影响较小。</w:t>
            </w:r>
          </w:p>
          <w:p w14:paraId="6858C0E4">
            <w:pPr>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交通运输扬尘：根据有关资料，施工过程中车辆行驶产生的扬尘约占施工总扬尘量的60%以上。一般情况车辆行驶产生的扬尘在同样路面清洁程度下，车速越快，扬尘量越大；而在同样车速下，路面条件越差扬尘量越大。工程交通运输扬尘的影响对象为现场施工人员。另外施工区进场公路附近分布有居民，故交通运输扬尘还有可能对上述居民产生影响。</w:t>
            </w:r>
          </w:p>
          <w:p w14:paraId="7C29C44F">
            <w:pPr>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⑵机械尾气</w:t>
            </w:r>
          </w:p>
          <w:p w14:paraId="5C07F48F">
            <w:pPr>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项目施工期间，使用液体燃料的施工机械及运输车辆排放的尾气中含有CO、NO</w:t>
            </w:r>
            <w:r>
              <w:rPr>
                <w:rFonts w:hint="eastAsia" w:cs="Times New Roman"/>
                <w:color w:val="000000" w:themeColor="text1"/>
                <w:vertAlign w:val="subscript"/>
                <w14:textFill>
                  <w14:solidFill>
                    <w14:schemeClr w14:val="tx1"/>
                  </w14:solidFill>
                </w14:textFill>
              </w:rPr>
              <w:t>x</w:t>
            </w:r>
            <w:r>
              <w:rPr>
                <w:rFonts w:hint="eastAsia" w:cs="Times New Roman"/>
                <w:color w:val="000000" w:themeColor="text1"/>
                <w14:textFill>
                  <w14:solidFill>
                    <w14:schemeClr w14:val="tx1"/>
                  </w14:solidFill>
                </w14:textFill>
              </w:rPr>
              <w:t>以及未完全燃烧的THC等，一般情况下，各种污染物的排放量不大。由于污染源较分散，且为流动性，影响是短期的、局部的。</w:t>
            </w:r>
          </w:p>
          <w:p w14:paraId="708ECB6E">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废水影响分析</w:t>
            </w:r>
          </w:p>
          <w:p w14:paraId="5689D8D7">
            <w:pPr>
              <w:keepNext w:val="0"/>
              <w:keepLines w:val="0"/>
              <w:widowControl/>
              <w:suppressLineNumbers w:val="0"/>
              <w:spacing w:before="0" w:beforeAutospacing="0" w:after="0" w:afterAutospacing="0"/>
              <w:ind w:left="0" w:right="0"/>
              <w:jc w:val="left"/>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项目区不设置施工生活营地，生活污水依托周边村庄旱厕处理，项目区无废水排放</w:t>
            </w:r>
            <w:r>
              <w:rPr>
                <w:rFonts w:hint="eastAsia" w:ascii="宋体" w:hAnsi="宋体" w:eastAsia="宋体" w:cs="宋体"/>
                <w:color w:val="000000" w:themeColor="text1"/>
                <w:kern w:val="0"/>
                <w:sz w:val="24"/>
                <w:szCs w:val="24"/>
                <w:lang w:val="en-US" w:eastAsia="zh-CN" w:bidi="ar"/>
                <w14:textFill>
                  <w14:solidFill>
                    <w14:schemeClr w14:val="tx1"/>
                  </w14:solidFill>
                </w14:textFill>
              </w:rPr>
              <w:t>，项目运营期不排放废水。因此本项目基本不会对外环境产生影响。</w:t>
            </w:r>
          </w:p>
          <w:p w14:paraId="38F27663">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噪声影响分析</w:t>
            </w:r>
          </w:p>
          <w:p w14:paraId="24617403">
            <w:pPr>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本项目施工期噪声主要为土建噪声和挖掘机、装卸机、推土机、运输车等施工机械噪声，常用建筑施工机械的声压级及距施工机械不同距离处的噪声级见表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w:t>
            </w:r>
            <w:r>
              <w:rPr>
                <w:rFonts w:hint="eastAsia" w:cs="Times New Roman"/>
                <w:color w:val="000000" w:themeColor="text1"/>
                <w:kern w:val="0"/>
                <w:sz w:val="24"/>
                <w:szCs w:val="24"/>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319A16F9">
            <w:pPr>
              <w:pStyle w:val="3"/>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表4-</w:t>
            </w:r>
            <w:r>
              <w:rPr>
                <w:rFonts w:hint="eastAsia"/>
                <w:color w:val="000000" w:themeColor="text1"/>
                <w:lang w:val="en-US" w:eastAsia="zh-CN"/>
                <w14:textFill>
                  <w14:solidFill>
                    <w14:schemeClr w14:val="tx1"/>
                  </w14:solidFill>
                </w14:textFill>
              </w:rPr>
              <w:t xml:space="preserve">2 </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距主要施工机械不同距离处的噪声级 </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单位：</w:t>
            </w:r>
            <w:r>
              <w:rPr>
                <w:rFonts w:hint="default"/>
                <w:color w:val="000000" w:themeColor="text1"/>
                <w:lang w:val="en-US" w:eastAsia="zh-CN"/>
                <w14:textFill>
                  <w14:solidFill>
                    <w14:schemeClr w14:val="tx1"/>
                  </w14:solidFill>
                </w14:textFill>
              </w:rPr>
              <w:t>dB(A)</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012"/>
              <w:gridCol w:w="998"/>
              <w:gridCol w:w="1063"/>
              <w:gridCol w:w="1076"/>
              <w:gridCol w:w="1063"/>
              <w:gridCol w:w="998"/>
              <w:gridCol w:w="929"/>
            </w:tblGrid>
            <w:tr w14:paraId="3B4D74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vMerge w:val="restart"/>
                  <w:tcBorders>
                    <w:tl2br w:val="nil"/>
                    <w:tr2bl w:val="nil"/>
                  </w:tcBorders>
                  <w:noWrap w:val="0"/>
                  <w:vAlign w:val="center"/>
                </w:tcPr>
                <w:p w14:paraId="4A425EC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机械名称</w:t>
                  </w:r>
                </w:p>
              </w:tc>
              <w:tc>
                <w:tcPr>
                  <w:tcW w:w="4305" w:type="pct"/>
                  <w:gridSpan w:val="7"/>
                  <w:tcBorders>
                    <w:tl2br w:val="nil"/>
                    <w:tr2bl w:val="nil"/>
                  </w:tcBorders>
                  <w:noWrap w:val="0"/>
                  <w:vAlign w:val="center"/>
                </w:tcPr>
                <w:p w14:paraId="193DA6E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离施工机械的距离（m）</w:t>
                  </w:r>
                </w:p>
              </w:tc>
            </w:tr>
            <w:tr w14:paraId="0F5F8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vMerge w:val="continue"/>
                  <w:tcBorders>
                    <w:tl2br w:val="nil"/>
                    <w:tr2bl w:val="nil"/>
                  </w:tcBorders>
                  <w:noWrap w:val="0"/>
                  <w:vAlign w:val="center"/>
                </w:tcPr>
                <w:p w14:paraId="6A2B235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14:textFill>
                        <w14:solidFill>
                          <w14:schemeClr w14:val="tx1"/>
                        </w14:solidFill>
                      </w14:textFill>
                    </w:rPr>
                  </w:pPr>
                </w:p>
              </w:tc>
              <w:tc>
                <w:tcPr>
                  <w:tcW w:w="610" w:type="pct"/>
                  <w:tcBorders>
                    <w:tl2br w:val="nil"/>
                    <w:tr2bl w:val="nil"/>
                  </w:tcBorders>
                  <w:noWrap w:val="0"/>
                  <w:vAlign w:val="center"/>
                </w:tcPr>
                <w:p w14:paraId="34FC9F4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5</w:t>
                  </w:r>
                </w:p>
              </w:tc>
              <w:tc>
                <w:tcPr>
                  <w:tcW w:w="602" w:type="pct"/>
                  <w:tcBorders>
                    <w:tl2br w:val="nil"/>
                    <w:tr2bl w:val="nil"/>
                  </w:tcBorders>
                  <w:noWrap w:val="0"/>
                  <w:vAlign w:val="center"/>
                </w:tcPr>
                <w:p w14:paraId="43A1DF4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10</w:t>
                  </w:r>
                </w:p>
              </w:tc>
              <w:tc>
                <w:tcPr>
                  <w:tcW w:w="641" w:type="pct"/>
                  <w:tcBorders>
                    <w:tl2br w:val="nil"/>
                    <w:tr2bl w:val="nil"/>
                  </w:tcBorders>
                  <w:noWrap w:val="0"/>
                  <w:vAlign w:val="center"/>
                </w:tcPr>
                <w:p w14:paraId="2EB8198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20</w:t>
                  </w:r>
                </w:p>
              </w:tc>
              <w:tc>
                <w:tcPr>
                  <w:tcW w:w="649" w:type="pct"/>
                  <w:tcBorders>
                    <w:tl2br w:val="nil"/>
                    <w:tr2bl w:val="nil"/>
                  </w:tcBorders>
                  <w:noWrap w:val="0"/>
                  <w:vAlign w:val="center"/>
                </w:tcPr>
                <w:p w14:paraId="71EB051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40</w:t>
                  </w:r>
                </w:p>
              </w:tc>
              <w:tc>
                <w:tcPr>
                  <w:tcW w:w="641" w:type="pct"/>
                  <w:tcBorders>
                    <w:tl2br w:val="nil"/>
                    <w:tr2bl w:val="nil"/>
                  </w:tcBorders>
                  <w:noWrap w:val="0"/>
                  <w:vAlign w:val="center"/>
                </w:tcPr>
                <w:p w14:paraId="0BFF7D3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80</w:t>
                  </w:r>
                </w:p>
              </w:tc>
              <w:tc>
                <w:tcPr>
                  <w:tcW w:w="602" w:type="pct"/>
                  <w:tcBorders>
                    <w:tl2br w:val="nil"/>
                    <w:tr2bl w:val="nil"/>
                  </w:tcBorders>
                  <w:noWrap w:val="0"/>
                  <w:vAlign w:val="center"/>
                </w:tcPr>
                <w:p w14:paraId="1204B50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160</w:t>
                  </w:r>
                </w:p>
              </w:tc>
              <w:tc>
                <w:tcPr>
                  <w:tcW w:w="556" w:type="pct"/>
                  <w:tcBorders>
                    <w:tl2br w:val="nil"/>
                    <w:tr2bl w:val="nil"/>
                  </w:tcBorders>
                  <w:noWrap w:val="0"/>
                  <w:vAlign w:val="center"/>
                </w:tcPr>
                <w:p w14:paraId="2C52461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320</w:t>
                  </w:r>
                </w:p>
              </w:tc>
            </w:tr>
            <w:tr w14:paraId="274BB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tcBorders>
                    <w:tl2br w:val="nil"/>
                    <w:tr2bl w:val="nil"/>
                  </w:tcBorders>
                  <w:noWrap w:val="0"/>
                  <w:vAlign w:val="center"/>
                </w:tcPr>
                <w:p w14:paraId="6278F7E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推土机</w:t>
                  </w:r>
                </w:p>
              </w:tc>
              <w:tc>
                <w:tcPr>
                  <w:tcW w:w="610" w:type="pct"/>
                  <w:tcBorders>
                    <w:tl2br w:val="nil"/>
                    <w:tr2bl w:val="nil"/>
                  </w:tcBorders>
                  <w:noWrap w:val="0"/>
                  <w:vAlign w:val="center"/>
                </w:tcPr>
                <w:p w14:paraId="7A2911B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86</w:t>
                  </w:r>
                </w:p>
              </w:tc>
              <w:tc>
                <w:tcPr>
                  <w:tcW w:w="602" w:type="pct"/>
                  <w:tcBorders>
                    <w:tl2br w:val="nil"/>
                    <w:tr2bl w:val="nil"/>
                  </w:tcBorders>
                  <w:noWrap w:val="0"/>
                  <w:vAlign w:val="center"/>
                </w:tcPr>
                <w:p w14:paraId="0D3F7E4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80</w:t>
                  </w:r>
                </w:p>
              </w:tc>
              <w:tc>
                <w:tcPr>
                  <w:tcW w:w="641" w:type="pct"/>
                  <w:tcBorders>
                    <w:tl2br w:val="nil"/>
                    <w:tr2bl w:val="nil"/>
                  </w:tcBorders>
                  <w:noWrap w:val="0"/>
                  <w:vAlign w:val="center"/>
                </w:tcPr>
                <w:p w14:paraId="0BA459A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74</w:t>
                  </w:r>
                </w:p>
              </w:tc>
              <w:tc>
                <w:tcPr>
                  <w:tcW w:w="649" w:type="pct"/>
                  <w:tcBorders>
                    <w:tl2br w:val="nil"/>
                    <w:tr2bl w:val="nil"/>
                  </w:tcBorders>
                  <w:noWrap w:val="0"/>
                  <w:vAlign w:val="center"/>
                </w:tcPr>
                <w:p w14:paraId="601D04F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68</w:t>
                  </w:r>
                </w:p>
              </w:tc>
              <w:tc>
                <w:tcPr>
                  <w:tcW w:w="641" w:type="pct"/>
                  <w:tcBorders>
                    <w:tl2br w:val="nil"/>
                    <w:tr2bl w:val="nil"/>
                  </w:tcBorders>
                  <w:noWrap w:val="0"/>
                  <w:vAlign w:val="center"/>
                </w:tcPr>
                <w:p w14:paraId="77F4095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62</w:t>
                  </w:r>
                </w:p>
              </w:tc>
              <w:tc>
                <w:tcPr>
                  <w:tcW w:w="602" w:type="pct"/>
                  <w:tcBorders>
                    <w:tl2br w:val="nil"/>
                    <w:tr2bl w:val="nil"/>
                  </w:tcBorders>
                  <w:noWrap w:val="0"/>
                  <w:vAlign w:val="center"/>
                </w:tcPr>
                <w:p w14:paraId="1D49216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56</w:t>
                  </w:r>
                </w:p>
              </w:tc>
              <w:tc>
                <w:tcPr>
                  <w:tcW w:w="556" w:type="pct"/>
                  <w:tcBorders>
                    <w:tl2br w:val="nil"/>
                    <w:tr2bl w:val="nil"/>
                  </w:tcBorders>
                  <w:noWrap w:val="0"/>
                  <w:vAlign w:val="center"/>
                </w:tcPr>
                <w:p w14:paraId="5CF8559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50</w:t>
                  </w:r>
                </w:p>
              </w:tc>
            </w:tr>
            <w:tr w14:paraId="423224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tcBorders>
                    <w:tl2br w:val="nil"/>
                    <w:tr2bl w:val="nil"/>
                  </w:tcBorders>
                  <w:noWrap w:val="0"/>
                  <w:vAlign w:val="center"/>
                </w:tcPr>
                <w:p w14:paraId="714D0A5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挖掘机</w:t>
                  </w:r>
                </w:p>
              </w:tc>
              <w:tc>
                <w:tcPr>
                  <w:tcW w:w="610" w:type="pct"/>
                  <w:tcBorders>
                    <w:tl2br w:val="nil"/>
                    <w:tr2bl w:val="nil"/>
                  </w:tcBorders>
                  <w:noWrap w:val="0"/>
                  <w:vAlign w:val="center"/>
                </w:tcPr>
                <w:p w14:paraId="46D5074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84</w:t>
                  </w:r>
                </w:p>
              </w:tc>
              <w:tc>
                <w:tcPr>
                  <w:tcW w:w="602" w:type="pct"/>
                  <w:tcBorders>
                    <w:tl2br w:val="nil"/>
                    <w:tr2bl w:val="nil"/>
                  </w:tcBorders>
                  <w:noWrap w:val="0"/>
                  <w:vAlign w:val="center"/>
                </w:tcPr>
                <w:p w14:paraId="1E4623E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78</w:t>
                  </w:r>
                </w:p>
              </w:tc>
              <w:tc>
                <w:tcPr>
                  <w:tcW w:w="641" w:type="pct"/>
                  <w:tcBorders>
                    <w:tl2br w:val="nil"/>
                    <w:tr2bl w:val="nil"/>
                  </w:tcBorders>
                  <w:noWrap w:val="0"/>
                  <w:vAlign w:val="center"/>
                </w:tcPr>
                <w:p w14:paraId="654F9DF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72</w:t>
                  </w:r>
                </w:p>
              </w:tc>
              <w:tc>
                <w:tcPr>
                  <w:tcW w:w="649" w:type="pct"/>
                  <w:tcBorders>
                    <w:tl2br w:val="nil"/>
                    <w:tr2bl w:val="nil"/>
                  </w:tcBorders>
                  <w:noWrap w:val="0"/>
                  <w:vAlign w:val="center"/>
                </w:tcPr>
                <w:p w14:paraId="5B226C6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66</w:t>
                  </w:r>
                </w:p>
              </w:tc>
              <w:tc>
                <w:tcPr>
                  <w:tcW w:w="641" w:type="pct"/>
                  <w:tcBorders>
                    <w:tl2br w:val="nil"/>
                    <w:tr2bl w:val="nil"/>
                  </w:tcBorders>
                  <w:noWrap w:val="0"/>
                  <w:vAlign w:val="center"/>
                </w:tcPr>
                <w:p w14:paraId="690F56C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60</w:t>
                  </w:r>
                </w:p>
              </w:tc>
              <w:tc>
                <w:tcPr>
                  <w:tcW w:w="602" w:type="pct"/>
                  <w:tcBorders>
                    <w:tl2br w:val="nil"/>
                    <w:tr2bl w:val="nil"/>
                  </w:tcBorders>
                  <w:noWrap w:val="0"/>
                  <w:vAlign w:val="center"/>
                </w:tcPr>
                <w:p w14:paraId="187610E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54</w:t>
                  </w:r>
                </w:p>
              </w:tc>
              <w:tc>
                <w:tcPr>
                  <w:tcW w:w="556" w:type="pct"/>
                  <w:tcBorders>
                    <w:tl2br w:val="nil"/>
                    <w:tr2bl w:val="nil"/>
                  </w:tcBorders>
                  <w:noWrap w:val="0"/>
                  <w:vAlign w:val="center"/>
                </w:tcPr>
                <w:p w14:paraId="7797502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48</w:t>
                  </w:r>
                </w:p>
              </w:tc>
            </w:tr>
            <w:tr w14:paraId="2738D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tcBorders>
                    <w:tl2br w:val="nil"/>
                    <w:tr2bl w:val="nil"/>
                  </w:tcBorders>
                  <w:noWrap w:val="0"/>
                  <w:vAlign w:val="center"/>
                </w:tcPr>
                <w:p w14:paraId="2443652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挖掘机</w:t>
                  </w:r>
                </w:p>
              </w:tc>
              <w:tc>
                <w:tcPr>
                  <w:tcW w:w="610" w:type="pct"/>
                  <w:tcBorders>
                    <w:tl2br w:val="nil"/>
                    <w:tr2bl w:val="nil"/>
                  </w:tcBorders>
                  <w:noWrap w:val="0"/>
                  <w:vAlign w:val="center"/>
                </w:tcPr>
                <w:p w14:paraId="3D1ED6D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88</w:t>
                  </w:r>
                </w:p>
              </w:tc>
              <w:tc>
                <w:tcPr>
                  <w:tcW w:w="602" w:type="pct"/>
                  <w:tcBorders>
                    <w:tl2br w:val="nil"/>
                    <w:tr2bl w:val="nil"/>
                  </w:tcBorders>
                  <w:noWrap w:val="0"/>
                  <w:vAlign w:val="center"/>
                </w:tcPr>
                <w:p w14:paraId="2D3FC56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82</w:t>
                  </w:r>
                </w:p>
              </w:tc>
              <w:tc>
                <w:tcPr>
                  <w:tcW w:w="641" w:type="pct"/>
                  <w:tcBorders>
                    <w:tl2br w:val="nil"/>
                    <w:tr2bl w:val="nil"/>
                  </w:tcBorders>
                  <w:noWrap w:val="0"/>
                  <w:vAlign w:val="center"/>
                </w:tcPr>
                <w:p w14:paraId="54CFFB4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76</w:t>
                  </w:r>
                </w:p>
              </w:tc>
              <w:tc>
                <w:tcPr>
                  <w:tcW w:w="649" w:type="pct"/>
                  <w:tcBorders>
                    <w:tl2br w:val="nil"/>
                    <w:tr2bl w:val="nil"/>
                  </w:tcBorders>
                  <w:noWrap w:val="0"/>
                  <w:vAlign w:val="center"/>
                </w:tcPr>
                <w:p w14:paraId="08140A0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70</w:t>
                  </w:r>
                </w:p>
              </w:tc>
              <w:tc>
                <w:tcPr>
                  <w:tcW w:w="641" w:type="pct"/>
                  <w:tcBorders>
                    <w:tl2br w:val="nil"/>
                    <w:tr2bl w:val="nil"/>
                  </w:tcBorders>
                  <w:noWrap w:val="0"/>
                  <w:vAlign w:val="center"/>
                </w:tcPr>
                <w:p w14:paraId="569AFBC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64</w:t>
                  </w:r>
                </w:p>
              </w:tc>
              <w:tc>
                <w:tcPr>
                  <w:tcW w:w="602" w:type="pct"/>
                  <w:tcBorders>
                    <w:tl2br w:val="nil"/>
                    <w:tr2bl w:val="nil"/>
                  </w:tcBorders>
                  <w:noWrap w:val="0"/>
                  <w:vAlign w:val="center"/>
                </w:tcPr>
                <w:p w14:paraId="72C2391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58</w:t>
                  </w:r>
                </w:p>
              </w:tc>
              <w:tc>
                <w:tcPr>
                  <w:tcW w:w="556" w:type="pct"/>
                  <w:tcBorders>
                    <w:tl2br w:val="nil"/>
                    <w:tr2bl w:val="nil"/>
                  </w:tcBorders>
                  <w:noWrap w:val="0"/>
                  <w:vAlign w:val="center"/>
                </w:tcPr>
                <w:p w14:paraId="1529867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52</w:t>
                  </w:r>
                </w:p>
              </w:tc>
            </w:tr>
            <w:tr w14:paraId="56A23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pct"/>
                  <w:tcBorders>
                    <w:tl2br w:val="nil"/>
                    <w:tr2bl w:val="nil"/>
                  </w:tcBorders>
                  <w:noWrap w:val="0"/>
                  <w:vAlign w:val="center"/>
                </w:tcPr>
                <w:p w14:paraId="472B996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运输车辆</w:t>
                  </w:r>
                </w:p>
              </w:tc>
              <w:tc>
                <w:tcPr>
                  <w:tcW w:w="610" w:type="pct"/>
                  <w:tcBorders>
                    <w:tl2br w:val="nil"/>
                    <w:tr2bl w:val="nil"/>
                  </w:tcBorders>
                  <w:noWrap w:val="0"/>
                  <w:vAlign w:val="center"/>
                </w:tcPr>
                <w:p w14:paraId="3DD5006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88</w:t>
                  </w:r>
                </w:p>
              </w:tc>
              <w:tc>
                <w:tcPr>
                  <w:tcW w:w="602" w:type="pct"/>
                  <w:tcBorders>
                    <w:tl2br w:val="nil"/>
                    <w:tr2bl w:val="nil"/>
                  </w:tcBorders>
                  <w:noWrap w:val="0"/>
                  <w:vAlign w:val="center"/>
                </w:tcPr>
                <w:p w14:paraId="3F9C201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82</w:t>
                  </w:r>
                </w:p>
              </w:tc>
              <w:tc>
                <w:tcPr>
                  <w:tcW w:w="641" w:type="pct"/>
                  <w:tcBorders>
                    <w:tl2br w:val="nil"/>
                    <w:tr2bl w:val="nil"/>
                  </w:tcBorders>
                  <w:noWrap w:val="0"/>
                  <w:vAlign w:val="center"/>
                </w:tcPr>
                <w:p w14:paraId="0F13B35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76</w:t>
                  </w:r>
                </w:p>
              </w:tc>
              <w:tc>
                <w:tcPr>
                  <w:tcW w:w="649" w:type="pct"/>
                  <w:tcBorders>
                    <w:tl2br w:val="nil"/>
                    <w:tr2bl w:val="nil"/>
                  </w:tcBorders>
                  <w:noWrap w:val="0"/>
                  <w:vAlign w:val="center"/>
                </w:tcPr>
                <w:p w14:paraId="5ABA849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70</w:t>
                  </w:r>
                </w:p>
              </w:tc>
              <w:tc>
                <w:tcPr>
                  <w:tcW w:w="641" w:type="pct"/>
                  <w:tcBorders>
                    <w:tl2br w:val="nil"/>
                    <w:tr2bl w:val="nil"/>
                  </w:tcBorders>
                  <w:noWrap w:val="0"/>
                  <w:vAlign w:val="center"/>
                </w:tcPr>
                <w:p w14:paraId="31CFB1F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64</w:t>
                  </w:r>
                </w:p>
              </w:tc>
              <w:tc>
                <w:tcPr>
                  <w:tcW w:w="602" w:type="pct"/>
                  <w:tcBorders>
                    <w:tl2br w:val="nil"/>
                    <w:tr2bl w:val="nil"/>
                  </w:tcBorders>
                  <w:noWrap w:val="0"/>
                  <w:vAlign w:val="center"/>
                </w:tcPr>
                <w:p w14:paraId="17AFC8C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58</w:t>
                  </w:r>
                </w:p>
              </w:tc>
              <w:tc>
                <w:tcPr>
                  <w:tcW w:w="556" w:type="pct"/>
                  <w:tcBorders>
                    <w:tl2br w:val="nil"/>
                    <w:tr2bl w:val="nil"/>
                  </w:tcBorders>
                  <w:noWrap w:val="0"/>
                  <w:vAlign w:val="center"/>
                </w:tcPr>
                <w:p w14:paraId="371E7C6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52</w:t>
                  </w:r>
                </w:p>
              </w:tc>
            </w:tr>
          </w:tbl>
          <w:p w14:paraId="5BCB75B7">
            <w:pPr>
              <w:keepNext w:val="0"/>
              <w:keepLines w:val="0"/>
              <w:widowControl/>
              <w:suppressLineNumbers w:val="0"/>
              <w:spacing w:before="0" w:beforeAutospacing="0" w:after="0" w:afterAutospacing="0"/>
              <w:ind w:left="0" w:right="0"/>
              <w:jc w:val="left"/>
              <w:rPr>
                <w:rFonts w:hint="default" w:cs="Times New Roman"/>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对照分析上表可知，本项目施工期间，在昼间与施工场地距离约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40m</w:t>
            </w:r>
            <w:r>
              <w:rPr>
                <w:rFonts w:hint="eastAsia" w:ascii="宋体" w:hAnsi="宋体" w:eastAsia="宋体" w:cs="宋体"/>
                <w:color w:val="000000" w:themeColor="text1"/>
                <w:kern w:val="0"/>
                <w:sz w:val="24"/>
                <w:szCs w:val="24"/>
                <w:lang w:val="en-US" w:eastAsia="zh-CN" w:bidi="ar"/>
                <w14:textFill>
                  <w14:solidFill>
                    <w14:schemeClr w14:val="tx1"/>
                  </w14:solidFill>
                </w14:textFill>
              </w:rPr>
              <w:t>的地方可符合规定的噪声限值；在夜间与施工场地距离约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320m</w:t>
            </w:r>
            <w:r>
              <w:rPr>
                <w:rFonts w:hint="eastAsia" w:ascii="宋体" w:hAnsi="宋体" w:eastAsia="宋体" w:cs="宋体"/>
                <w:color w:val="000000" w:themeColor="text1"/>
                <w:kern w:val="0"/>
                <w:sz w:val="24"/>
                <w:szCs w:val="24"/>
                <w:lang w:val="en-US" w:eastAsia="zh-CN" w:bidi="ar"/>
                <w14:textFill>
                  <w14:solidFill>
                    <w14:schemeClr w14:val="tx1"/>
                  </w14:solidFill>
                </w14:textFill>
              </w:rPr>
              <w:t>的地方可符合规定的噪声限值。本工程仅昼间施工，夜间不施工，根据现场踏勘，本工程</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40m</w:t>
            </w:r>
            <w:r>
              <w:rPr>
                <w:rFonts w:hint="eastAsia" w:ascii="宋体" w:hAnsi="宋体" w:eastAsia="宋体" w:cs="宋体"/>
                <w:color w:val="000000" w:themeColor="text1"/>
                <w:kern w:val="0"/>
                <w:sz w:val="24"/>
                <w:szCs w:val="24"/>
                <w:lang w:val="en-US" w:eastAsia="zh-CN" w:bidi="ar"/>
                <w14:textFill>
                  <w14:solidFill>
                    <w14:schemeClr w14:val="tx1"/>
                  </w14:solidFill>
                </w14:textFill>
              </w:rPr>
              <w:t>范围内无声环境保护目标，施工机械设备大多为不连续性噪声，施工现场合理布置，高噪声设备远离敏感目标设置，且施工期较短，噪声影响随着施工期结束而结束。因此，本项目施工期噪声对周围环境影响很小。</w:t>
            </w:r>
          </w:p>
          <w:p w14:paraId="6ABA2A83">
            <w:pPr>
              <w:pStyle w:val="2"/>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固体废物影响分析</w:t>
            </w:r>
          </w:p>
          <w:p w14:paraId="78159D65">
            <w:pPr>
              <w:keepNext w:val="0"/>
              <w:keepLines w:val="0"/>
              <w:suppressLineNumbers w:val="0"/>
              <w:bidi w:val="0"/>
              <w:spacing w:before="0" w:beforeAutospacing="0" w:after="0" w:afterAutospacing="0"/>
              <w:ind w:left="0" w:right="0"/>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施工期的固体废物主要来源为生活垃圾。生活垃圾集中分类收集后送至邻近村庄生活垃圾收集点，由当地环卫部门统一清运处置。固体废物均可妥善处置，对</w:t>
            </w:r>
            <w:r>
              <w:rPr>
                <w:rFonts w:hint="eastAsia" w:ascii="宋体" w:hAnsi="宋体" w:eastAsia="宋体" w:cs="宋体"/>
                <w:color w:val="000000" w:themeColor="text1"/>
                <w:kern w:val="0"/>
                <w:sz w:val="24"/>
                <w:szCs w:val="24"/>
                <w:lang w:val="en-US" w:eastAsia="zh-CN" w:bidi="ar"/>
                <w14:textFill>
                  <w14:solidFill>
                    <w14:schemeClr w14:val="tx1"/>
                  </w14:solidFill>
                </w14:textFill>
              </w:rPr>
              <w:t>对周围环境影响</w:t>
            </w:r>
            <w:r>
              <w:rPr>
                <w:rFonts w:hint="eastAsia" w:ascii="宋体" w:hAnsi="宋体" w:cs="宋体"/>
                <w:color w:val="000000" w:themeColor="text1"/>
                <w:kern w:val="0"/>
                <w:sz w:val="24"/>
                <w:szCs w:val="24"/>
                <w:lang w:val="en-US" w:eastAsia="zh-CN" w:bidi="ar"/>
                <w14:textFill>
                  <w14:solidFill>
                    <w14:schemeClr w14:val="tx1"/>
                  </w14:solidFill>
                </w14:textFill>
              </w:rPr>
              <w:t>较</w:t>
            </w:r>
            <w:r>
              <w:rPr>
                <w:rFonts w:hint="eastAsia" w:ascii="宋体" w:hAnsi="宋体" w:eastAsia="宋体" w:cs="宋体"/>
                <w:color w:val="000000" w:themeColor="text1"/>
                <w:kern w:val="0"/>
                <w:sz w:val="24"/>
                <w:szCs w:val="24"/>
                <w:lang w:val="en-US" w:eastAsia="zh-CN" w:bidi="ar"/>
                <w14:textFill>
                  <w14:solidFill>
                    <w14:schemeClr w14:val="tx1"/>
                  </w14:solidFill>
                </w14:textFill>
              </w:rPr>
              <w:t>小</w:t>
            </w:r>
            <w:r>
              <w:rPr>
                <w:rFonts w:hint="eastAsia" w:ascii="宋体" w:hAnsi="宋体" w:cs="宋体"/>
                <w:color w:val="000000" w:themeColor="text1"/>
                <w:kern w:val="0"/>
                <w:sz w:val="24"/>
                <w:szCs w:val="24"/>
                <w:lang w:val="en-US" w:eastAsia="zh-CN" w:bidi="ar"/>
                <w14:textFill>
                  <w14:solidFill>
                    <w14:schemeClr w14:val="tx1"/>
                  </w14:solidFill>
                </w14:textFill>
              </w:rPr>
              <w:t>。</w:t>
            </w:r>
          </w:p>
          <w:p w14:paraId="1B618B05">
            <w:pPr>
              <w:pStyle w:val="2"/>
              <w:numPr>
                <w:ilvl w:val="0"/>
                <w:numId w:val="0"/>
              </w:numPr>
              <w:bidi w:val="0"/>
              <w:ind w:left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6、对</w:t>
            </w:r>
            <w:r>
              <w:rPr>
                <w:rFonts w:hint="eastAsia"/>
                <w:color w:val="000000" w:themeColor="text1"/>
                <w14:textFill>
                  <w14:solidFill>
                    <w14:schemeClr w14:val="tx1"/>
                  </w14:solidFill>
                </w14:textFill>
              </w:rPr>
              <w:t>宁夏沙坡头国家级自然保护区</w:t>
            </w:r>
            <w:r>
              <w:rPr>
                <w:rFonts w:hint="default"/>
                <w:color w:val="000000" w:themeColor="text1"/>
                <w:lang w:val="en-US" w:eastAsia="zh-CN"/>
                <w14:textFill>
                  <w14:solidFill>
                    <w14:schemeClr w14:val="tx1"/>
                  </w14:solidFill>
                </w14:textFill>
              </w:rPr>
              <w:t>影响分析</w:t>
            </w:r>
          </w:p>
          <w:p w14:paraId="627AA50F">
            <w:pPr>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本项目DK-02、DK-03、DK-06治理区位于</w:t>
            </w:r>
            <w:r>
              <w:rPr>
                <w:rFonts w:hint="eastAsia"/>
                <w:color w:val="000000" w:themeColor="text1"/>
                <w14:textFill>
                  <w14:solidFill>
                    <w14:schemeClr w14:val="tx1"/>
                  </w14:solidFill>
                </w14:textFill>
              </w:rPr>
              <w:t>宁夏沙坡头国家级自然保护区</w:t>
            </w:r>
            <w:r>
              <w:rPr>
                <w:rFonts w:hint="eastAsia"/>
                <w:color w:val="000000" w:themeColor="text1"/>
                <w:lang w:val="en-US" w:eastAsia="zh-CN"/>
                <w14:textFill>
                  <w14:solidFill>
                    <w14:schemeClr w14:val="tx1"/>
                  </w14:solidFill>
                </w14:textFill>
              </w:rPr>
              <w:t>南侧，其中DK-03治理区距离最近，位于</w:t>
            </w:r>
            <w:r>
              <w:rPr>
                <w:rFonts w:hint="eastAsia"/>
                <w:color w:val="000000" w:themeColor="text1"/>
                <w14:textFill>
                  <w14:solidFill>
                    <w14:schemeClr w14:val="tx1"/>
                  </w14:solidFill>
                </w14:textFill>
              </w:rPr>
              <w:t>宁夏沙坡头国家级自然保护区</w:t>
            </w:r>
            <w:r>
              <w:rPr>
                <w:rFonts w:hint="eastAsia"/>
                <w:color w:val="000000" w:themeColor="text1"/>
                <w:lang w:val="en-US" w:eastAsia="zh-CN"/>
                <w14:textFill>
                  <w14:solidFill>
                    <w14:schemeClr w14:val="tx1"/>
                  </w14:solidFill>
                </w14:textFill>
              </w:rPr>
              <w:t>南侧450m处。本项目施工期施工场地设围栏，汽车运输加盖蓬布、控制车速，施工机械、车辆定期维修保养，对施工废料设置围栏、定期洒水降尘；生活垃圾集中分类收集后送至邻近村庄生活垃圾收集点，由当地环卫部门统一清运处置。废气、废水、固废均可妥善处理，对</w:t>
            </w:r>
            <w:r>
              <w:rPr>
                <w:rFonts w:hint="eastAsia"/>
                <w:color w:val="000000" w:themeColor="text1"/>
                <w14:textFill>
                  <w14:solidFill>
                    <w14:schemeClr w14:val="tx1"/>
                  </w14:solidFill>
                </w14:textFill>
              </w:rPr>
              <w:t>宁夏沙坡头国家级自然保护区</w:t>
            </w:r>
            <w:r>
              <w:rPr>
                <w:rFonts w:hint="eastAsia"/>
                <w:color w:val="000000" w:themeColor="text1"/>
                <w:lang w:val="en-US" w:eastAsia="zh-CN"/>
                <w14:textFill>
                  <w14:solidFill>
                    <w14:schemeClr w14:val="tx1"/>
                  </w14:solidFill>
                </w14:textFill>
              </w:rPr>
              <w:t>影响较小。</w:t>
            </w:r>
          </w:p>
        </w:tc>
      </w:tr>
      <w:tr w14:paraId="389A2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07" w:type="dxa"/>
            <w:tcBorders>
              <w:tl2br w:val="nil"/>
              <w:tr2bl w:val="nil"/>
            </w:tcBorders>
            <w:noWrap w:val="0"/>
            <w:tcMar>
              <w:left w:w="28" w:type="dxa"/>
              <w:right w:w="28" w:type="dxa"/>
            </w:tcMar>
            <w:vAlign w:val="center"/>
          </w:tcPr>
          <w:p w14:paraId="70218F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运营期生态环境影响分析</w:t>
            </w:r>
          </w:p>
        </w:tc>
        <w:tc>
          <w:tcPr>
            <w:tcW w:w="8535" w:type="dxa"/>
            <w:tcBorders>
              <w:tl2br w:val="nil"/>
              <w:tr2bl w:val="nil"/>
            </w:tcBorders>
            <w:noWrap w:val="0"/>
            <w:vAlign w:val="top"/>
          </w:tcPr>
          <w:p w14:paraId="306F4BAB">
            <w:pPr>
              <w:keepNext w:val="0"/>
              <w:keepLines w:val="0"/>
              <w:suppressLineNumbers w:val="0"/>
              <w:bidi w:val="0"/>
              <w:spacing w:before="0" w:beforeAutospacing="0" w:after="0" w:afterAutospacing="0"/>
              <w:ind w:left="0" w:right="0"/>
              <w:rPr>
                <w:rFonts w:hint="default" w:cs="Times New Roman"/>
                <w:color w:val="000000" w:themeColor="text1"/>
                <w:lang w:val="en-US"/>
                <w14:textFill>
                  <w14:solidFill>
                    <w14:schemeClr w14:val="tx1"/>
                  </w14:solidFill>
                </w14:textFill>
              </w:rPr>
            </w:pPr>
            <w:r>
              <w:rPr>
                <w:rFonts w:hint="eastAsia" w:cs="Times New Roman"/>
                <w:color w:val="000000" w:themeColor="text1"/>
                <w:lang w:val="en-US" w:eastAsia="zh-CN"/>
                <w14:textFill>
                  <w14:solidFill>
                    <w14:schemeClr w14:val="tx1"/>
                  </w14:solidFill>
                </w14:textFill>
              </w:rPr>
              <w:t>项目通过治理后，修复区生态系统会保持或恢复到自身结构和功能相对稳定的状态。</w:t>
            </w:r>
          </w:p>
          <w:p w14:paraId="2FF1B427">
            <w:pPr>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⑴本项目运营期无废气、废水、噪声及固体废弃物等的产生，项目生态恢复治理面积较大，区域降水较少，雨季产生的雨水基本可被植物、土壤吸收，在矿区内自行消纳，本项目的实施相对于项目实施前是更有利于周边的生态和水环境恢复。</w:t>
            </w:r>
          </w:p>
          <w:p w14:paraId="5ACD5C79">
            <w:pPr>
              <w:keepNext w:val="0"/>
              <w:keepLines w:val="0"/>
              <w:suppressLineNumbers w:val="0"/>
              <w:bidi w:val="0"/>
              <w:spacing w:before="0" w:beforeAutospacing="0" w:after="0" w:afterAutospacing="0"/>
              <w:ind w:left="0" w:right="0"/>
              <w:rPr>
                <w:rFonts w:hint="default" w:cs="Times New Roman"/>
                <w:bCs/>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⑵本项目占地类型为耕地、林地、草地、交通运输用地以及其他土地，</w:t>
            </w:r>
            <w:r>
              <w:rPr>
                <w:rFonts w:hint="default" w:ascii="Times New Roman" w:hAnsi="Times New Roman" w:eastAsia="宋体" w:cs="Times New Roman"/>
                <w:color w:val="000000" w:themeColor="text1"/>
                <w14:textFill>
                  <w14:solidFill>
                    <w14:schemeClr w14:val="tx1"/>
                  </w14:solidFill>
                </w14:textFill>
              </w:rPr>
              <w:t>项目实施后，土地利用结构不发生变化</w:t>
            </w:r>
            <w:r>
              <w:rPr>
                <w:rFonts w:hint="eastAsia" w:cs="Times New Roman"/>
                <w:color w:val="000000" w:themeColor="text1"/>
                <w:lang w:eastAsia="zh-CN"/>
                <w14:textFill>
                  <w14:solidFill>
                    <w14:schemeClr w14:val="tx1"/>
                  </w14:solidFill>
                </w14:textFill>
              </w:rPr>
              <w:t>，</w:t>
            </w:r>
            <w:r>
              <w:rPr>
                <w:rFonts w:hint="default"/>
                <w:color w:val="000000" w:themeColor="text1"/>
                <w:highlight w:val="none"/>
                <w14:textFill>
                  <w14:solidFill>
                    <w14:schemeClr w14:val="tx1"/>
                  </w14:solidFill>
                </w14:textFill>
              </w:rPr>
              <w:t>项目通过</w:t>
            </w:r>
            <w:r>
              <w:rPr>
                <w:rFonts w:hint="eastAsia" w:ascii="宋体" w:hAnsi="宋体" w:eastAsia="宋体" w:cs="宋体"/>
                <w:b w:val="0"/>
                <w:bCs w:val="0"/>
                <w:color w:val="000000" w:themeColor="text1"/>
                <w:sz w:val="24"/>
                <w:szCs w:val="24"/>
                <w:highlight w:val="none"/>
                <w14:textFill>
                  <w14:solidFill>
                    <w14:schemeClr w14:val="tx1"/>
                  </w14:solidFill>
                </w14:textFill>
              </w:rPr>
              <w:t>高边坡治理工程、地形地貌恢复工程、标识牌及卡口设立</w:t>
            </w:r>
            <w:r>
              <w:rPr>
                <w:rFonts w:hint="default"/>
                <w:color w:val="000000" w:themeColor="text1"/>
                <w:highlight w:val="none"/>
                <w14:textFill>
                  <w14:solidFill>
                    <w14:schemeClr w14:val="tx1"/>
                  </w14:solidFill>
                </w14:textFill>
              </w:rPr>
              <w:t>等</w:t>
            </w:r>
            <w:r>
              <w:rPr>
                <w:rFonts w:hint="default" w:ascii="宋体" w:hAnsi="宋体" w:eastAsia="宋体" w:cs="宋体"/>
                <w:b w:val="0"/>
                <w:bCs w:val="0"/>
                <w:color w:val="000000" w:themeColor="text1"/>
                <w:sz w:val="24"/>
                <w:szCs w:val="24"/>
                <w:highlight w:val="none"/>
                <w14:textFill>
                  <w14:solidFill>
                    <w14:schemeClr w14:val="tx1"/>
                  </w14:solidFill>
                </w14:textFill>
              </w:rPr>
              <w:t>生态建设</w:t>
            </w:r>
            <w:r>
              <w:rPr>
                <w:rFonts w:hint="eastAsia" w:ascii="宋体" w:hAnsi="宋体" w:cs="宋体"/>
                <w:b w:val="0"/>
                <w:bCs w:val="0"/>
                <w:color w:val="000000" w:themeColor="text1"/>
                <w:sz w:val="24"/>
                <w:szCs w:val="24"/>
                <w:highlight w:val="none"/>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可恢复原有地形地貌或与周边环境相协调：</w:t>
            </w:r>
          </w:p>
        </w:tc>
      </w:tr>
      <w:tr w14:paraId="7B5464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707" w:type="dxa"/>
            <w:tcBorders>
              <w:tl2br w:val="nil"/>
              <w:tr2bl w:val="nil"/>
            </w:tcBorders>
            <w:noWrap w:val="0"/>
            <w:vAlign w:val="center"/>
          </w:tcPr>
          <w:p w14:paraId="3ECF41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选址选线环境合理性分析</w:t>
            </w:r>
          </w:p>
          <w:p w14:paraId="0FC23294">
            <w:pPr>
              <w:bidi w:val="0"/>
              <w:ind w:left="0" w:leftChars="0" w:firstLine="0" w:firstLineChars="0"/>
              <w:jc w:val="both"/>
              <w:rPr>
                <w:rFonts w:hint="default"/>
                <w:color w:val="000000" w:themeColor="text1"/>
                <w14:textFill>
                  <w14:solidFill>
                    <w14:schemeClr w14:val="tx1"/>
                  </w14:solidFill>
                </w14:textFill>
              </w:rPr>
            </w:pPr>
          </w:p>
          <w:p w14:paraId="031A6801">
            <w:pPr>
              <w:bidi w:val="0"/>
              <w:ind w:left="0" w:leftChars="0" w:firstLine="0" w:firstLineChars="0"/>
              <w:jc w:val="both"/>
              <w:rPr>
                <w:rFonts w:hint="default"/>
                <w:color w:val="000000" w:themeColor="text1"/>
                <w14:textFill>
                  <w14:solidFill>
                    <w14:schemeClr w14:val="tx1"/>
                  </w14:solidFill>
                </w14:textFill>
              </w:rPr>
            </w:pPr>
          </w:p>
          <w:p w14:paraId="4B9CDB38">
            <w:pPr>
              <w:bidi w:val="0"/>
              <w:ind w:left="0" w:leftChars="0" w:firstLine="0" w:firstLineChars="0"/>
              <w:jc w:val="both"/>
              <w:rPr>
                <w:rFonts w:hint="default"/>
                <w:color w:val="000000" w:themeColor="text1"/>
                <w14:textFill>
                  <w14:solidFill>
                    <w14:schemeClr w14:val="tx1"/>
                  </w14:solidFill>
                </w14:textFill>
              </w:rPr>
            </w:pPr>
          </w:p>
          <w:p w14:paraId="3C2E12B4">
            <w:pPr>
              <w:bidi w:val="0"/>
              <w:ind w:left="0" w:leftChars="0" w:firstLine="0" w:firstLineChars="0"/>
              <w:jc w:val="both"/>
              <w:rPr>
                <w:rFonts w:hint="default"/>
                <w:color w:val="000000" w:themeColor="text1"/>
                <w14:textFill>
                  <w14:solidFill>
                    <w14:schemeClr w14:val="tx1"/>
                  </w14:solidFill>
                </w14:textFill>
              </w:rPr>
            </w:pPr>
          </w:p>
          <w:p w14:paraId="2DC5B9F6">
            <w:pPr>
              <w:bidi w:val="0"/>
              <w:ind w:left="0" w:leftChars="0" w:firstLine="0" w:firstLineChars="0"/>
              <w:jc w:val="both"/>
              <w:rPr>
                <w:rFonts w:hint="default"/>
                <w:color w:val="000000" w:themeColor="text1"/>
                <w14:textFill>
                  <w14:solidFill>
                    <w14:schemeClr w14:val="tx1"/>
                  </w14:solidFill>
                </w14:textFill>
              </w:rPr>
            </w:pPr>
          </w:p>
          <w:p w14:paraId="05906B07">
            <w:pPr>
              <w:bidi w:val="0"/>
              <w:ind w:left="0" w:leftChars="0" w:firstLine="0" w:firstLineChars="0"/>
              <w:jc w:val="both"/>
              <w:rPr>
                <w:rFonts w:hint="default"/>
                <w:color w:val="000000" w:themeColor="text1"/>
                <w14:textFill>
                  <w14:solidFill>
                    <w14:schemeClr w14:val="tx1"/>
                  </w14:solidFill>
                </w14:textFill>
              </w:rPr>
            </w:pPr>
          </w:p>
          <w:p w14:paraId="50F6737B">
            <w:pPr>
              <w:bidi w:val="0"/>
              <w:ind w:left="0" w:leftChars="0" w:firstLine="0" w:firstLineChars="0"/>
              <w:jc w:val="both"/>
              <w:rPr>
                <w:rFonts w:hint="default"/>
                <w:color w:val="000000" w:themeColor="text1"/>
                <w14:textFill>
                  <w14:solidFill>
                    <w14:schemeClr w14:val="tx1"/>
                  </w14:solidFill>
                </w14:textFill>
              </w:rPr>
            </w:pPr>
          </w:p>
          <w:p w14:paraId="553FC3D4">
            <w:pPr>
              <w:bidi w:val="0"/>
              <w:ind w:left="0" w:leftChars="0" w:firstLine="0" w:firstLineChars="0"/>
              <w:jc w:val="both"/>
              <w:rPr>
                <w:rFonts w:hint="default"/>
                <w:color w:val="000000" w:themeColor="text1"/>
                <w14:textFill>
                  <w14:solidFill>
                    <w14:schemeClr w14:val="tx1"/>
                  </w14:solidFill>
                </w14:textFill>
              </w:rPr>
            </w:pPr>
          </w:p>
          <w:p w14:paraId="18CE7BA1">
            <w:pPr>
              <w:bidi w:val="0"/>
              <w:ind w:left="0" w:leftChars="0" w:firstLine="0" w:firstLineChars="0"/>
              <w:jc w:val="both"/>
              <w:rPr>
                <w:rFonts w:hint="default"/>
                <w:color w:val="000000" w:themeColor="text1"/>
                <w14:textFill>
                  <w14:solidFill>
                    <w14:schemeClr w14:val="tx1"/>
                  </w14:solidFill>
                </w14:textFill>
              </w:rPr>
            </w:pPr>
          </w:p>
          <w:p w14:paraId="2E2E7822">
            <w:pPr>
              <w:bidi w:val="0"/>
              <w:ind w:left="0" w:leftChars="0" w:firstLine="0" w:firstLineChars="0"/>
              <w:jc w:val="both"/>
              <w:rPr>
                <w:rFonts w:hint="default"/>
                <w:color w:val="000000" w:themeColor="text1"/>
                <w14:textFill>
                  <w14:solidFill>
                    <w14:schemeClr w14:val="tx1"/>
                  </w14:solidFill>
                </w14:textFill>
              </w:rPr>
            </w:pPr>
          </w:p>
          <w:p w14:paraId="1E74851D">
            <w:pPr>
              <w:bidi w:val="0"/>
              <w:ind w:left="0" w:leftChars="0" w:firstLine="0" w:firstLineChars="0"/>
              <w:jc w:val="both"/>
              <w:rPr>
                <w:rFonts w:hint="default"/>
                <w:color w:val="000000" w:themeColor="text1"/>
                <w14:textFill>
                  <w14:solidFill>
                    <w14:schemeClr w14:val="tx1"/>
                  </w14:solidFill>
                </w14:textFill>
              </w:rPr>
            </w:pPr>
          </w:p>
          <w:p w14:paraId="644B53A5">
            <w:pPr>
              <w:bidi w:val="0"/>
              <w:ind w:left="0" w:leftChars="0" w:firstLine="0" w:firstLineChars="0"/>
              <w:jc w:val="both"/>
              <w:rPr>
                <w:rFonts w:hint="default"/>
                <w:color w:val="000000" w:themeColor="text1"/>
                <w14:textFill>
                  <w14:solidFill>
                    <w14:schemeClr w14:val="tx1"/>
                  </w14:solidFill>
                </w14:textFill>
              </w:rPr>
            </w:pPr>
          </w:p>
          <w:p w14:paraId="2C1117E9">
            <w:pPr>
              <w:bidi w:val="0"/>
              <w:ind w:left="0" w:leftChars="0" w:firstLine="0" w:firstLineChars="0"/>
              <w:jc w:val="both"/>
              <w:rPr>
                <w:rFonts w:hint="default"/>
                <w:color w:val="000000" w:themeColor="text1"/>
                <w14:textFill>
                  <w14:solidFill>
                    <w14:schemeClr w14:val="tx1"/>
                  </w14:solidFill>
                </w14:textFill>
              </w:rPr>
            </w:pPr>
          </w:p>
          <w:p w14:paraId="506FDAAA">
            <w:pPr>
              <w:bidi w:val="0"/>
              <w:ind w:left="0" w:leftChars="0" w:firstLine="0" w:firstLineChars="0"/>
              <w:jc w:val="both"/>
              <w:rPr>
                <w:rFonts w:hint="default"/>
                <w:color w:val="000000" w:themeColor="text1"/>
                <w14:textFill>
                  <w14:solidFill>
                    <w14:schemeClr w14:val="tx1"/>
                  </w14:solidFill>
                </w14:textFill>
              </w:rPr>
            </w:pPr>
          </w:p>
          <w:p w14:paraId="7B4CC7ED">
            <w:pPr>
              <w:bidi w:val="0"/>
              <w:ind w:left="0" w:leftChars="0" w:firstLine="0" w:firstLineChars="0"/>
              <w:jc w:val="both"/>
              <w:rPr>
                <w:rFonts w:hint="default"/>
                <w:color w:val="000000" w:themeColor="text1"/>
                <w14:textFill>
                  <w14:solidFill>
                    <w14:schemeClr w14:val="tx1"/>
                  </w14:solidFill>
                </w14:textFill>
              </w:rPr>
            </w:pPr>
          </w:p>
          <w:p w14:paraId="2D1C8E3F">
            <w:pPr>
              <w:bidi w:val="0"/>
              <w:ind w:left="0" w:leftChars="0" w:firstLine="0" w:firstLineChars="0"/>
              <w:jc w:val="both"/>
              <w:rPr>
                <w:rFonts w:hint="default"/>
                <w:color w:val="000000" w:themeColor="text1"/>
                <w14:textFill>
                  <w14:solidFill>
                    <w14:schemeClr w14:val="tx1"/>
                  </w14:solidFill>
                </w14:textFill>
              </w:rPr>
            </w:pPr>
          </w:p>
          <w:p w14:paraId="1BEBE4D2">
            <w:pPr>
              <w:bidi w:val="0"/>
              <w:ind w:left="0" w:leftChars="0" w:firstLine="0" w:firstLineChars="0"/>
              <w:jc w:val="both"/>
              <w:rPr>
                <w:rFonts w:hint="default"/>
                <w:color w:val="000000" w:themeColor="text1"/>
                <w14:textFill>
                  <w14:solidFill>
                    <w14:schemeClr w14:val="tx1"/>
                  </w14:solidFill>
                </w14:textFill>
              </w:rPr>
            </w:pPr>
          </w:p>
        </w:tc>
        <w:tc>
          <w:tcPr>
            <w:tcW w:w="8535" w:type="dxa"/>
            <w:tcBorders>
              <w:tl2br w:val="nil"/>
              <w:tr2bl w:val="nil"/>
            </w:tcBorders>
            <w:noWrap w:val="0"/>
            <w:vAlign w:val="center"/>
          </w:tcPr>
          <w:p w14:paraId="0A8BC125">
            <w:pPr>
              <w:keepNext w:val="0"/>
              <w:keepLines w:val="0"/>
              <w:widowControl/>
              <w:suppressLineNumbers w:val="0"/>
              <w:spacing w:before="0" w:beforeAutospacing="0" w:after="0" w:afterAutospacing="0"/>
              <w:ind w:left="0" w:right="0"/>
              <w:jc w:val="left"/>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修复区位于沙坡头区东园镇、迎水桥镇、永康镇、常乐镇、兴仁镇，本项目是对历史遗留废弃矿山进行生态修复治理，选址具有唯一性、不可替代性。</w:t>
            </w:r>
          </w:p>
          <w:p w14:paraId="35416F66">
            <w:pPr>
              <w:keepNext w:val="0"/>
              <w:keepLines w:val="0"/>
              <w:widowControl/>
              <w:suppressLineNumbers w:val="0"/>
              <w:spacing w:before="0" w:beforeAutospacing="0" w:after="0" w:afterAutospacing="0"/>
              <w:ind w:left="0" w:right="0"/>
              <w:jc w:val="left"/>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项目区</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多为私挖滥采的小煤矿</w:t>
            </w:r>
            <w:r>
              <w:rPr>
                <w:rFonts w:hint="eastAsia" w:ascii="宋体" w:hAnsi="宋体" w:cs="宋体"/>
                <w:b w:val="0"/>
                <w:bCs w:val="0"/>
                <w:color w:val="000000" w:themeColor="text1"/>
                <w:sz w:val="24"/>
                <w:szCs w:val="24"/>
                <w:lang w:val="en-US" w:eastAsia="zh-CN"/>
                <w14:textFill>
                  <w14:solidFill>
                    <w14:schemeClr w14:val="tx1"/>
                  </w14:solidFill>
                </w14:textFill>
              </w:rPr>
              <w:t>及土砂石矿</w:t>
            </w:r>
            <w:r>
              <w:rPr>
                <w:rFonts w:hint="eastAsia" w:cs="Times New Roman"/>
                <w:color w:val="000000" w:themeColor="text1"/>
                <w:highlight w:val="none"/>
                <w:lang w:val="en-US" w:eastAsia="zh-CN"/>
                <w14:textFill>
                  <w14:solidFill>
                    <w14:schemeClr w14:val="tx1"/>
                  </w14:solidFill>
                </w14:textFill>
              </w:rPr>
              <w:t>，由于采矿活动形成的矿山采坑、渣堆、高陡边坡、挖损边坡等环境问题。项目的建设可</w:t>
            </w:r>
            <w:r>
              <w:rPr>
                <w:rFonts w:hint="default" w:ascii="宋体" w:hAnsi="宋体" w:eastAsia="宋体" w:cs="宋体"/>
                <w:color w:val="000000" w:themeColor="text1"/>
                <w:sz w:val="24"/>
                <w:szCs w:val="24"/>
                <w14:textFill>
                  <w14:solidFill>
                    <w14:schemeClr w14:val="tx1"/>
                  </w14:solidFill>
                </w14:textFill>
              </w:rPr>
              <w:t>加快并彻底恢复矿山毁损山体的生态环境以及消除地质灾害隐患</w:t>
            </w:r>
            <w:r>
              <w:rPr>
                <w:rFonts w:hint="eastAsia" w:ascii="宋体" w:hAnsi="宋体" w:cs="宋体"/>
                <w:color w:val="000000" w:themeColor="text1"/>
                <w:sz w:val="24"/>
                <w:szCs w:val="24"/>
                <w:lang w:eastAsia="zh-CN"/>
                <w14:textFill>
                  <w14:solidFill>
                    <w14:schemeClr w14:val="tx1"/>
                  </w14:solidFill>
                </w14:textFill>
              </w:rPr>
              <w:t>。</w:t>
            </w:r>
            <w:r>
              <w:rPr>
                <w:rFonts w:hint="default" w:ascii="宋体" w:hAnsi="宋体" w:eastAsia="宋体" w:cs="宋体"/>
                <w:color w:val="000000" w:themeColor="text1"/>
                <w:sz w:val="24"/>
                <w:szCs w:val="24"/>
                <w:highlight w:val="none"/>
                <w14:textFill>
                  <w14:solidFill>
                    <w14:schemeClr w14:val="tx1"/>
                  </w14:solidFill>
                </w14:textFill>
              </w:rPr>
              <w:t>矿山的修复过程中产生的废气、噪声、地表水等污染经过采取相应的措施处理后对周边环境的影响较小</w:t>
            </w:r>
            <w:r>
              <w:rPr>
                <w:rFonts w:hint="eastAsia" w:ascii="宋体" w:hAnsi="宋体" w:cs="宋体"/>
                <w:color w:val="000000" w:themeColor="text1"/>
                <w:sz w:val="24"/>
                <w:szCs w:val="24"/>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从环境影响角度，本项目选址合理。</w:t>
            </w:r>
          </w:p>
          <w:p w14:paraId="5C52407D">
            <w:pPr>
              <w:keepNext w:val="0"/>
              <w:keepLines w:val="0"/>
              <w:widowControl/>
              <w:suppressLineNumbers w:val="0"/>
              <w:spacing w:before="0" w:beforeAutospacing="0" w:after="0" w:afterAutospacing="0"/>
              <w:ind w:left="0" w:right="0"/>
              <w:jc w:val="left"/>
              <w:rPr>
                <w:rFonts w:hint="eastAsia" w:cs="Times New Roman"/>
                <w:color w:val="000000" w:themeColor="text1"/>
                <w:highlight w:val="none"/>
                <w:lang w:val="en-US" w:eastAsia="zh-CN"/>
                <w14:textFill>
                  <w14:solidFill>
                    <w14:schemeClr w14:val="tx1"/>
                  </w14:solidFill>
                </w14:textFill>
              </w:rPr>
            </w:pPr>
          </w:p>
          <w:p w14:paraId="763CC0EF">
            <w:pPr>
              <w:keepNext w:val="0"/>
              <w:keepLines w:val="0"/>
              <w:widowControl/>
              <w:suppressLineNumbers w:val="0"/>
              <w:spacing w:before="0" w:beforeAutospacing="0" w:after="0" w:afterAutospacing="0"/>
              <w:ind w:left="0" w:right="0"/>
              <w:jc w:val="left"/>
              <w:rPr>
                <w:rFonts w:hint="eastAsia" w:cs="Times New Roman"/>
                <w:color w:val="000000" w:themeColor="text1"/>
                <w:highlight w:val="none"/>
                <w:lang w:val="en-US" w:eastAsia="zh-CN"/>
                <w14:textFill>
                  <w14:solidFill>
                    <w14:schemeClr w14:val="tx1"/>
                  </w14:solidFill>
                </w14:textFill>
              </w:rPr>
            </w:pPr>
          </w:p>
          <w:p w14:paraId="349462B0">
            <w:pPr>
              <w:keepNext w:val="0"/>
              <w:keepLines w:val="0"/>
              <w:widowControl/>
              <w:suppressLineNumbers w:val="0"/>
              <w:spacing w:before="0" w:beforeAutospacing="0" w:after="0" w:afterAutospacing="0"/>
              <w:ind w:left="0" w:right="0"/>
              <w:jc w:val="left"/>
              <w:rPr>
                <w:rFonts w:hint="eastAsia" w:cs="Times New Roman"/>
                <w:color w:val="000000" w:themeColor="text1"/>
                <w:highlight w:val="none"/>
                <w:lang w:val="en-US" w:eastAsia="zh-CN"/>
                <w14:textFill>
                  <w14:solidFill>
                    <w14:schemeClr w14:val="tx1"/>
                  </w14:solidFill>
                </w14:textFill>
              </w:rPr>
            </w:pPr>
          </w:p>
          <w:p w14:paraId="599F91EC">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03B8B8F8">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404E3E37">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19A299FC">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2E869D32">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127B64F7">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5253C10C">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79FF8409">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7B83A9D0">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018704F2">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4DA5DB78">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4D4DC223">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04C84A46">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p w14:paraId="4BD0BC43">
            <w:pPr>
              <w:keepNext w:val="0"/>
              <w:keepLines w:val="0"/>
              <w:widowControl/>
              <w:suppressLineNumbers w:val="0"/>
              <w:spacing w:before="0" w:beforeAutospacing="0" w:after="0" w:afterAutospacing="0"/>
              <w:ind w:left="0" w:leftChars="0" w:right="0" w:firstLine="0" w:firstLineChars="0"/>
              <w:jc w:val="left"/>
              <w:rPr>
                <w:rFonts w:hint="default" w:cs="Times New Roman"/>
                <w:color w:val="000000" w:themeColor="text1"/>
                <w:highlight w:val="none"/>
                <w:lang w:val="en-US" w:eastAsia="zh-CN"/>
                <w14:textFill>
                  <w14:solidFill>
                    <w14:schemeClr w14:val="tx1"/>
                  </w14:solidFill>
                </w14:textFill>
              </w:rPr>
            </w:pPr>
          </w:p>
        </w:tc>
      </w:tr>
    </w:tbl>
    <w:p w14:paraId="4E440D99">
      <w:pPr>
        <w:pStyle w:val="23"/>
        <w:jc w:val="center"/>
        <w:rPr>
          <w:rFonts w:ascii="Times New Roman" w:hAnsi="Times New Roman" w:eastAsia="黑体"/>
          <w:snapToGrid w:val="0"/>
          <w:color w:val="000000" w:themeColor="text1"/>
          <w:sz w:val="36"/>
          <w:szCs w:val="36"/>
          <w14:textFill>
            <w14:solidFill>
              <w14:schemeClr w14:val="tx1"/>
            </w14:solidFill>
          </w14:textFill>
        </w:rPr>
        <w:sectPr>
          <w:pgSz w:w="11905" w:h="16838"/>
          <w:pgMar w:top="1417" w:right="1417" w:bottom="1417" w:left="1417" w:header="851" w:footer="964" w:gutter="0"/>
          <w:pgBorders>
            <w:top w:val="none" w:sz="0" w:space="0"/>
            <w:left w:val="none" w:sz="0" w:space="0"/>
            <w:bottom w:val="none" w:sz="0" w:space="0"/>
            <w:right w:val="none" w:sz="0" w:space="0"/>
          </w:pgBorders>
          <w:pgNumType w:fmt="numberInDash"/>
          <w:cols w:space="720" w:num="1"/>
          <w:rtlGutter w:val="0"/>
          <w:docGrid w:type="linesAndChars" w:linePitch="466" w:charSpace="-2709"/>
        </w:sectPr>
      </w:pPr>
    </w:p>
    <w:p w14:paraId="01B1752D">
      <w:pPr>
        <w:pStyle w:val="4"/>
        <w:numPr>
          <w:ilvl w:val="0"/>
          <w:numId w:val="4"/>
        </w:numPr>
        <w:bidi w:val="0"/>
        <w:rPr>
          <w:color w:val="000000" w:themeColor="text1"/>
          <w14:textFill>
            <w14:solidFill>
              <w14:schemeClr w14:val="tx1"/>
            </w14:solidFill>
          </w14:textFill>
        </w:rPr>
      </w:pPr>
      <w:r>
        <w:rPr>
          <w:color w:val="000000" w:themeColor="text1"/>
          <w14:textFill>
            <w14:solidFill>
              <w14:schemeClr w14:val="tx1"/>
            </w14:solidFill>
          </w14:textFill>
        </w:rPr>
        <w:t>主要生态环境保护措施</w:t>
      </w:r>
    </w:p>
    <w:tbl>
      <w:tblPr>
        <w:tblStyle w:val="27"/>
        <w:tblW w:w="92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1"/>
        <w:gridCol w:w="8519"/>
      </w:tblGrid>
      <w:tr w14:paraId="6054D9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8" w:hRule="atLeast"/>
          <w:jc w:val="center"/>
        </w:trPr>
        <w:tc>
          <w:tcPr>
            <w:tcW w:w="691" w:type="dxa"/>
            <w:noWrap w:val="0"/>
            <w:tcMar>
              <w:left w:w="28" w:type="dxa"/>
              <w:right w:w="28" w:type="dxa"/>
            </w:tcMar>
            <w:vAlign w:val="center"/>
          </w:tcPr>
          <w:p w14:paraId="01F011B3">
            <w:pPr>
              <w:keepNext w:val="0"/>
              <w:keepLines w:val="0"/>
              <w:suppressLineNumbers w:val="0"/>
              <w:bidi w:val="0"/>
              <w:spacing w:before="0" w:beforeAutospacing="0" w:after="0" w:afterAutospacing="0"/>
              <w:ind w:left="0" w:leftChars="0" w:right="0" w:firstLine="0" w:firstLineChars="0"/>
              <w:jc w:val="center"/>
              <w:rPr>
                <w:rFonts w:hint="default" w:cs="Times New Roman"/>
                <w:bCs/>
                <w:color w:val="000000" w:themeColor="text1"/>
                <w:szCs w:val="21"/>
                <w14:textFill>
                  <w14:solidFill>
                    <w14:schemeClr w14:val="tx1"/>
                  </w14:solidFill>
                </w14:textFill>
              </w:rPr>
            </w:pPr>
            <w:r>
              <w:rPr>
                <w:rFonts w:hint="default" w:cs="Times New Roman"/>
                <w:b/>
                <w:bCs/>
                <w:color w:val="000000" w:themeColor="text1"/>
                <w14:textFill>
                  <w14:solidFill>
                    <w14:schemeClr w14:val="tx1"/>
                  </w14:solidFill>
                </w14:textFill>
              </w:rPr>
              <w:t>施工期生态环境保护措施</w:t>
            </w:r>
          </w:p>
        </w:tc>
        <w:tc>
          <w:tcPr>
            <w:tcW w:w="8519" w:type="dxa"/>
            <w:noWrap w:val="0"/>
            <w:vAlign w:val="top"/>
          </w:tcPr>
          <w:p w14:paraId="785FCB9A">
            <w:pPr>
              <w:pStyle w:val="2"/>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生态环境保护措施</w:t>
            </w:r>
          </w:p>
          <w:p w14:paraId="7E98224A">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为了减缓施工过程对生态环境的影响，建议采取以下措施：</w:t>
            </w:r>
          </w:p>
          <w:p w14:paraId="6831748E">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⑴施工占地保护措施</w:t>
            </w:r>
          </w:p>
          <w:p w14:paraId="75DF0B3F">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施工期间，严格控制施工范围，施工范围控制在占地范围内，严禁随意扩大施工活动范围。</w:t>
            </w:r>
          </w:p>
          <w:p w14:paraId="7A27A87F">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⑵施工</w:t>
            </w:r>
            <w:r>
              <w:rPr>
                <w:rFonts w:hint="eastAsia"/>
                <w:color w:val="000000" w:themeColor="text1"/>
                <w:lang w:val="en-US" w:eastAsia="zh-CN"/>
                <w14:textFill>
                  <w14:solidFill>
                    <w14:schemeClr w14:val="tx1"/>
                  </w14:solidFill>
                </w14:textFill>
              </w:rPr>
              <w:t>避让和减缓</w:t>
            </w:r>
            <w:r>
              <w:rPr>
                <w:rFonts w:hint="default"/>
                <w:color w:val="000000" w:themeColor="text1"/>
                <w14:textFill>
                  <w14:solidFill>
                    <w14:schemeClr w14:val="tx1"/>
                  </w14:solidFill>
                </w14:textFill>
              </w:rPr>
              <w:t>措施</w:t>
            </w:r>
          </w:p>
          <w:p w14:paraId="65904695">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做好施工组织工程占地应尽量利用既有场地；禁止越界施工占地或砍伐林木，减少占地造成的植被损失。</w:t>
            </w:r>
          </w:p>
          <w:p w14:paraId="426233F3">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优化工程施工时序合理安排施工时间。优化施工时段，采用分时、分段施工方式，以减少对区域植被影响。</w:t>
            </w:r>
          </w:p>
          <w:p w14:paraId="6FE95AF8">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default"/>
                <w:color w:val="000000" w:themeColor="text1"/>
                <w14:textFill>
                  <w14:solidFill>
                    <w14:schemeClr w14:val="tx1"/>
                  </w14:solidFill>
                </w14:textFill>
              </w:rPr>
              <w:t>划定施工活动范围</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在工程涉及敏感区段设立警示标志，采取围栏、警戒线等措施限定工程占用与扰动范围，同时对施工人员进行环境保护意识教育，宣传动植物保护法规，严禁随意扩大施工范围，禁止随意乱采滥伐等。</w:t>
            </w:r>
          </w:p>
          <w:p w14:paraId="5A4F1FCA">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hint="default"/>
                <w:color w:val="000000" w:themeColor="text1"/>
                <w14:textFill>
                  <w14:solidFill>
                    <w14:schemeClr w14:val="tx1"/>
                  </w14:solidFill>
                </w14:textFill>
              </w:rPr>
              <w:t>加强施工管理施工过程中，加强施工人员的管理，禁止施工人员对植被滥砍滥伐，严格限制人员的活动范围，破坏沿线的生态环境。</w:t>
            </w:r>
          </w:p>
          <w:p w14:paraId="7161EB03">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3 \* GB2 \* MERGEFORMAT </w:instrText>
            </w:r>
            <w:r>
              <w:rPr>
                <w:rFonts w:hint="default"/>
                <w:color w:val="000000" w:themeColor="text1"/>
                <w14:textFill>
                  <w14:solidFill>
                    <w14:schemeClr w14:val="tx1"/>
                  </w14:solidFill>
                </w14:textFill>
              </w:rPr>
              <w:fldChar w:fldCharType="separate"/>
            </w:r>
            <w:r>
              <w:rPr>
                <w:color w:val="000000" w:themeColor="text1"/>
                <w14:textFill>
                  <w14:solidFill>
                    <w14:schemeClr w14:val="tx1"/>
                  </w14:solidFill>
                </w14:textFill>
              </w:rPr>
              <w:t>⑶</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植被保护措施</w:t>
            </w:r>
          </w:p>
          <w:p w14:paraId="2FFD17DD">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植物保护措施首先采取预防保护措施，通过进一步优化施工布置，控制施工占地，减少对工程地区现有植被的占压和破坏</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加强施工管理，优化施工工艺，减轻工程活动对当地植被的不利影响，维护工程及周边区域的生态完整性：加大宣传教育，提高工人的生态保护意识。</w:t>
            </w:r>
          </w:p>
          <w:p w14:paraId="16A0032C">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4 \* GB2 \* MERGEFORMAT </w:instrText>
            </w:r>
            <w:r>
              <w:rPr>
                <w:rFonts w:hint="default"/>
                <w:color w:val="000000" w:themeColor="text1"/>
                <w14:textFill>
                  <w14:solidFill>
                    <w14:schemeClr w14:val="tx1"/>
                  </w14:solidFill>
                </w14:textFill>
              </w:rPr>
              <w:fldChar w:fldCharType="separate"/>
            </w:r>
            <w:r>
              <w:rPr>
                <w:color w:val="000000" w:themeColor="text1"/>
                <w14:textFill>
                  <w14:solidFill>
                    <w14:schemeClr w14:val="tx1"/>
                  </w14:solidFill>
                </w14:textFill>
              </w:rPr>
              <w:t>⑷</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动物保护措施</w:t>
            </w:r>
          </w:p>
          <w:p w14:paraId="09AD074D">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default"/>
                <w:color w:val="000000" w:themeColor="text1"/>
                <w14:textFill>
                  <w14:solidFill>
                    <w14:schemeClr w14:val="tx1"/>
                  </w14:solidFill>
                </w14:textFill>
              </w:rPr>
              <w:t>施工过程中，根据工程设计优化施工布置，尽量减少施工占地及施工活动对植被的扰动，减少陆生动物生境损失。</w:t>
            </w:r>
          </w:p>
          <w:p w14:paraId="5DDC95A5">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default"/>
                <w:color w:val="000000" w:themeColor="text1"/>
                <w14:textFill>
                  <w14:solidFill>
                    <w14:schemeClr w14:val="tx1"/>
                  </w14:solidFill>
                </w14:textFill>
              </w:rPr>
              <w:t>施工期间，对施工人员和附近居民加强生态保护的宣传教育，以公告、发放宣传册等形式，教育施工人员，说明国家法律对动物保护的要求及意义，尤其说明对施工区周边保护动物保护的重要性，增强施工人员保护植被和动植物多样性对生态环境重要性的意识。</w:t>
            </w:r>
          </w:p>
          <w:p w14:paraId="1A4F66DE">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default"/>
                <w:color w:val="000000" w:themeColor="text1"/>
                <w14:textFill>
                  <w14:solidFill>
                    <w14:schemeClr w14:val="tx1"/>
                  </w14:solidFill>
                </w14:textFill>
              </w:rPr>
              <w:t>建立生态破坏惩罚制度，严禁施工人员非法猎捕野生动物；限制施工人员在施工以外区域活动，禁止施工人员野外用火，把对野生动物的干扰降至最低程度。</w:t>
            </w:r>
          </w:p>
          <w:p w14:paraId="3377F7CE">
            <w:pPr>
              <w:bidi w:val="0"/>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hint="default"/>
                <w:color w:val="000000" w:themeColor="text1"/>
                <w14:textFill>
                  <w14:solidFill>
                    <w14:schemeClr w14:val="tx1"/>
                  </w14:solidFill>
                </w14:textFill>
              </w:rPr>
              <w:t>加强工程监理工作的环境保护内容</w:t>
            </w:r>
            <w:r>
              <w:rPr>
                <w:rFonts w:hint="eastAsia"/>
                <w:color w:val="000000" w:themeColor="text1"/>
                <w:lang w:eastAsia="zh-CN"/>
                <w14:textFill>
                  <w14:solidFill>
                    <w14:schemeClr w14:val="tx1"/>
                  </w14:solidFill>
                </w14:textFill>
              </w:rPr>
              <w:t>。</w:t>
            </w:r>
          </w:p>
          <w:p w14:paraId="1BE3A7F0">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 5 \* GB2 \* MERGEFORMAT </w:instrText>
            </w:r>
            <w:r>
              <w:rPr>
                <w:rFonts w:hint="default"/>
                <w:color w:val="000000" w:themeColor="text1"/>
                <w14:textFill>
                  <w14:solidFill>
                    <w14:schemeClr w14:val="tx1"/>
                  </w14:solidFill>
                </w14:textFill>
              </w:rPr>
              <w:fldChar w:fldCharType="separate"/>
            </w:r>
            <w:r>
              <w:rPr>
                <w:color w:val="000000" w:themeColor="text1"/>
                <w14:textFill>
                  <w14:solidFill>
                    <w14:schemeClr w14:val="tx1"/>
                  </w14:solidFill>
                </w14:textFill>
              </w:rPr>
              <w:t>⑸</w:t>
            </w:r>
            <w:r>
              <w:rPr>
                <w:rFonts w:hint="default"/>
                <w:color w:val="000000" w:themeColor="text1"/>
                <w14:textFill>
                  <w14:solidFill>
                    <w14:schemeClr w14:val="tx1"/>
                  </w14:solidFill>
                </w14:textFill>
              </w:rPr>
              <w:fldChar w:fldCharType="end"/>
            </w:r>
            <w:r>
              <w:rPr>
                <w:rFonts w:hint="default"/>
                <w:color w:val="000000" w:themeColor="text1"/>
                <w14:textFill>
                  <w14:solidFill>
                    <w14:schemeClr w14:val="tx1"/>
                  </w14:solidFill>
                </w14:textFill>
              </w:rPr>
              <w:t>水土流失减缓措施</w:t>
            </w:r>
          </w:p>
          <w:p w14:paraId="145AB1E4">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⑴施工期土石方工程应避免在大风日、雨天等不良天气中施工；粉状材料堆放采用围护或篷布遮挡措施，减少在恶劣天气条件下风蚀、水蚀的发生。</w:t>
            </w:r>
          </w:p>
          <w:p w14:paraId="1CEA9897">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⑵施工时应明确标记施工作业带，所有车辆、机械设备、施工人员的活动要严格在施工带内，不得在施工带以外的地方作业。</w:t>
            </w:r>
          </w:p>
          <w:p w14:paraId="593EA037">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⑶</w:t>
            </w:r>
            <w:r>
              <w:rPr>
                <w:rFonts w:hint="eastAsia"/>
                <w:color w:val="000000" w:themeColor="text1"/>
                <w:lang w:val="en-US" w:eastAsia="zh-CN"/>
                <w14:textFill>
                  <w14:solidFill>
                    <w14:schemeClr w14:val="tx1"/>
                  </w14:solidFill>
                </w14:textFill>
              </w:rPr>
              <w:t>培坡护坡及凹陷处回填</w:t>
            </w:r>
            <w:r>
              <w:rPr>
                <w:rFonts w:hint="default"/>
                <w:color w:val="000000" w:themeColor="text1"/>
                <w14:textFill>
                  <w14:solidFill>
                    <w14:schemeClr w14:val="tx1"/>
                  </w14:solidFill>
                </w14:textFill>
              </w:rPr>
              <w:t>等危险</w:t>
            </w:r>
            <w:r>
              <w:rPr>
                <w:rFonts w:hint="eastAsia"/>
                <w:color w:val="000000" w:themeColor="text1"/>
                <w:lang w:val="en-US" w:eastAsia="zh-CN"/>
                <w14:textFill>
                  <w14:solidFill>
                    <w14:schemeClr w14:val="tx1"/>
                  </w14:solidFill>
                </w14:textFill>
              </w:rPr>
              <w:t>活动，</w:t>
            </w:r>
            <w:r>
              <w:rPr>
                <w:rFonts w:hint="default"/>
                <w:color w:val="000000" w:themeColor="text1"/>
                <w14:textFill>
                  <w14:solidFill>
                    <w14:schemeClr w14:val="tx1"/>
                  </w14:solidFill>
                </w14:textFill>
              </w:rPr>
              <w:t>坡面进行稳定边坡处理，可有效防止水土流失。</w:t>
            </w:r>
          </w:p>
          <w:p w14:paraId="719405AE">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⑷要按照项目水土保持方案的要求，加强工程质量监管，严格执行工程设计，切实预防可能发生的地质灾害。</w:t>
            </w:r>
          </w:p>
          <w:p w14:paraId="3821F6A4">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 6 \* GB2 \* MERGEFORMAT </w:instrText>
            </w:r>
            <w:r>
              <w:rPr>
                <w:rFonts w:hint="eastAsia"/>
                <w:color w:val="000000" w:themeColor="text1"/>
                <w:lang w:val="en-US" w:eastAsia="zh-CN"/>
                <w14:textFill>
                  <w14:solidFill>
                    <w14:schemeClr w14:val="tx1"/>
                  </w14:solidFill>
                </w14:textFill>
              </w:rPr>
              <w:fldChar w:fldCharType="separate"/>
            </w:r>
            <w:r>
              <w:rPr>
                <w:color w:val="000000" w:themeColor="text1"/>
                <w14:textFill>
                  <w14:solidFill>
                    <w14:schemeClr w14:val="tx1"/>
                  </w14:solidFill>
                </w14:textFill>
              </w:rPr>
              <w:t>⑹</w:t>
            </w:r>
            <w:r>
              <w:rPr>
                <w:rFonts w:hint="eastAsia"/>
                <w:color w:val="000000" w:themeColor="text1"/>
                <w:lang w:val="en-US" w:eastAsia="zh-CN"/>
                <w14:textFill>
                  <w14:solidFill>
                    <w14:schemeClr w14:val="tx1"/>
                  </w14:solidFill>
                </w14:textFill>
              </w:rPr>
              <w:fldChar w:fldCharType="end"/>
            </w:r>
            <w:r>
              <w:rPr>
                <w:rFonts w:hint="default"/>
                <w:color w:val="000000" w:themeColor="text1"/>
                <w14:textFill>
                  <w14:solidFill>
                    <w14:schemeClr w14:val="tx1"/>
                  </w14:solidFill>
                </w14:textFill>
              </w:rPr>
              <w:t>管理措施</w:t>
            </w:r>
          </w:p>
          <w:p w14:paraId="58FC8B9E">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①建立完善的施工制度，有序管理施工活动。制定施工原则，划定施工范围，限定施工时间。施工过程禁止对植被滥砍滥伐，破坏沿线生态环境尽量避免对动物生境造成不良影响；按照规定的施工时间进行施工，以减缓对动物栖息与繁殖的不利影响。</w:t>
            </w:r>
          </w:p>
          <w:p w14:paraId="6EA309F2">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②加强对施工人员的管理，定期开展环保、防火等宣传教育。可组织专业人员通过宣传视频、讲座或印发图册等形式，强化施工人员环保意识；对于涉及环境敏感区段，必要时划定施工红线，布设施工围栏，防止施工人员作业、施工机械布置，增加占地区，增大对施工区域陆生动植物、生态环境的影响。加强对施工人员的管理，定期开展有关动物保护的宣传教育。可组织专业人员通过宣传视频、讲座或印发图册等形式，强化施工人员动物保护意识；开展相关野生动物保护法律法规教育，增强法律意识，保证依法施工。</w:t>
            </w:r>
          </w:p>
          <w:p w14:paraId="6429DA51">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③建立完善的生态影响监测制度。定期对施工期产生的生态影响进行监测与调查。施工期主要对</w:t>
            </w:r>
            <w:r>
              <w:rPr>
                <w:rFonts w:hint="eastAsia"/>
                <w:color w:val="000000" w:themeColor="text1"/>
                <w:lang w:val="en-US" w:eastAsia="zh-CN"/>
                <w14:textFill>
                  <w14:solidFill>
                    <w14:schemeClr w14:val="tx1"/>
                  </w14:solidFill>
                </w14:textFill>
              </w:rPr>
              <w:t>植物群落变化、动物的活动、分布变化、生境质量变化等</w:t>
            </w:r>
            <w:r>
              <w:rPr>
                <w:rFonts w:hint="default"/>
                <w:color w:val="000000" w:themeColor="text1"/>
                <w14:textFill>
                  <w14:solidFill>
                    <w14:schemeClr w14:val="tx1"/>
                  </w14:solidFill>
                </w14:textFill>
              </w:rPr>
              <w:t>进行监测</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加强生态管理，设置生态环境管理人员，建立各种管理及报告制度。通过动态监测和完善管理，使生态向良性方向发展。</w:t>
            </w:r>
          </w:p>
          <w:p w14:paraId="02EC99CD">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④加强与当地林草部门和各敏感区管理部门的联系工作，施工过程中若发现有受伤的野生保护动物，可及时联系有关部门进行相关救助。</w:t>
            </w:r>
          </w:p>
          <w:p w14:paraId="0E6DD361">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⑤施工机械（含施工车辆）维修保养在受委托社会第三方场地进行，在公共加油站进行燃料补给，禁止在施工营地贮存柴油，严格控制易燃易爆器材的使用。</w:t>
            </w:r>
          </w:p>
          <w:p w14:paraId="0A2DAF48">
            <w:pPr>
              <w:keepNext w:val="0"/>
              <w:keepLines w:val="0"/>
              <w:suppressLineNumbers w:val="0"/>
              <w:bidi w:val="0"/>
              <w:spacing w:before="0" w:beforeAutospacing="0" w:after="0" w:afterAutospacing="0"/>
              <w:ind w:left="0" w:right="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本项目生态保护措施平面布置示意图</w:t>
            </w:r>
            <w:r>
              <w:rPr>
                <w:rFonts w:hint="eastAsia"/>
                <w:color w:val="000000" w:themeColor="text1"/>
                <w:highlight w:val="none"/>
                <w:lang w:val="en-US" w:eastAsia="zh-CN"/>
                <w14:textFill>
                  <w14:solidFill>
                    <w14:schemeClr w14:val="tx1"/>
                  </w14:solidFill>
                </w14:textFill>
              </w:rPr>
              <w:t>附图5-1，</w:t>
            </w:r>
            <w:r>
              <w:rPr>
                <w:rFonts w:hint="eastAsia"/>
                <w:color w:val="000000" w:themeColor="text1"/>
                <w:highlight w:val="none"/>
                <w14:textFill>
                  <w14:solidFill>
                    <w14:schemeClr w14:val="tx1"/>
                  </w14:solidFill>
                </w14:textFill>
              </w:rPr>
              <w:t>典型生态保护措施设计图见图5</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w:t>
            </w:r>
          </w:p>
          <w:p w14:paraId="5153C6E8">
            <w:pPr>
              <w:keepNext w:val="0"/>
              <w:keepLines w:val="0"/>
              <w:suppressLineNumbers w:val="0"/>
              <w:bidi w:val="0"/>
              <w:spacing w:before="0" w:beforeAutospacing="0" w:after="0" w:afterAutospacing="0"/>
              <w:ind w:left="0" w:leftChars="0" w:right="0" w:firstLine="0" w:firstLineChars="0"/>
              <w:rPr>
                <w:rFonts w:hint="default"/>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3161665</wp:posOffset>
                      </wp:positionH>
                      <wp:positionV relativeFrom="paragraph">
                        <wp:posOffset>1036955</wp:posOffset>
                      </wp:positionV>
                      <wp:extent cx="1013460" cy="40767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B8A67C">
                                  <w:pPr>
                                    <w:rPr>
                                      <w:rFonts w:hint="eastAsia" w:ascii="黑体" w:hAnsi="黑体" w:eastAsia="黑体" w:cs="黑体"/>
                                      <w:color w:val="auto"/>
                                      <w:lang w:val="en-US" w:eastAsia="zh-CN"/>
                                    </w:rPr>
                                  </w:pPr>
                                  <w:r>
                                    <w:rPr>
                                      <w:rFonts w:hint="eastAsia" w:ascii="黑体" w:hAnsi="黑体" w:eastAsia="黑体" w:cs="黑体"/>
                                      <w:color w:val="auto"/>
                                      <w:lang w:val="en-US" w:eastAsia="zh-CN"/>
                                    </w:rPr>
                                    <w:t>填方区</w:t>
                                  </w:r>
                                </w:p>
                                <w:p w14:paraId="1841F488">
                                  <w:pPr>
                                    <w:rPr>
                                      <w:rFonts w:hint="eastAsia"/>
                                      <w:lang w:val="en-US" w:eastAsia="zh-CN"/>
                                    </w:rPr>
                                  </w:pPr>
                                </w:p>
                                <w:p w14:paraId="11DD2089">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95pt;margin-top:81.65pt;height:32.1pt;width:79.8pt;z-index:251660288;mso-width-relative:page;mso-height-relative:page;" filled="f" stroked="f" coordsize="21600,21600" o:gfxdata="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xf5M/cAAAACwEAAA8AAAAAAAAAAQAgAAAAIgAAAGRy&#10;cy9kb3ducmV2LnhtbFBLAQIUABQAAAAIAIdO4kCv5q09OgIAAGgEAAAOAAAAAAAAAAEAIAAAACsB&#10;AABkcnMvZTJvRG9jLnhtbFBLBQYAAAAABgAGAFkBAADXBQAAAAA=&#10;">
                      <v:fill on="f" focussize="0,0"/>
                      <v:stroke on="f" weight="0.5pt"/>
                      <v:imagedata o:title=""/>
                      <o:lock v:ext="edit" aspectratio="f"/>
                      <v:textbox>
                        <w:txbxContent>
                          <w:p w14:paraId="52B8A67C">
                            <w:pPr>
                              <w:rPr>
                                <w:rFonts w:hint="eastAsia" w:ascii="黑体" w:hAnsi="黑体" w:eastAsia="黑体" w:cs="黑体"/>
                                <w:color w:val="auto"/>
                                <w:lang w:val="en-US" w:eastAsia="zh-CN"/>
                              </w:rPr>
                            </w:pPr>
                            <w:r>
                              <w:rPr>
                                <w:rFonts w:hint="eastAsia" w:ascii="黑体" w:hAnsi="黑体" w:eastAsia="黑体" w:cs="黑体"/>
                                <w:color w:val="auto"/>
                                <w:lang w:val="en-US" w:eastAsia="zh-CN"/>
                              </w:rPr>
                              <w:t>填方区</w:t>
                            </w:r>
                          </w:p>
                          <w:p w14:paraId="1841F488">
                            <w:pPr>
                              <w:rPr>
                                <w:rFonts w:hint="eastAsia"/>
                                <w:lang w:val="en-US" w:eastAsia="zh-CN"/>
                              </w:rPr>
                            </w:pPr>
                          </w:p>
                          <w:p w14:paraId="11DD2089">
                            <w:pPr>
                              <w:rPr>
                                <w:rFonts w:hint="default"/>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1731010</wp:posOffset>
                      </wp:positionH>
                      <wp:positionV relativeFrom="paragraph">
                        <wp:posOffset>627380</wp:posOffset>
                      </wp:positionV>
                      <wp:extent cx="1013460" cy="407670"/>
                      <wp:effectExtent l="0" t="0" r="0" b="0"/>
                      <wp:wrapNone/>
                      <wp:docPr id="10" name="文本框 10"/>
                      <wp:cNvGraphicFramePr/>
                      <a:graphic xmlns:a="http://schemas.openxmlformats.org/drawingml/2006/main">
                        <a:graphicData uri="http://schemas.microsoft.com/office/word/2010/wordprocessingShape">
                          <wps:wsp>
                            <wps:cNvSpPr txBox="1"/>
                            <wps:spPr>
                              <a:xfrm>
                                <a:off x="2315210" y="2372995"/>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F08115">
                                  <w:pPr>
                                    <w:rPr>
                                      <w:rFonts w:hint="eastAsia" w:ascii="黑体" w:hAnsi="黑体" w:eastAsia="黑体" w:cs="黑体"/>
                                      <w:color w:val="FF0000"/>
                                      <w:lang w:val="en-US" w:eastAsia="zh-CN"/>
                                    </w:rPr>
                                  </w:pPr>
                                  <w:r>
                                    <w:rPr>
                                      <w:rFonts w:hint="eastAsia" w:ascii="黑体" w:hAnsi="黑体" w:eastAsia="黑体" w:cs="黑体"/>
                                      <w:color w:val="auto"/>
                                      <w:lang w:val="en-US" w:eastAsia="zh-CN"/>
                                    </w:rPr>
                                    <w:t>挖方区</w:t>
                                  </w:r>
                                </w:p>
                                <w:p w14:paraId="54720C77">
                                  <w:pPr>
                                    <w:rPr>
                                      <w:rFonts w:hint="eastAsia"/>
                                      <w:lang w:val="en-US" w:eastAsia="zh-CN"/>
                                    </w:rPr>
                                  </w:pPr>
                                </w:p>
                                <w:p w14:paraId="0980175E">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3pt;margin-top:49.4pt;height:32.1pt;width:79.8pt;z-index:251659264;mso-width-relative:page;mso-height-relative:page;" filled="f" stroked="f" coordsize="21600,21600" o:gfxdata="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wmRc12gAAAAoBAAAPAAAAAAAAAAEA&#10;IAAAACIAAABkcnMvZG93bnJldi54bWxQSwECFAAUAAAACACHTuJADpW92EYCAAB0BAAADgAAAAAA&#10;AAABACAAAAApAQAAZHJzL2Uyb0RvYy54bWxQSwUGAAAAAAYABgBZAQAA4QUAAAAA&#10;">
                      <v:fill on="f" focussize="0,0"/>
                      <v:stroke on="f" weight="0.5pt"/>
                      <v:imagedata o:title=""/>
                      <o:lock v:ext="edit" aspectratio="f"/>
                      <v:textbox>
                        <w:txbxContent>
                          <w:p w14:paraId="6DF08115">
                            <w:pPr>
                              <w:rPr>
                                <w:rFonts w:hint="eastAsia" w:ascii="黑体" w:hAnsi="黑体" w:eastAsia="黑体" w:cs="黑体"/>
                                <w:color w:val="FF0000"/>
                                <w:lang w:val="en-US" w:eastAsia="zh-CN"/>
                              </w:rPr>
                            </w:pPr>
                            <w:r>
                              <w:rPr>
                                <w:rFonts w:hint="eastAsia" w:ascii="黑体" w:hAnsi="黑体" w:eastAsia="黑体" w:cs="黑体"/>
                                <w:color w:val="auto"/>
                                <w:lang w:val="en-US" w:eastAsia="zh-CN"/>
                              </w:rPr>
                              <w:t>挖方区</w:t>
                            </w:r>
                          </w:p>
                          <w:p w14:paraId="54720C77">
                            <w:pPr>
                              <w:rPr>
                                <w:rFonts w:hint="eastAsia"/>
                                <w:lang w:val="en-US" w:eastAsia="zh-CN"/>
                              </w:rPr>
                            </w:pPr>
                          </w:p>
                          <w:p w14:paraId="0980175E">
                            <w:pPr>
                              <w:rPr>
                                <w:rFonts w:hint="default"/>
                                <w:lang w:val="en-US" w:eastAsia="zh-CN"/>
                              </w:rPr>
                            </w:pP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3510280</wp:posOffset>
                      </wp:positionH>
                      <wp:positionV relativeFrom="paragraph">
                        <wp:posOffset>281305</wp:posOffset>
                      </wp:positionV>
                      <wp:extent cx="1013460" cy="40767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B3BB35">
                                  <w:pP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削坡区</w:t>
                                  </w:r>
                                </w:p>
                                <w:p w14:paraId="417A9E5E">
                                  <w:pPr>
                                    <w:rPr>
                                      <w:rFonts w:hint="eastAsia"/>
                                      <w:lang w:val="en-US" w:eastAsia="zh-CN"/>
                                    </w:rPr>
                                  </w:pPr>
                                </w:p>
                                <w:p w14:paraId="6F8B627B">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4pt;margin-top:22.15pt;height:32.1pt;width:79.8pt;z-index:251663360;mso-width-relative:page;mso-height-relative:page;" filled="f" stroked="f" coordsize="21600,21600" o:gfxdata="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6mAXzbAAAACgEAAA8AAAAAAAAAAQAgAAAAIgAAAGRy&#10;cy9kb3ducmV2LnhtbFBLAQIUABQAAAAIAIdO4kCteTH2OwIAAGgEAAAOAAAAAAAAAAEAIAAAACoB&#10;AABkcnMvZTJvRG9jLnhtbFBLBQYAAAAABgAGAFkBAADXBQAAAAA=&#10;">
                      <v:fill on="f" focussize="0,0"/>
                      <v:stroke on="f" weight="0.5pt"/>
                      <v:imagedata o:title=""/>
                      <o:lock v:ext="edit" aspectratio="f"/>
                      <v:textbox>
                        <w:txbxContent>
                          <w:p w14:paraId="09B3BB35">
                            <w:pP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削坡区</w:t>
                            </w:r>
                          </w:p>
                          <w:p w14:paraId="417A9E5E">
                            <w:pPr>
                              <w:rPr>
                                <w:rFonts w:hint="eastAsia"/>
                                <w:lang w:val="en-US" w:eastAsia="zh-CN"/>
                              </w:rPr>
                            </w:pPr>
                          </w:p>
                          <w:p w14:paraId="6F8B627B">
                            <w:pPr>
                              <w:rPr>
                                <w:rFonts w:hint="default"/>
                                <w:lang w:val="en-US" w:eastAsia="zh-CN"/>
                              </w:rPr>
                            </w:pPr>
                          </w:p>
                        </w:txbxContent>
                      </v:textbox>
                    </v:shape>
                  </w:pict>
                </mc:Fallback>
              </mc:AlternateContent>
            </w:r>
            <w:r>
              <w:rPr>
                <w:color w:val="000000" w:themeColor="text1"/>
                <w14:textFill>
                  <w14:solidFill>
                    <w14:schemeClr w14:val="tx1"/>
                  </w14:solidFill>
                </w14:textFill>
              </w:rPr>
              <w:drawing>
                <wp:inline distT="0" distB="0" distL="114300" distR="114300">
                  <wp:extent cx="5269865" cy="2348230"/>
                  <wp:effectExtent l="0" t="0" r="6985" b="1397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8"/>
                          <a:stretch>
                            <a:fillRect/>
                          </a:stretch>
                        </pic:blipFill>
                        <pic:spPr>
                          <a:xfrm>
                            <a:off x="0" y="0"/>
                            <a:ext cx="5269865" cy="2348230"/>
                          </a:xfrm>
                          <a:prstGeom prst="rect">
                            <a:avLst/>
                          </a:prstGeom>
                          <a:noFill/>
                          <a:ln>
                            <a:noFill/>
                          </a:ln>
                        </pic:spPr>
                      </pic:pic>
                    </a:graphicData>
                  </a:graphic>
                </wp:inline>
              </w:drawing>
            </w:r>
          </w:p>
          <w:p w14:paraId="744A8468">
            <w:pPr>
              <w:pStyle w:val="2"/>
              <w:bidi w:val="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1529080</wp:posOffset>
                      </wp:positionH>
                      <wp:positionV relativeFrom="paragraph">
                        <wp:posOffset>604520</wp:posOffset>
                      </wp:positionV>
                      <wp:extent cx="1013460" cy="40767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83F3DF">
                                  <w:pPr>
                                    <w:rPr>
                                      <w:rFonts w:hint="eastAsia" w:ascii="黑体" w:hAnsi="黑体" w:eastAsia="黑体" w:cs="黑体"/>
                                      <w:color w:val="auto"/>
                                      <w:lang w:val="en-US" w:eastAsia="zh-CN"/>
                                    </w:rPr>
                                  </w:pPr>
                                  <w:r>
                                    <w:rPr>
                                      <w:rFonts w:hint="eastAsia" w:ascii="黑体" w:hAnsi="黑体" w:eastAsia="黑体" w:cs="黑体"/>
                                      <w:color w:val="auto"/>
                                      <w:lang w:val="en-US" w:eastAsia="zh-CN"/>
                                    </w:rPr>
                                    <w:t>挖方区</w:t>
                                  </w:r>
                                </w:p>
                                <w:p w14:paraId="4D25707A">
                                  <w:pPr>
                                    <w:rPr>
                                      <w:rFonts w:hint="eastAsia"/>
                                      <w:lang w:val="en-US" w:eastAsia="zh-CN"/>
                                    </w:rPr>
                                  </w:pPr>
                                </w:p>
                                <w:p w14:paraId="08BB3CCB">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4pt;margin-top:47.6pt;height:32.1pt;width:79.8pt;z-index:251661312;mso-width-relative:page;mso-height-relative:page;" filled="f" stroked="f" coordsize="21600,21600" o:gfxdata="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vWYDfbAAAACgEAAA8AAAAAAAAAAQAgAAAAIgAAAGRy&#10;cy9kb3ducmV2LnhtbFBLAQIUABQAAAAIAIdO4kBRbCZ7OwIAAGgEAAAOAAAAAAAAAAEAIAAAACoB&#10;AABkcnMvZTJvRG9jLnhtbFBLBQYAAAAABgAGAFkBAADXBQAAAAA=&#10;">
                      <v:fill on="f" focussize="0,0"/>
                      <v:stroke on="f" weight="0.5pt"/>
                      <v:imagedata o:title=""/>
                      <o:lock v:ext="edit" aspectratio="f"/>
                      <v:textbox>
                        <w:txbxContent>
                          <w:p w14:paraId="3B83F3DF">
                            <w:pPr>
                              <w:rPr>
                                <w:rFonts w:hint="eastAsia" w:ascii="黑体" w:hAnsi="黑体" w:eastAsia="黑体" w:cs="黑体"/>
                                <w:color w:val="auto"/>
                                <w:lang w:val="en-US" w:eastAsia="zh-CN"/>
                              </w:rPr>
                            </w:pPr>
                            <w:r>
                              <w:rPr>
                                <w:rFonts w:hint="eastAsia" w:ascii="黑体" w:hAnsi="黑体" w:eastAsia="黑体" w:cs="黑体"/>
                                <w:color w:val="auto"/>
                                <w:lang w:val="en-US" w:eastAsia="zh-CN"/>
                              </w:rPr>
                              <w:t>挖方区</w:t>
                            </w:r>
                          </w:p>
                          <w:p w14:paraId="4D25707A">
                            <w:pPr>
                              <w:rPr>
                                <w:rFonts w:hint="eastAsia"/>
                                <w:lang w:val="en-US" w:eastAsia="zh-CN"/>
                              </w:rPr>
                            </w:pPr>
                          </w:p>
                          <w:p w14:paraId="08BB3CCB">
                            <w:pPr>
                              <w:rPr>
                                <w:rFonts w:hint="default"/>
                                <w:lang w:val="en-US" w:eastAsia="zh-CN"/>
                              </w:rPr>
                            </w:pPr>
                          </w:p>
                        </w:txbxContent>
                      </v:textbox>
                    </v:shape>
                  </w:pict>
                </mc:Fallback>
              </mc:AlternateContent>
            </w:r>
            <w:r>
              <w:rPr>
                <w:color w:val="000000" w:themeColor="text1"/>
                <w14:textFill>
                  <w14:solidFill>
                    <w14:schemeClr w14:val="tx1"/>
                  </w14:solidFill>
                </w14:textFill>
              </w:rPr>
              <w:drawing>
                <wp:inline distT="0" distB="0" distL="114300" distR="114300">
                  <wp:extent cx="5264785" cy="2240280"/>
                  <wp:effectExtent l="0" t="0" r="12065" b="762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9"/>
                          <a:stretch>
                            <a:fillRect/>
                          </a:stretch>
                        </pic:blipFill>
                        <pic:spPr>
                          <a:xfrm>
                            <a:off x="0" y="0"/>
                            <a:ext cx="5264785" cy="2240280"/>
                          </a:xfrm>
                          <a:prstGeom prst="rect">
                            <a:avLst/>
                          </a:prstGeom>
                          <a:noFill/>
                          <a:ln>
                            <a:noFill/>
                          </a:ln>
                        </pic:spPr>
                      </pic:pic>
                    </a:graphicData>
                  </a:graphic>
                </wp:inline>
              </w:drawing>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2828925</wp:posOffset>
                      </wp:positionH>
                      <wp:positionV relativeFrom="paragraph">
                        <wp:posOffset>1179195</wp:posOffset>
                      </wp:positionV>
                      <wp:extent cx="1013460" cy="40767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D046F1">
                                  <w:pPr>
                                    <w:rPr>
                                      <w:rFonts w:hint="eastAsia" w:ascii="黑体" w:hAnsi="黑体" w:eastAsia="黑体" w:cs="黑体"/>
                                      <w:color w:val="auto"/>
                                      <w:lang w:val="en-US" w:eastAsia="zh-CN"/>
                                    </w:rPr>
                                  </w:pPr>
                                  <w:r>
                                    <w:rPr>
                                      <w:rFonts w:hint="eastAsia" w:ascii="黑体" w:hAnsi="黑体" w:eastAsia="黑体" w:cs="黑体"/>
                                      <w:color w:val="auto"/>
                                      <w:lang w:val="en-US" w:eastAsia="zh-CN"/>
                                    </w:rPr>
                                    <w:t>填方区</w:t>
                                  </w:r>
                                </w:p>
                                <w:p w14:paraId="4401065E">
                                  <w:pPr>
                                    <w:rPr>
                                      <w:rFonts w:hint="eastAsia"/>
                                      <w:lang w:val="en-US" w:eastAsia="zh-CN"/>
                                    </w:rPr>
                                  </w:pPr>
                                </w:p>
                                <w:p w14:paraId="67324349">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75pt;margin-top:92.85pt;height:32.1pt;width:79.8pt;z-index:251662336;mso-width-relative:page;mso-height-relative:page;" filled="f" stroked="f" coordsize="21600,21600" o:gfxdata="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&#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jh08e3AAAAAsBAAAPAAAAAAAAAAEAIAAAACIAAABk&#10;cnMvZG93bnJldi54bWxQSwECFAAUAAAACACHTuJAxBdw8DsCAABoBAAADgAAAAAAAAABACAAAAAr&#10;AQAAZHJzL2Uyb0RvYy54bWxQSwUGAAAAAAYABgBZAQAA2AUAAAAA&#10;">
                      <v:fill on="f" focussize="0,0"/>
                      <v:stroke on="f" weight="0.5pt"/>
                      <v:imagedata o:title=""/>
                      <o:lock v:ext="edit" aspectratio="f"/>
                      <v:textbox>
                        <w:txbxContent>
                          <w:p w14:paraId="46D046F1">
                            <w:pPr>
                              <w:rPr>
                                <w:rFonts w:hint="eastAsia" w:ascii="黑体" w:hAnsi="黑体" w:eastAsia="黑体" w:cs="黑体"/>
                                <w:color w:val="auto"/>
                                <w:lang w:val="en-US" w:eastAsia="zh-CN"/>
                              </w:rPr>
                            </w:pPr>
                            <w:r>
                              <w:rPr>
                                <w:rFonts w:hint="eastAsia" w:ascii="黑体" w:hAnsi="黑体" w:eastAsia="黑体" w:cs="黑体"/>
                                <w:color w:val="auto"/>
                                <w:lang w:val="en-US" w:eastAsia="zh-CN"/>
                              </w:rPr>
                              <w:t>填方区</w:t>
                            </w:r>
                          </w:p>
                          <w:p w14:paraId="4401065E">
                            <w:pPr>
                              <w:rPr>
                                <w:rFonts w:hint="eastAsia"/>
                                <w:lang w:val="en-US" w:eastAsia="zh-CN"/>
                              </w:rPr>
                            </w:pPr>
                          </w:p>
                          <w:p w14:paraId="67324349">
                            <w:pPr>
                              <w:rPr>
                                <w:rFonts w:hint="default"/>
                                <w:lang w:val="en-US" w:eastAsia="zh-CN"/>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3337560</wp:posOffset>
                      </wp:positionH>
                      <wp:positionV relativeFrom="paragraph">
                        <wp:posOffset>833120</wp:posOffset>
                      </wp:positionV>
                      <wp:extent cx="1013460" cy="40767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013460"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06818A">
                                  <w:pP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削坡区</w:t>
                                  </w:r>
                                </w:p>
                                <w:p w14:paraId="0DF59F83">
                                  <w:pPr>
                                    <w:rPr>
                                      <w:rFonts w:hint="eastAsia"/>
                                      <w:lang w:val="en-US" w:eastAsia="zh-CN"/>
                                    </w:rPr>
                                  </w:pPr>
                                </w:p>
                                <w:p w14:paraId="1DD17320">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8pt;margin-top:65.6pt;height:32.1pt;width:79.8pt;z-index:251664384;mso-width-relative:page;mso-height-relative:page;" filled="f" stroked="f" coordsize="21600,21600" o:gfxdata="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cOpqzbAAAACwEAAA8AAAAAAAAAAQAgAAAAIgAAAGRy&#10;cy9kb3ducmV2LnhtbFBLAQIUABQAAAAIAIdO4kA4Amd9OwIAAGgEAAAOAAAAAAAAAAEAIAAAACoB&#10;AABkcnMvZTJvRG9jLnhtbFBLBQYAAAAABgAGAFkBAADXBQAAAAA=&#10;">
                      <v:fill on="f" focussize="0,0"/>
                      <v:stroke on="f" weight="0.5pt"/>
                      <v:imagedata o:title=""/>
                      <o:lock v:ext="edit" aspectratio="f"/>
                      <v:textbox>
                        <w:txbxContent>
                          <w:p w14:paraId="2A06818A">
                            <w:pP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黑体" w:hAnsi="黑体" w:eastAsia="黑体" w:cs="黑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削坡区</w:t>
                            </w:r>
                          </w:p>
                          <w:p w14:paraId="0DF59F83">
                            <w:pPr>
                              <w:rPr>
                                <w:rFonts w:hint="eastAsia"/>
                                <w:lang w:val="en-US" w:eastAsia="zh-CN"/>
                              </w:rPr>
                            </w:pPr>
                          </w:p>
                          <w:p w14:paraId="1DD17320">
                            <w:pPr>
                              <w:rPr>
                                <w:rFonts w:hint="default"/>
                                <w:lang w:val="en-US" w:eastAsia="zh-CN"/>
                              </w:rPr>
                            </w:pPr>
                          </w:p>
                        </w:txbxContent>
                      </v:textbox>
                    </v:shape>
                  </w:pict>
                </mc:Fallback>
              </mc:AlternateContent>
            </w:r>
          </w:p>
          <w:p w14:paraId="67E720A0">
            <w:pPr>
              <w:pStyle w:val="3"/>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图5-1  </w:t>
            </w:r>
            <w:r>
              <w:rPr>
                <w:rFonts w:hint="eastAsia"/>
                <w:color w:val="000000" w:themeColor="text1"/>
                <w14:textFill>
                  <w14:solidFill>
                    <w14:schemeClr w14:val="tx1"/>
                  </w14:solidFill>
                </w14:textFill>
              </w:rPr>
              <w:t>本项目典型生态保护措施设计图</w:t>
            </w:r>
          </w:p>
          <w:p w14:paraId="4003B597">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施工期大气污染影响防治措施</w:t>
            </w:r>
          </w:p>
          <w:p w14:paraId="1C98D95F">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⑴施工扬尘</w:t>
            </w:r>
          </w:p>
          <w:p w14:paraId="36F1222D">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根据自治区住建厅，宁（建）发〔</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2017</w:t>
            </w:r>
            <w:r>
              <w:rPr>
                <w:rFonts w:hint="default" w:ascii="宋体" w:hAnsi="宋体" w:eastAsia="宋体" w:cs="宋体"/>
                <w:b w:val="0"/>
                <w:bCs w:val="0"/>
                <w:color w:val="000000" w:themeColor="text1"/>
                <w:sz w:val="24"/>
                <w:szCs w:val="24"/>
                <w14:textFill>
                  <w14:solidFill>
                    <w14:schemeClr w14:val="tx1"/>
                  </w14:solidFill>
                </w14:textFill>
              </w:rPr>
              <w:t>〕</w:t>
            </w:r>
            <w:r>
              <w:rPr>
                <w:rFonts w:hint="default" w:ascii="TimesNewRomanPSMT" w:hAnsi="TimesNewRomanPSMT" w:eastAsia="TimesNewRomanPSMT" w:cs="TimesNewRomanPSMT"/>
                <w:b w:val="0"/>
                <w:bCs w:val="0"/>
                <w:color w:val="000000" w:themeColor="text1"/>
                <w:sz w:val="24"/>
                <w:szCs w:val="24"/>
                <w14:textFill>
                  <w14:solidFill>
                    <w14:schemeClr w14:val="tx1"/>
                  </w14:solidFill>
                </w14:textFill>
              </w:rPr>
              <w:t>17</w:t>
            </w:r>
            <w:r>
              <w:rPr>
                <w:rFonts w:hint="default" w:ascii="宋体" w:hAnsi="宋体" w:eastAsia="宋体" w:cs="宋体"/>
                <w:b w:val="0"/>
                <w:bCs w:val="0"/>
                <w:color w:val="000000" w:themeColor="text1"/>
                <w:sz w:val="24"/>
                <w:szCs w:val="24"/>
                <w14:textFill>
                  <w14:solidFill>
                    <w14:schemeClr w14:val="tx1"/>
                  </w14:solidFill>
                </w14:textFill>
              </w:rPr>
              <w:t>号《关于进一步加强建筑工地施工扬尘控制和标准化管理的通知》、自治区环境保护厅《加强全区城市扬尘污染整治工作方案》《宁夏建筑施工扬尘治理标准化实施指南》，施工单位应加强管理，文明施工，为减少扬尘对环境的影响，严格采取以下措施：</w:t>
            </w:r>
          </w:p>
          <w:p w14:paraId="361A1C2C">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w:t>
            </w:r>
            <w:r>
              <w:rPr>
                <w:rFonts w:hint="default" w:ascii="宋体" w:hAnsi="宋体" w:eastAsia="宋体" w:cs="宋体"/>
                <w:color w:val="000000" w:themeColor="text1"/>
                <w:sz w:val="24"/>
                <w:szCs w:val="24"/>
                <w14:textFill>
                  <w14:solidFill>
                    <w14:schemeClr w14:val="tx1"/>
                  </w14:solidFill>
                </w14:textFill>
              </w:rPr>
              <w:t>根据施工过程的实际情况，</w:t>
            </w:r>
            <w:r>
              <w:rPr>
                <w:rFonts w:hint="eastAsia" w:ascii="宋体" w:hAnsi="宋体" w:cs="宋体"/>
                <w:color w:val="000000" w:themeColor="text1"/>
                <w:sz w:val="24"/>
                <w:szCs w:val="24"/>
                <w:lang w:eastAsia="zh-CN"/>
                <w14:textFill>
                  <w14:solidFill>
                    <w14:schemeClr w14:val="tx1"/>
                  </w14:solidFill>
                </w14:textFill>
              </w:rPr>
              <w:t>施工场地设围栏</w:t>
            </w:r>
            <w:r>
              <w:rPr>
                <w:rFonts w:hint="default" w:ascii="宋体" w:hAnsi="宋体" w:eastAsia="宋体" w:cs="宋体"/>
                <w:color w:val="000000" w:themeColor="text1"/>
                <w:sz w:val="24"/>
                <w:szCs w:val="24"/>
                <w14:textFill>
                  <w14:solidFill>
                    <w14:schemeClr w14:val="tx1"/>
                  </w14:solidFill>
                </w14:textFill>
              </w:rPr>
              <w:t>，以减少施工扬尘扩散范围。</w:t>
            </w:r>
          </w:p>
          <w:p w14:paraId="7C85B442">
            <w:pPr>
              <w:keepNext w:val="0"/>
              <w:keepLines w:val="0"/>
              <w:widowControl/>
              <w:numPr>
                <w:ilvl w:val="0"/>
                <w:numId w:val="0"/>
              </w:numPr>
              <w:suppressLineNumbers w:val="0"/>
              <w:spacing w:before="0" w:beforeAutospacing="0" w:after="0" w:afterAutospacing="0"/>
              <w:ind w:left="0" w:right="0" w:firstLine="454"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w:t>
            </w:r>
            <w:r>
              <w:rPr>
                <w:rFonts w:hint="default" w:ascii="宋体" w:hAnsi="宋体" w:eastAsia="宋体" w:cs="宋体"/>
                <w:color w:val="000000" w:themeColor="text1"/>
                <w:sz w:val="24"/>
                <w:szCs w:val="24"/>
                <w14:textFill>
                  <w14:solidFill>
                    <w14:schemeClr w14:val="tx1"/>
                  </w14:solidFill>
                </w14:textFill>
              </w:rPr>
              <w:t>避免在大风日以及夏季暴雨时节施工，尽可能缩短施工时间，提高施工效率，减少地表裸露的时间，遇有大风天气时，避免进行挖掘、回填等大土方量作业或采取洒水抑尘</w:t>
            </w:r>
            <w:r>
              <w:rPr>
                <w:rFonts w:hint="eastAsia" w:ascii="宋体" w:hAnsi="宋体" w:eastAsia="宋体" w:cs="宋体"/>
                <w:color w:val="000000" w:themeColor="text1"/>
                <w:sz w:val="24"/>
                <w:szCs w:val="24"/>
                <w:lang w:val="en-US" w:eastAsia="zh-CN"/>
                <w14:textFill>
                  <w14:solidFill>
                    <w14:schemeClr w14:val="tx1"/>
                  </w14:solidFill>
                </w14:textFill>
              </w:rPr>
              <w:t>措施。</w:t>
            </w:r>
          </w:p>
          <w:p w14:paraId="79E98233">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③</w:t>
            </w:r>
            <w:r>
              <w:rPr>
                <w:rFonts w:hint="default" w:ascii="宋体" w:hAnsi="宋体" w:eastAsia="宋体" w:cs="宋体"/>
                <w:color w:val="000000" w:themeColor="text1"/>
                <w:sz w:val="24"/>
                <w:szCs w:val="24"/>
                <w14:textFill>
                  <w14:solidFill>
                    <w14:schemeClr w14:val="tx1"/>
                  </w14:solidFill>
                </w14:textFill>
              </w:rPr>
              <w:t>施工单位必须加强施工区的规划管理：如在大风天气，对散料堆场应采用水喷淋法防尘，以减少建设过程中使用的建筑材料在装卸、堆放过程中的粉尘外逸，降低项目建设对当地的空气污染。</w:t>
            </w:r>
          </w:p>
          <w:p w14:paraId="7D2325EF">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④</w:t>
            </w:r>
            <w:r>
              <w:rPr>
                <w:rFonts w:hint="default" w:ascii="宋体" w:hAnsi="宋体" w:eastAsia="宋体" w:cs="宋体"/>
                <w:color w:val="000000" w:themeColor="text1"/>
                <w:sz w:val="24"/>
                <w:szCs w:val="24"/>
                <w14:textFill>
                  <w14:solidFill>
                    <w14:schemeClr w14:val="tx1"/>
                  </w14:solidFill>
                </w14:textFill>
              </w:rPr>
              <w:t>用汽车运输易起尘的物料时，要加盖蓬布、控制车速，防止物料洒落和产生扬尘；卸车时应尽量减少落差，减少扬尘；运输车辆进出的主干道应定期洒水清扫，保持车辆出入口路面清洁、润湿，并尽量要求运输车辆放慢行车速度，以减少地面扬尘污染。另外，运输路线应尽可能避开居民区。</w:t>
            </w:r>
          </w:p>
          <w:p w14:paraId="7C017A65">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⑤</w:t>
            </w:r>
            <w:r>
              <w:rPr>
                <w:rFonts w:hint="default" w:ascii="宋体" w:hAnsi="宋体" w:eastAsia="宋体" w:cs="宋体"/>
                <w:color w:val="000000" w:themeColor="text1"/>
                <w:sz w:val="24"/>
                <w:szCs w:val="24"/>
                <w14:textFill>
                  <w14:solidFill>
                    <w14:schemeClr w14:val="tx1"/>
                  </w14:solidFill>
                </w14:textFill>
              </w:rPr>
              <w:t>加强对施工机械、车辆的维修保养，禁止以柴油为燃料的施工机械超负荷工作，减少烟尘和颗粒物的排放。</w:t>
            </w:r>
          </w:p>
          <w:p w14:paraId="57FDFD5F">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⑥</w:t>
            </w:r>
            <w:r>
              <w:rPr>
                <w:rFonts w:hint="default" w:ascii="宋体" w:hAnsi="宋体" w:eastAsia="宋体" w:cs="宋体"/>
                <w:color w:val="000000" w:themeColor="text1"/>
                <w:sz w:val="24"/>
                <w:szCs w:val="24"/>
                <w14:textFill>
                  <w14:solidFill>
                    <w14:schemeClr w14:val="tx1"/>
                  </w14:solidFill>
                </w14:textFill>
              </w:rPr>
              <w:t>对堆放的施工废料采取必要的防扬尘措施。本项目施工期产生自土方挖掘、堆积、交通运输等引起的扬尘；施工设备、汽车产生的废气等。施工粉尘的污染程度与风速、大面积开挖造成地表裸露、粉尘粒径、粉尘含湿量等因素有关，其中风速对粉尘的污染影响最大，风速增大，产生的含尘量呈正比或级数增加，粉尘污染范围也相应扩大。大风情况下，施工引起的扬尘飘移较远。通过设置围栏、定期洒水降尘等措施减小施工扬尘对周边空气环境影响。</w:t>
            </w:r>
          </w:p>
          <w:p w14:paraId="23BA70A8">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default" w:ascii="宋体" w:hAnsi="宋体" w:eastAsia="宋体" w:cs="宋体"/>
                <w:color w:val="000000" w:themeColor="text1"/>
                <w:sz w:val="24"/>
                <w:szCs w:val="24"/>
                <w14:textFill>
                  <w14:solidFill>
                    <w14:schemeClr w14:val="tx1"/>
                  </w14:solidFill>
                </w14:textFill>
              </w:rPr>
              <w:t>综上所述，施工期采取的扬尘污染防治措施技术可行、经济合理，在落实上述措施后对区域</w:t>
            </w:r>
            <w:r>
              <w:rPr>
                <w:rFonts w:hint="eastAsia" w:ascii="宋体" w:hAnsi="宋体" w:eastAsia="宋体" w:cs="宋体"/>
                <w:color w:val="000000" w:themeColor="text1"/>
                <w:sz w:val="24"/>
                <w:szCs w:val="24"/>
                <w:lang w:val="en-US" w:eastAsia="zh-CN"/>
                <w14:textFill>
                  <w14:solidFill>
                    <w14:schemeClr w14:val="tx1"/>
                  </w14:solidFill>
                </w14:textFill>
              </w:rPr>
              <w:t>环境</w:t>
            </w:r>
            <w:r>
              <w:rPr>
                <w:rFonts w:hint="default" w:ascii="宋体" w:hAnsi="宋体" w:eastAsia="宋体" w:cs="宋体"/>
                <w:color w:val="000000" w:themeColor="text1"/>
                <w:sz w:val="24"/>
                <w:szCs w:val="24"/>
                <w14:textFill>
                  <w14:solidFill>
                    <w14:schemeClr w14:val="tx1"/>
                  </w14:solidFill>
                </w14:textFill>
              </w:rPr>
              <w:t>影响较小。</w:t>
            </w:r>
          </w:p>
          <w:p w14:paraId="138CACEC">
            <w:pPr>
              <w:keepNext w:val="0"/>
              <w:keepLines w:val="0"/>
              <w:widowControl/>
              <w:numPr>
                <w:ilvl w:val="0"/>
                <w:numId w:val="0"/>
              </w:numPr>
              <w:suppressLineNumbers w:val="0"/>
              <w:spacing w:before="0" w:beforeAutospacing="0" w:after="0" w:afterAutospacing="0"/>
              <w:ind w:left="0" w:right="0" w:firstLine="454" w:firstLineChars="200"/>
              <w:jc w:val="left"/>
              <w:rPr>
                <w:rFonts w:hint="default" w:ascii="宋体" w:hAnsi="宋体" w:eastAsia="宋体" w:cs="宋体"/>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⑵</w:t>
            </w:r>
            <w:r>
              <w:rPr>
                <w:rFonts w:hint="default" w:ascii="宋体" w:hAnsi="宋体" w:eastAsia="宋体" w:cs="宋体"/>
                <w:color w:val="000000" w:themeColor="text1"/>
                <w:sz w:val="24"/>
                <w:szCs w:val="24"/>
                <w14:textFill>
                  <w14:solidFill>
                    <w14:schemeClr w14:val="tx1"/>
                  </w14:solidFill>
                </w14:textFill>
              </w:rPr>
              <w:t>施工机械尾气</w:t>
            </w:r>
          </w:p>
          <w:p w14:paraId="2C9E94BF">
            <w:pPr>
              <w:keepNext w:val="0"/>
              <w:keepLines w:val="0"/>
              <w:widowControl/>
              <w:numPr>
                <w:ilvl w:val="0"/>
                <w:numId w:val="0"/>
              </w:numPr>
              <w:suppressLineNumbers w:val="0"/>
              <w:spacing w:before="0" w:beforeAutospacing="0" w:after="0" w:afterAutospacing="0"/>
              <w:ind w:left="0" w:right="0" w:firstLine="454" w:firstLineChars="200"/>
              <w:jc w:val="both"/>
              <w:rPr>
                <w:rFonts w:hint="default" w:cs="Times New Roman"/>
                <w:color w:val="000000" w:themeColor="text1"/>
                <w14:textFill>
                  <w14:solidFill>
                    <w14:schemeClr w14:val="tx1"/>
                  </w14:solidFill>
                </w14:textFill>
              </w:rPr>
            </w:pPr>
            <w:r>
              <w:rPr>
                <w:rFonts w:hint="default" w:ascii="宋体" w:hAnsi="宋体" w:eastAsia="宋体" w:cs="宋体"/>
                <w:color w:val="000000" w:themeColor="text1"/>
                <w:sz w:val="24"/>
                <w:szCs w:val="24"/>
                <w14:textFill>
                  <w14:solidFill>
                    <w14:schemeClr w14:val="tx1"/>
                  </w14:solidFill>
                </w14:textFill>
              </w:rPr>
              <w:t>由于拟建项目所在地较为开阔，空气流通较好，车辆排放的尾气能够较快地扩散，不会对当地的环境空气产生较大影响。</w:t>
            </w:r>
            <w:r>
              <w:rPr>
                <w:rFonts w:hint="default" w:ascii="宋体" w:hAnsi="宋体" w:eastAsia="宋体" w:cs="宋体"/>
                <w:color w:val="000000" w:themeColor="text1"/>
                <w:sz w:val="24"/>
                <w:szCs w:val="24"/>
                <w:highlight w:val="none"/>
                <w14:textFill>
                  <w14:solidFill>
                    <w14:schemeClr w14:val="tx1"/>
                  </w14:solidFill>
                </w14:textFill>
              </w:rPr>
              <w:t>通过选用低能耗、低污染排放的施工运输车辆，加强施工机械的维护及保养，减少因车辆状况不佳造成的空气污染等措施进一步降低对环境空气的影响</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14:paraId="60E57681">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施工期废水防治措施</w:t>
            </w:r>
          </w:p>
          <w:p w14:paraId="7407AA68">
            <w:pPr>
              <w:keepNext w:val="0"/>
              <w:keepLines w:val="0"/>
              <w:widowControl/>
              <w:suppressLineNumbers w:val="0"/>
              <w:spacing w:before="0" w:beforeAutospacing="0" w:after="0" w:afterAutospacing="0"/>
              <w:ind w:left="0" w:right="0"/>
              <w:jc w:val="both"/>
              <w:rPr>
                <w:rFonts w:hint="default" w:cs="Times New Roman"/>
                <w:color w:val="000000" w:themeColor="text1"/>
                <w:lang w:val="en-US"/>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项目区不设置施工生活营地，生活污水依托周边村庄旱厕处理，项目区无废水排放。</w:t>
            </w:r>
          </w:p>
          <w:p w14:paraId="2DECC21A">
            <w:pPr>
              <w:pStyle w:val="2"/>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施工期噪声防治措施</w:t>
            </w:r>
          </w:p>
          <w:p w14:paraId="6C876DA5">
            <w:pPr>
              <w:keepNext w:val="0"/>
              <w:keepLines w:val="0"/>
              <w:widowControl/>
              <w:suppressLineNumbers w:val="0"/>
              <w:spacing w:before="0" w:beforeAutospacing="0" w:after="0" w:afterAutospacing="0"/>
              <w:ind w:left="0" w:right="0"/>
              <w:jc w:val="both"/>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施工期的噪声主要来源于施工现场的各类机械设备噪声和运输车辆噪声。施工时应妥善布置较大的噪声设备，使其尽量远离声敏感点；同时施工方应合理布置施工时间，夜间尽量不施工，避免施工噪声扰民。</w:t>
            </w:r>
          </w:p>
          <w:p w14:paraId="411AFC4B">
            <w:pPr>
              <w:keepNext w:val="0"/>
              <w:keepLines w:val="0"/>
              <w:widowControl/>
              <w:suppressLineNumbers w:val="0"/>
              <w:spacing w:before="0" w:beforeAutospacing="0" w:after="0" w:afterAutospacing="0"/>
              <w:ind w:left="0" w:right="0"/>
              <w:jc w:val="left"/>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本项目分段进行施工，建设期比较短，因此，只要采取的措施得当、管理得力，影响的程度有限。具体措施如下：</w:t>
            </w:r>
          </w:p>
          <w:p w14:paraId="3CC81757">
            <w:pPr>
              <w:keepNext w:val="0"/>
              <w:keepLines w:val="0"/>
              <w:widowControl/>
              <w:suppressLineNumbers w:val="0"/>
              <w:spacing w:before="0" w:beforeAutospacing="0" w:after="0" w:afterAutospacing="0"/>
              <w:ind w:left="0" w:right="0"/>
              <w:jc w:val="left"/>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begin"/>
            </w:r>
            <w:r>
              <w:rPr>
                <w:rFonts w:hint="eastAsia" w:ascii="宋体" w:hAnsi="宋体" w:eastAsia="宋体" w:cs="宋体"/>
                <w:color w:val="000000" w:themeColor="text1"/>
                <w:kern w:val="0"/>
                <w:sz w:val="24"/>
                <w:szCs w:val="24"/>
                <w:lang w:val="en-US" w:eastAsia="zh-CN" w:bidi="ar"/>
                <w14:textFill>
                  <w14:solidFill>
                    <w14:schemeClr w14:val="tx1"/>
                  </w14:solidFill>
                </w14:textFill>
              </w:rPr>
              <w:instrText xml:space="preserve"> = 1 \* GB2 \* MERGEFORMAT </w:instrTex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separate"/>
            </w:r>
            <w:r>
              <w:rPr>
                <w:color w:val="000000" w:themeColor="text1"/>
                <w14:textFill>
                  <w14:solidFill>
                    <w14:schemeClr w14:val="tx1"/>
                  </w14:solidFill>
                </w14:textFill>
              </w:rPr>
              <w:t>⑴</w: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end"/>
            </w:r>
            <w:r>
              <w:rPr>
                <w:rFonts w:hint="eastAsia" w:ascii="宋体" w:hAnsi="宋体" w:eastAsia="宋体" w:cs="宋体"/>
                <w:color w:val="000000" w:themeColor="text1"/>
                <w:kern w:val="0"/>
                <w:sz w:val="24"/>
                <w:szCs w:val="24"/>
                <w:lang w:val="en-US" w:eastAsia="zh-CN" w:bidi="ar"/>
                <w14:textFill>
                  <w14:solidFill>
                    <w14:schemeClr w14:val="tx1"/>
                  </w14:solidFill>
                </w14:textFill>
              </w:rPr>
              <w:t>合理安排施工时间，禁止在夜间二十二时至次日六时进行产生环境噪声污染的建筑施工作业。确因工程需要必须连续作业的，应当提前报所在地环境保护行政主管部门批准，并公告附近居民。</w:t>
            </w:r>
          </w:p>
          <w:p w14:paraId="0AF5774F">
            <w:pPr>
              <w:keepNext w:val="0"/>
              <w:keepLines w:val="0"/>
              <w:widowControl/>
              <w:suppressLineNumbers w:val="0"/>
              <w:spacing w:before="0" w:beforeAutospacing="0" w:after="0" w:afterAutospacing="0"/>
              <w:ind w:left="0" w:right="0"/>
              <w:jc w:val="left"/>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⑵优化运输路线，车辆应避免经过敏感路段。</w:t>
            </w:r>
          </w:p>
          <w:p w14:paraId="0F7F09DD">
            <w:pPr>
              <w:keepNext w:val="0"/>
              <w:keepLines w:val="0"/>
              <w:widowControl/>
              <w:suppressLineNumbers w:val="0"/>
              <w:spacing w:before="0" w:beforeAutospacing="0" w:after="0" w:afterAutospacing="0"/>
              <w:ind w:left="0" w:right="0"/>
              <w:jc w:val="left"/>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begin"/>
            </w:r>
            <w:r>
              <w:rPr>
                <w:rFonts w:hint="eastAsia" w:ascii="宋体" w:hAnsi="宋体" w:eastAsia="宋体" w:cs="宋体"/>
                <w:color w:val="000000" w:themeColor="text1"/>
                <w:kern w:val="0"/>
                <w:sz w:val="24"/>
                <w:szCs w:val="24"/>
                <w:lang w:val="en-US" w:eastAsia="zh-CN" w:bidi="ar"/>
                <w14:textFill>
                  <w14:solidFill>
                    <w14:schemeClr w14:val="tx1"/>
                  </w14:solidFill>
                </w14:textFill>
              </w:rPr>
              <w:instrText xml:space="preserve"> = 3 \* GB2 \* MERGEFORMAT </w:instrTex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separate"/>
            </w:r>
            <w:r>
              <w:rPr>
                <w:color w:val="000000" w:themeColor="text1"/>
                <w14:textFill>
                  <w14:solidFill>
                    <w14:schemeClr w14:val="tx1"/>
                  </w14:solidFill>
                </w14:textFill>
              </w:rPr>
              <w:t>⑶</w: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end"/>
            </w:r>
            <w:r>
              <w:rPr>
                <w:rFonts w:hint="eastAsia" w:ascii="宋体" w:hAnsi="宋体" w:eastAsia="宋体" w:cs="宋体"/>
                <w:color w:val="000000" w:themeColor="text1"/>
                <w:kern w:val="0"/>
                <w:sz w:val="24"/>
                <w:szCs w:val="24"/>
                <w:lang w:val="en-US" w:eastAsia="zh-CN" w:bidi="ar"/>
                <w14:textFill>
                  <w14:solidFill>
                    <w14:schemeClr w14:val="tx1"/>
                  </w14:solidFill>
                </w14:textFill>
              </w:rPr>
              <w:t>选用低噪声设备，分片区施工，加强生产设备的日常维护和维修等，定期检修设备，使其处于良好的运转状态；</w:t>
            </w:r>
          </w:p>
          <w:p w14:paraId="1229F30B">
            <w:pPr>
              <w:keepNext w:val="0"/>
              <w:keepLines w:val="0"/>
              <w:widowControl/>
              <w:suppressLineNumbers w:val="0"/>
              <w:spacing w:before="0" w:beforeAutospacing="0" w:after="0" w:afterAutospacing="0"/>
              <w:ind w:left="0" w:right="0"/>
              <w:jc w:val="left"/>
              <w:rPr>
                <w:rFonts w:hint="default" w:cs="Times New Roman"/>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begin"/>
            </w:r>
            <w:r>
              <w:rPr>
                <w:rFonts w:hint="eastAsia" w:ascii="宋体" w:hAnsi="宋体" w:eastAsia="宋体" w:cs="宋体"/>
                <w:color w:val="000000" w:themeColor="text1"/>
                <w:kern w:val="0"/>
                <w:sz w:val="24"/>
                <w:szCs w:val="24"/>
                <w:lang w:val="en-US" w:eastAsia="zh-CN" w:bidi="ar"/>
                <w14:textFill>
                  <w14:solidFill>
                    <w14:schemeClr w14:val="tx1"/>
                  </w14:solidFill>
                </w14:textFill>
              </w:rPr>
              <w:instrText xml:space="preserve"> = 4 \* GB2 \* MERGEFORMAT </w:instrTex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separate"/>
            </w:r>
            <w:r>
              <w:rPr>
                <w:color w:val="000000" w:themeColor="text1"/>
                <w14:textFill>
                  <w14:solidFill>
                    <w14:schemeClr w14:val="tx1"/>
                  </w14:solidFill>
                </w14:textFill>
              </w:rPr>
              <w:t>⑷</w:t>
            </w:r>
            <w:r>
              <w:rPr>
                <w:rFonts w:hint="eastAsia" w:ascii="宋体" w:hAnsi="宋体" w:eastAsia="宋体" w:cs="宋体"/>
                <w:color w:val="000000" w:themeColor="text1"/>
                <w:kern w:val="0"/>
                <w:sz w:val="24"/>
                <w:szCs w:val="24"/>
                <w:lang w:val="en-US" w:eastAsia="zh-CN" w:bidi="ar"/>
                <w14:textFill>
                  <w14:solidFill>
                    <w14:schemeClr w14:val="tx1"/>
                  </w14:solidFill>
                </w14:textFill>
              </w:rPr>
              <w:fldChar w:fldCharType="end"/>
            </w:r>
            <w:r>
              <w:rPr>
                <w:rFonts w:hint="eastAsia" w:ascii="宋体" w:hAnsi="宋体" w:eastAsia="宋体" w:cs="宋体"/>
                <w:color w:val="000000" w:themeColor="text1"/>
                <w:kern w:val="0"/>
                <w:sz w:val="24"/>
                <w:szCs w:val="24"/>
                <w:lang w:val="en-US" w:eastAsia="zh-CN" w:bidi="ar"/>
                <w14:textFill>
                  <w14:solidFill>
                    <w14:schemeClr w14:val="tx1"/>
                  </w14:solidFill>
                </w14:textFill>
              </w:rPr>
              <w:t>同一施工地点应避免安排大量动力机械设备，以免局部累积声级过高。通过采取上述综合降噪措施，可有效降低施工过程噪声对周围环境的影响，确保施工期各项施工活动产生的噪声达到《建筑施工场界环境噪声排放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GB12523-2011</w:t>
            </w:r>
            <w:r>
              <w:rPr>
                <w:rFonts w:hint="eastAsia" w:ascii="宋体" w:hAnsi="宋体" w:eastAsia="宋体" w:cs="宋体"/>
                <w:color w:val="000000" w:themeColor="text1"/>
                <w:kern w:val="0"/>
                <w:sz w:val="24"/>
                <w:szCs w:val="24"/>
                <w:lang w:val="en-US" w:eastAsia="zh-CN" w:bidi="ar"/>
                <w14:textFill>
                  <w14:solidFill>
                    <w14:schemeClr w14:val="tx1"/>
                  </w14:solidFill>
                </w14:textFill>
              </w:rPr>
              <w:t>）中的相关规定限值要求，对周围环境影响较小。</w:t>
            </w:r>
          </w:p>
          <w:p w14:paraId="5012A0DF">
            <w:pPr>
              <w:pStyle w:val="2"/>
              <w:bidi w:val="0"/>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、施工期固体废物处理措施</w:t>
            </w:r>
          </w:p>
          <w:p w14:paraId="611A0B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54" w:firstLineChars="200"/>
              <w:textAlignment w:val="auto"/>
              <w:rPr>
                <w:rFonts w:hint="eastAsia" w:cs="Times New Roman"/>
                <w:snapToGrid w:val="0"/>
                <w:color w:val="000000" w:themeColor="text1"/>
                <w:sz w:val="24"/>
                <w14:textFill>
                  <w14:solidFill>
                    <w14:schemeClr w14:val="tx1"/>
                  </w14:solidFill>
                </w14:textFill>
              </w:rPr>
            </w:pPr>
            <w:r>
              <w:rPr>
                <w:rFonts w:hint="default" w:cs="Times New Roman"/>
                <w:snapToGrid w:val="0"/>
                <w:color w:val="000000" w:themeColor="text1"/>
                <w:sz w:val="24"/>
                <w14:textFill>
                  <w14:solidFill>
                    <w14:schemeClr w14:val="tx1"/>
                  </w14:solidFill>
                </w14:textFill>
              </w:rPr>
              <w:t>本工程施工期的固体废弃物主要来源为</w:t>
            </w:r>
            <w:r>
              <w:rPr>
                <w:rFonts w:hint="eastAsia" w:cs="Times New Roman"/>
                <w:snapToGrid w:val="0"/>
                <w:color w:val="000000" w:themeColor="text1"/>
                <w:sz w:val="24"/>
                <w:lang w:val="en-US" w:eastAsia="zh-CN"/>
                <w14:textFill>
                  <w14:solidFill>
                    <w14:schemeClr w14:val="tx1"/>
                  </w14:solidFill>
                </w14:textFill>
              </w:rPr>
              <w:t>生活垃圾</w:t>
            </w:r>
            <w:r>
              <w:rPr>
                <w:rFonts w:hint="eastAsia" w:cs="Times New Roman"/>
                <w:snapToGrid w:val="0"/>
                <w:color w:val="000000" w:themeColor="text1"/>
                <w:sz w:val="24"/>
                <w14:textFill>
                  <w14:solidFill>
                    <w14:schemeClr w14:val="tx1"/>
                  </w14:solidFill>
                </w14:textFill>
              </w:rPr>
              <w:t>。项目区不设置施工生活营地，施工生活营地依托周边村庄</w:t>
            </w:r>
            <w:r>
              <w:rPr>
                <w:rFonts w:hint="eastAsia" w:cs="Times New Roman"/>
                <w:snapToGrid w:val="0"/>
                <w:color w:val="000000" w:themeColor="text1"/>
                <w:sz w:val="24"/>
                <w:lang w:eastAsia="zh-CN"/>
                <w14:textFill>
                  <w14:solidFill>
                    <w14:schemeClr w14:val="tx1"/>
                  </w14:solidFill>
                </w14:textFill>
              </w:rPr>
              <w:t>。</w:t>
            </w:r>
            <w:r>
              <w:rPr>
                <w:rFonts w:hint="eastAsia" w:cs="Times New Roman"/>
                <w:snapToGrid w:val="0"/>
                <w:color w:val="000000" w:themeColor="text1"/>
                <w:sz w:val="24"/>
                <w14:textFill>
                  <w14:solidFill>
                    <w14:schemeClr w14:val="tx1"/>
                  </w14:solidFill>
                </w14:textFill>
              </w:rPr>
              <w:t>生活垃圾集中分类收集后送至邻近村庄生活垃圾收集点，由当地环卫部门统一清运处置。</w:t>
            </w:r>
          </w:p>
          <w:p w14:paraId="1EF822AB">
            <w:pPr>
              <w:pStyle w:val="2"/>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default"/>
                <w:color w:val="000000" w:themeColor="text1"/>
                <w14:textFill>
                  <w14:solidFill>
                    <w14:schemeClr w14:val="tx1"/>
                  </w14:solidFill>
                </w14:textFill>
              </w:rPr>
              <w:t>施工期生态环境保护措施可行性分析</w:t>
            </w:r>
          </w:p>
          <w:p w14:paraId="0473BB50">
            <w:pPr>
              <w:keepNext w:val="0"/>
              <w:keepLines w:val="0"/>
              <w:suppressLineNumbers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⑴技术可行性</w:t>
            </w:r>
          </w:p>
          <w:p w14:paraId="3AE733B0">
            <w:pPr>
              <w:keepNext w:val="0"/>
              <w:keepLines w:val="0"/>
              <w:suppressLineNumbers w:val="0"/>
              <w:bidi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根据项目所在地的地形地貌及自然生态条件，对</w:t>
            </w:r>
            <w:r>
              <w:rPr>
                <w:rFonts w:hint="eastAsia" w:ascii="宋体" w:hAnsi="宋体" w:cs="宋体"/>
                <w:b w:val="0"/>
                <w:bCs w:val="0"/>
                <w:color w:val="000000" w:themeColor="text1"/>
                <w:sz w:val="24"/>
                <w:szCs w:val="24"/>
                <w:lang w:val="en-US" w:eastAsia="zh-CN"/>
                <w14:textFill>
                  <w14:solidFill>
                    <w14:schemeClr w14:val="tx1"/>
                  </w14:solidFill>
                </w14:textFill>
              </w:rPr>
              <w:t>历史遗留矿山通过</w:t>
            </w:r>
            <w:r>
              <w:rPr>
                <w:rFonts w:hint="eastAsia" w:cs="Times New Roman"/>
                <w:color w:val="000000" w:themeColor="text1"/>
                <w:lang w:val="en-US" w:eastAsia="zh-CN"/>
                <w14:textFill>
                  <w14:solidFill>
                    <w14:schemeClr w14:val="tx1"/>
                  </w14:solidFill>
                </w14:textFill>
              </w:rPr>
              <w:t>高边坡治理工程、地形地貌恢复工程、标识牌及卡口设立</w:t>
            </w:r>
            <w:r>
              <w:rPr>
                <w:rFonts w:hint="eastAsia" w:ascii="宋体" w:hAnsi="宋体" w:eastAsia="宋体" w:cs="宋体"/>
                <w:color w:val="000000" w:themeColor="text1"/>
                <w:kern w:val="0"/>
                <w:sz w:val="24"/>
                <w:szCs w:val="24"/>
                <w:lang w:val="en-US" w:eastAsia="zh-CN" w:bidi="ar"/>
                <w14:textFill>
                  <w14:solidFill>
                    <w14:schemeClr w14:val="tx1"/>
                  </w14:solidFill>
                </w14:textFill>
              </w:rPr>
              <w:t>等工程措施</w:t>
            </w:r>
            <w:r>
              <w:rPr>
                <w:rFonts w:hint="eastAsia" w:ascii="宋体" w:hAnsi="宋体" w:cs="宋体"/>
                <w:b w:val="0"/>
                <w:bCs w:val="0"/>
                <w:color w:val="000000" w:themeColor="text1"/>
                <w:sz w:val="24"/>
                <w:szCs w:val="24"/>
                <w:lang w:val="en-US" w:eastAsia="zh-CN"/>
                <w14:textFill>
                  <w14:solidFill>
                    <w14:schemeClr w14:val="tx1"/>
                  </w14:solidFill>
                </w14:textFill>
              </w:rPr>
              <w:t>进行生态修复治理，可对</w:t>
            </w:r>
            <w:r>
              <w:rPr>
                <w:rFonts w:hint="default" w:ascii="宋体" w:hAnsi="宋体" w:eastAsia="宋体" w:cs="宋体"/>
                <w:b w:val="0"/>
                <w:bCs w:val="0"/>
                <w:color w:val="000000" w:themeColor="text1"/>
                <w:sz w:val="24"/>
                <w:szCs w:val="24"/>
                <w14:textFill>
                  <w14:solidFill>
                    <w14:schemeClr w14:val="tx1"/>
                  </w14:solidFill>
                </w14:textFill>
              </w:rPr>
              <w:t>原有已被破坏的土地进行质量提升，恢复占地区域原本的生态功能</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default" w:ascii="宋体" w:hAnsi="宋体" w:eastAsia="宋体" w:cs="宋体"/>
                <w:b w:val="0"/>
                <w:bCs w:val="0"/>
                <w:color w:val="000000" w:themeColor="text1"/>
                <w:sz w:val="24"/>
                <w:szCs w:val="24"/>
                <w14:textFill>
                  <w14:solidFill>
                    <w14:schemeClr w14:val="tx1"/>
                  </w14:solidFill>
                </w14:textFill>
              </w:rPr>
              <w:t>并且制定了监测及管护制度。</w:t>
            </w:r>
          </w:p>
          <w:p w14:paraId="6BEAA758">
            <w:pPr>
              <w:keepNext w:val="0"/>
              <w:keepLines w:val="0"/>
              <w:suppressLineNumbers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⑵经济合理性</w:t>
            </w:r>
          </w:p>
          <w:p w14:paraId="42B315B3">
            <w:pPr>
              <w:keepNext w:val="0"/>
              <w:keepLines w:val="0"/>
              <w:suppressLineNumbers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项目的实施不仅可以为周边城镇、居民提供一个安全、优美的生存环境，同时还可以解决周边村镇劳动力的就业问题，治理后项目区地形地貌环境将得到巨大改善，能够为地方创造一个更好的投资、营商环境，为吸引投资发展创造良好的周边环境，对于吸引资金投入，促进地方经济的发展具有重要意义。可见本次治理所产生的直接或间接的经济效益，是巨大的，也是长远的。</w:t>
            </w:r>
          </w:p>
          <w:p w14:paraId="463E799D">
            <w:pPr>
              <w:keepNext w:val="0"/>
              <w:keepLines w:val="0"/>
              <w:suppressLineNumbers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⑶生态保护和修复效果可达性</w:t>
            </w:r>
          </w:p>
          <w:p w14:paraId="65EEFF6A">
            <w:pPr>
              <w:keepNext w:val="0"/>
              <w:keepLines w:val="0"/>
              <w:suppressLineNumbers w:val="0"/>
              <w:spacing w:before="0" w:beforeAutospacing="0" w:after="0" w:afterAutospacing="0"/>
              <w:ind w:left="0" w:right="0"/>
              <w:rPr>
                <w:rFonts w:hint="default" w:ascii="宋体" w:hAnsi="宋体" w:eastAsia="宋体" w:cs="宋体"/>
                <w:b w:val="0"/>
                <w:bCs w:val="0"/>
                <w:color w:val="000000" w:themeColor="text1"/>
                <w:sz w:val="24"/>
                <w:szCs w:val="24"/>
                <w14:textFill>
                  <w14:solidFill>
                    <w14:schemeClr w14:val="tx1"/>
                  </w14:solidFill>
                </w14:textFill>
              </w:rPr>
            </w:pPr>
            <w:r>
              <w:rPr>
                <w:rFonts w:hint="default" w:ascii="宋体" w:hAnsi="宋体" w:eastAsia="宋体" w:cs="宋体"/>
                <w:b w:val="0"/>
                <w:bCs w:val="0"/>
                <w:color w:val="000000" w:themeColor="text1"/>
                <w:sz w:val="24"/>
                <w:szCs w:val="24"/>
                <w14:textFill>
                  <w14:solidFill>
                    <w14:schemeClr w14:val="tx1"/>
                  </w14:solidFill>
                </w14:textFill>
              </w:rPr>
              <w:t>治理后的项目区可消除地质灾害隐患，恢复地形地貌，与周边自然地貌相得益彰。项目实施后可有效防止水土流失；修复破碎的地形地貌，改善当地的生态环境条件。施工期废水、废气、噪声、固体废物治理措施、生态影响防治措施均为经济合理、技术可行、并可运行稳定的治理措施，项目严格落实本报告提出的生态环境保护措施，对环境产生的影响在可接受范围之内，故措施可行。</w:t>
            </w:r>
          </w:p>
          <w:p w14:paraId="68D4E9F8">
            <w:pPr>
              <w:pStyle w:val="2"/>
              <w:numPr>
                <w:ilvl w:val="0"/>
                <w:numId w:val="0"/>
              </w:numPr>
              <w:bidi w:val="0"/>
              <w:ind w:left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7、生态恢复措施目标</w:t>
            </w:r>
          </w:p>
          <w:p w14:paraId="5DB733DA">
            <w:pPr>
              <w:keepNext w:val="0"/>
              <w:keepLines w:val="0"/>
              <w:suppressLineNumbers w:val="0"/>
              <w:bidi w:val="0"/>
              <w:spacing w:before="0" w:beforeAutospacing="0" w:after="0" w:afterAutospacing="0"/>
              <w:ind w:left="0" w:right="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本项目的实施对生态环境有一定的保护效果，具体措施及最终目标详见表5-1。</w:t>
            </w:r>
          </w:p>
          <w:p w14:paraId="38804846">
            <w:pPr>
              <w:pStyle w:val="3"/>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表5-1  本项目具体保护措施及最终修复效果一览表</w:t>
            </w:r>
          </w:p>
          <w:tbl>
            <w:tblPr>
              <w:tblStyle w:val="27"/>
              <w:tblW w:w="82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358"/>
              <w:gridCol w:w="3272"/>
              <w:gridCol w:w="2315"/>
            </w:tblGrid>
            <w:tr w14:paraId="4EA461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334" w:type="dxa"/>
                  <w:noWrap w:val="0"/>
                  <w:vAlign w:val="center"/>
                </w:tcPr>
                <w:p w14:paraId="00094771">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治理区编号</w:t>
                  </w:r>
                </w:p>
              </w:tc>
              <w:tc>
                <w:tcPr>
                  <w:tcW w:w="1358" w:type="dxa"/>
                  <w:noWrap w:val="0"/>
                  <w:vAlign w:val="center"/>
                </w:tcPr>
                <w:p w14:paraId="390FB4B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修复</w:t>
                  </w: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面积（hm</w:t>
                  </w:r>
                  <w:r>
                    <w:rPr>
                      <w:rFonts w:hint="default" w:ascii="Times New Roman" w:hAnsi="Times New Roman" w:eastAsia="宋体" w:cs="Times New Roman"/>
                      <w:b/>
                      <w:bCs/>
                      <w:color w:val="000000" w:themeColor="text1"/>
                      <w:kern w:val="0"/>
                      <w:sz w:val="21"/>
                      <w:szCs w:val="21"/>
                      <w:vertAlign w:val="superscript"/>
                      <w:lang w:val="en-US" w:eastAsia="zh-CN" w:bidi="ar-SA"/>
                      <w14:textFill>
                        <w14:solidFill>
                          <w14:schemeClr w14:val="tx1"/>
                        </w14:solidFill>
                      </w14:textFill>
                    </w:rPr>
                    <w:t>2</w:t>
                  </w: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w:t>
                  </w:r>
                </w:p>
              </w:tc>
              <w:tc>
                <w:tcPr>
                  <w:tcW w:w="3272" w:type="dxa"/>
                  <w:noWrap w:val="0"/>
                  <w:vAlign w:val="center"/>
                </w:tcPr>
                <w:p w14:paraId="2BB7620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具体</w:t>
                  </w:r>
                  <w:r>
                    <w:rPr>
                      <w:rFonts w:hint="eastAsia" w:cs="Times New Roman"/>
                      <w:b/>
                      <w:bCs/>
                      <w:color w:val="000000" w:themeColor="text1"/>
                      <w:kern w:val="0"/>
                      <w:sz w:val="21"/>
                      <w:szCs w:val="21"/>
                      <w:lang w:val="en-US" w:eastAsia="zh-CN" w:bidi="ar-SA"/>
                      <w14:textFill>
                        <w14:solidFill>
                          <w14:schemeClr w14:val="tx1"/>
                        </w14:solidFill>
                      </w14:textFill>
                    </w:rPr>
                    <w:t>保护</w:t>
                  </w: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措施</w:t>
                  </w:r>
                </w:p>
              </w:tc>
              <w:tc>
                <w:tcPr>
                  <w:tcW w:w="2315" w:type="dxa"/>
                  <w:noWrap w:val="0"/>
                  <w:vAlign w:val="center"/>
                </w:tcPr>
                <w:p w14:paraId="13671C1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t>最终修复</w:t>
                  </w:r>
                  <w:r>
                    <w:rPr>
                      <w:rFonts w:hint="eastAsia" w:cs="Times New Roman"/>
                      <w:b/>
                      <w:bCs/>
                      <w:color w:val="000000" w:themeColor="text1"/>
                      <w:kern w:val="0"/>
                      <w:sz w:val="21"/>
                      <w:szCs w:val="21"/>
                      <w:lang w:val="en-US" w:eastAsia="zh-CN" w:bidi="ar-SA"/>
                      <w14:textFill>
                        <w14:solidFill>
                          <w14:schemeClr w14:val="tx1"/>
                        </w14:solidFill>
                      </w14:textFill>
                    </w:rPr>
                    <w:t>目标</w:t>
                  </w:r>
                </w:p>
              </w:tc>
            </w:tr>
            <w:tr w14:paraId="4A4AF3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7C6C7D7D">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DK-01</w:t>
                  </w:r>
                </w:p>
              </w:tc>
              <w:tc>
                <w:tcPr>
                  <w:tcW w:w="1358" w:type="dxa"/>
                  <w:noWrap w:val="0"/>
                  <w:vAlign w:val="center"/>
                </w:tcPr>
                <w:p w14:paraId="49B406D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0.84</w:t>
                  </w:r>
                </w:p>
              </w:tc>
              <w:tc>
                <w:tcPr>
                  <w:tcW w:w="3272" w:type="dxa"/>
                  <w:noWrap w:val="0"/>
                  <w:vAlign w:val="center"/>
                </w:tcPr>
                <w:p w14:paraId="5B36BC3B">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共</w:t>
                  </w:r>
                  <w:r>
                    <w:rPr>
                      <w:rFonts w:hint="eastAsia"/>
                      <w:color w:val="000000" w:themeColor="text1"/>
                      <w:lang w:val="en-US" w:eastAsia="zh-CN"/>
                      <w14:textFill>
                        <w14:solidFill>
                          <w14:schemeClr w14:val="tx1"/>
                        </w14:solidFill>
                      </w14:textFill>
                    </w:rPr>
                    <w:t>分为4个小分区，其中2个分区进行边坡治理，2个分区进行土地平整</w:t>
                  </w:r>
                </w:p>
              </w:tc>
              <w:tc>
                <w:tcPr>
                  <w:tcW w:w="2315" w:type="dxa"/>
                  <w:noWrap w:val="0"/>
                  <w:vAlign w:val="center"/>
                </w:tcPr>
                <w:p w14:paraId="73E4030B">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边坡治理，土地平整</w:t>
                  </w:r>
                </w:p>
              </w:tc>
            </w:tr>
            <w:tr w14:paraId="4ECBE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12AD53E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2</w:t>
                  </w:r>
                </w:p>
              </w:tc>
              <w:tc>
                <w:tcPr>
                  <w:tcW w:w="1358" w:type="dxa"/>
                  <w:noWrap w:val="0"/>
                  <w:vAlign w:val="center"/>
                </w:tcPr>
                <w:p w14:paraId="34F33BCA">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15.49</w:t>
                  </w:r>
                </w:p>
              </w:tc>
              <w:tc>
                <w:tcPr>
                  <w:tcW w:w="3272" w:type="dxa"/>
                  <w:noWrap w:val="0"/>
                  <w:vAlign w:val="center"/>
                </w:tcPr>
                <w:p w14:paraId="185563F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共分为7个小分区，其中有3个分区进行地形地貌恢复工程，2个分区进行废弃渣堆回填，1个分区进行边坡削坡整治，1个分区进行采矿坑回填</w:t>
                  </w:r>
                </w:p>
              </w:tc>
              <w:tc>
                <w:tcPr>
                  <w:tcW w:w="2315" w:type="dxa"/>
                  <w:noWrap w:val="0"/>
                  <w:vAlign w:val="center"/>
                </w:tcPr>
                <w:p w14:paraId="1EF3A0CE">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渣堆已回填，边坡已整治，矿坑已回填</w:t>
                  </w:r>
                </w:p>
              </w:tc>
            </w:tr>
            <w:tr w14:paraId="5B77B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23B8C95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3</w:t>
                  </w:r>
                </w:p>
              </w:tc>
              <w:tc>
                <w:tcPr>
                  <w:tcW w:w="1358" w:type="dxa"/>
                  <w:noWrap w:val="0"/>
                  <w:vAlign w:val="center"/>
                </w:tcPr>
                <w:p w14:paraId="40CD0D76">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4.34</w:t>
                  </w:r>
                </w:p>
              </w:tc>
              <w:tc>
                <w:tcPr>
                  <w:tcW w:w="3272" w:type="dxa"/>
                  <w:noWrap w:val="0"/>
                  <w:vAlign w:val="center"/>
                </w:tcPr>
                <w:p w14:paraId="27325CF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color w:val="000000" w:themeColor="text1"/>
                      <w14:textFill>
                        <w14:solidFill>
                          <w14:schemeClr w14:val="tx1"/>
                        </w14:solidFill>
                      </w14:textFill>
                    </w:rPr>
                    <w:t>DK-0</w:t>
                  </w:r>
                  <w:r>
                    <w:rPr>
                      <w:rFonts w:hint="eastAsia"/>
                      <w:color w:val="000000" w:themeColor="text1"/>
                      <w:lang w:val="en-US" w:eastAsia="zh-CN"/>
                      <w14:textFill>
                        <w14:solidFill>
                          <w14:schemeClr w14:val="tx1"/>
                        </w14:solidFill>
                      </w14:textFill>
                    </w:rPr>
                    <w:t>3治理区主要进行边坡治理</w:t>
                  </w:r>
                </w:p>
              </w:tc>
              <w:tc>
                <w:tcPr>
                  <w:tcW w:w="2315" w:type="dxa"/>
                  <w:noWrap w:val="0"/>
                  <w:vAlign w:val="center"/>
                </w:tcPr>
                <w:p w14:paraId="177C6A2A">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边坡已整治</w:t>
                  </w:r>
                </w:p>
              </w:tc>
            </w:tr>
            <w:tr w14:paraId="2C5C9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0250581B">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w:t>
                  </w:r>
                </w:p>
              </w:tc>
              <w:tc>
                <w:tcPr>
                  <w:tcW w:w="1358" w:type="dxa"/>
                  <w:noWrap w:val="0"/>
                  <w:vAlign w:val="center"/>
                </w:tcPr>
                <w:p w14:paraId="65ECC31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8.1</w:t>
                  </w:r>
                </w:p>
              </w:tc>
              <w:tc>
                <w:tcPr>
                  <w:tcW w:w="3272" w:type="dxa"/>
                  <w:noWrap w:val="0"/>
                  <w:vAlign w:val="center"/>
                </w:tcPr>
                <w:p w14:paraId="5CD4F83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共分为4个小分区，其中有3个分区进行土地平整，1个区域进行采矿坑回填，另对边坡进行削坡治理</w:t>
                  </w:r>
                </w:p>
              </w:tc>
              <w:tc>
                <w:tcPr>
                  <w:tcW w:w="2315" w:type="dxa"/>
                  <w:noWrap w:val="0"/>
                  <w:vAlign w:val="center"/>
                </w:tcPr>
                <w:p w14:paraId="76CAC40C">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土地已平整，矿坑已回填，边坡已整治</w:t>
                  </w:r>
                </w:p>
              </w:tc>
            </w:tr>
            <w:tr w14:paraId="56A705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79F1DF82">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1358" w:type="dxa"/>
                  <w:noWrap w:val="0"/>
                  <w:vAlign w:val="center"/>
                </w:tcPr>
                <w:p w14:paraId="02EEC017">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2.6</w:t>
                  </w:r>
                </w:p>
              </w:tc>
              <w:tc>
                <w:tcPr>
                  <w:tcW w:w="3272" w:type="dxa"/>
                  <w:noWrap w:val="0"/>
                  <w:vAlign w:val="center"/>
                </w:tcPr>
                <w:p w14:paraId="6677E24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共分为7个小分区，对7个分区均进行土地平整地形地貌恢复工程，另对边坡进行削坡治理</w:t>
                  </w:r>
                </w:p>
              </w:tc>
              <w:tc>
                <w:tcPr>
                  <w:tcW w:w="2315" w:type="dxa"/>
                  <w:noWrap w:val="0"/>
                  <w:vAlign w:val="center"/>
                </w:tcPr>
                <w:p w14:paraId="7E537408">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地形地貌已恢复，边坡已整治</w:t>
                  </w:r>
                </w:p>
              </w:tc>
            </w:tr>
            <w:tr w14:paraId="1F083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7EBE6AA3">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6</w:t>
                  </w:r>
                </w:p>
              </w:tc>
              <w:tc>
                <w:tcPr>
                  <w:tcW w:w="1358" w:type="dxa"/>
                  <w:noWrap w:val="0"/>
                  <w:vAlign w:val="center"/>
                </w:tcPr>
                <w:p w14:paraId="2E7A95AF">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0.65</w:t>
                  </w:r>
                </w:p>
              </w:tc>
              <w:tc>
                <w:tcPr>
                  <w:tcW w:w="3272" w:type="dxa"/>
                  <w:noWrap w:val="0"/>
                  <w:vAlign w:val="center"/>
                </w:tcPr>
                <w:p w14:paraId="3434FCA3">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主要进行形地貌恢复工程及边坡治理</w:t>
                  </w:r>
                </w:p>
              </w:tc>
              <w:tc>
                <w:tcPr>
                  <w:tcW w:w="2315" w:type="dxa"/>
                  <w:noWrap w:val="0"/>
                  <w:vAlign w:val="center"/>
                </w:tcPr>
                <w:p w14:paraId="4C3C3E71">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地形地貌已恢复，边坡已整治</w:t>
                  </w:r>
                </w:p>
              </w:tc>
            </w:tr>
            <w:tr w14:paraId="02F8E2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334" w:type="dxa"/>
                  <w:noWrap w:val="0"/>
                  <w:vAlign w:val="center"/>
                </w:tcPr>
                <w:p w14:paraId="21AA9949">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DK-0</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7</w:t>
                  </w:r>
                </w:p>
              </w:tc>
              <w:tc>
                <w:tcPr>
                  <w:tcW w:w="1358" w:type="dxa"/>
                  <w:noWrap w:val="0"/>
                  <w:vAlign w:val="center"/>
                </w:tcPr>
                <w:p w14:paraId="4E311055">
                  <w:pPr>
                    <w:keepNext w:val="0"/>
                    <w:keepLines w:val="0"/>
                    <w:widowControl w:val="0"/>
                    <w:suppressLineNumbers w:val="0"/>
                    <w:bidi w:val="0"/>
                    <w:adjustRightInd w:val="0"/>
                    <w:snapToGrid w:val="0"/>
                    <w:spacing w:before="10" w:beforeLines="10" w:beforeAutospacing="0" w:after="10" w:afterLines="1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1.76</w:t>
                  </w:r>
                </w:p>
              </w:tc>
              <w:tc>
                <w:tcPr>
                  <w:tcW w:w="3272" w:type="dxa"/>
                  <w:noWrap w:val="0"/>
                  <w:vAlign w:val="center"/>
                </w:tcPr>
                <w:p w14:paraId="782F877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主要进行形地貌恢复工程及边坡治理</w:t>
                  </w:r>
                </w:p>
              </w:tc>
              <w:tc>
                <w:tcPr>
                  <w:tcW w:w="2315" w:type="dxa"/>
                  <w:noWrap w:val="0"/>
                  <w:vAlign w:val="center"/>
                </w:tcPr>
                <w:p w14:paraId="4C0A5F4E">
                  <w:pPr>
                    <w:pStyle w:val="3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地形地貌已恢复，边坡已整治</w:t>
                  </w:r>
                </w:p>
              </w:tc>
            </w:tr>
          </w:tbl>
          <w:p w14:paraId="4E85CAD3">
            <w:pPr>
              <w:numPr>
                <w:ilvl w:val="0"/>
                <w:numId w:val="0"/>
              </w:numPr>
              <w:ind w:leftChars="0"/>
              <w:rPr>
                <w:rFonts w:hint="eastAsia"/>
                <w:color w:val="000000" w:themeColor="text1"/>
                <w:lang w:val="en-US" w:eastAsia="zh-CN"/>
                <w14:textFill>
                  <w14:solidFill>
                    <w14:schemeClr w14:val="tx1"/>
                  </w14:solidFill>
                </w14:textFill>
              </w:rPr>
            </w:pPr>
          </w:p>
        </w:tc>
      </w:tr>
      <w:tr w14:paraId="7207A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691" w:type="dxa"/>
            <w:noWrap w:val="0"/>
            <w:tcMar>
              <w:left w:w="28" w:type="dxa"/>
              <w:right w:w="28" w:type="dxa"/>
            </w:tcMar>
            <w:vAlign w:val="center"/>
          </w:tcPr>
          <w:p w14:paraId="2DFFF9C7">
            <w:pPr>
              <w:keepNext w:val="0"/>
              <w:keepLines w:val="0"/>
              <w:suppressLineNumbers w:val="0"/>
              <w:bidi w:val="0"/>
              <w:spacing w:before="0" w:beforeAutospacing="0" w:after="0" w:afterAutospacing="0"/>
              <w:ind w:left="0" w:leftChars="0" w:right="0" w:firstLine="0" w:firstLineChars="0"/>
              <w:jc w:val="center"/>
              <w:rPr>
                <w:rFonts w:hint="default" w:cs="Times New Roman"/>
                <w:bCs/>
                <w:color w:val="000000" w:themeColor="text1"/>
                <w:spacing w:val="10"/>
                <w:szCs w:val="21"/>
                <w14:textFill>
                  <w14:solidFill>
                    <w14:schemeClr w14:val="tx1"/>
                  </w14:solidFill>
                </w14:textFill>
              </w:rPr>
            </w:pPr>
            <w:r>
              <w:rPr>
                <w:rFonts w:hint="default" w:cs="Times New Roman"/>
                <w:b/>
                <w:bCs/>
                <w:color w:val="000000" w:themeColor="text1"/>
                <w14:textFill>
                  <w14:solidFill>
                    <w14:schemeClr w14:val="tx1"/>
                  </w14:solidFill>
                </w14:textFill>
              </w:rPr>
              <w:t>运营期生态环境保护措施</w:t>
            </w:r>
          </w:p>
        </w:tc>
        <w:tc>
          <w:tcPr>
            <w:tcW w:w="8519" w:type="dxa"/>
            <w:noWrap w:val="0"/>
            <w:vAlign w:val="center"/>
          </w:tcPr>
          <w:p w14:paraId="7C38F570">
            <w:pPr>
              <w:keepNext w:val="0"/>
              <w:keepLines w:val="0"/>
              <w:widowControl/>
              <w:suppressLineNumbers w:val="0"/>
              <w:spacing w:before="0" w:beforeAutospacing="0" w:after="0" w:afterAutospacing="0"/>
              <w:ind w:left="0" w:right="0"/>
              <w:jc w:val="both"/>
              <w:rPr>
                <w:rFonts w:hint="eastAsia" w:eastAsia="宋体" w:cs="Times New Roman"/>
                <w:bCs/>
                <w:color w:val="000000" w:themeColor="text1"/>
                <w:spacing w:val="11"/>
                <w:sz w:val="24"/>
                <w:lang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本项目为历史遗留废弃矿山地质环境进行生态修复治理，</w:t>
            </w:r>
            <w:r>
              <w:rPr>
                <w:rFonts w:hint="default" w:ascii="宋体" w:hAnsi="宋体" w:eastAsia="宋体" w:cs="宋体"/>
                <w:b w:val="0"/>
                <w:bCs w:val="0"/>
                <w:color w:val="000000" w:themeColor="text1"/>
                <w:sz w:val="24"/>
                <w:szCs w:val="24"/>
                <w14:textFill>
                  <w14:solidFill>
                    <w14:schemeClr w14:val="tx1"/>
                  </w14:solidFill>
                </w14:textFill>
              </w:rPr>
              <w:t>项目实施后可修复破碎的地形地貌，改善当地的生态环境条件</w:t>
            </w:r>
            <w:r>
              <w:rPr>
                <w:rFonts w:hint="eastAsia" w:ascii="宋体" w:hAnsi="宋体" w:eastAsia="宋体" w:cs="宋体"/>
                <w:color w:val="000000" w:themeColor="text1"/>
                <w:kern w:val="0"/>
                <w:sz w:val="24"/>
                <w:szCs w:val="24"/>
                <w:lang w:val="en-US" w:eastAsia="zh-CN" w:bidi="ar"/>
                <w14:textFill>
                  <w14:solidFill>
                    <w14:schemeClr w14:val="tx1"/>
                  </w14:solidFill>
                </w14:textFill>
              </w:rPr>
              <w:t>。运营期无废气、废水、噪声及固体废弃物等的产生。</w:t>
            </w:r>
          </w:p>
        </w:tc>
      </w:tr>
      <w:tr w14:paraId="0C3EF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91" w:type="dxa"/>
            <w:noWrap w:val="0"/>
            <w:vAlign w:val="center"/>
          </w:tcPr>
          <w:p w14:paraId="0D4D6B77">
            <w:pPr>
              <w:keepNext w:val="0"/>
              <w:keepLines w:val="0"/>
              <w:suppressLineNumbers w:val="0"/>
              <w:bidi w:val="0"/>
              <w:spacing w:before="0" w:beforeAutospacing="0" w:after="0" w:afterAutospacing="0"/>
              <w:ind w:left="0" w:leftChars="0" w:right="0" w:firstLine="0" w:firstLineChars="0"/>
              <w:jc w:val="center"/>
              <w:rPr>
                <w:rFonts w:hint="default" w:cs="Times New Roman"/>
                <w:bCs/>
                <w:color w:val="000000" w:themeColor="text1"/>
                <w:spacing w:val="10"/>
                <w:szCs w:val="21"/>
                <w14:textFill>
                  <w14:solidFill>
                    <w14:schemeClr w14:val="tx1"/>
                  </w14:solidFill>
                </w14:textFill>
              </w:rPr>
            </w:pPr>
            <w:r>
              <w:rPr>
                <w:rFonts w:hint="default" w:cs="Times New Roman"/>
                <w:b/>
                <w:bCs/>
                <w:color w:val="000000" w:themeColor="text1"/>
                <w14:textFill>
                  <w14:solidFill>
                    <w14:schemeClr w14:val="tx1"/>
                  </w14:solidFill>
                </w14:textFill>
              </w:rPr>
              <w:t>其他</w:t>
            </w:r>
          </w:p>
        </w:tc>
        <w:tc>
          <w:tcPr>
            <w:tcW w:w="8519" w:type="dxa"/>
            <w:noWrap w:val="0"/>
            <w:vAlign w:val="center"/>
          </w:tcPr>
          <w:p w14:paraId="5C6AC284">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环境管理</w:t>
            </w:r>
          </w:p>
          <w:p w14:paraId="6C7B0CC2">
            <w:pPr>
              <w:bidi w:val="0"/>
              <w:rPr>
                <w:rFonts w:hint="eastAsia"/>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⑴</w:t>
            </w:r>
            <w:r>
              <w:rPr>
                <w:rFonts w:hint="eastAsia"/>
                <w:color w:val="000000" w:themeColor="text1"/>
                <w:lang w:val="en-US" w:eastAsia="zh-CN"/>
                <w14:textFill>
                  <w14:solidFill>
                    <w14:schemeClr w14:val="tx1"/>
                  </w14:solidFill>
                </w14:textFill>
              </w:rPr>
              <w:t>施工期环境管理</w:t>
            </w:r>
          </w:p>
          <w:p w14:paraId="38C84187">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①建设单位在施工期间设立工程项目部，设有专人负责环境保护管理工作，加强施工期环境保护的管理工作，并对施工单位在工程施工过程中进行环境管理、检查和监督。</w:t>
            </w:r>
          </w:p>
          <w:p w14:paraId="1BFE1D81">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②施工单位负责对项目资源进行合理使用和动态管理，确保施工人员能够严格执行各项安全环保管理制度、规定、贯彻落实各项环保政策，减少对生态环境影响。</w:t>
            </w:r>
          </w:p>
          <w:p w14:paraId="1BCADF3A">
            <w:pPr>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⑵</w:t>
            </w:r>
            <w:r>
              <w:rPr>
                <w:rFonts w:hint="eastAsia"/>
                <w:color w:val="000000" w:themeColor="text1"/>
                <w:lang w:val="en-US" w:eastAsia="zh-CN"/>
                <w14:textFill>
                  <w14:solidFill>
                    <w14:schemeClr w14:val="tx1"/>
                  </w14:solidFill>
                </w14:textFill>
              </w:rPr>
              <w:t>营运期环境管理</w:t>
            </w:r>
          </w:p>
          <w:p w14:paraId="2C85D22B">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为</w:t>
            </w:r>
            <w:r>
              <w:rPr>
                <w:rFonts w:hint="default"/>
                <w:color w:val="000000" w:themeColor="text1"/>
                <w14:textFill>
                  <w14:solidFill>
                    <w14:schemeClr w14:val="tx1"/>
                  </w14:solidFill>
                </w14:textFill>
              </w:rPr>
              <w:t>贯彻落实《建设项目环境保护管理条例》，加强本项目环境保护工作的领导和管理，由</w:t>
            </w:r>
            <w:r>
              <w:rPr>
                <w:rFonts w:hint="eastAsia"/>
                <w:color w:val="000000" w:themeColor="text1"/>
                <w:lang w:val="en-US" w:eastAsia="zh-CN"/>
                <w14:textFill>
                  <w14:solidFill>
                    <w14:schemeClr w14:val="tx1"/>
                  </w14:solidFill>
                </w14:textFill>
              </w:rPr>
              <w:t>建设单位</w:t>
            </w:r>
            <w:r>
              <w:rPr>
                <w:rFonts w:hint="default"/>
                <w:color w:val="000000" w:themeColor="text1"/>
                <w14:textFill>
                  <w14:solidFill>
                    <w14:schemeClr w14:val="tx1"/>
                  </w14:solidFill>
                </w14:textFill>
              </w:rPr>
              <w:t>负责环境管理工作，从管理上保证环境保护措施的有效实施。</w:t>
            </w:r>
          </w:p>
          <w:p w14:paraId="27E9A6FB">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①</w:t>
            </w:r>
            <w:r>
              <w:rPr>
                <w:rFonts w:hint="default"/>
                <w:color w:val="000000" w:themeColor="text1"/>
                <w14:textFill>
                  <w14:solidFill>
                    <w14:schemeClr w14:val="tx1"/>
                  </w14:solidFill>
                </w14:textFill>
              </w:rPr>
              <w:t>贯彻执行国家和地方的各项环保方针、政策、法规和各项规章制度，制定和实施各项环境管理计划。</w:t>
            </w:r>
          </w:p>
          <w:p w14:paraId="70E70913">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②</w:t>
            </w:r>
            <w:r>
              <w:rPr>
                <w:rFonts w:hint="default"/>
                <w:color w:val="000000" w:themeColor="text1"/>
                <w14:textFill>
                  <w14:solidFill>
                    <w14:schemeClr w14:val="tx1"/>
                  </w14:solidFill>
                </w14:textFill>
              </w:rPr>
              <w:t>定期巡查工程周边环境变化情况。</w:t>
            </w:r>
          </w:p>
          <w:p w14:paraId="4262765D">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③</w:t>
            </w:r>
            <w:r>
              <w:rPr>
                <w:rFonts w:hint="default"/>
                <w:color w:val="000000" w:themeColor="text1"/>
                <w14:textFill>
                  <w14:solidFill>
                    <w14:schemeClr w14:val="tx1"/>
                  </w14:solidFill>
                </w14:textFill>
              </w:rPr>
              <w:t>制定和实施各项环境管理计划。</w:t>
            </w:r>
          </w:p>
          <w:p w14:paraId="73DB6C15">
            <w:pPr>
              <w:pStyle w:val="2"/>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、环境监测</w:t>
            </w:r>
          </w:p>
          <w:p w14:paraId="4FDAFA25">
            <w:pPr>
              <w:keepNext w:val="0"/>
              <w:keepLines w:val="0"/>
              <w:suppressLineNumbers w:val="0"/>
              <w:bidi w:val="0"/>
              <w:spacing w:before="0" w:beforeAutospacing="0" w:after="0" w:afterAutospacing="0"/>
              <w:ind w:left="0" w:right="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环境监测是环境管理必不可少的科学手段，通过有效的环境监测，可及时了解环境质量现状。</w:t>
            </w:r>
            <w:r>
              <w:rPr>
                <w:rFonts w:hint="eastAsia"/>
                <w:color w:val="000000" w:themeColor="text1"/>
                <w:lang w:val="en-US" w:eastAsia="zh-CN"/>
                <w14:textFill>
                  <w14:solidFill>
                    <w14:schemeClr w14:val="tx1"/>
                  </w14:solidFill>
                </w14:textFill>
              </w:rPr>
              <w:t>根据相应</w:t>
            </w:r>
            <w:r>
              <w:rPr>
                <w:rFonts w:hint="default"/>
                <w:color w:val="000000" w:themeColor="text1"/>
                <w14:textFill>
                  <w14:solidFill>
                    <w14:schemeClr w14:val="tx1"/>
                  </w14:solidFill>
                </w14:textFill>
              </w:rPr>
              <w:t>环境标准、环境质量评价方法和监测技术规范</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本项目</w:t>
            </w:r>
            <w:r>
              <w:rPr>
                <w:rFonts w:hint="default"/>
                <w:color w:val="000000" w:themeColor="text1"/>
                <w14:textFill>
                  <w14:solidFill>
                    <w14:schemeClr w14:val="tx1"/>
                  </w14:solidFill>
                </w14:textFill>
              </w:rPr>
              <w:t>环境监测计划具体见表5-</w:t>
            </w:r>
            <w:r>
              <w:rPr>
                <w:rFonts w:hint="eastAsia"/>
                <w:color w:val="000000" w:themeColor="text1"/>
                <w:lang w:val="en-US" w:eastAsia="zh-CN"/>
                <w14:textFill>
                  <w14:solidFill>
                    <w14:schemeClr w14:val="tx1"/>
                  </w14:solidFill>
                </w14:textFill>
              </w:rPr>
              <w:t>2</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施工期大气、噪声环境监测点位布点图见附图5-2，生态环境监测点位布点图见附图5-3。</w:t>
            </w:r>
          </w:p>
          <w:p w14:paraId="68EB3DCE">
            <w:pPr>
              <w:pStyle w:val="3"/>
              <w:bidi w:val="0"/>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表5-</w:t>
            </w: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环境监测计划一览表</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1212"/>
              <w:gridCol w:w="1791"/>
              <w:gridCol w:w="2131"/>
              <w:gridCol w:w="1927"/>
            </w:tblGrid>
            <w:tr w14:paraId="5B557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noWrap w:val="0"/>
                  <w:vAlign w:val="center"/>
                </w:tcPr>
                <w:p w14:paraId="3BBCBF9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时段</w:t>
                  </w:r>
                </w:p>
              </w:tc>
              <w:tc>
                <w:tcPr>
                  <w:tcW w:w="1207" w:type="dxa"/>
                  <w:tcBorders>
                    <w:tl2br w:val="nil"/>
                    <w:tr2bl w:val="nil"/>
                  </w:tcBorders>
                  <w:noWrap w:val="0"/>
                  <w:vAlign w:val="center"/>
                </w:tcPr>
                <w:p w14:paraId="503CABB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监测类别</w:t>
                  </w:r>
                </w:p>
              </w:tc>
              <w:tc>
                <w:tcPr>
                  <w:tcW w:w="1784" w:type="dxa"/>
                  <w:tcBorders>
                    <w:tl2br w:val="nil"/>
                    <w:tr2bl w:val="nil"/>
                  </w:tcBorders>
                  <w:noWrap w:val="0"/>
                  <w:vAlign w:val="center"/>
                </w:tcPr>
                <w:p w14:paraId="22C7615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监测项目</w:t>
                  </w:r>
                </w:p>
              </w:tc>
              <w:tc>
                <w:tcPr>
                  <w:tcW w:w="2123" w:type="dxa"/>
                  <w:tcBorders>
                    <w:tl2br w:val="nil"/>
                    <w:tr2bl w:val="nil"/>
                  </w:tcBorders>
                  <w:noWrap w:val="0"/>
                  <w:vAlign w:val="center"/>
                </w:tcPr>
                <w:p w14:paraId="015BD4BF">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监测位置</w:t>
                  </w:r>
                </w:p>
              </w:tc>
              <w:tc>
                <w:tcPr>
                  <w:tcW w:w="1920" w:type="dxa"/>
                  <w:tcBorders>
                    <w:tl2br w:val="nil"/>
                    <w:tr2bl w:val="nil"/>
                  </w:tcBorders>
                  <w:noWrap w:val="0"/>
                  <w:vAlign w:val="center"/>
                </w:tcPr>
                <w:p w14:paraId="5CEA365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监测频次</w:t>
                  </w:r>
                </w:p>
              </w:tc>
            </w:tr>
            <w:tr w14:paraId="53A0BF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vMerge w:val="restart"/>
                  <w:tcBorders>
                    <w:tl2br w:val="nil"/>
                    <w:tr2bl w:val="nil"/>
                  </w:tcBorders>
                  <w:noWrap w:val="0"/>
                  <w:vAlign w:val="center"/>
                </w:tcPr>
                <w:p w14:paraId="3BDAB8F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施工期</w:t>
                  </w:r>
                </w:p>
              </w:tc>
              <w:tc>
                <w:tcPr>
                  <w:tcW w:w="1207" w:type="dxa"/>
                  <w:tcBorders>
                    <w:tl2br w:val="nil"/>
                    <w:tr2bl w:val="nil"/>
                  </w:tcBorders>
                  <w:noWrap w:val="0"/>
                  <w:vAlign w:val="center"/>
                </w:tcPr>
                <w:p w14:paraId="202E2E1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firstLine="0" w:firstLineChars="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环境空气</w:t>
                  </w:r>
                </w:p>
              </w:tc>
              <w:tc>
                <w:tcPr>
                  <w:tcW w:w="1784" w:type="dxa"/>
                  <w:tcBorders>
                    <w:tl2br w:val="nil"/>
                    <w:tr2bl w:val="nil"/>
                  </w:tcBorders>
                  <w:noWrap w:val="0"/>
                  <w:vAlign w:val="center"/>
                </w:tcPr>
                <w:p w14:paraId="141F3B3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TSP</w:t>
                  </w:r>
                </w:p>
              </w:tc>
              <w:tc>
                <w:tcPr>
                  <w:tcW w:w="2123" w:type="dxa"/>
                  <w:tcBorders>
                    <w:tl2br w:val="nil"/>
                    <w:tr2bl w:val="nil"/>
                  </w:tcBorders>
                  <w:noWrap w:val="0"/>
                  <w:vAlign w:val="center"/>
                </w:tcPr>
                <w:p w14:paraId="33A53EC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施工区边界</w:t>
                  </w:r>
                </w:p>
              </w:tc>
              <w:tc>
                <w:tcPr>
                  <w:tcW w:w="1920" w:type="dxa"/>
                  <w:tcBorders>
                    <w:tl2br w:val="nil"/>
                    <w:tr2bl w:val="nil"/>
                  </w:tcBorders>
                  <w:noWrap w:val="0"/>
                  <w:vAlign w:val="center"/>
                </w:tcPr>
                <w:p w14:paraId="784F5141">
                  <w:pPr>
                    <w:pStyle w:val="34"/>
                    <w:keepNext w:val="0"/>
                    <w:keepLines w:val="0"/>
                    <w:pageBreakBefore w:val="0"/>
                    <w:widowControl w:val="0"/>
                    <w:suppressLineNumbers w:val="0"/>
                    <w:kinsoku/>
                    <w:wordWrap/>
                    <w:overflowPunct/>
                    <w:topLinePunct w:val="0"/>
                    <w:autoSpaceDE/>
                    <w:autoSpaceDN/>
                    <w:bidi w:val="0"/>
                    <w:adjustRightInd w:val="0"/>
                    <w:snapToGrid w:val="0"/>
                    <w:spacing w:beforeLines="0" w:beforeAutospacing="0" w:afterLines="0" w:afterAutospacing="0"/>
                    <w:ind w:left="0" w:right="0"/>
                    <w:textAlignment w:val="auto"/>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高峰期监测1次，每次连续监测3天，每天分4个时段监测</w:t>
                  </w:r>
                </w:p>
              </w:tc>
            </w:tr>
            <w:tr w14:paraId="5BE6F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vMerge w:val="continue"/>
                  <w:tcBorders>
                    <w:tl2br w:val="nil"/>
                    <w:tr2bl w:val="nil"/>
                  </w:tcBorders>
                  <w:noWrap w:val="0"/>
                  <w:vAlign w:val="center"/>
                </w:tcPr>
                <w:p w14:paraId="640ED5B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p>
              </w:tc>
              <w:tc>
                <w:tcPr>
                  <w:tcW w:w="1207" w:type="dxa"/>
                  <w:tcBorders>
                    <w:tl2br w:val="nil"/>
                    <w:tr2bl w:val="nil"/>
                  </w:tcBorders>
                  <w:noWrap w:val="0"/>
                  <w:vAlign w:val="center"/>
                </w:tcPr>
                <w:p w14:paraId="4566753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firstLine="0" w:firstLineChars="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噪声</w:t>
                  </w:r>
                </w:p>
              </w:tc>
              <w:tc>
                <w:tcPr>
                  <w:tcW w:w="1784" w:type="dxa"/>
                  <w:tcBorders>
                    <w:tl2br w:val="nil"/>
                    <w:tr2bl w:val="nil"/>
                  </w:tcBorders>
                  <w:noWrap w:val="0"/>
                  <w:vAlign w:val="center"/>
                </w:tcPr>
                <w:p w14:paraId="1A1B8C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等效声级 LAeq</w:t>
                  </w:r>
                </w:p>
              </w:tc>
              <w:tc>
                <w:tcPr>
                  <w:tcW w:w="2123" w:type="dxa"/>
                  <w:tcBorders>
                    <w:tl2br w:val="nil"/>
                    <w:tr2bl w:val="nil"/>
                  </w:tcBorders>
                  <w:noWrap w:val="0"/>
                  <w:vAlign w:val="center"/>
                </w:tcPr>
                <w:p w14:paraId="11283B6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施工区边界</w:t>
                  </w:r>
                </w:p>
              </w:tc>
              <w:tc>
                <w:tcPr>
                  <w:tcW w:w="1920" w:type="dxa"/>
                  <w:tcBorders>
                    <w:tl2br w:val="nil"/>
                    <w:tr2bl w:val="nil"/>
                  </w:tcBorders>
                  <w:noWrap w:val="0"/>
                  <w:vAlign w:val="center"/>
                </w:tcPr>
                <w:p w14:paraId="5F3BCDB5">
                  <w:pPr>
                    <w:pStyle w:val="34"/>
                    <w:keepNext w:val="0"/>
                    <w:keepLines w:val="0"/>
                    <w:pageBreakBefore w:val="0"/>
                    <w:widowControl w:val="0"/>
                    <w:suppressLineNumbers w:val="0"/>
                    <w:kinsoku/>
                    <w:wordWrap/>
                    <w:overflowPunct/>
                    <w:topLinePunct w:val="0"/>
                    <w:autoSpaceDE/>
                    <w:autoSpaceDN/>
                    <w:bidi w:val="0"/>
                    <w:adjustRightInd w:val="0"/>
                    <w:snapToGrid w:val="0"/>
                    <w:spacing w:beforeLines="0" w:beforeAutospacing="0" w:afterLines="0" w:afterAutospacing="0"/>
                    <w:ind w:left="0" w:right="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施工期内至少一次，连续监测2天，每天昼、夜间监测1次</w:t>
                  </w:r>
                </w:p>
              </w:tc>
            </w:tr>
            <w:tr w14:paraId="5FB1C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vMerge w:val="continue"/>
                  <w:tcBorders>
                    <w:tl2br w:val="nil"/>
                    <w:tr2bl w:val="nil"/>
                  </w:tcBorders>
                  <w:noWrap w:val="0"/>
                  <w:vAlign w:val="center"/>
                </w:tcPr>
                <w:p w14:paraId="3CDD35E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olor w:val="000000" w:themeColor="text1"/>
                      <w14:textFill>
                        <w14:solidFill>
                          <w14:schemeClr w14:val="tx1"/>
                        </w14:solidFill>
                      </w14:textFill>
                    </w:rPr>
                  </w:pPr>
                </w:p>
              </w:tc>
              <w:tc>
                <w:tcPr>
                  <w:tcW w:w="1207" w:type="dxa"/>
                  <w:tcBorders>
                    <w:tl2br w:val="nil"/>
                    <w:tr2bl w:val="nil"/>
                  </w:tcBorders>
                  <w:noWrap w:val="0"/>
                  <w:vAlign w:val="center"/>
                </w:tcPr>
                <w:p w14:paraId="2D076DE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生态</w:t>
                  </w:r>
                </w:p>
              </w:tc>
              <w:tc>
                <w:tcPr>
                  <w:tcW w:w="1784" w:type="dxa"/>
                  <w:tcBorders>
                    <w:tl2br w:val="nil"/>
                    <w:tr2bl w:val="nil"/>
                  </w:tcBorders>
                  <w:noWrap w:val="0"/>
                  <w:vAlign w:val="center"/>
                </w:tcPr>
                <w:p w14:paraId="169F3AB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植物群落变化、动物的活动、分布变化、生境质量变化</w:t>
                  </w:r>
                  <w:r>
                    <w:rPr>
                      <w:rFonts w:hint="eastAsia" w:cs="Times New Roman"/>
                      <w:color w:val="000000" w:themeColor="text1"/>
                      <w:lang w:val="en-US" w:eastAsia="zh-CN"/>
                      <w14:textFill>
                        <w14:solidFill>
                          <w14:schemeClr w14:val="tx1"/>
                        </w14:solidFill>
                      </w14:textFill>
                    </w:rPr>
                    <w:t>等</w:t>
                  </w:r>
                </w:p>
              </w:tc>
              <w:tc>
                <w:tcPr>
                  <w:tcW w:w="2123" w:type="dxa"/>
                  <w:tcBorders>
                    <w:tl2br w:val="nil"/>
                    <w:tr2bl w:val="nil"/>
                  </w:tcBorders>
                  <w:noWrap w:val="0"/>
                  <w:vAlign w:val="center"/>
                </w:tcPr>
                <w:p w14:paraId="7F85EBA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每个治理点1个监测点位</w:t>
                  </w:r>
                </w:p>
              </w:tc>
              <w:tc>
                <w:tcPr>
                  <w:tcW w:w="1920" w:type="dxa"/>
                  <w:tcBorders>
                    <w:tl2br w:val="nil"/>
                    <w:tr2bl w:val="nil"/>
                  </w:tcBorders>
                  <w:noWrap w:val="0"/>
                  <w:vAlign w:val="center"/>
                </w:tcPr>
                <w:p w14:paraId="289EF7B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整个施工期至少1次</w:t>
                  </w:r>
                </w:p>
              </w:tc>
            </w:tr>
          </w:tbl>
          <w:p w14:paraId="5338F764">
            <w:pPr>
              <w:pStyle w:val="2"/>
              <w:bidi w:val="0"/>
              <w:rPr>
                <w:rFonts w:hint="eastAsia"/>
                <w:color w:val="000000" w:themeColor="text1"/>
                <w:lang w:val="en-US" w:eastAsia="zh-CN"/>
                <w14:textFill>
                  <w14:solidFill>
                    <w14:schemeClr w14:val="tx1"/>
                  </w14:solidFill>
                </w14:textFill>
              </w:rPr>
            </w:pPr>
          </w:p>
          <w:p w14:paraId="04FEDA2F">
            <w:pPr>
              <w:pStyle w:val="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生态环境效益</w:t>
            </w:r>
          </w:p>
          <w:p w14:paraId="1C56877D">
            <w:pPr>
              <w:keepNext w:val="0"/>
              <w:keepLines w:val="0"/>
              <w:suppressLineNumbers w:val="0"/>
              <w:bidi w:val="0"/>
              <w:spacing w:before="0" w:beforeAutospacing="0" w:after="0" w:afterAutospacing="0"/>
              <w:ind w:left="0" w:right="0"/>
              <w:rPr>
                <w:rFonts w:hint="eastAsia" w:cs="Times New Roman"/>
                <w:color w:val="000000" w:themeColor="text1"/>
                <w:lang w:val="en-US" w:eastAsia="zh-CN"/>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治理后的项目区可消除地质灾害隐患，恢复地形地貌景观，与周边自然地貌相得益彰。项目实施后可有效防止水土流失，涵养水源；修复破碎的地形地貌，改善当地的生态环境条件。</w:t>
            </w:r>
          </w:p>
        </w:tc>
      </w:tr>
      <w:tr w14:paraId="47CF0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691" w:type="dxa"/>
            <w:noWrap w:val="0"/>
            <w:vAlign w:val="center"/>
          </w:tcPr>
          <w:p w14:paraId="10C08544">
            <w:pPr>
              <w:keepNext w:val="0"/>
              <w:keepLines w:val="0"/>
              <w:suppressLineNumbers w:val="0"/>
              <w:bidi w:val="0"/>
              <w:spacing w:before="0" w:beforeAutospacing="0" w:after="0" w:afterAutospacing="0"/>
              <w:ind w:left="0" w:leftChars="0" w:right="0" w:firstLine="0" w:firstLineChars="0"/>
              <w:jc w:val="center"/>
              <w:rPr>
                <w:rFonts w:hint="default" w:cs="Times New Roman"/>
                <w:bCs/>
                <w:color w:val="000000" w:themeColor="text1"/>
                <w:spacing w:val="10"/>
                <w:szCs w:val="21"/>
                <w14:textFill>
                  <w14:solidFill>
                    <w14:schemeClr w14:val="tx1"/>
                  </w14:solidFill>
                </w14:textFill>
              </w:rPr>
            </w:pPr>
            <w:r>
              <w:rPr>
                <w:rFonts w:hint="default" w:cs="Times New Roman"/>
                <w:b/>
                <w:bCs/>
                <w:color w:val="000000" w:themeColor="text1"/>
                <w14:textFill>
                  <w14:solidFill>
                    <w14:schemeClr w14:val="tx1"/>
                  </w14:solidFill>
                </w14:textFill>
              </w:rPr>
              <w:t>环保投资</w:t>
            </w:r>
          </w:p>
        </w:tc>
        <w:tc>
          <w:tcPr>
            <w:tcW w:w="8519" w:type="dxa"/>
            <w:noWrap w:val="0"/>
            <w:vAlign w:val="top"/>
          </w:tcPr>
          <w:p w14:paraId="6F8C3837">
            <w:pPr>
              <w:keepNext w:val="0"/>
              <w:keepLines w:val="0"/>
              <w:suppressLineNumbers w:val="0"/>
              <w:adjustRightInd w:val="0"/>
              <w:snapToGrid w:val="0"/>
              <w:spacing w:before="0" w:beforeAutospacing="0" w:after="0" w:afterAutospacing="0" w:line="360" w:lineRule="auto"/>
              <w:ind w:left="0" w:right="0" w:firstLine="454" w:firstLineChars="200"/>
              <w:rPr>
                <w:rFonts w:hint="default" w:cs="Times New Roman"/>
                <w:color w:val="000000" w:themeColor="text1"/>
                <w:sz w:val="24"/>
                <w:szCs w:val="32"/>
                <w14:textFill>
                  <w14:solidFill>
                    <w14:schemeClr w14:val="tx1"/>
                  </w14:solidFill>
                </w14:textFill>
              </w:rPr>
            </w:pPr>
            <w:r>
              <w:rPr>
                <w:rFonts w:hint="default" w:cs="Times New Roman"/>
                <w:color w:val="000000" w:themeColor="text1"/>
                <w:sz w:val="24"/>
                <w14:textFill>
                  <w14:solidFill>
                    <w14:schemeClr w14:val="tx1"/>
                  </w14:solidFill>
                </w14:textFill>
              </w:rPr>
              <w:t>项目实施预算总投资</w:t>
            </w:r>
            <w:r>
              <w:rPr>
                <w:rFonts w:hint="eastAsia" w:cs="Times New Roman"/>
                <w:color w:val="000000" w:themeColor="text1"/>
                <w:sz w:val="24"/>
                <w:lang w:val="en-US" w:eastAsia="zh-CN"/>
                <w14:textFill>
                  <w14:solidFill>
                    <w14:schemeClr w14:val="tx1"/>
                  </w14:solidFill>
                </w14:textFill>
              </w:rPr>
              <w:t>397.63</w:t>
            </w:r>
            <w:r>
              <w:rPr>
                <w:rFonts w:hint="default" w:cs="Times New Roman"/>
                <w:color w:val="000000" w:themeColor="text1"/>
                <w:sz w:val="24"/>
                <w14:textFill>
                  <w14:solidFill>
                    <w14:schemeClr w14:val="tx1"/>
                  </w14:solidFill>
                </w14:textFill>
              </w:rPr>
              <w:t>万元，</w:t>
            </w:r>
            <w:r>
              <w:rPr>
                <w:rFonts w:hint="eastAsia" w:ascii="宋体" w:hAnsi="宋体" w:eastAsia="宋体" w:cs="宋体"/>
                <w:color w:val="000000" w:themeColor="text1"/>
                <w:kern w:val="0"/>
                <w:sz w:val="24"/>
                <w:szCs w:val="24"/>
                <w:lang w:val="en-US" w:eastAsia="zh-CN" w:bidi="ar"/>
                <w14:textFill>
                  <w14:solidFill>
                    <w14:schemeClr w14:val="tx1"/>
                  </w14:solidFill>
                </w14:textFill>
              </w:rPr>
              <w:t>项目为历史遗留废弃矿山地质环境进行生态修复治理，项目投资全部为环保投资，环保投资占总投资的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100%</w:t>
            </w:r>
            <w:r>
              <w:rPr>
                <w:rFonts w:hint="eastAsia" w:ascii="宋体" w:hAnsi="宋体" w:eastAsia="宋体" w:cs="宋体"/>
                <w:color w:val="000000" w:themeColor="text1"/>
                <w:kern w:val="0"/>
                <w:sz w:val="24"/>
                <w:szCs w:val="24"/>
                <w:lang w:val="en-US" w:eastAsia="zh-CN" w:bidi="ar"/>
                <w14:textFill>
                  <w14:solidFill>
                    <w14:schemeClr w14:val="tx1"/>
                  </w14:solidFill>
                </w14:textFill>
              </w:rPr>
              <w:t>，项目环保投资统计情况见表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5-</w:t>
            </w:r>
            <w:r>
              <w:rPr>
                <w:rFonts w:hint="eastAsia"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4634D005">
            <w:pPr>
              <w:pStyle w:val="3"/>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表5-</w:t>
            </w:r>
            <w:r>
              <w:rPr>
                <w:rFonts w:hint="eastAsia"/>
                <w:color w:val="000000" w:themeColor="text1"/>
                <w:lang w:val="en-US" w:eastAsia="zh-CN"/>
                <w14:textFill>
                  <w14:solidFill>
                    <w14:schemeClr w14:val="tx1"/>
                  </w14:solidFill>
                </w14:textFill>
              </w:rPr>
              <w:t>3</w:t>
            </w:r>
            <w:r>
              <w:rPr>
                <w:rFonts w:hint="default"/>
                <w:color w:val="000000" w:themeColor="text1"/>
                <w14:textFill>
                  <w14:solidFill>
                    <w14:schemeClr w14:val="tx1"/>
                  </w14:solidFill>
                </w14:textFill>
              </w:rPr>
              <w:t xml:space="preserve">  环保投资情况表</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7"/>
              <w:gridCol w:w="1804"/>
              <w:gridCol w:w="3792"/>
              <w:gridCol w:w="1310"/>
              <w:gridCol w:w="760"/>
            </w:tblGrid>
            <w:tr w14:paraId="4D4FCE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tcBorders>
                    <w:tl2br w:val="nil"/>
                    <w:tr2bl w:val="nil"/>
                  </w:tcBorders>
                  <w:noWrap w:val="0"/>
                  <w:vAlign w:val="center"/>
                </w:tcPr>
                <w:p w14:paraId="630A6FF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时段</w:t>
                  </w:r>
                </w:p>
              </w:tc>
              <w:tc>
                <w:tcPr>
                  <w:tcW w:w="1817" w:type="dxa"/>
                  <w:tcBorders>
                    <w:tl2br w:val="nil"/>
                    <w:tr2bl w:val="nil"/>
                  </w:tcBorders>
                  <w:noWrap w:val="0"/>
                  <w:vAlign w:val="center"/>
                </w:tcPr>
                <w:p w14:paraId="160E15B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项目</w:t>
                  </w:r>
                </w:p>
              </w:tc>
              <w:tc>
                <w:tcPr>
                  <w:tcW w:w="3822" w:type="dxa"/>
                  <w:tcBorders>
                    <w:tl2br w:val="nil"/>
                    <w:tr2bl w:val="nil"/>
                  </w:tcBorders>
                  <w:noWrap w:val="0"/>
                  <w:vAlign w:val="center"/>
                </w:tcPr>
                <w:p w14:paraId="72B1BA9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内容</w:t>
                  </w:r>
                </w:p>
              </w:tc>
              <w:tc>
                <w:tcPr>
                  <w:tcW w:w="1319" w:type="dxa"/>
                  <w:tcBorders>
                    <w:tl2br w:val="nil"/>
                    <w:tr2bl w:val="nil"/>
                  </w:tcBorders>
                  <w:noWrap w:val="0"/>
                  <w:vAlign w:val="center"/>
                </w:tcPr>
                <w:p w14:paraId="30B7E5C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投资金额</w:t>
                  </w:r>
                </w:p>
                <w:p w14:paraId="2109E591">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(万元)</w:t>
                  </w:r>
                </w:p>
              </w:tc>
              <w:tc>
                <w:tcPr>
                  <w:tcW w:w="765" w:type="dxa"/>
                  <w:tcBorders>
                    <w:tl2br w:val="nil"/>
                    <w:tr2bl w:val="nil"/>
                  </w:tcBorders>
                  <w:noWrap w:val="0"/>
                  <w:vAlign w:val="center"/>
                </w:tcPr>
                <w:p w14:paraId="784AE7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比例</w:t>
                  </w:r>
                </w:p>
              </w:tc>
            </w:tr>
            <w:tr w14:paraId="1A1A6E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tcBorders>
                    <w:tl2br w:val="nil"/>
                    <w:tr2bl w:val="nil"/>
                  </w:tcBorders>
                  <w:noWrap w:val="0"/>
                  <w:vAlign w:val="center"/>
                </w:tcPr>
                <w:p w14:paraId="6BD2E37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前期</w:t>
                  </w:r>
                </w:p>
              </w:tc>
              <w:tc>
                <w:tcPr>
                  <w:tcW w:w="1817" w:type="dxa"/>
                  <w:tcBorders>
                    <w:tl2br w:val="nil"/>
                    <w:tr2bl w:val="nil"/>
                  </w:tcBorders>
                  <w:noWrap w:val="0"/>
                  <w:vAlign w:val="center"/>
                </w:tcPr>
                <w:p w14:paraId="6B60140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设计、勘</w:t>
                  </w:r>
                  <w:r>
                    <w:rPr>
                      <w:rFonts w:hint="eastAsia" w:cs="Times New Roman"/>
                      <w:color w:val="000000" w:themeColor="text1"/>
                      <w:lang w:val="en-US" w:eastAsia="zh-CN"/>
                      <w14:textFill>
                        <w14:solidFill>
                          <w14:schemeClr w14:val="tx1"/>
                        </w14:solidFill>
                      </w14:textFill>
                    </w:rPr>
                    <w:t>测</w:t>
                  </w:r>
                </w:p>
              </w:tc>
              <w:tc>
                <w:tcPr>
                  <w:tcW w:w="3822" w:type="dxa"/>
                  <w:tcBorders>
                    <w:tl2br w:val="nil"/>
                    <w:tr2bl w:val="nil"/>
                  </w:tcBorders>
                  <w:noWrap w:val="0"/>
                  <w:vAlign w:val="center"/>
                </w:tcPr>
                <w:p w14:paraId="3F301F1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项目前期设计、勘测、水保、管理等</w:t>
                  </w:r>
                </w:p>
              </w:tc>
              <w:tc>
                <w:tcPr>
                  <w:tcW w:w="1319" w:type="dxa"/>
                  <w:tcBorders>
                    <w:tl2br w:val="nil"/>
                    <w:tr2bl w:val="nil"/>
                  </w:tcBorders>
                  <w:noWrap w:val="0"/>
                  <w:vAlign w:val="center"/>
                </w:tcPr>
                <w:p w14:paraId="64E5D8FF">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765" w:type="dxa"/>
                  <w:tcBorders>
                    <w:tl2br w:val="nil"/>
                    <w:tr2bl w:val="nil"/>
                  </w:tcBorders>
                  <w:noWrap w:val="0"/>
                  <w:vAlign w:val="center"/>
                </w:tcPr>
                <w:p w14:paraId="05C8C15D">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3.77</w:t>
                  </w:r>
                </w:p>
              </w:tc>
            </w:tr>
            <w:tr w14:paraId="2570D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restart"/>
                  <w:tcBorders>
                    <w:tl2br w:val="nil"/>
                    <w:tr2bl w:val="nil"/>
                  </w:tcBorders>
                  <w:noWrap w:val="0"/>
                  <w:vAlign w:val="center"/>
                </w:tcPr>
                <w:p w14:paraId="0B46333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施工期</w:t>
                  </w:r>
                </w:p>
              </w:tc>
              <w:tc>
                <w:tcPr>
                  <w:tcW w:w="1817" w:type="dxa"/>
                  <w:vMerge w:val="restart"/>
                  <w:tcBorders>
                    <w:tl2br w:val="nil"/>
                    <w:tr2bl w:val="nil"/>
                  </w:tcBorders>
                  <w:noWrap w:val="0"/>
                  <w:vAlign w:val="center"/>
                </w:tcPr>
                <w:p w14:paraId="616B377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生态环境影响减缓措施</w:t>
                  </w:r>
                </w:p>
              </w:tc>
              <w:tc>
                <w:tcPr>
                  <w:tcW w:w="3822" w:type="dxa"/>
                  <w:tcBorders>
                    <w:tl2br w:val="nil"/>
                    <w:tr2bl w:val="nil"/>
                  </w:tcBorders>
                  <w:noWrap w:val="0"/>
                  <w:vAlign w:val="center"/>
                </w:tcPr>
                <w:p w14:paraId="3642830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高边坡治理工程</w:t>
                  </w:r>
                </w:p>
              </w:tc>
              <w:tc>
                <w:tcPr>
                  <w:tcW w:w="1319" w:type="dxa"/>
                  <w:tcBorders>
                    <w:tl2br w:val="nil"/>
                    <w:tr2bl w:val="nil"/>
                  </w:tcBorders>
                  <w:noWrap w:val="0"/>
                  <w:vAlign w:val="center"/>
                </w:tcPr>
                <w:p w14:paraId="191C144A">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181.3</w:t>
                  </w:r>
                </w:p>
              </w:tc>
              <w:tc>
                <w:tcPr>
                  <w:tcW w:w="765" w:type="dxa"/>
                  <w:tcBorders>
                    <w:tl2br w:val="nil"/>
                    <w:tr2bl w:val="nil"/>
                  </w:tcBorders>
                  <w:noWrap w:val="0"/>
                  <w:vAlign w:val="center"/>
                </w:tcPr>
                <w:p w14:paraId="78C4AB35">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45.60</w:t>
                  </w:r>
                </w:p>
              </w:tc>
            </w:tr>
            <w:tr w14:paraId="728A4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20E5B77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vMerge w:val="continue"/>
                  <w:tcBorders>
                    <w:tl2br w:val="nil"/>
                    <w:tr2bl w:val="nil"/>
                  </w:tcBorders>
                  <w:noWrap w:val="0"/>
                  <w:vAlign w:val="center"/>
                </w:tcPr>
                <w:p w14:paraId="36E8827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822" w:type="dxa"/>
                  <w:tcBorders>
                    <w:tl2br w:val="nil"/>
                    <w:tr2bl w:val="nil"/>
                  </w:tcBorders>
                  <w:noWrap w:val="0"/>
                  <w:vAlign w:val="center"/>
                </w:tcPr>
                <w:p w14:paraId="039AA59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地形地貌恢复工程</w:t>
                  </w:r>
                </w:p>
              </w:tc>
              <w:tc>
                <w:tcPr>
                  <w:tcW w:w="1319" w:type="dxa"/>
                  <w:tcBorders>
                    <w:tl2br w:val="nil"/>
                    <w:tr2bl w:val="nil"/>
                  </w:tcBorders>
                  <w:noWrap w:val="0"/>
                  <w:vAlign w:val="center"/>
                </w:tcPr>
                <w:p w14:paraId="6A8B7EE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50.53</w:t>
                  </w:r>
                </w:p>
              </w:tc>
              <w:tc>
                <w:tcPr>
                  <w:tcW w:w="765" w:type="dxa"/>
                  <w:tcBorders>
                    <w:tl2br w:val="nil"/>
                    <w:tr2bl w:val="nil"/>
                  </w:tcBorders>
                  <w:noWrap w:val="0"/>
                  <w:vAlign w:val="center"/>
                </w:tcPr>
                <w:p w14:paraId="6E53ABC2">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12.71</w:t>
                  </w:r>
                </w:p>
              </w:tc>
            </w:tr>
            <w:tr w14:paraId="2D9E3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05ABD75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vMerge w:val="continue"/>
                  <w:tcBorders>
                    <w:tl2br w:val="nil"/>
                    <w:tr2bl w:val="nil"/>
                  </w:tcBorders>
                  <w:noWrap w:val="0"/>
                  <w:vAlign w:val="center"/>
                </w:tcPr>
                <w:p w14:paraId="59F3B79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3822" w:type="dxa"/>
                  <w:tcBorders>
                    <w:tl2br w:val="nil"/>
                    <w:tr2bl w:val="nil"/>
                  </w:tcBorders>
                  <w:noWrap w:val="0"/>
                  <w:vAlign w:val="center"/>
                </w:tcPr>
                <w:p w14:paraId="6C61B477">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标识牌及卡口设立</w:t>
                  </w:r>
                </w:p>
              </w:tc>
              <w:tc>
                <w:tcPr>
                  <w:tcW w:w="1319" w:type="dxa"/>
                  <w:tcBorders>
                    <w:tl2br w:val="nil"/>
                    <w:tr2bl w:val="nil"/>
                  </w:tcBorders>
                  <w:noWrap w:val="0"/>
                  <w:vAlign w:val="center"/>
                </w:tcPr>
                <w:p w14:paraId="132E5EB9">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765" w:type="dxa"/>
                  <w:tcBorders>
                    <w:tl2br w:val="nil"/>
                    <w:tr2bl w:val="nil"/>
                  </w:tcBorders>
                  <w:noWrap w:val="0"/>
                  <w:vAlign w:val="center"/>
                </w:tcPr>
                <w:p w14:paraId="2FD24EBE">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2.51</w:t>
                  </w:r>
                </w:p>
              </w:tc>
            </w:tr>
            <w:tr w14:paraId="19DC1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313AF470">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tcBorders>
                    <w:tl2br w:val="nil"/>
                    <w:tr2bl w:val="nil"/>
                  </w:tcBorders>
                  <w:noWrap w:val="0"/>
                  <w:vAlign w:val="center"/>
                </w:tcPr>
                <w:p w14:paraId="41BE822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大气环境</w:t>
                  </w:r>
                </w:p>
              </w:tc>
              <w:tc>
                <w:tcPr>
                  <w:tcW w:w="3822" w:type="dxa"/>
                  <w:tcBorders>
                    <w:tl2br w:val="nil"/>
                    <w:tr2bl w:val="nil"/>
                  </w:tcBorders>
                  <w:noWrap w:val="0"/>
                  <w:vAlign w:val="center"/>
                </w:tcPr>
                <w:p w14:paraId="1836BDE9">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center"/>
                    <w:textAlignment w:val="auto"/>
                    <w:rPr>
                      <w:rFonts w:hint="eastAsia"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根据施工过程的实际情况，</w:t>
                  </w:r>
                  <w:r>
                    <w:rPr>
                      <w:rFonts w:hint="eastAsia" w:cs="Times New Roman"/>
                      <w:color w:val="000000" w:themeColor="text1"/>
                      <w:kern w:val="0"/>
                      <w:sz w:val="21"/>
                      <w:szCs w:val="21"/>
                      <w:lang w:val="en-US" w:eastAsia="zh-CN" w:bidi="ar-SA"/>
                      <w14:textFill>
                        <w14:solidFill>
                          <w14:schemeClr w14:val="tx1"/>
                        </w14:solidFill>
                      </w14:textFill>
                    </w:rPr>
                    <w:t>施工场地设围栏</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避免在大风日以及夏季暴雨时节施工，尽可能缩短施工时间；加强施工区的规划管理：如在大风天气，对散料堆场应采用水喷淋法防尘；汽车运输加盖蓬布、控制车速；运输车辆进出的主干道应定期洒水清扫；加强对施工机械、车辆的维修保养；对施工废料设置围栏、定期洒水降尘</w:t>
                  </w:r>
                </w:p>
              </w:tc>
              <w:tc>
                <w:tcPr>
                  <w:tcW w:w="1319" w:type="dxa"/>
                  <w:tcBorders>
                    <w:tl2br w:val="nil"/>
                    <w:tr2bl w:val="nil"/>
                  </w:tcBorders>
                  <w:noWrap w:val="0"/>
                  <w:vAlign w:val="center"/>
                </w:tcPr>
                <w:p w14:paraId="609A97B4">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765" w:type="dxa"/>
                  <w:tcBorders>
                    <w:tl2br w:val="nil"/>
                    <w:tr2bl w:val="nil"/>
                  </w:tcBorders>
                  <w:noWrap w:val="0"/>
                  <w:vAlign w:val="center"/>
                </w:tcPr>
                <w:p w14:paraId="5275131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5.03</w:t>
                  </w:r>
                </w:p>
              </w:tc>
            </w:tr>
            <w:tr w14:paraId="1D925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42DACFD4">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tcBorders>
                    <w:tl2br w:val="nil"/>
                    <w:tr2bl w:val="nil"/>
                  </w:tcBorders>
                  <w:noWrap w:val="0"/>
                  <w:vAlign w:val="center"/>
                </w:tcPr>
                <w:p w14:paraId="7C2AD5C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声环境</w:t>
                  </w:r>
                </w:p>
              </w:tc>
              <w:tc>
                <w:tcPr>
                  <w:tcW w:w="3822" w:type="dxa"/>
                  <w:tcBorders>
                    <w:tl2br w:val="nil"/>
                    <w:tr2bl w:val="nil"/>
                  </w:tcBorders>
                  <w:noWrap w:val="0"/>
                  <w:vAlign w:val="center"/>
                </w:tcPr>
                <w:p w14:paraId="1D102118">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eastAsia="宋体" w:cs="Times New Roman"/>
                      <w:color w:val="000000" w:themeColor="text1"/>
                      <w:lang w:val="en-US"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合理安排施工时间，禁止在夜间二十二时至次日六时进行产生环境噪声污染的建筑施工作业；优化运输路线，车辆应避免经过敏感路段；选用低噪声设备，分片区施工；同一施工地点应避免安排大量动力机械设备</w:t>
                  </w:r>
                </w:p>
              </w:tc>
              <w:tc>
                <w:tcPr>
                  <w:tcW w:w="1319" w:type="dxa"/>
                  <w:tcBorders>
                    <w:tl2br w:val="nil"/>
                    <w:tr2bl w:val="nil"/>
                  </w:tcBorders>
                  <w:noWrap w:val="0"/>
                  <w:vAlign w:val="center"/>
                </w:tcPr>
                <w:p w14:paraId="34D41AD2">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765" w:type="dxa"/>
                  <w:tcBorders>
                    <w:tl2br w:val="nil"/>
                    <w:tr2bl w:val="nil"/>
                  </w:tcBorders>
                  <w:noWrap w:val="0"/>
                  <w:vAlign w:val="center"/>
                </w:tcPr>
                <w:p w14:paraId="01D6EC67">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2.51</w:t>
                  </w:r>
                </w:p>
              </w:tc>
            </w:tr>
            <w:tr w14:paraId="65733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15099BB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tcBorders>
                    <w:tl2br w:val="nil"/>
                    <w:tr2bl w:val="nil"/>
                  </w:tcBorders>
                  <w:noWrap w:val="0"/>
                  <w:vAlign w:val="center"/>
                </w:tcPr>
                <w:p w14:paraId="474CF416">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固体废物</w:t>
                  </w:r>
                </w:p>
              </w:tc>
              <w:tc>
                <w:tcPr>
                  <w:tcW w:w="3822" w:type="dxa"/>
                  <w:tcBorders>
                    <w:tl2br w:val="nil"/>
                    <w:tr2bl w:val="nil"/>
                  </w:tcBorders>
                  <w:noWrap w:val="0"/>
                  <w:vAlign w:val="center"/>
                </w:tcPr>
                <w:p w14:paraId="5341673E">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施工期的固体废弃物主要来源为生活垃圾。生活垃圾集中分类收集后送至邻近村庄生活垃圾收集点，由当地环卫部门统一清运处置</w:t>
                  </w:r>
                </w:p>
              </w:tc>
              <w:tc>
                <w:tcPr>
                  <w:tcW w:w="1319" w:type="dxa"/>
                  <w:tcBorders>
                    <w:tl2br w:val="nil"/>
                    <w:tr2bl w:val="nil"/>
                  </w:tcBorders>
                  <w:noWrap w:val="0"/>
                  <w:vAlign w:val="center"/>
                </w:tcPr>
                <w:p w14:paraId="09ECF660">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765" w:type="dxa"/>
                  <w:tcBorders>
                    <w:tl2br w:val="nil"/>
                    <w:tr2bl w:val="nil"/>
                  </w:tcBorders>
                  <w:noWrap w:val="0"/>
                  <w:vAlign w:val="center"/>
                </w:tcPr>
                <w:p w14:paraId="14133658">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2.51</w:t>
                  </w:r>
                </w:p>
              </w:tc>
            </w:tr>
            <w:tr w14:paraId="03729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vMerge w:val="continue"/>
                  <w:tcBorders>
                    <w:tl2br w:val="nil"/>
                    <w:tr2bl w:val="nil"/>
                  </w:tcBorders>
                  <w:noWrap w:val="0"/>
                  <w:vAlign w:val="center"/>
                </w:tcPr>
                <w:p w14:paraId="61630AA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14:textFill>
                        <w14:solidFill>
                          <w14:schemeClr w14:val="tx1"/>
                        </w14:solidFill>
                      </w14:textFill>
                    </w:rPr>
                  </w:pPr>
                </w:p>
              </w:tc>
              <w:tc>
                <w:tcPr>
                  <w:tcW w:w="1817" w:type="dxa"/>
                  <w:tcBorders>
                    <w:tl2br w:val="nil"/>
                    <w:tr2bl w:val="nil"/>
                  </w:tcBorders>
                  <w:noWrap w:val="0"/>
                  <w:vAlign w:val="center"/>
                </w:tcPr>
                <w:p w14:paraId="3F57A9B2">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环境管理监测</w:t>
                  </w:r>
                </w:p>
              </w:tc>
              <w:tc>
                <w:tcPr>
                  <w:tcW w:w="3822" w:type="dxa"/>
                  <w:tcBorders>
                    <w:tl2br w:val="nil"/>
                    <w:tr2bl w:val="nil"/>
                  </w:tcBorders>
                  <w:noWrap w:val="0"/>
                  <w:vAlign w:val="center"/>
                </w:tcPr>
                <w:p w14:paraId="5BFBDC73">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leftChars="0" w:right="0" w:rightChars="0" w:firstLine="0" w:firstLineChars="0"/>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环境管理及监测</w:t>
                  </w:r>
                </w:p>
              </w:tc>
              <w:tc>
                <w:tcPr>
                  <w:tcW w:w="1319" w:type="dxa"/>
                  <w:tcBorders>
                    <w:tl2br w:val="nil"/>
                    <w:tr2bl w:val="nil"/>
                  </w:tcBorders>
                  <w:noWrap w:val="0"/>
                  <w:vAlign w:val="center"/>
                </w:tcPr>
                <w:p w14:paraId="3BE7A731">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100.8</w:t>
                  </w:r>
                </w:p>
              </w:tc>
              <w:tc>
                <w:tcPr>
                  <w:tcW w:w="765" w:type="dxa"/>
                  <w:tcBorders>
                    <w:tl2br w:val="nil"/>
                    <w:tr2bl w:val="nil"/>
                  </w:tcBorders>
                  <w:noWrap w:val="0"/>
                  <w:vAlign w:val="center"/>
                </w:tcPr>
                <w:p w14:paraId="66F71FCC">
                  <w:pPr>
                    <w:pStyle w:val="34"/>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25.35</w:t>
                  </w:r>
                </w:p>
              </w:tc>
            </w:tr>
            <w:tr w14:paraId="079A2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1" w:type="dxa"/>
                  <w:tcBorders>
                    <w:tl2br w:val="nil"/>
                    <w:tr2bl w:val="nil"/>
                  </w:tcBorders>
                  <w:noWrap w:val="0"/>
                  <w:vAlign w:val="center"/>
                </w:tcPr>
                <w:p w14:paraId="68D81AC5">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合计</w:t>
                  </w:r>
                </w:p>
              </w:tc>
              <w:tc>
                <w:tcPr>
                  <w:tcW w:w="1817" w:type="dxa"/>
                  <w:tcBorders>
                    <w:tl2br w:val="nil"/>
                    <w:tr2bl w:val="nil"/>
                  </w:tcBorders>
                  <w:noWrap w:val="0"/>
                  <w:vAlign w:val="center"/>
                </w:tcPr>
                <w:p w14:paraId="523C1E4C">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3822" w:type="dxa"/>
                  <w:tcBorders>
                    <w:tl2br w:val="nil"/>
                    <w:tr2bl w:val="nil"/>
                  </w:tcBorders>
                  <w:noWrap w:val="0"/>
                  <w:vAlign w:val="center"/>
                </w:tcPr>
                <w:p w14:paraId="5BB4278D">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319" w:type="dxa"/>
                  <w:tcBorders>
                    <w:tl2br w:val="nil"/>
                    <w:tr2bl w:val="nil"/>
                  </w:tcBorders>
                  <w:noWrap w:val="0"/>
                  <w:vAlign w:val="center"/>
                </w:tcPr>
                <w:p w14:paraId="562191DA">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397.63</w:t>
                  </w:r>
                </w:p>
              </w:tc>
              <w:tc>
                <w:tcPr>
                  <w:tcW w:w="765" w:type="dxa"/>
                  <w:tcBorders>
                    <w:tl2br w:val="nil"/>
                    <w:tr2bl w:val="nil"/>
                  </w:tcBorders>
                  <w:noWrap w:val="0"/>
                  <w:vAlign w:val="center"/>
                </w:tcPr>
                <w:p w14:paraId="3D34FE2B">
                  <w:pPr>
                    <w:pStyle w:val="3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100</w:t>
                  </w:r>
                </w:p>
              </w:tc>
            </w:tr>
          </w:tbl>
          <w:p w14:paraId="1EF8A933">
            <w:pPr>
              <w:pStyle w:val="7"/>
              <w:keepNext w:val="0"/>
              <w:keepLines w:val="0"/>
              <w:suppressLineNumbers w:val="0"/>
              <w:spacing w:before="0" w:beforeAutospacing="0" w:after="0" w:afterAutospacing="0"/>
              <w:ind w:left="0" w:leftChars="0" w:right="0" w:firstLine="0" w:firstLineChars="0"/>
              <w:rPr>
                <w:rFonts w:hint="default" w:cs="Times New Roman"/>
                <w:bCs/>
                <w:color w:val="000000" w:themeColor="text1"/>
                <w:spacing w:val="10"/>
                <w:szCs w:val="21"/>
                <w14:textFill>
                  <w14:solidFill>
                    <w14:schemeClr w14:val="tx1"/>
                  </w14:solidFill>
                </w14:textFill>
              </w:rPr>
            </w:pPr>
          </w:p>
          <w:p w14:paraId="2E694F29">
            <w:pPr>
              <w:pStyle w:val="7"/>
              <w:keepNext w:val="0"/>
              <w:keepLines w:val="0"/>
              <w:suppressLineNumbers w:val="0"/>
              <w:spacing w:before="0" w:beforeAutospacing="0" w:after="0" w:afterAutospacing="0"/>
              <w:ind w:left="0" w:leftChars="0" w:right="0" w:firstLine="0" w:firstLineChars="0"/>
              <w:rPr>
                <w:rFonts w:hint="default" w:cs="Times New Roman"/>
                <w:bCs/>
                <w:color w:val="000000" w:themeColor="text1"/>
                <w:spacing w:val="10"/>
                <w:szCs w:val="21"/>
                <w14:textFill>
                  <w14:solidFill>
                    <w14:schemeClr w14:val="tx1"/>
                  </w14:solidFill>
                </w14:textFill>
              </w:rPr>
            </w:pPr>
          </w:p>
          <w:p w14:paraId="7FD0DC08">
            <w:pPr>
              <w:pStyle w:val="7"/>
              <w:keepNext w:val="0"/>
              <w:keepLines w:val="0"/>
              <w:suppressLineNumbers w:val="0"/>
              <w:spacing w:before="0" w:beforeAutospacing="0" w:after="0" w:afterAutospacing="0"/>
              <w:ind w:left="0" w:leftChars="0" w:right="0" w:firstLine="0" w:firstLineChars="0"/>
              <w:rPr>
                <w:rFonts w:hint="default" w:cs="Times New Roman"/>
                <w:bCs/>
                <w:color w:val="000000" w:themeColor="text1"/>
                <w:spacing w:val="10"/>
                <w:szCs w:val="21"/>
                <w14:textFill>
                  <w14:solidFill>
                    <w14:schemeClr w14:val="tx1"/>
                  </w14:solidFill>
                </w14:textFill>
              </w:rPr>
            </w:pPr>
          </w:p>
          <w:p w14:paraId="2447D363">
            <w:pPr>
              <w:pStyle w:val="8"/>
              <w:rPr>
                <w:rFonts w:hint="default"/>
                <w:color w:val="000000" w:themeColor="text1"/>
                <w14:textFill>
                  <w14:solidFill>
                    <w14:schemeClr w14:val="tx1"/>
                  </w14:solidFill>
                </w14:textFill>
              </w:rPr>
            </w:pPr>
          </w:p>
        </w:tc>
      </w:tr>
    </w:tbl>
    <w:p w14:paraId="74D2BDD7">
      <w:pPr>
        <w:pStyle w:val="4"/>
        <w:bidi w:val="0"/>
        <w:rPr>
          <w:color w:val="000000" w:themeColor="text1"/>
          <w14:textFill>
            <w14:solidFill>
              <w14:schemeClr w14:val="tx1"/>
            </w14:solidFill>
          </w14:textFill>
        </w:rPr>
        <w:sectPr>
          <w:pgSz w:w="11905" w:h="16838"/>
          <w:pgMar w:top="1417" w:right="1417" w:bottom="1417" w:left="1417" w:header="851" w:footer="964" w:gutter="0"/>
          <w:pgBorders>
            <w:top w:val="none" w:sz="0" w:space="0"/>
            <w:left w:val="none" w:sz="0" w:space="0"/>
            <w:bottom w:val="none" w:sz="0" w:space="0"/>
            <w:right w:val="none" w:sz="0" w:space="0"/>
          </w:pgBorders>
          <w:pgNumType w:fmt="numberInDash"/>
          <w:cols w:space="720" w:num="1"/>
          <w:rtlGutter w:val="0"/>
          <w:docGrid w:type="linesAndChars" w:linePitch="466" w:charSpace="-2709"/>
        </w:sectPr>
      </w:pPr>
    </w:p>
    <w:p w14:paraId="4E564D1C">
      <w:pPr>
        <w:pStyle w:val="4"/>
        <w:bidi w:val="0"/>
        <w:rPr>
          <w:color w:val="000000" w:themeColor="text1"/>
          <w14:textFill>
            <w14:solidFill>
              <w14:schemeClr w14:val="tx1"/>
            </w14:solidFill>
          </w14:textFill>
        </w:rPr>
      </w:pPr>
      <w:r>
        <w:rPr>
          <w:color w:val="000000" w:themeColor="text1"/>
          <w14:textFill>
            <w14:solidFill>
              <w14:schemeClr w14:val="tx1"/>
            </w14:solidFill>
          </w14:textFill>
        </w:rPr>
        <w:t>六、生态环境保护措施监督检查清单</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4"/>
        <w:gridCol w:w="2955"/>
        <w:gridCol w:w="1732"/>
        <w:gridCol w:w="1864"/>
        <w:gridCol w:w="1182"/>
      </w:tblGrid>
      <w:tr w14:paraId="7AD387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vMerge w:val="restart"/>
            <w:tcBorders>
              <w:tl2br w:val="single" w:color="auto" w:sz="12" w:space="0"/>
            </w:tcBorders>
            <w:noWrap w:val="0"/>
            <w:vAlign w:val="center"/>
          </w:tcPr>
          <w:p w14:paraId="1A6421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内容</w:t>
            </w:r>
          </w:p>
          <w:p w14:paraId="532F8EF3">
            <w:pPr>
              <w:pStyle w:val="51"/>
              <w:keepNext w:val="0"/>
              <w:keepLines w:val="0"/>
              <w:suppressLineNumbers w:val="0"/>
              <w:spacing w:before="0" w:beforeAutospacing="0" w:after="0" w:afterAutospacing="0"/>
              <w:ind w:left="0" w:right="0"/>
              <w:rPr>
                <w:rFonts w:hint="default" w:cs="Times New Roman"/>
                <w:b/>
                <w:bCs/>
                <w:color w:val="000000" w:themeColor="text1"/>
                <w:lang w:val="en-US" w:eastAsia="zh-CN"/>
                <w14:textFill>
                  <w14:solidFill>
                    <w14:schemeClr w14:val="tx1"/>
                  </w14:solidFill>
                </w14:textFill>
              </w:rPr>
            </w:pPr>
          </w:p>
          <w:p w14:paraId="46E81E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要素</w:t>
            </w:r>
          </w:p>
        </w:tc>
        <w:tc>
          <w:tcPr>
            <w:tcW w:w="2522" w:type="pct"/>
            <w:gridSpan w:val="2"/>
            <w:tcBorders>
              <w:tl2br w:val="nil"/>
              <w:tr2bl w:val="nil"/>
            </w:tcBorders>
            <w:noWrap w:val="0"/>
            <w:vAlign w:val="center"/>
          </w:tcPr>
          <w:p w14:paraId="53813F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施工期</w:t>
            </w:r>
          </w:p>
        </w:tc>
        <w:tc>
          <w:tcPr>
            <w:tcW w:w="1639" w:type="pct"/>
            <w:gridSpan w:val="2"/>
            <w:tcBorders>
              <w:tl2br w:val="nil"/>
              <w:tr2bl w:val="nil"/>
            </w:tcBorders>
            <w:noWrap w:val="0"/>
            <w:vAlign w:val="center"/>
          </w:tcPr>
          <w:p w14:paraId="276CDB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运营期</w:t>
            </w:r>
          </w:p>
        </w:tc>
      </w:tr>
      <w:tr w14:paraId="6447BF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vMerge w:val="continue"/>
            <w:tcBorders>
              <w:tl2br w:val="nil"/>
              <w:tr2bl w:val="nil"/>
            </w:tcBorders>
            <w:noWrap w:val="0"/>
            <w:vAlign w:val="center"/>
          </w:tcPr>
          <w:p w14:paraId="621FBF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p>
        </w:tc>
        <w:tc>
          <w:tcPr>
            <w:tcW w:w="1590" w:type="pct"/>
            <w:tcBorders>
              <w:tl2br w:val="nil"/>
              <w:tr2bl w:val="nil"/>
            </w:tcBorders>
            <w:noWrap w:val="0"/>
            <w:vAlign w:val="center"/>
          </w:tcPr>
          <w:p w14:paraId="634C89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环境保护措施</w:t>
            </w:r>
          </w:p>
        </w:tc>
        <w:tc>
          <w:tcPr>
            <w:tcW w:w="931" w:type="pct"/>
            <w:tcBorders>
              <w:tl2br w:val="nil"/>
              <w:tr2bl w:val="nil"/>
            </w:tcBorders>
            <w:noWrap w:val="0"/>
            <w:vAlign w:val="center"/>
          </w:tcPr>
          <w:p w14:paraId="6639C4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验收要求</w:t>
            </w:r>
          </w:p>
        </w:tc>
        <w:tc>
          <w:tcPr>
            <w:tcW w:w="1003" w:type="pct"/>
            <w:tcBorders>
              <w:tl2br w:val="nil"/>
              <w:tr2bl w:val="nil"/>
            </w:tcBorders>
            <w:noWrap w:val="0"/>
            <w:vAlign w:val="center"/>
          </w:tcPr>
          <w:p w14:paraId="4FDC6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环境保</w:t>
            </w:r>
          </w:p>
          <w:p w14:paraId="19CF3A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护措施</w:t>
            </w:r>
          </w:p>
        </w:tc>
        <w:tc>
          <w:tcPr>
            <w:tcW w:w="636" w:type="pct"/>
            <w:tcBorders>
              <w:tl2br w:val="nil"/>
              <w:tr2bl w:val="nil"/>
            </w:tcBorders>
            <w:noWrap w:val="0"/>
            <w:vAlign w:val="center"/>
          </w:tcPr>
          <w:p w14:paraId="5740D7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验收</w:t>
            </w:r>
          </w:p>
          <w:p w14:paraId="17766C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t>要求</w:t>
            </w:r>
          </w:p>
        </w:tc>
      </w:tr>
      <w:tr w14:paraId="0BB6DA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tcBorders>
              <w:tl2br w:val="nil"/>
              <w:tr2bl w:val="nil"/>
            </w:tcBorders>
            <w:noWrap w:val="0"/>
            <w:vAlign w:val="center"/>
          </w:tcPr>
          <w:p w14:paraId="32ADA1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陆生生态</w:t>
            </w:r>
          </w:p>
        </w:tc>
        <w:tc>
          <w:tcPr>
            <w:tcW w:w="1590" w:type="pct"/>
            <w:tcBorders>
              <w:tl2br w:val="nil"/>
              <w:tr2bl w:val="nil"/>
            </w:tcBorders>
            <w:noWrap w:val="0"/>
            <w:vAlign w:val="center"/>
          </w:tcPr>
          <w:p w14:paraId="46A5AB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严格控制施工范围，施工范围控制在占地范围内，做好避让和减缓措施，加大宣传教育，提高工人的生态保护意识，建立生态破坏惩罚制度，严禁施工人员非法猎捕野生动物</w:t>
            </w:r>
          </w:p>
        </w:tc>
        <w:tc>
          <w:tcPr>
            <w:tcW w:w="931" w:type="pct"/>
            <w:tcBorders>
              <w:tl2br w:val="nil"/>
              <w:tr2bl w:val="nil"/>
            </w:tcBorders>
            <w:noWrap w:val="0"/>
            <w:vAlign w:val="center"/>
          </w:tcPr>
          <w:p w14:paraId="671175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各项生态环境保护措施落实到位</w:t>
            </w:r>
          </w:p>
        </w:tc>
        <w:tc>
          <w:tcPr>
            <w:tcW w:w="1003" w:type="pct"/>
            <w:tcBorders>
              <w:tl2br w:val="nil"/>
              <w:tr2bl w:val="nil"/>
            </w:tcBorders>
            <w:noWrap w:val="0"/>
            <w:vAlign w:val="center"/>
          </w:tcPr>
          <w:p w14:paraId="01DC2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15C0EF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3C391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837" w:type="pct"/>
            <w:tcBorders>
              <w:tl2br w:val="nil"/>
              <w:tr2bl w:val="nil"/>
            </w:tcBorders>
            <w:noWrap w:val="0"/>
            <w:vAlign w:val="center"/>
          </w:tcPr>
          <w:p w14:paraId="430395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水生生态</w:t>
            </w:r>
          </w:p>
        </w:tc>
        <w:tc>
          <w:tcPr>
            <w:tcW w:w="1590" w:type="pct"/>
            <w:tcBorders>
              <w:tl2br w:val="nil"/>
              <w:tr2bl w:val="nil"/>
            </w:tcBorders>
            <w:noWrap w:val="0"/>
            <w:vAlign w:val="center"/>
          </w:tcPr>
          <w:p w14:paraId="56286F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12E56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2CBA31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731380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54A528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837" w:type="pct"/>
            <w:tcBorders>
              <w:tl2br w:val="nil"/>
              <w:tr2bl w:val="nil"/>
            </w:tcBorders>
            <w:noWrap w:val="0"/>
            <w:vAlign w:val="center"/>
          </w:tcPr>
          <w:p w14:paraId="3A7829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地表水环境</w:t>
            </w:r>
          </w:p>
        </w:tc>
        <w:tc>
          <w:tcPr>
            <w:tcW w:w="1590" w:type="pct"/>
            <w:tcBorders>
              <w:tl2br w:val="nil"/>
              <w:tr2bl w:val="nil"/>
            </w:tcBorders>
            <w:noWrap w:val="0"/>
            <w:vAlign w:val="center"/>
          </w:tcPr>
          <w:p w14:paraId="243503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生活污水依托周边村庄旱厕处理，项目区无废水排放，项目区无生活污水</w:t>
            </w:r>
            <w:r>
              <w:rPr>
                <w:rFonts w:hint="eastAsia" w:cs="Times New Roman"/>
                <w:color w:val="000000" w:themeColor="text1"/>
                <w:lang w:val="en-US" w:eastAsia="zh-CN"/>
                <w14:textFill>
                  <w14:solidFill>
                    <w14:schemeClr w14:val="tx1"/>
                  </w14:solidFill>
                </w14:textFill>
              </w:rPr>
              <w:t>排</w:t>
            </w:r>
            <w:r>
              <w:rPr>
                <w:rFonts w:hint="default" w:cs="Times New Roman"/>
                <w:color w:val="000000" w:themeColor="text1"/>
                <w:lang w:val="en-US" w:eastAsia="zh-CN"/>
                <w14:textFill>
                  <w14:solidFill>
                    <w14:schemeClr w14:val="tx1"/>
                  </w14:solidFill>
                </w14:textFill>
              </w:rPr>
              <w:t>放</w:t>
            </w:r>
          </w:p>
        </w:tc>
        <w:tc>
          <w:tcPr>
            <w:tcW w:w="931" w:type="pct"/>
            <w:tcBorders>
              <w:tl2br w:val="nil"/>
              <w:tr2bl w:val="nil"/>
            </w:tcBorders>
            <w:noWrap w:val="0"/>
            <w:vAlign w:val="center"/>
          </w:tcPr>
          <w:p w14:paraId="4DF42A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无废水外排</w:t>
            </w:r>
          </w:p>
        </w:tc>
        <w:tc>
          <w:tcPr>
            <w:tcW w:w="1003" w:type="pct"/>
            <w:tcBorders>
              <w:tl2br w:val="nil"/>
              <w:tr2bl w:val="nil"/>
            </w:tcBorders>
            <w:noWrap w:val="0"/>
            <w:vAlign w:val="center"/>
          </w:tcPr>
          <w:p w14:paraId="79DED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1E811C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无废水外排</w:t>
            </w:r>
          </w:p>
        </w:tc>
      </w:tr>
      <w:tr w14:paraId="03359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pct"/>
            <w:tcBorders>
              <w:tl2br w:val="nil"/>
              <w:tr2bl w:val="nil"/>
            </w:tcBorders>
            <w:noWrap w:val="0"/>
            <w:vAlign w:val="center"/>
          </w:tcPr>
          <w:p w14:paraId="6D8D93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地下水及土壤环境</w:t>
            </w:r>
          </w:p>
        </w:tc>
        <w:tc>
          <w:tcPr>
            <w:tcW w:w="1590" w:type="pct"/>
            <w:tcBorders>
              <w:tl2br w:val="nil"/>
              <w:tr2bl w:val="nil"/>
            </w:tcBorders>
            <w:noWrap w:val="0"/>
            <w:vAlign w:val="center"/>
          </w:tcPr>
          <w:p w14:paraId="05A494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38376B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687F9D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0FEEAF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68EA1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tcBorders>
              <w:tl2br w:val="nil"/>
              <w:tr2bl w:val="nil"/>
            </w:tcBorders>
            <w:noWrap w:val="0"/>
            <w:vAlign w:val="center"/>
          </w:tcPr>
          <w:p w14:paraId="0D7EA4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声环境</w:t>
            </w:r>
          </w:p>
        </w:tc>
        <w:tc>
          <w:tcPr>
            <w:tcW w:w="1590" w:type="pct"/>
            <w:tcBorders>
              <w:tl2br w:val="nil"/>
              <w:tr2bl w:val="nil"/>
            </w:tcBorders>
            <w:noWrap w:val="0"/>
            <w:vAlign w:val="center"/>
          </w:tcPr>
          <w:p w14:paraId="717B58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合理安排施工时间，禁止在夜间二十二时至次日六时进行产生环境噪声污染的建筑施工作业；优化运输路线，车辆应避免经过敏感路段；选用低噪声设备，分片区施工；同一施工地点应避免安排大量动力机械设备</w:t>
            </w:r>
          </w:p>
        </w:tc>
        <w:tc>
          <w:tcPr>
            <w:tcW w:w="931" w:type="pct"/>
            <w:tcBorders>
              <w:tl2br w:val="nil"/>
              <w:tr2bl w:val="nil"/>
            </w:tcBorders>
            <w:noWrap w:val="0"/>
            <w:vAlign w:val="center"/>
          </w:tcPr>
          <w:p w14:paraId="078E336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施工场界噪声满足《建筑施工场界环境噪声排放标准》（</w:t>
            </w:r>
            <w:r>
              <w:rPr>
                <w:rFonts w:hint="default" w:cs="Times New Roman"/>
                <w:color w:val="000000" w:themeColor="text1"/>
                <w:lang w:val="en-US" w:eastAsia="zh-CN"/>
                <w14:textFill>
                  <w14:solidFill>
                    <w14:schemeClr w14:val="tx1"/>
                  </w14:solidFill>
                </w14:textFill>
              </w:rPr>
              <w:t>GB12523-2011</w:t>
            </w:r>
            <w:r>
              <w:rPr>
                <w:rFonts w:hint="eastAsia" w:cs="Times New Roman"/>
                <w:color w:val="000000" w:themeColor="text1"/>
                <w:lang w:val="en-US" w:eastAsia="zh-CN"/>
                <w14:textFill>
                  <w14:solidFill>
                    <w14:schemeClr w14:val="tx1"/>
                  </w14:solidFill>
                </w14:textFill>
              </w:rPr>
              <w:t>）标准限值要求</w:t>
            </w:r>
          </w:p>
        </w:tc>
        <w:tc>
          <w:tcPr>
            <w:tcW w:w="1003" w:type="pct"/>
            <w:tcBorders>
              <w:tl2br w:val="nil"/>
              <w:tr2bl w:val="nil"/>
            </w:tcBorders>
            <w:noWrap w:val="0"/>
            <w:vAlign w:val="center"/>
          </w:tcPr>
          <w:p w14:paraId="12CB8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1EEA73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58E143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pct"/>
            <w:tcBorders>
              <w:tl2br w:val="nil"/>
              <w:tr2bl w:val="nil"/>
            </w:tcBorders>
            <w:noWrap w:val="0"/>
            <w:vAlign w:val="center"/>
          </w:tcPr>
          <w:p w14:paraId="6EA4C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振动</w:t>
            </w:r>
          </w:p>
        </w:tc>
        <w:tc>
          <w:tcPr>
            <w:tcW w:w="1590" w:type="pct"/>
            <w:tcBorders>
              <w:tl2br w:val="nil"/>
              <w:tr2bl w:val="nil"/>
            </w:tcBorders>
            <w:noWrap w:val="0"/>
            <w:vAlign w:val="center"/>
          </w:tcPr>
          <w:p w14:paraId="7CC4C9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253B174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500352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642976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0BF3A7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tcBorders>
              <w:tl2br w:val="nil"/>
              <w:tr2bl w:val="nil"/>
            </w:tcBorders>
            <w:noWrap w:val="0"/>
            <w:vAlign w:val="center"/>
          </w:tcPr>
          <w:p w14:paraId="3E27A3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大气环境</w:t>
            </w:r>
          </w:p>
        </w:tc>
        <w:tc>
          <w:tcPr>
            <w:tcW w:w="1590" w:type="pct"/>
            <w:tcBorders>
              <w:tl2br w:val="nil"/>
              <w:tr2bl w:val="nil"/>
            </w:tcBorders>
            <w:noWrap w:val="0"/>
            <w:vAlign w:val="center"/>
          </w:tcPr>
          <w:p w14:paraId="2D74E9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根据施工过程的实际情况，</w:t>
            </w:r>
            <w:r>
              <w:rPr>
                <w:rFonts w:hint="eastAsia" w:cs="Times New Roman"/>
                <w:color w:val="000000" w:themeColor="text1"/>
                <w:lang w:val="en-US" w:eastAsia="zh-CN"/>
                <w14:textFill>
                  <w14:solidFill>
                    <w14:schemeClr w14:val="tx1"/>
                  </w14:solidFill>
                </w14:textFill>
              </w:rPr>
              <w:t>施工场地设围栏</w:t>
            </w:r>
            <w:r>
              <w:rPr>
                <w:rFonts w:hint="default" w:cs="Times New Roman"/>
                <w:color w:val="000000" w:themeColor="text1"/>
                <w:lang w:val="en-US" w:eastAsia="zh-CN"/>
                <w14:textFill>
                  <w14:solidFill>
                    <w14:schemeClr w14:val="tx1"/>
                  </w14:solidFill>
                </w14:textFill>
              </w:rPr>
              <w:t>；避免在大风日以及夏季暴雨时节施工，尽可能缩短施工时间；加强施工区的规划管理：如在大风天气，对散料堆场应采用水喷淋法防尘；汽车运输加盖蓬布、控制车速；运输车辆进出的主干道应定期洒水清扫；加强对施工机械、车辆的维修保养；对施工废料设置围栏、定期洒水降尘</w:t>
            </w:r>
          </w:p>
        </w:tc>
        <w:tc>
          <w:tcPr>
            <w:tcW w:w="931" w:type="pct"/>
            <w:tcBorders>
              <w:tl2br w:val="nil"/>
              <w:tr2bl w:val="nil"/>
            </w:tcBorders>
            <w:noWrap w:val="0"/>
            <w:vAlign w:val="center"/>
          </w:tcPr>
          <w:p w14:paraId="3495416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施工期扬尘执行《大气污染物综合排放标准》（</w:t>
            </w:r>
            <w:r>
              <w:rPr>
                <w:rFonts w:hint="default" w:cs="Times New Roman"/>
                <w:color w:val="000000" w:themeColor="text1"/>
                <w:lang w:val="en-US" w:eastAsia="zh-CN"/>
                <w14:textFill>
                  <w14:solidFill>
                    <w14:schemeClr w14:val="tx1"/>
                  </w14:solidFill>
                </w14:textFill>
              </w:rPr>
              <w:t>GB16297-1996</w:t>
            </w:r>
            <w:r>
              <w:rPr>
                <w:rFonts w:hint="eastAsia" w:cs="Times New Roman"/>
                <w:color w:val="000000" w:themeColor="text1"/>
                <w:lang w:val="en-US" w:eastAsia="zh-CN"/>
                <w14:textFill>
                  <w14:solidFill>
                    <w14:schemeClr w14:val="tx1"/>
                  </w14:solidFill>
                </w14:textFill>
              </w:rPr>
              <w:t>）表</w:t>
            </w:r>
            <w:r>
              <w:rPr>
                <w:rFonts w:hint="default" w:cs="Times New Roman"/>
                <w:color w:val="000000" w:themeColor="text1"/>
                <w:lang w:val="en-US" w:eastAsia="zh-CN"/>
                <w14:textFill>
                  <w14:solidFill>
                    <w14:schemeClr w14:val="tx1"/>
                  </w14:solidFill>
                </w14:textFill>
              </w:rPr>
              <w:t>2</w:t>
            </w:r>
            <w:r>
              <w:rPr>
                <w:rFonts w:hint="eastAsia" w:cs="Times New Roman"/>
                <w:color w:val="000000" w:themeColor="text1"/>
                <w:lang w:val="en-US" w:eastAsia="zh-CN"/>
                <w14:textFill>
                  <w14:solidFill>
                    <w14:schemeClr w14:val="tx1"/>
                  </w14:solidFill>
                </w14:textFill>
              </w:rPr>
              <w:t>无组织排放监控浓度限值标准</w:t>
            </w:r>
          </w:p>
        </w:tc>
        <w:tc>
          <w:tcPr>
            <w:tcW w:w="1003" w:type="pct"/>
            <w:tcBorders>
              <w:tl2br w:val="nil"/>
              <w:tr2bl w:val="nil"/>
            </w:tcBorders>
            <w:noWrap w:val="0"/>
            <w:vAlign w:val="center"/>
          </w:tcPr>
          <w:p w14:paraId="54351D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3EDF8B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EB8DE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tcBorders>
              <w:tl2br w:val="nil"/>
              <w:tr2bl w:val="nil"/>
            </w:tcBorders>
            <w:noWrap w:val="0"/>
            <w:vAlign w:val="center"/>
          </w:tcPr>
          <w:p w14:paraId="7A5BA1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固体废物</w:t>
            </w:r>
          </w:p>
        </w:tc>
        <w:tc>
          <w:tcPr>
            <w:tcW w:w="1590" w:type="pct"/>
            <w:tcBorders>
              <w:tl2br w:val="nil"/>
              <w:tr2bl w:val="nil"/>
            </w:tcBorders>
            <w:noWrap w:val="0"/>
            <w:vAlign w:val="center"/>
          </w:tcPr>
          <w:p w14:paraId="214CD0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t>生活垃圾集中分类收集后送至邻近村庄生活垃圾收集点，由当地环卫部门统一清运处置</w:t>
            </w:r>
          </w:p>
        </w:tc>
        <w:tc>
          <w:tcPr>
            <w:tcW w:w="931" w:type="pct"/>
            <w:tcBorders>
              <w:tl2br w:val="nil"/>
              <w:tr2bl w:val="nil"/>
            </w:tcBorders>
            <w:noWrap w:val="0"/>
            <w:vAlign w:val="center"/>
          </w:tcPr>
          <w:p w14:paraId="19CBB1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妥善处置</w:t>
            </w:r>
          </w:p>
        </w:tc>
        <w:tc>
          <w:tcPr>
            <w:tcW w:w="1003" w:type="pct"/>
            <w:tcBorders>
              <w:tl2br w:val="nil"/>
              <w:tr2bl w:val="nil"/>
            </w:tcBorders>
            <w:noWrap w:val="0"/>
            <w:vAlign w:val="center"/>
          </w:tcPr>
          <w:p w14:paraId="46543F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5E7C06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1109A0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837" w:type="pct"/>
            <w:tcBorders>
              <w:tl2br w:val="nil"/>
              <w:tr2bl w:val="nil"/>
            </w:tcBorders>
            <w:noWrap w:val="0"/>
            <w:vAlign w:val="center"/>
          </w:tcPr>
          <w:p w14:paraId="48F333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电磁环境</w:t>
            </w:r>
          </w:p>
        </w:tc>
        <w:tc>
          <w:tcPr>
            <w:tcW w:w="1590" w:type="pct"/>
            <w:tcBorders>
              <w:tl2br w:val="nil"/>
              <w:tr2bl w:val="nil"/>
            </w:tcBorders>
            <w:noWrap w:val="0"/>
            <w:vAlign w:val="center"/>
          </w:tcPr>
          <w:p w14:paraId="32CC5C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3FC9956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58AC8C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12A675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46F0C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837" w:type="pct"/>
            <w:tcBorders>
              <w:tl2br w:val="nil"/>
              <w:tr2bl w:val="nil"/>
            </w:tcBorders>
            <w:noWrap w:val="0"/>
            <w:vAlign w:val="center"/>
          </w:tcPr>
          <w:p w14:paraId="648F0D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环境风险</w:t>
            </w:r>
          </w:p>
        </w:tc>
        <w:tc>
          <w:tcPr>
            <w:tcW w:w="1590" w:type="pct"/>
            <w:tcBorders>
              <w:tl2br w:val="nil"/>
              <w:tr2bl w:val="nil"/>
            </w:tcBorders>
            <w:noWrap w:val="0"/>
            <w:vAlign w:val="center"/>
          </w:tcPr>
          <w:p w14:paraId="756E96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7969ED8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695D2C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3F4AC5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38E4C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837" w:type="pct"/>
            <w:tcBorders>
              <w:tl2br w:val="nil"/>
              <w:tr2bl w:val="nil"/>
            </w:tcBorders>
            <w:noWrap w:val="0"/>
            <w:vAlign w:val="center"/>
          </w:tcPr>
          <w:p w14:paraId="4C176F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环境监测</w:t>
            </w:r>
          </w:p>
        </w:tc>
        <w:tc>
          <w:tcPr>
            <w:tcW w:w="1590" w:type="pct"/>
            <w:tcBorders>
              <w:tl2br w:val="nil"/>
              <w:tr2bl w:val="nil"/>
            </w:tcBorders>
            <w:noWrap w:val="0"/>
            <w:vAlign w:val="center"/>
          </w:tcPr>
          <w:p w14:paraId="08211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监测TSP、噪声、生态</w:t>
            </w:r>
          </w:p>
        </w:tc>
        <w:tc>
          <w:tcPr>
            <w:tcW w:w="931" w:type="pct"/>
            <w:tcBorders>
              <w:tl2br w:val="nil"/>
              <w:tr2bl w:val="nil"/>
            </w:tcBorders>
            <w:noWrap w:val="0"/>
            <w:vAlign w:val="center"/>
          </w:tcPr>
          <w:p w14:paraId="7CA23A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按要求监测</w:t>
            </w:r>
          </w:p>
        </w:tc>
        <w:tc>
          <w:tcPr>
            <w:tcW w:w="1003" w:type="pct"/>
            <w:tcBorders>
              <w:tl2br w:val="nil"/>
              <w:tr2bl w:val="nil"/>
            </w:tcBorders>
            <w:noWrap w:val="0"/>
            <w:vAlign w:val="center"/>
          </w:tcPr>
          <w:p w14:paraId="5DA630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55E8E5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2809F5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37" w:type="pct"/>
            <w:tcBorders>
              <w:tl2br w:val="nil"/>
              <w:tr2bl w:val="nil"/>
            </w:tcBorders>
            <w:noWrap w:val="0"/>
            <w:vAlign w:val="center"/>
          </w:tcPr>
          <w:p w14:paraId="28F00D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其他</w:t>
            </w:r>
          </w:p>
        </w:tc>
        <w:tc>
          <w:tcPr>
            <w:tcW w:w="1590" w:type="pct"/>
            <w:tcBorders>
              <w:tl2br w:val="nil"/>
              <w:tr2bl w:val="nil"/>
            </w:tcBorders>
            <w:noWrap w:val="0"/>
            <w:vAlign w:val="center"/>
          </w:tcPr>
          <w:p w14:paraId="3F2026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931" w:type="pct"/>
            <w:tcBorders>
              <w:tl2br w:val="nil"/>
              <w:tr2bl w:val="nil"/>
            </w:tcBorders>
            <w:noWrap w:val="0"/>
            <w:vAlign w:val="center"/>
          </w:tcPr>
          <w:p w14:paraId="7CEA05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003" w:type="pct"/>
            <w:tcBorders>
              <w:tl2br w:val="nil"/>
              <w:tr2bl w:val="nil"/>
            </w:tcBorders>
            <w:noWrap w:val="0"/>
            <w:vAlign w:val="center"/>
          </w:tcPr>
          <w:p w14:paraId="5818C0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636" w:type="pct"/>
            <w:tcBorders>
              <w:tl2br w:val="nil"/>
              <w:tr2bl w:val="nil"/>
            </w:tcBorders>
            <w:noWrap w:val="0"/>
            <w:vAlign w:val="center"/>
          </w:tcPr>
          <w:p w14:paraId="6D2E7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bl>
    <w:p w14:paraId="7472CDAA">
      <w:pPr>
        <w:pStyle w:val="23"/>
        <w:spacing w:before="372" w:beforeLines="80" w:beforeAutospacing="0"/>
        <w:jc w:val="center"/>
        <w:outlineLvl w:val="0"/>
        <w:rPr>
          <w:rFonts w:ascii="Times New Roman" w:hAnsi="Times New Roman" w:eastAsia="黑体"/>
          <w:snapToGrid w:val="0"/>
          <w:color w:val="000000" w:themeColor="text1"/>
          <w:sz w:val="30"/>
          <w:szCs w:val="30"/>
          <w14:textFill>
            <w14:solidFill>
              <w14:schemeClr w14:val="tx1"/>
            </w14:solidFill>
          </w14:textFill>
        </w:rPr>
        <w:sectPr>
          <w:pgSz w:w="11905" w:h="16838"/>
          <w:pgMar w:top="1417" w:right="1417" w:bottom="1417" w:left="1417" w:header="851" w:footer="964" w:gutter="0"/>
          <w:pgBorders>
            <w:top w:val="none" w:sz="0" w:space="0"/>
            <w:left w:val="none" w:sz="0" w:space="0"/>
            <w:bottom w:val="none" w:sz="0" w:space="0"/>
            <w:right w:val="none" w:sz="0" w:space="0"/>
          </w:pgBorders>
          <w:pgNumType w:fmt="numberInDash"/>
          <w:cols w:space="720" w:num="1"/>
          <w:rtlGutter w:val="0"/>
          <w:docGrid w:type="linesAndChars" w:linePitch="466" w:charSpace="-2709"/>
        </w:sectPr>
      </w:pPr>
    </w:p>
    <w:p w14:paraId="3CD8359F">
      <w:pPr>
        <w:pStyle w:val="4"/>
        <w:bidi w:val="0"/>
        <w:rPr>
          <w:color w:val="000000" w:themeColor="text1"/>
          <w14:textFill>
            <w14:solidFill>
              <w14:schemeClr w14:val="tx1"/>
            </w14:solidFill>
          </w14:textFill>
        </w:rPr>
      </w:pPr>
      <w:r>
        <w:rPr>
          <w:color w:val="000000" w:themeColor="text1"/>
          <w14:textFill>
            <w14:solidFill>
              <w14:schemeClr w14:val="tx1"/>
            </w14:solidFill>
          </w14:textFill>
        </w:rPr>
        <w:t>七、结论</w:t>
      </w:r>
    </w:p>
    <w:tbl>
      <w:tblPr>
        <w:tblStyle w:val="27"/>
        <w:tblW w:w="94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00"/>
      </w:tblGrid>
      <w:tr w14:paraId="1BDD49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72" w:hRule="atLeast"/>
          <w:jc w:val="center"/>
        </w:trPr>
        <w:tc>
          <w:tcPr>
            <w:tcW w:w="9400" w:type="dxa"/>
            <w:noWrap w:val="0"/>
            <w:vAlign w:val="top"/>
          </w:tcPr>
          <w:p w14:paraId="5946DF98">
            <w:pPr>
              <w:adjustRightInd w:val="0"/>
              <w:snapToGrid w:val="0"/>
              <w:ind w:firstLine="315"/>
              <w:rPr>
                <w:color w:val="000000" w:themeColor="text1"/>
                <w:szCs w:val="21"/>
                <w14:textFill>
                  <w14:solidFill>
                    <w14:schemeClr w14:val="tx1"/>
                  </w14:solidFill>
                </w14:textFill>
              </w:rPr>
            </w:pPr>
            <w:r>
              <w:rPr>
                <w:rFonts w:hint="eastAsia" w:cs="Times New Roman"/>
                <w:color w:val="000000" w:themeColor="text1"/>
                <w:lang w:val="en-US" w:eastAsia="zh-CN"/>
                <w14:textFill>
                  <w14:solidFill>
                    <w14:schemeClr w14:val="tx1"/>
                  </w14:solidFill>
                </w14:textFill>
              </w:rPr>
              <w:t>从环境保护角度分析，本项目环境影响可行。</w:t>
            </w:r>
          </w:p>
        </w:tc>
      </w:tr>
    </w:tbl>
    <w:p w14:paraId="69F86E3A">
      <w:pPr>
        <w:widowControl/>
        <w:adjustRightInd w:val="0"/>
        <w:snapToGrid w:val="0"/>
        <w:spacing w:before="372" w:beforeLines="80"/>
        <w:ind w:left="0" w:leftChars="0" w:firstLine="0" w:firstLineChars="0"/>
        <w:jc w:val="left"/>
        <w:rPr>
          <w:color w:val="000000" w:themeColor="text1"/>
          <w14:textFill>
            <w14:solidFill>
              <w14:schemeClr w14:val="tx1"/>
            </w14:solidFill>
          </w14:textFill>
        </w:rPr>
      </w:pPr>
    </w:p>
    <w:sectPr>
      <w:pgSz w:w="11905" w:h="16838"/>
      <w:pgMar w:top="1417" w:right="1417" w:bottom="1417" w:left="1417" w:header="851" w:footer="964" w:gutter="0"/>
      <w:pgBorders>
        <w:top w:val="none" w:sz="0" w:space="0"/>
        <w:left w:val="none" w:sz="0" w:space="0"/>
        <w:bottom w:val="none" w:sz="0" w:space="0"/>
        <w:right w:val="none" w:sz="0" w:space="0"/>
      </w:pgBorders>
      <w:pgNumType w:fmt="numberInDash"/>
      <w:cols w:space="720" w:num="1"/>
      <w:rtlGutter w:val="0"/>
      <w:docGrid w:type="linesAndChars" w:linePitch="466" w:charSpace="-270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54"/>
      </w:pPr>
      <w:r>
        <w:separator/>
      </w:r>
    </w:p>
  </w:endnote>
  <w:endnote w:type="continuationSeparator" w:id="1">
    <w:p>
      <w:pPr>
        <w:ind w:firstLine="45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1FA011">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71598">
    <w:pPr>
      <w:pStyle w:val="17"/>
      <w:framePr w:wrap="around" w:vAnchor="text" w:hAnchor="margin" w:xAlign="outside" w:y="1"/>
      <w:rPr>
        <w:rStyle w:val="30"/>
      </w:rPr>
    </w:pPr>
    <w:r>
      <w:fldChar w:fldCharType="begin"/>
    </w:r>
    <w:r>
      <w:rPr>
        <w:rStyle w:val="30"/>
      </w:rPr>
      <w:instrText xml:space="preserve">PAGE  </w:instrText>
    </w:r>
    <w:r>
      <w:fldChar w:fldCharType="end"/>
    </w:r>
  </w:p>
  <w:p w14:paraId="1854EEE7">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5EC4B">
    <w:pPr>
      <w:pStyle w:val="17"/>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A703148">
                          <w:pPr>
                            <w:pStyle w:val="17"/>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204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HhgpdnLAQAAnAMAAA4AAAAAAAAAAQAgAAAAHgEAAGRycy9lMm9E&#10;b2MueG1sUEsFBgAAAAAGAAYAWQEAAFsFAAAAAA==&#10;">
              <v:fill on="f" focussize="0,0"/>
              <v:stroke on="f"/>
              <v:imagedata o:title=""/>
              <o:lock v:ext="edit" aspectratio="f"/>
              <v:textbox inset="0mm,0mm,0mm,0mm" style="mso-fit-shape-to-text:t;">
                <w:txbxContent>
                  <w:p w14:paraId="6A703148">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54"/>
      </w:pPr>
      <w:r>
        <w:separator/>
      </w:r>
    </w:p>
  </w:footnote>
  <w:footnote w:type="continuationSeparator" w:id="1">
    <w:p>
      <w:pPr>
        <w:ind w:firstLine="454"/>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C5F22E"/>
    <w:multiLevelType w:val="singleLevel"/>
    <w:tmpl w:val="CFC5F22E"/>
    <w:lvl w:ilvl="0" w:tentative="0">
      <w:start w:val="1"/>
      <w:numFmt w:val="decimal"/>
      <w:suff w:val="nothing"/>
      <w:lvlText w:val="%1、"/>
      <w:lvlJc w:val="left"/>
    </w:lvl>
  </w:abstractNum>
  <w:abstractNum w:abstractNumId="1">
    <w:nsid w:val="EAFFB6B1"/>
    <w:multiLevelType w:val="singleLevel"/>
    <w:tmpl w:val="EAFFB6B1"/>
    <w:lvl w:ilvl="0" w:tentative="0">
      <w:start w:val="2"/>
      <w:numFmt w:val="decimal"/>
      <w:suff w:val="nothing"/>
      <w:lvlText w:val="%1、"/>
      <w:lvlJc w:val="left"/>
    </w:lvl>
  </w:abstractNum>
  <w:abstractNum w:abstractNumId="2">
    <w:nsid w:val="4414EB11"/>
    <w:multiLevelType w:val="singleLevel"/>
    <w:tmpl w:val="4414EB11"/>
    <w:lvl w:ilvl="0" w:tentative="0">
      <w:start w:val="5"/>
      <w:numFmt w:val="chineseCounting"/>
      <w:suff w:val="nothing"/>
      <w:lvlText w:val="%1、"/>
      <w:lvlJc w:val="left"/>
      <w:rPr>
        <w:rFonts w:hint="eastAsia"/>
      </w:rPr>
    </w:lvl>
  </w:abstractNum>
  <w:abstractNum w:abstractNumId="3">
    <w:nsid w:val="64DEB6FE"/>
    <w:multiLevelType w:val="singleLevel"/>
    <w:tmpl w:val="64DEB6FE"/>
    <w:lvl w:ilvl="0" w:tentative="0">
      <w:start w:val="3"/>
      <w:numFmt w:val="decimal"/>
      <w:suff w:val="nothing"/>
      <w:lvlText w:val="%1、"/>
      <w:lvlJc w:val="left"/>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13"/>
  <w:drawingGridVerticalSpacing w:val="233"/>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hkOTY3ZmU2OTZjZmRlOGIyMjcyYTg4YWQyY2Y1NDAifQ=="/>
  </w:docVars>
  <w:rsids>
    <w:rsidRoot w:val="00172A2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0B7B"/>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475DC"/>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8CF"/>
    <w:rsid w:val="002E298A"/>
    <w:rsid w:val="002F02A4"/>
    <w:rsid w:val="002F272B"/>
    <w:rsid w:val="002F7077"/>
    <w:rsid w:val="002F7C6D"/>
    <w:rsid w:val="003027E4"/>
    <w:rsid w:val="0030332C"/>
    <w:rsid w:val="00312296"/>
    <w:rsid w:val="0031340E"/>
    <w:rsid w:val="00316464"/>
    <w:rsid w:val="0032073A"/>
    <w:rsid w:val="00321474"/>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C5BFA"/>
    <w:rsid w:val="003D3EE9"/>
    <w:rsid w:val="003E7681"/>
    <w:rsid w:val="003F0228"/>
    <w:rsid w:val="003F0809"/>
    <w:rsid w:val="003F5E57"/>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676E1"/>
    <w:rsid w:val="004727B0"/>
    <w:rsid w:val="004763B8"/>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487"/>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77EF3"/>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24121"/>
    <w:rsid w:val="006343AF"/>
    <w:rsid w:val="0063634A"/>
    <w:rsid w:val="0064250D"/>
    <w:rsid w:val="00646655"/>
    <w:rsid w:val="006535EB"/>
    <w:rsid w:val="00663016"/>
    <w:rsid w:val="00674605"/>
    <w:rsid w:val="006748B8"/>
    <w:rsid w:val="0068535B"/>
    <w:rsid w:val="0068736E"/>
    <w:rsid w:val="0069290A"/>
    <w:rsid w:val="00697032"/>
    <w:rsid w:val="006975AC"/>
    <w:rsid w:val="006A15FB"/>
    <w:rsid w:val="006A72BF"/>
    <w:rsid w:val="006B332A"/>
    <w:rsid w:val="006B33BD"/>
    <w:rsid w:val="006C2EDD"/>
    <w:rsid w:val="006C3F75"/>
    <w:rsid w:val="006D170E"/>
    <w:rsid w:val="006D2EDF"/>
    <w:rsid w:val="006D4E55"/>
    <w:rsid w:val="006E06AF"/>
    <w:rsid w:val="006F098D"/>
    <w:rsid w:val="006F1789"/>
    <w:rsid w:val="007013AE"/>
    <w:rsid w:val="00706C5D"/>
    <w:rsid w:val="007118E6"/>
    <w:rsid w:val="007225C9"/>
    <w:rsid w:val="00735CD7"/>
    <w:rsid w:val="00754034"/>
    <w:rsid w:val="007541B7"/>
    <w:rsid w:val="00754BF1"/>
    <w:rsid w:val="00755A30"/>
    <w:rsid w:val="00755E1C"/>
    <w:rsid w:val="00756556"/>
    <w:rsid w:val="0076132B"/>
    <w:rsid w:val="007623AE"/>
    <w:rsid w:val="00770B19"/>
    <w:rsid w:val="00774FA0"/>
    <w:rsid w:val="00776620"/>
    <w:rsid w:val="00777B6D"/>
    <w:rsid w:val="00781B71"/>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5558F"/>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B6B9F"/>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0C46"/>
    <w:rsid w:val="0091736D"/>
    <w:rsid w:val="00931001"/>
    <w:rsid w:val="00931863"/>
    <w:rsid w:val="00933524"/>
    <w:rsid w:val="0094278D"/>
    <w:rsid w:val="00943E8B"/>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10E4"/>
    <w:rsid w:val="00A23DC5"/>
    <w:rsid w:val="00A34028"/>
    <w:rsid w:val="00A35568"/>
    <w:rsid w:val="00A37056"/>
    <w:rsid w:val="00A4358F"/>
    <w:rsid w:val="00A46F67"/>
    <w:rsid w:val="00A51A1E"/>
    <w:rsid w:val="00A54AA1"/>
    <w:rsid w:val="00A568FF"/>
    <w:rsid w:val="00A61496"/>
    <w:rsid w:val="00A61833"/>
    <w:rsid w:val="00A624C6"/>
    <w:rsid w:val="00A63CEC"/>
    <w:rsid w:val="00A7031E"/>
    <w:rsid w:val="00A728B1"/>
    <w:rsid w:val="00A72EC7"/>
    <w:rsid w:val="00A763DE"/>
    <w:rsid w:val="00A803D6"/>
    <w:rsid w:val="00A81282"/>
    <w:rsid w:val="00A8713F"/>
    <w:rsid w:val="00A91167"/>
    <w:rsid w:val="00A9171C"/>
    <w:rsid w:val="00A92FFD"/>
    <w:rsid w:val="00A95975"/>
    <w:rsid w:val="00A9708D"/>
    <w:rsid w:val="00AA2C17"/>
    <w:rsid w:val="00AA4172"/>
    <w:rsid w:val="00AB0552"/>
    <w:rsid w:val="00AB1914"/>
    <w:rsid w:val="00AB5330"/>
    <w:rsid w:val="00AB7747"/>
    <w:rsid w:val="00AC2532"/>
    <w:rsid w:val="00AD1507"/>
    <w:rsid w:val="00AD5A70"/>
    <w:rsid w:val="00AD738B"/>
    <w:rsid w:val="00AE1BF4"/>
    <w:rsid w:val="00AE5D97"/>
    <w:rsid w:val="00AE627F"/>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B3DDF"/>
    <w:rsid w:val="00BC0C9E"/>
    <w:rsid w:val="00BC32DC"/>
    <w:rsid w:val="00BD1B51"/>
    <w:rsid w:val="00BD47F6"/>
    <w:rsid w:val="00BD55CC"/>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0F85"/>
    <w:rsid w:val="00CD2BCD"/>
    <w:rsid w:val="00CD36AA"/>
    <w:rsid w:val="00CD3791"/>
    <w:rsid w:val="00CD65B0"/>
    <w:rsid w:val="00CE02CD"/>
    <w:rsid w:val="00CE047C"/>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67D30"/>
    <w:rsid w:val="00F74345"/>
    <w:rsid w:val="00F74441"/>
    <w:rsid w:val="00F77F30"/>
    <w:rsid w:val="00F82589"/>
    <w:rsid w:val="00F82B19"/>
    <w:rsid w:val="00F90AA7"/>
    <w:rsid w:val="00F9212D"/>
    <w:rsid w:val="00FA301A"/>
    <w:rsid w:val="00FA406A"/>
    <w:rsid w:val="00FA5CB6"/>
    <w:rsid w:val="00FB4C69"/>
    <w:rsid w:val="00FC66AC"/>
    <w:rsid w:val="00FD18F4"/>
    <w:rsid w:val="00FD74B4"/>
    <w:rsid w:val="00FF6FCE"/>
    <w:rsid w:val="00FF7518"/>
    <w:rsid w:val="00FF7FD8"/>
    <w:rsid w:val="01494A1D"/>
    <w:rsid w:val="0153632E"/>
    <w:rsid w:val="016025FC"/>
    <w:rsid w:val="016A6FD7"/>
    <w:rsid w:val="020B3FD7"/>
    <w:rsid w:val="021104AD"/>
    <w:rsid w:val="021B2558"/>
    <w:rsid w:val="023A109F"/>
    <w:rsid w:val="02846585"/>
    <w:rsid w:val="028B33E3"/>
    <w:rsid w:val="02991F49"/>
    <w:rsid w:val="02AB7B5B"/>
    <w:rsid w:val="0310205E"/>
    <w:rsid w:val="03355597"/>
    <w:rsid w:val="03A72764"/>
    <w:rsid w:val="03C33BAD"/>
    <w:rsid w:val="041E69E5"/>
    <w:rsid w:val="04476E46"/>
    <w:rsid w:val="04806B11"/>
    <w:rsid w:val="04A03DAD"/>
    <w:rsid w:val="050D487A"/>
    <w:rsid w:val="0515617D"/>
    <w:rsid w:val="052A7D48"/>
    <w:rsid w:val="05742AC8"/>
    <w:rsid w:val="05B44B60"/>
    <w:rsid w:val="05D07A24"/>
    <w:rsid w:val="06352F05"/>
    <w:rsid w:val="063E7D85"/>
    <w:rsid w:val="06616A9A"/>
    <w:rsid w:val="069B0BE3"/>
    <w:rsid w:val="06AA0980"/>
    <w:rsid w:val="06CB0A74"/>
    <w:rsid w:val="06E03AA2"/>
    <w:rsid w:val="06E97932"/>
    <w:rsid w:val="070875E0"/>
    <w:rsid w:val="07293586"/>
    <w:rsid w:val="07295285"/>
    <w:rsid w:val="076C1EA1"/>
    <w:rsid w:val="07770C56"/>
    <w:rsid w:val="07B0538A"/>
    <w:rsid w:val="08061091"/>
    <w:rsid w:val="08646E76"/>
    <w:rsid w:val="08782AD4"/>
    <w:rsid w:val="08803584"/>
    <w:rsid w:val="08C8467C"/>
    <w:rsid w:val="08CE2541"/>
    <w:rsid w:val="08DF66BD"/>
    <w:rsid w:val="08E33DA2"/>
    <w:rsid w:val="09042BC9"/>
    <w:rsid w:val="09162C5D"/>
    <w:rsid w:val="092217DD"/>
    <w:rsid w:val="093A7294"/>
    <w:rsid w:val="093C74AB"/>
    <w:rsid w:val="09A53E22"/>
    <w:rsid w:val="09D06565"/>
    <w:rsid w:val="09F16752"/>
    <w:rsid w:val="0A1F30FA"/>
    <w:rsid w:val="0A5A19EB"/>
    <w:rsid w:val="0A6023AD"/>
    <w:rsid w:val="0A7E14F7"/>
    <w:rsid w:val="0A854E82"/>
    <w:rsid w:val="0AA84C3E"/>
    <w:rsid w:val="0AE749E0"/>
    <w:rsid w:val="0B231F9E"/>
    <w:rsid w:val="0B2526F2"/>
    <w:rsid w:val="0B330D82"/>
    <w:rsid w:val="0B4D7C96"/>
    <w:rsid w:val="0BD06598"/>
    <w:rsid w:val="0BD27BF6"/>
    <w:rsid w:val="0C234952"/>
    <w:rsid w:val="0C931DE2"/>
    <w:rsid w:val="0CA973AD"/>
    <w:rsid w:val="0CC72906"/>
    <w:rsid w:val="0CD345CA"/>
    <w:rsid w:val="0D19521E"/>
    <w:rsid w:val="0D3C64A6"/>
    <w:rsid w:val="0D6E0C30"/>
    <w:rsid w:val="0D8B22D1"/>
    <w:rsid w:val="0DD6777B"/>
    <w:rsid w:val="0DDF0D4D"/>
    <w:rsid w:val="0DED6FC6"/>
    <w:rsid w:val="0E110D06"/>
    <w:rsid w:val="0E453D70"/>
    <w:rsid w:val="0E7532CC"/>
    <w:rsid w:val="0E8B3395"/>
    <w:rsid w:val="0EA7676E"/>
    <w:rsid w:val="0EB9507E"/>
    <w:rsid w:val="0EC553FF"/>
    <w:rsid w:val="0F13775A"/>
    <w:rsid w:val="0F9A112B"/>
    <w:rsid w:val="0FC63F72"/>
    <w:rsid w:val="0FED502C"/>
    <w:rsid w:val="0FF52D05"/>
    <w:rsid w:val="0FF623CC"/>
    <w:rsid w:val="0FF90F99"/>
    <w:rsid w:val="10622ECE"/>
    <w:rsid w:val="106D2F64"/>
    <w:rsid w:val="10A91D5D"/>
    <w:rsid w:val="10B63710"/>
    <w:rsid w:val="10BE10ED"/>
    <w:rsid w:val="10ED30D4"/>
    <w:rsid w:val="11182893"/>
    <w:rsid w:val="111C2F7A"/>
    <w:rsid w:val="111C5B5C"/>
    <w:rsid w:val="1122167C"/>
    <w:rsid w:val="113013DE"/>
    <w:rsid w:val="11651569"/>
    <w:rsid w:val="11755C50"/>
    <w:rsid w:val="11AF5257"/>
    <w:rsid w:val="11B762D9"/>
    <w:rsid w:val="11CE5360"/>
    <w:rsid w:val="122B06C2"/>
    <w:rsid w:val="12340EE0"/>
    <w:rsid w:val="12555A81"/>
    <w:rsid w:val="1263699C"/>
    <w:rsid w:val="12945E0A"/>
    <w:rsid w:val="12C02E2D"/>
    <w:rsid w:val="12C549B5"/>
    <w:rsid w:val="12FA5655"/>
    <w:rsid w:val="12FA7900"/>
    <w:rsid w:val="13206088"/>
    <w:rsid w:val="13724402"/>
    <w:rsid w:val="137E6912"/>
    <w:rsid w:val="13951726"/>
    <w:rsid w:val="142E323C"/>
    <w:rsid w:val="142F374B"/>
    <w:rsid w:val="142F4684"/>
    <w:rsid w:val="14396509"/>
    <w:rsid w:val="1447165C"/>
    <w:rsid w:val="14720225"/>
    <w:rsid w:val="14915106"/>
    <w:rsid w:val="14E552B7"/>
    <w:rsid w:val="14FA7A90"/>
    <w:rsid w:val="159521EE"/>
    <w:rsid w:val="16AA639C"/>
    <w:rsid w:val="16CE44C0"/>
    <w:rsid w:val="16DC6C5E"/>
    <w:rsid w:val="17056B88"/>
    <w:rsid w:val="17300169"/>
    <w:rsid w:val="17735226"/>
    <w:rsid w:val="177E3384"/>
    <w:rsid w:val="17962A8E"/>
    <w:rsid w:val="17EE22B8"/>
    <w:rsid w:val="18025D64"/>
    <w:rsid w:val="180D7807"/>
    <w:rsid w:val="180E011D"/>
    <w:rsid w:val="185D11EC"/>
    <w:rsid w:val="18710A3C"/>
    <w:rsid w:val="18AF4505"/>
    <w:rsid w:val="18C012DF"/>
    <w:rsid w:val="18C86033"/>
    <w:rsid w:val="18DC2CC2"/>
    <w:rsid w:val="18F334E0"/>
    <w:rsid w:val="1972483F"/>
    <w:rsid w:val="19A319F9"/>
    <w:rsid w:val="19F8741E"/>
    <w:rsid w:val="1A09723D"/>
    <w:rsid w:val="1A0D1240"/>
    <w:rsid w:val="1A1C66C0"/>
    <w:rsid w:val="1A370B9F"/>
    <w:rsid w:val="1A42393B"/>
    <w:rsid w:val="1A6709D9"/>
    <w:rsid w:val="1A9E04C6"/>
    <w:rsid w:val="1AA52CB1"/>
    <w:rsid w:val="1B046F80"/>
    <w:rsid w:val="1B124510"/>
    <w:rsid w:val="1B3267B5"/>
    <w:rsid w:val="1B817081"/>
    <w:rsid w:val="1BC25DC8"/>
    <w:rsid w:val="1C162457"/>
    <w:rsid w:val="1C2303C8"/>
    <w:rsid w:val="1C3256B4"/>
    <w:rsid w:val="1C380BB7"/>
    <w:rsid w:val="1C5E7925"/>
    <w:rsid w:val="1C8507BC"/>
    <w:rsid w:val="1C887FC8"/>
    <w:rsid w:val="1C937881"/>
    <w:rsid w:val="1C955AB8"/>
    <w:rsid w:val="1CC932F4"/>
    <w:rsid w:val="1D095BC4"/>
    <w:rsid w:val="1D5F6196"/>
    <w:rsid w:val="1D6132A5"/>
    <w:rsid w:val="1D8D6AB9"/>
    <w:rsid w:val="1D8E56D5"/>
    <w:rsid w:val="1DDF76FE"/>
    <w:rsid w:val="1E440899"/>
    <w:rsid w:val="1E6244F9"/>
    <w:rsid w:val="1E7A43DA"/>
    <w:rsid w:val="1EB277FE"/>
    <w:rsid w:val="1EBB6C6C"/>
    <w:rsid w:val="1ED46BF8"/>
    <w:rsid w:val="1F2E64D5"/>
    <w:rsid w:val="1F494BDF"/>
    <w:rsid w:val="1F672AC7"/>
    <w:rsid w:val="1FB2006F"/>
    <w:rsid w:val="1FD955FC"/>
    <w:rsid w:val="1FE32388"/>
    <w:rsid w:val="1FE7539E"/>
    <w:rsid w:val="1FEF669A"/>
    <w:rsid w:val="20805009"/>
    <w:rsid w:val="20963CB8"/>
    <w:rsid w:val="20A83488"/>
    <w:rsid w:val="20B07FB6"/>
    <w:rsid w:val="20C560E6"/>
    <w:rsid w:val="20C91F2E"/>
    <w:rsid w:val="210B5C89"/>
    <w:rsid w:val="213B74B1"/>
    <w:rsid w:val="214B077B"/>
    <w:rsid w:val="21556A21"/>
    <w:rsid w:val="215A2310"/>
    <w:rsid w:val="21843C8D"/>
    <w:rsid w:val="21C916A0"/>
    <w:rsid w:val="21CC2FB1"/>
    <w:rsid w:val="21DE318A"/>
    <w:rsid w:val="21EF5B80"/>
    <w:rsid w:val="22351DE9"/>
    <w:rsid w:val="22371180"/>
    <w:rsid w:val="22403E68"/>
    <w:rsid w:val="22576990"/>
    <w:rsid w:val="22744244"/>
    <w:rsid w:val="229C4EAB"/>
    <w:rsid w:val="22D54ABD"/>
    <w:rsid w:val="22E52C76"/>
    <w:rsid w:val="23A93D79"/>
    <w:rsid w:val="23E67D1E"/>
    <w:rsid w:val="24050D33"/>
    <w:rsid w:val="242624F6"/>
    <w:rsid w:val="242C50FE"/>
    <w:rsid w:val="24A64E3C"/>
    <w:rsid w:val="24B21AE5"/>
    <w:rsid w:val="24B2466D"/>
    <w:rsid w:val="24FD3B3B"/>
    <w:rsid w:val="252D53FE"/>
    <w:rsid w:val="25364E98"/>
    <w:rsid w:val="25500262"/>
    <w:rsid w:val="2551057C"/>
    <w:rsid w:val="258B7138"/>
    <w:rsid w:val="25B3069D"/>
    <w:rsid w:val="25CE3729"/>
    <w:rsid w:val="25EC2D81"/>
    <w:rsid w:val="264528BD"/>
    <w:rsid w:val="264A2E70"/>
    <w:rsid w:val="26AA61AC"/>
    <w:rsid w:val="27C6148F"/>
    <w:rsid w:val="27D15DD1"/>
    <w:rsid w:val="27DC79BB"/>
    <w:rsid w:val="27DD40F7"/>
    <w:rsid w:val="28535AF0"/>
    <w:rsid w:val="28A76295"/>
    <w:rsid w:val="28DA468F"/>
    <w:rsid w:val="29206EB8"/>
    <w:rsid w:val="292469E8"/>
    <w:rsid w:val="292673D8"/>
    <w:rsid w:val="29437BF5"/>
    <w:rsid w:val="298D2A44"/>
    <w:rsid w:val="299B7DC6"/>
    <w:rsid w:val="299E3412"/>
    <w:rsid w:val="29AE3346"/>
    <w:rsid w:val="29AF248E"/>
    <w:rsid w:val="29E325E0"/>
    <w:rsid w:val="2A2773C7"/>
    <w:rsid w:val="2A3E4D11"/>
    <w:rsid w:val="2A452503"/>
    <w:rsid w:val="2A530258"/>
    <w:rsid w:val="2B0C2313"/>
    <w:rsid w:val="2B820658"/>
    <w:rsid w:val="2B9B1B37"/>
    <w:rsid w:val="2BA936A8"/>
    <w:rsid w:val="2C163734"/>
    <w:rsid w:val="2C2D408B"/>
    <w:rsid w:val="2C315A5A"/>
    <w:rsid w:val="2CDC7ADD"/>
    <w:rsid w:val="2CFD09F5"/>
    <w:rsid w:val="2D1219CB"/>
    <w:rsid w:val="2D3E28D1"/>
    <w:rsid w:val="2D4526E2"/>
    <w:rsid w:val="2D4D5CC5"/>
    <w:rsid w:val="2D5201C0"/>
    <w:rsid w:val="2D576D64"/>
    <w:rsid w:val="2D9E56F5"/>
    <w:rsid w:val="2DCC2C44"/>
    <w:rsid w:val="2E140EBA"/>
    <w:rsid w:val="2E16639D"/>
    <w:rsid w:val="2E4216A4"/>
    <w:rsid w:val="2E667F96"/>
    <w:rsid w:val="2E8226AB"/>
    <w:rsid w:val="2E89343E"/>
    <w:rsid w:val="2EA40620"/>
    <w:rsid w:val="2EC46F9A"/>
    <w:rsid w:val="2EFE0305"/>
    <w:rsid w:val="2F337EDA"/>
    <w:rsid w:val="2F3A3BDD"/>
    <w:rsid w:val="2F4A1308"/>
    <w:rsid w:val="2F706A2A"/>
    <w:rsid w:val="2F832C79"/>
    <w:rsid w:val="2F9E65A4"/>
    <w:rsid w:val="2FAB602E"/>
    <w:rsid w:val="2FB85B7F"/>
    <w:rsid w:val="2FEF2D58"/>
    <w:rsid w:val="30580BC9"/>
    <w:rsid w:val="30603568"/>
    <w:rsid w:val="30B71989"/>
    <w:rsid w:val="30E266CD"/>
    <w:rsid w:val="311E2ED7"/>
    <w:rsid w:val="315C449C"/>
    <w:rsid w:val="316D5E64"/>
    <w:rsid w:val="319D2F4A"/>
    <w:rsid w:val="31A61558"/>
    <w:rsid w:val="31B82709"/>
    <w:rsid w:val="31E725CA"/>
    <w:rsid w:val="32284588"/>
    <w:rsid w:val="32400B34"/>
    <w:rsid w:val="329E6876"/>
    <w:rsid w:val="32D16D3C"/>
    <w:rsid w:val="32D537D9"/>
    <w:rsid w:val="331D36BE"/>
    <w:rsid w:val="33684435"/>
    <w:rsid w:val="338402FD"/>
    <w:rsid w:val="338F369F"/>
    <w:rsid w:val="33AE06F6"/>
    <w:rsid w:val="33B45D12"/>
    <w:rsid w:val="33D934D4"/>
    <w:rsid w:val="33E35BA8"/>
    <w:rsid w:val="33FE2F6A"/>
    <w:rsid w:val="342C7F98"/>
    <w:rsid w:val="34550F6E"/>
    <w:rsid w:val="34866582"/>
    <w:rsid w:val="34E507A3"/>
    <w:rsid w:val="351D1FD7"/>
    <w:rsid w:val="351F701B"/>
    <w:rsid w:val="35EF11B8"/>
    <w:rsid w:val="35F363F2"/>
    <w:rsid w:val="36074A7F"/>
    <w:rsid w:val="363B2715"/>
    <w:rsid w:val="36751FFF"/>
    <w:rsid w:val="368D6CE8"/>
    <w:rsid w:val="36923549"/>
    <w:rsid w:val="36B27E7B"/>
    <w:rsid w:val="36B75FBF"/>
    <w:rsid w:val="36BA6A1E"/>
    <w:rsid w:val="36FB4891"/>
    <w:rsid w:val="37127EAC"/>
    <w:rsid w:val="372C6501"/>
    <w:rsid w:val="372E3D52"/>
    <w:rsid w:val="3734296E"/>
    <w:rsid w:val="375717D0"/>
    <w:rsid w:val="37982A35"/>
    <w:rsid w:val="37A5626C"/>
    <w:rsid w:val="37C36C7B"/>
    <w:rsid w:val="37D722CE"/>
    <w:rsid w:val="386A0A0E"/>
    <w:rsid w:val="386A72E1"/>
    <w:rsid w:val="38B642D4"/>
    <w:rsid w:val="38F12CD3"/>
    <w:rsid w:val="38F94775"/>
    <w:rsid w:val="39261FAF"/>
    <w:rsid w:val="392971ED"/>
    <w:rsid w:val="39B74034"/>
    <w:rsid w:val="39E430C3"/>
    <w:rsid w:val="39F552D0"/>
    <w:rsid w:val="3A970136"/>
    <w:rsid w:val="3B3763D1"/>
    <w:rsid w:val="3B5E605B"/>
    <w:rsid w:val="3BC742F4"/>
    <w:rsid w:val="3C2319A5"/>
    <w:rsid w:val="3C3F3C09"/>
    <w:rsid w:val="3C5A43F8"/>
    <w:rsid w:val="3C7E7563"/>
    <w:rsid w:val="3C80359C"/>
    <w:rsid w:val="3C9F7B5D"/>
    <w:rsid w:val="3CAD6FC8"/>
    <w:rsid w:val="3CDA245A"/>
    <w:rsid w:val="3CED6733"/>
    <w:rsid w:val="3CEE0A37"/>
    <w:rsid w:val="3D9B37A2"/>
    <w:rsid w:val="3DBD46AD"/>
    <w:rsid w:val="3DD663EC"/>
    <w:rsid w:val="3DF064DB"/>
    <w:rsid w:val="3E3E7246"/>
    <w:rsid w:val="3E6D5563"/>
    <w:rsid w:val="3E7F5C3D"/>
    <w:rsid w:val="3EFA7D28"/>
    <w:rsid w:val="3F1104B7"/>
    <w:rsid w:val="3F660E74"/>
    <w:rsid w:val="3F6F27ED"/>
    <w:rsid w:val="3F7A2EE6"/>
    <w:rsid w:val="3F7F6FEF"/>
    <w:rsid w:val="3FCB524E"/>
    <w:rsid w:val="3FCD54F0"/>
    <w:rsid w:val="3FCF649D"/>
    <w:rsid w:val="3FFD6C8D"/>
    <w:rsid w:val="400C0C7E"/>
    <w:rsid w:val="403F16C6"/>
    <w:rsid w:val="407A6407"/>
    <w:rsid w:val="40915C78"/>
    <w:rsid w:val="40F13762"/>
    <w:rsid w:val="412D4653"/>
    <w:rsid w:val="41396558"/>
    <w:rsid w:val="41744D2D"/>
    <w:rsid w:val="42213C39"/>
    <w:rsid w:val="423A3BCC"/>
    <w:rsid w:val="424526EE"/>
    <w:rsid w:val="425A6680"/>
    <w:rsid w:val="42714E59"/>
    <w:rsid w:val="428D254A"/>
    <w:rsid w:val="42941061"/>
    <w:rsid w:val="42DE4B54"/>
    <w:rsid w:val="431F6F1A"/>
    <w:rsid w:val="433A6FE6"/>
    <w:rsid w:val="433E1A96"/>
    <w:rsid w:val="4350713C"/>
    <w:rsid w:val="436653E0"/>
    <w:rsid w:val="439912A3"/>
    <w:rsid w:val="43A40200"/>
    <w:rsid w:val="43B753A5"/>
    <w:rsid w:val="43C468A3"/>
    <w:rsid w:val="43EE526A"/>
    <w:rsid w:val="440920A4"/>
    <w:rsid w:val="443C7B3C"/>
    <w:rsid w:val="449D417E"/>
    <w:rsid w:val="44B97144"/>
    <w:rsid w:val="44C821E0"/>
    <w:rsid w:val="44CD14E0"/>
    <w:rsid w:val="44EE46AF"/>
    <w:rsid w:val="4504286C"/>
    <w:rsid w:val="45196317"/>
    <w:rsid w:val="453677E1"/>
    <w:rsid w:val="4584178D"/>
    <w:rsid w:val="45857508"/>
    <w:rsid w:val="458946E9"/>
    <w:rsid w:val="46296FA0"/>
    <w:rsid w:val="463C4FC9"/>
    <w:rsid w:val="466C206D"/>
    <w:rsid w:val="46CA0304"/>
    <w:rsid w:val="46D955A7"/>
    <w:rsid w:val="47133957"/>
    <w:rsid w:val="472E2E7C"/>
    <w:rsid w:val="4779329E"/>
    <w:rsid w:val="479E69E5"/>
    <w:rsid w:val="47A07E0C"/>
    <w:rsid w:val="47C36A0E"/>
    <w:rsid w:val="480C46E8"/>
    <w:rsid w:val="4870272E"/>
    <w:rsid w:val="48CB12DB"/>
    <w:rsid w:val="48F47AA5"/>
    <w:rsid w:val="491C1900"/>
    <w:rsid w:val="49446510"/>
    <w:rsid w:val="496334E4"/>
    <w:rsid w:val="497712D5"/>
    <w:rsid w:val="499D6B57"/>
    <w:rsid w:val="49DC7715"/>
    <w:rsid w:val="49EC4E5D"/>
    <w:rsid w:val="49FE3E1C"/>
    <w:rsid w:val="4A023139"/>
    <w:rsid w:val="4A7B576F"/>
    <w:rsid w:val="4AB3134A"/>
    <w:rsid w:val="4B0A1686"/>
    <w:rsid w:val="4B180E1F"/>
    <w:rsid w:val="4B6202EC"/>
    <w:rsid w:val="4B9B21F0"/>
    <w:rsid w:val="4B9F6E4A"/>
    <w:rsid w:val="4BAB57EF"/>
    <w:rsid w:val="4BAC5E94"/>
    <w:rsid w:val="4BE24B9F"/>
    <w:rsid w:val="4BE87A0B"/>
    <w:rsid w:val="4C4243A5"/>
    <w:rsid w:val="4C4A0649"/>
    <w:rsid w:val="4C52103F"/>
    <w:rsid w:val="4CC17237"/>
    <w:rsid w:val="4CC306E7"/>
    <w:rsid w:val="4CE470D3"/>
    <w:rsid w:val="4CE90CC5"/>
    <w:rsid w:val="4D000825"/>
    <w:rsid w:val="4D050765"/>
    <w:rsid w:val="4D0553D3"/>
    <w:rsid w:val="4D6D0D6D"/>
    <w:rsid w:val="4D8900BB"/>
    <w:rsid w:val="4D9724CF"/>
    <w:rsid w:val="4DA40E78"/>
    <w:rsid w:val="4DAA7A5F"/>
    <w:rsid w:val="4DB27309"/>
    <w:rsid w:val="4DC332C4"/>
    <w:rsid w:val="4DD90358"/>
    <w:rsid w:val="4DEC4FB0"/>
    <w:rsid w:val="4E013D57"/>
    <w:rsid w:val="4E075D8A"/>
    <w:rsid w:val="4E855B50"/>
    <w:rsid w:val="4E9A046D"/>
    <w:rsid w:val="4EA348E9"/>
    <w:rsid w:val="4EA5674F"/>
    <w:rsid w:val="4EB250E6"/>
    <w:rsid w:val="4EC015B1"/>
    <w:rsid w:val="4EC65E74"/>
    <w:rsid w:val="4EE14A94"/>
    <w:rsid w:val="4EEA0D24"/>
    <w:rsid w:val="4EEE2C73"/>
    <w:rsid w:val="4F2616C5"/>
    <w:rsid w:val="4F360DA8"/>
    <w:rsid w:val="4F8471CD"/>
    <w:rsid w:val="4F90683E"/>
    <w:rsid w:val="4FC62A8C"/>
    <w:rsid w:val="4FE20F0D"/>
    <w:rsid w:val="50306C0B"/>
    <w:rsid w:val="50327BA3"/>
    <w:rsid w:val="50504C4B"/>
    <w:rsid w:val="509776AD"/>
    <w:rsid w:val="509B22D6"/>
    <w:rsid w:val="509C6E7C"/>
    <w:rsid w:val="50D72716"/>
    <w:rsid w:val="50EB02B6"/>
    <w:rsid w:val="51422751"/>
    <w:rsid w:val="515656E0"/>
    <w:rsid w:val="5162104E"/>
    <w:rsid w:val="51735B92"/>
    <w:rsid w:val="521A36CE"/>
    <w:rsid w:val="525A6978"/>
    <w:rsid w:val="529E034E"/>
    <w:rsid w:val="52AE78B1"/>
    <w:rsid w:val="52CB3708"/>
    <w:rsid w:val="52CE6B1A"/>
    <w:rsid w:val="52D55408"/>
    <w:rsid w:val="52D7336D"/>
    <w:rsid w:val="532000DC"/>
    <w:rsid w:val="538128BD"/>
    <w:rsid w:val="53832F3F"/>
    <w:rsid w:val="53A039CC"/>
    <w:rsid w:val="53A1505A"/>
    <w:rsid w:val="54063E08"/>
    <w:rsid w:val="543437E8"/>
    <w:rsid w:val="54FE3F62"/>
    <w:rsid w:val="550A6B45"/>
    <w:rsid w:val="55683A1E"/>
    <w:rsid w:val="55693829"/>
    <w:rsid w:val="55763D8B"/>
    <w:rsid w:val="559B174B"/>
    <w:rsid w:val="55CD58B3"/>
    <w:rsid w:val="55CE0CF4"/>
    <w:rsid w:val="55EF63CB"/>
    <w:rsid w:val="563F2CD3"/>
    <w:rsid w:val="56A43DD2"/>
    <w:rsid w:val="56B22A9C"/>
    <w:rsid w:val="56B460F0"/>
    <w:rsid w:val="56D84E09"/>
    <w:rsid w:val="57014E5D"/>
    <w:rsid w:val="572D0332"/>
    <w:rsid w:val="57566F57"/>
    <w:rsid w:val="57713D91"/>
    <w:rsid w:val="57827D4C"/>
    <w:rsid w:val="57997DB1"/>
    <w:rsid w:val="57A75A1C"/>
    <w:rsid w:val="57B72A76"/>
    <w:rsid w:val="57DF28A1"/>
    <w:rsid w:val="57E13056"/>
    <w:rsid w:val="582F5A02"/>
    <w:rsid w:val="583F5035"/>
    <w:rsid w:val="587C0C3F"/>
    <w:rsid w:val="58841312"/>
    <w:rsid w:val="58C3061C"/>
    <w:rsid w:val="591C57A3"/>
    <w:rsid w:val="59382F8F"/>
    <w:rsid w:val="59411FDD"/>
    <w:rsid w:val="59776E01"/>
    <w:rsid w:val="59BD150F"/>
    <w:rsid w:val="59C92994"/>
    <w:rsid w:val="59CF0DF7"/>
    <w:rsid w:val="59EC64B5"/>
    <w:rsid w:val="59F22242"/>
    <w:rsid w:val="5A3C747D"/>
    <w:rsid w:val="5A9C5AE3"/>
    <w:rsid w:val="5AB85045"/>
    <w:rsid w:val="5ABE2233"/>
    <w:rsid w:val="5B276D18"/>
    <w:rsid w:val="5B330BD1"/>
    <w:rsid w:val="5B882AA2"/>
    <w:rsid w:val="5BA53CC0"/>
    <w:rsid w:val="5BB4249E"/>
    <w:rsid w:val="5BDF5D95"/>
    <w:rsid w:val="5C355073"/>
    <w:rsid w:val="5C5972E6"/>
    <w:rsid w:val="5C932301"/>
    <w:rsid w:val="5CA05E7F"/>
    <w:rsid w:val="5CFC40FC"/>
    <w:rsid w:val="5D3752D3"/>
    <w:rsid w:val="5D500679"/>
    <w:rsid w:val="5D645B3A"/>
    <w:rsid w:val="5D647EF4"/>
    <w:rsid w:val="5D987D87"/>
    <w:rsid w:val="5DAB3B72"/>
    <w:rsid w:val="5DB1402C"/>
    <w:rsid w:val="5DCB1D21"/>
    <w:rsid w:val="5DEC37F3"/>
    <w:rsid w:val="5DF87A0F"/>
    <w:rsid w:val="5E123B81"/>
    <w:rsid w:val="5E227B93"/>
    <w:rsid w:val="5E3B0C54"/>
    <w:rsid w:val="5F1A2B43"/>
    <w:rsid w:val="5F8B4188"/>
    <w:rsid w:val="5F984189"/>
    <w:rsid w:val="5FB837BB"/>
    <w:rsid w:val="5FC11974"/>
    <w:rsid w:val="5FFA55EB"/>
    <w:rsid w:val="6034058F"/>
    <w:rsid w:val="603A7A0C"/>
    <w:rsid w:val="6063347E"/>
    <w:rsid w:val="606F72DB"/>
    <w:rsid w:val="60A5633D"/>
    <w:rsid w:val="60D663C8"/>
    <w:rsid w:val="60F95D0E"/>
    <w:rsid w:val="61046171"/>
    <w:rsid w:val="612A3FC1"/>
    <w:rsid w:val="61927700"/>
    <w:rsid w:val="6196781D"/>
    <w:rsid w:val="619A16DC"/>
    <w:rsid w:val="61E427AF"/>
    <w:rsid w:val="61EF601F"/>
    <w:rsid w:val="621511BF"/>
    <w:rsid w:val="622A6076"/>
    <w:rsid w:val="62364782"/>
    <w:rsid w:val="62B20226"/>
    <w:rsid w:val="62BA67B8"/>
    <w:rsid w:val="62E93C35"/>
    <w:rsid w:val="63C87E04"/>
    <w:rsid w:val="63CC6BCE"/>
    <w:rsid w:val="63D40BE9"/>
    <w:rsid w:val="63E0211F"/>
    <w:rsid w:val="645372AF"/>
    <w:rsid w:val="64542204"/>
    <w:rsid w:val="64943EE2"/>
    <w:rsid w:val="64BA2A97"/>
    <w:rsid w:val="64DB0EF3"/>
    <w:rsid w:val="65010BA0"/>
    <w:rsid w:val="65373578"/>
    <w:rsid w:val="657333CA"/>
    <w:rsid w:val="65CD2940"/>
    <w:rsid w:val="65D976D1"/>
    <w:rsid w:val="66034637"/>
    <w:rsid w:val="66A03588"/>
    <w:rsid w:val="66CD3A36"/>
    <w:rsid w:val="673F2C7A"/>
    <w:rsid w:val="67501A0D"/>
    <w:rsid w:val="67DE3038"/>
    <w:rsid w:val="67E31626"/>
    <w:rsid w:val="67FD51CC"/>
    <w:rsid w:val="681F6961"/>
    <w:rsid w:val="68610A2F"/>
    <w:rsid w:val="68705FEE"/>
    <w:rsid w:val="6879333B"/>
    <w:rsid w:val="68805514"/>
    <w:rsid w:val="68D2424A"/>
    <w:rsid w:val="6915134E"/>
    <w:rsid w:val="69345F0F"/>
    <w:rsid w:val="693F6B2D"/>
    <w:rsid w:val="694E2071"/>
    <w:rsid w:val="697A3B33"/>
    <w:rsid w:val="699E2456"/>
    <w:rsid w:val="69B25E89"/>
    <w:rsid w:val="69B30239"/>
    <w:rsid w:val="69C57FA5"/>
    <w:rsid w:val="6A2014B1"/>
    <w:rsid w:val="6A3A44B6"/>
    <w:rsid w:val="6A7E60D4"/>
    <w:rsid w:val="6ACE66D6"/>
    <w:rsid w:val="6B1978BB"/>
    <w:rsid w:val="6B322639"/>
    <w:rsid w:val="6B407EF5"/>
    <w:rsid w:val="6B792DBC"/>
    <w:rsid w:val="6BA93342"/>
    <w:rsid w:val="6BC5689C"/>
    <w:rsid w:val="6BE566A3"/>
    <w:rsid w:val="6C636C38"/>
    <w:rsid w:val="6CC30703"/>
    <w:rsid w:val="6CCE0C98"/>
    <w:rsid w:val="6CF43042"/>
    <w:rsid w:val="6D065CA1"/>
    <w:rsid w:val="6D4573FA"/>
    <w:rsid w:val="6D4E08B0"/>
    <w:rsid w:val="6D785A21"/>
    <w:rsid w:val="6D8F2D6B"/>
    <w:rsid w:val="6DA93E2C"/>
    <w:rsid w:val="6DAC1038"/>
    <w:rsid w:val="6DB34098"/>
    <w:rsid w:val="6DB545B6"/>
    <w:rsid w:val="6E115415"/>
    <w:rsid w:val="6E3D468C"/>
    <w:rsid w:val="6E4375A0"/>
    <w:rsid w:val="6E514CED"/>
    <w:rsid w:val="6E79491A"/>
    <w:rsid w:val="6E934195"/>
    <w:rsid w:val="6EA51167"/>
    <w:rsid w:val="6EB563D5"/>
    <w:rsid w:val="6EC247BC"/>
    <w:rsid w:val="6F0C2B8F"/>
    <w:rsid w:val="6F225983"/>
    <w:rsid w:val="6F23376B"/>
    <w:rsid w:val="6F26520C"/>
    <w:rsid w:val="6F2B6694"/>
    <w:rsid w:val="6F3A0AB4"/>
    <w:rsid w:val="6F5E6AA9"/>
    <w:rsid w:val="6F8C57B4"/>
    <w:rsid w:val="6FB1521A"/>
    <w:rsid w:val="6FE4084F"/>
    <w:rsid w:val="6FFC5590"/>
    <w:rsid w:val="70301DA3"/>
    <w:rsid w:val="703D0C4F"/>
    <w:rsid w:val="704B4FCA"/>
    <w:rsid w:val="706D1DD0"/>
    <w:rsid w:val="707A6D80"/>
    <w:rsid w:val="70856B87"/>
    <w:rsid w:val="70D527EE"/>
    <w:rsid w:val="70EB475C"/>
    <w:rsid w:val="71060A5A"/>
    <w:rsid w:val="715B5300"/>
    <w:rsid w:val="715F4BD7"/>
    <w:rsid w:val="716D1530"/>
    <w:rsid w:val="71893EC5"/>
    <w:rsid w:val="71D27F8A"/>
    <w:rsid w:val="71E35433"/>
    <w:rsid w:val="71F744C6"/>
    <w:rsid w:val="71F960CF"/>
    <w:rsid w:val="72294F32"/>
    <w:rsid w:val="725965C8"/>
    <w:rsid w:val="726A345E"/>
    <w:rsid w:val="727427F4"/>
    <w:rsid w:val="72905D6F"/>
    <w:rsid w:val="731F5D5E"/>
    <w:rsid w:val="73691A00"/>
    <w:rsid w:val="73761946"/>
    <w:rsid w:val="738C03D2"/>
    <w:rsid w:val="73CD0149"/>
    <w:rsid w:val="73E13BF4"/>
    <w:rsid w:val="73E13EE4"/>
    <w:rsid w:val="740D6797"/>
    <w:rsid w:val="741E793C"/>
    <w:rsid w:val="74376DFD"/>
    <w:rsid w:val="75511BF2"/>
    <w:rsid w:val="75774810"/>
    <w:rsid w:val="758D75E2"/>
    <w:rsid w:val="75B734CB"/>
    <w:rsid w:val="75E33C54"/>
    <w:rsid w:val="75F55855"/>
    <w:rsid w:val="760A34A2"/>
    <w:rsid w:val="7634158F"/>
    <w:rsid w:val="764352FA"/>
    <w:rsid w:val="76736459"/>
    <w:rsid w:val="76A63727"/>
    <w:rsid w:val="772D318D"/>
    <w:rsid w:val="77762421"/>
    <w:rsid w:val="779D739E"/>
    <w:rsid w:val="77D51FC6"/>
    <w:rsid w:val="77D8265E"/>
    <w:rsid w:val="77FB7DBA"/>
    <w:rsid w:val="780F09F4"/>
    <w:rsid w:val="7814332A"/>
    <w:rsid w:val="7824602F"/>
    <w:rsid w:val="782A7918"/>
    <w:rsid w:val="789C4F47"/>
    <w:rsid w:val="78A11F10"/>
    <w:rsid w:val="78A90480"/>
    <w:rsid w:val="78F30652"/>
    <w:rsid w:val="792103E3"/>
    <w:rsid w:val="79246A5D"/>
    <w:rsid w:val="792720A9"/>
    <w:rsid w:val="79375293"/>
    <w:rsid w:val="7948501B"/>
    <w:rsid w:val="79811327"/>
    <w:rsid w:val="79921F90"/>
    <w:rsid w:val="799A287B"/>
    <w:rsid w:val="79D456AC"/>
    <w:rsid w:val="79DE4809"/>
    <w:rsid w:val="7A100D8F"/>
    <w:rsid w:val="7A347E17"/>
    <w:rsid w:val="7A364017"/>
    <w:rsid w:val="7A3C795A"/>
    <w:rsid w:val="7A8265E1"/>
    <w:rsid w:val="7A8377B3"/>
    <w:rsid w:val="7B0C77A9"/>
    <w:rsid w:val="7B3A2568"/>
    <w:rsid w:val="7B3D5BB4"/>
    <w:rsid w:val="7B686D42"/>
    <w:rsid w:val="7B841746"/>
    <w:rsid w:val="7BE1682B"/>
    <w:rsid w:val="7BE81FC4"/>
    <w:rsid w:val="7C094E31"/>
    <w:rsid w:val="7D0239FF"/>
    <w:rsid w:val="7D03040F"/>
    <w:rsid w:val="7D28320C"/>
    <w:rsid w:val="7D464325"/>
    <w:rsid w:val="7D5E40CD"/>
    <w:rsid w:val="7D693BED"/>
    <w:rsid w:val="7D7632BB"/>
    <w:rsid w:val="7D8D630E"/>
    <w:rsid w:val="7DB85588"/>
    <w:rsid w:val="7DC975CB"/>
    <w:rsid w:val="7E096221"/>
    <w:rsid w:val="7E1F3F6C"/>
    <w:rsid w:val="7E72519D"/>
    <w:rsid w:val="7F0D1FD5"/>
    <w:rsid w:val="7F37727D"/>
    <w:rsid w:val="7FCC5758"/>
    <w:rsid w:val="7FD62EB5"/>
    <w:rsid w:val="7FE47E50"/>
    <w:rsid w:val="7FF6263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ocked="1"/>
    <w:lsdException w:qFormat="1" w:unhideWhenUsed="0" w:uiPriority="1" w:semiHidden="0" w:name="heading 3" w:locked="1"/>
    <w:lsdException w:qFormat="1" w:unhideWhenUsed="0" w:uiPriority="1"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99" w:semiHidden="0" w:name="index heading"/>
    <w:lsdException w:qFormat="1" w:uiPriority="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1472"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36"/>
    <w:qFormat/>
    <w:uiPriority w:val="0"/>
    <w:pPr>
      <w:keepNext/>
      <w:overflowPunct w:val="0"/>
      <w:adjustRightInd/>
      <w:snapToGrid/>
      <w:spacing w:before="240" w:after="60"/>
      <w:ind w:firstLine="0" w:firstLineChars="0"/>
      <w:outlineLvl w:val="0"/>
    </w:pPr>
    <w:rPr>
      <w:rFonts w:ascii="Times New Roman" w:hAnsi="Times New Roman" w:eastAsia="黑体"/>
      <w:bCs/>
      <w:color w:val="000000"/>
      <w:kern w:val="44"/>
      <w:szCs w:val="30"/>
    </w:rPr>
  </w:style>
  <w:style w:type="paragraph" w:styleId="3">
    <w:name w:val="heading 2"/>
    <w:basedOn w:val="1"/>
    <w:next w:val="1"/>
    <w:qFormat/>
    <w:locked/>
    <w:uiPriority w:val="1"/>
    <w:pPr>
      <w:adjustRightInd w:val="0"/>
      <w:snapToGrid w:val="0"/>
      <w:ind w:left="0" w:firstLine="0" w:firstLineChars="0"/>
      <w:jc w:val="center"/>
      <w:outlineLvl w:val="1"/>
    </w:pPr>
    <w:rPr>
      <w:rFonts w:ascii="Times New Roman" w:hAnsi="Times New Roman" w:eastAsia="黑体" w:cs="宋体"/>
      <w:bCs/>
      <w:szCs w:val="30"/>
    </w:rPr>
  </w:style>
  <w:style w:type="paragraph" w:styleId="4">
    <w:name w:val="heading 3"/>
    <w:basedOn w:val="1"/>
    <w:next w:val="1"/>
    <w:link w:val="37"/>
    <w:qFormat/>
    <w:locked/>
    <w:uiPriority w:val="1"/>
    <w:pPr>
      <w:adjustRightInd w:val="0"/>
      <w:snapToGrid w:val="0"/>
      <w:spacing w:before="240" w:after="60"/>
      <w:ind w:firstLine="0" w:firstLineChars="0"/>
      <w:jc w:val="center"/>
      <w:outlineLvl w:val="2"/>
    </w:pPr>
    <w:rPr>
      <w:rFonts w:eastAsia="黑体" w:cs="宋体"/>
      <w:bCs/>
      <w:sz w:val="30"/>
      <w:szCs w:val="28"/>
    </w:rPr>
  </w:style>
  <w:style w:type="paragraph" w:styleId="5">
    <w:name w:val="heading 4"/>
    <w:basedOn w:val="1"/>
    <w:next w:val="1"/>
    <w:link w:val="38"/>
    <w:qFormat/>
    <w:locked/>
    <w:uiPriority w:val="1"/>
    <w:pPr>
      <w:ind w:left="783"/>
      <w:outlineLvl w:val="3"/>
    </w:pPr>
    <w:rPr>
      <w:rFonts w:ascii="Times New Roman" w:hAnsi="Times New Roman" w:eastAsia="Times New Roman" w:cs="Times New Roman"/>
      <w:b/>
      <w:bCs/>
      <w:sz w:val="28"/>
      <w:szCs w:val="28"/>
    </w:rPr>
  </w:style>
  <w:style w:type="paragraph" w:styleId="6">
    <w:name w:val="heading 5"/>
    <w:basedOn w:val="1"/>
    <w:next w:val="1"/>
    <w:link w:val="83"/>
    <w:unhideWhenUsed/>
    <w:qFormat/>
    <w:locked/>
    <w:uiPriority w:val="0"/>
    <w:pPr>
      <w:keepNext/>
      <w:keepLines/>
      <w:adjustRightInd w:val="0"/>
      <w:snapToGrid w:val="0"/>
      <w:spacing w:beforeLines="0" w:beforeAutospacing="0" w:afterLines="0" w:afterAutospacing="0" w:line="240" w:lineRule="auto"/>
      <w:ind w:firstLine="0" w:firstLineChars="0"/>
      <w:jc w:val="center"/>
      <w:outlineLvl w:val="4"/>
    </w:pPr>
    <w:rPr>
      <w:rFonts w:ascii="Times New Roman" w:hAnsi="Times New Roman" w:eastAsia="黑体"/>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styleId="7">
    <w:name w:val="Normal Indent"/>
    <w:basedOn w:val="1"/>
    <w:next w:val="8"/>
    <w:qFormat/>
    <w:uiPriority w:val="0"/>
    <w:pPr>
      <w:ind w:firstLine="420"/>
    </w:pPr>
    <w:rPr>
      <w:szCs w:val="20"/>
    </w:rPr>
  </w:style>
  <w:style w:type="paragraph" w:styleId="8">
    <w:name w:val="Body Text First Indent 2"/>
    <w:basedOn w:val="9"/>
    <w:next w:val="1"/>
    <w:qFormat/>
    <w:uiPriority w:val="0"/>
    <w:pPr>
      <w:ind w:firstLine="420" w:firstLineChars="200"/>
    </w:pPr>
  </w:style>
  <w:style w:type="paragraph" w:styleId="9">
    <w:name w:val="Body Text Indent"/>
    <w:basedOn w:val="1"/>
    <w:next w:val="8"/>
    <w:link w:val="41"/>
    <w:semiHidden/>
    <w:qFormat/>
    <w:uiPriority w:val="0"/>
    <w:pPr>
      <w:spacing w:after="120"/>
      <w:ind w:left="420" w:leftChars="200"/>
    </w:pPr>
  </w:style>
  <w:style w:type="paragraph" w:styleId="10">
    <w:name w:val="annotation text"/>
    <w:basedOn w:val="1"/>
    <w:link w:val="39"/>
    <w:semiHidden/>
    <w:qFormat/>
    <w:uiPriority w:val="0"/>
    <w:pPr>
      <w:jc w:val="left"/>
    </w:pPr>
    <w:rPr>
      <w:kern w:val="0"/>
      <w:sz w:val="20"/>
    </w:rPr>
  </w:style>
  <w:style w:type="paragraph" w:styleId="11">
    <w:name w:val="Body Text"/>
    <w:basedOn w:val="1"/>
    <w:next w:val="12"/>
    <w:link w:val="40"/>
    <w:qFormat/>
    <w:uiPriority w:val="0"/>
    <w:pPr>
      <w:widowControl/>
      <w:snapToGrid w:val="0"/>
      <w:spacing w:before="60" w:after="160" w:line="259" w:lineRule="auto"/>
      <w:ind w:right="113"/>
    </w:pPr>
    <w:rPr>
      <w:kern w:val="0"/>
      <w:sz w:val="18"/>
      <w:szCs w:val="18"/>
    </w:rPr>
  </w:style>
  <w:style w:type="paragraph" w:customStyle="1" w:styleId="12">
    <w:name w:val="Date1"/>
    <w:basedOn w:val="1"/>
    <w:next w:val="1"/>
    <w:qFormat/>
    <w:uiPriority w:val="0"/>
    <w:pPr>
      <w:adjustRightInd w:val="0"/>
      <w:jc w:val="left"/>
      <w:textAlignment w:val="baseline"/>
    </w:pPr>
    <w:rPr>
      <w:rFonts w:ascii="宋体" w:hAnsi="宋体"/>
      <w:sz w:val="28"/>
      <w:szCs w:val="20"/>
    </w:rPr>
  </w:style>
  <w:style w:type="paragraph" w:styleId="13">
    <w:name w:val="Plain Text"/>
    <w:basedOn w:val="1"/>
    <w:next w:val="14"/>
    <w:qFormat/>
    <w:uiPriority w:val="0"/>
    <w:rPr>
      <w:rFonts w:ascii="宋体" w:hAnsi="Courier New"/>
    </w:rPr>
  </w:style>
  <w:style w:type="paragraph" w:styleId="14">
    <w:name w:val="toc 1"/>
    <w:basedOn w:val="1"/>
    <w:next w:val="1"/>
    <w:qFormat/>
    <w:locked/>
    <w:uiPriority w:val="39"/>
    <w:pPr>
      <w:tabs>
        <w:tab w:val="right" w:leader="dot" w:pos="8296"/>
      </w:tabs>
      <w:spacing w:beforeLines="100" w:line="360" w:lineRule="auto"/>
    </w:pPr>
    <w:rPr>
      <w:snapToGrid w:val="0"/>
      <w:kern w:val="0"/>
      <w:sz w:val="24"/>
    </w:rPr>
  </w:style>
  <w:style w:type="paragraph" w:styleId="15">
    <w:name w:val="Date"/>
    <w:basedOn w:val="1"/>
    <w:next w:val="1"/>
    <w:link w:val="43"/>
    <w:qFormat/>
    <w:uiPriority w:val="0"/>
    <w:pPr>
      <w:ind w:left="100" w:leftChars="2500"/>
    </w:pPr>
    <w:rPr>
      <w:kern w:val="0"/>
      <w:sz w:val="20"/>
    </w:rPr>
  </w:style>
  <w:style w:type="paragraph" w:styleId="16">
    <w:name w:val="Balloon Text"/>
    <w:basedOn w:val="1"/>
    <w:link w:val="44"/>
    <w:semiHidden/>
    <w:qFormat/>
    <w:uiPriority w:val="0"/>
    <w:rPr>
      <w:sz w:val="18"/>
      <w:szCs w:val="18"/>
    </w:rPr>
  </w:style>
  <w:style w:type="paragraph" w:styleId="17">
    <w:name w:val="footer"/>
    <w:basedOn w:val="1"/>
    <w:link w:val="45"/>
    <w:qFormat/>
    <w:uiPriority w:val="99"/>
    <w:pPr>
      <w:tabs>
        <w:tab w:val="center" w:pos="4153"/>
        <w:tab w:val="right" w:pos="8306"/>
      </w:tabs>
      <w:snapToGrid w:val="0"/>
      <w:jc w:val="left"/>
    </w:pPr>
    <w:rPr>
      <w:sz w:val="18"/>
      <w:szCs w:val="18"/>
    </w:rPr>
  </w:style>
  <w:style w:type="paragraph" w:styleId="18">
    <w:name w:val="header"/>
    <w:basedOn w:val="1"/>
    <w:link w:val="46"/>
    <w:qFormat/>
    <w:uiPriority w:val="0"/>
    <w:pPr>
      <w:pBdr>
        <w:bottom w:val="single" w:color="auto" w:sz="6" w:space="1"/>
      </w:pBdr>
      <w:tabs>
        <w:tab w:val="center" w:pos="4153"/>
        <w:tab w:val="right" w:pos="8306"/>
      </w:tabs>
      <w:snapToGrid w:val="0"/>
      <w:jc w:val="center"/>
    </w:pPr>
    <w:rPr>
      <w:sz w:val="18"/>
      <w:szCs w:val="18"/>
    </w:rPr>
  </w:style>
  <w:style w:type="paragraph" w:styleId="19">
    <w:name w:val="index heading"/>
    <w:basedOn w:val="1"/>
    <w:next w:val="20"/>
    <w:qFormat/>
    <w:uiPriority w:val="99"/>
    <w:rPr>
      <w:rFonts w:ascii="Arial" w:hAnsi="Arial"/>
      <w:b/>
    </w:rPr>
  </w:style>
  <w:style w:type="paragraph" w:styleId="20">
    <w:name w:val="index 1"/>
    <w:basedOn w:val="1"/>
    <w:next w:val="1"/>
    <w:qFormat/>
    <w:uiPriority w:val="0"/>
  </w:style>
  <w:style w:type="paragraph" w:styleId="21">
    <w:name w:val="List"/>
    <w:basedOn w:val="1"/>
    <w:qFormat/>
    <w:uiPriority w:val="0"/>
    <w:pPr>
      <w:spacing w:line="320" w:lineRule="exact"/>
      <w:ind w:firstLine="0" w:firstLineChars="0"/>
      <w:jc w:val="center"/>
    </w:pPr>
    <w:rPr>
      <w:sz w:val="22"/>
    </w:rPr>
  </w:style>
  <w:style w:type="paragraph" w:styleId="22">
    <w:name w:val="table of figures"/>
    <w:basedOn w:val="1"/>
    <w:next w:val="1"/>
    <w:qFormat/>
    <w:uiPriority w:val="0"/>
    <w:pPr>
      <w:ind w:left="200" w:leftChars="200" w:hanging="200" w:hangingChars="200"/>
    </w:pPr>
    <w:rPr>
      <w:rFonts w:ascii="Calibri" w:hAnsi="Calibri" w:eastAsia="宋体" w:cs="Times New Roman"/>
    </w:rPr>
  </w:style>
  <w:style w:type="paragraph" w:styleId="23">
    <w:name w:val="Normal (Web)"/>
    <w:basedOn w:val="1"/>
    <w:link w:val="47"/>
    <w:qFormat/>
    <w:uiPriority w:val="0"/>
    <w:pPr>
      <w:widowControl/>
      <w:spacing w:before="100" w:beforeAutospacing="1" w:after="100" w:afterAutospacing="1"/>
      <w:jc w:val="left"/>
    </w:pPr>
    <w:rPr>
      <w:rFonts w:ascii="宋体" w:hAnsi="宋体"/>
      <w:kern w:val="0"/>
      <w:sz w:val="24"/>
    </w:rPr>
  </w:style>
  <w:style w:type="paragraph" w:styleId="24">
    <w:name w:val="Title"/>
    <w:basedOn w:val="1"/>
    <w:next w:val="1"/>
    <w:qFormat/>
    <w:locked/>
    <w:uiPriority w:val="10"/>
    <w:pPr>
      <w:adjustRightInd w:val="0"/>
      <w:snapToGrid w:val="0"/>
      <w:jc w:val="center"/>
      <w:outlineLvl w:val="0"/>
    </w:pPr>
    <w:rPr>
      <w:rFonts w:cs="Times New Roman"/>
      <w:b/>
      <w:bCs/>
      <w:sz w:val="24"/>
      <w:szCs w:val="32"/>
    </w:rPr>
  </w:style>
  <w:style w:type="paragraph" w:styleId="25">
    <w:name w:val="annotation subject"/>
    <w:basedOn w:val="10"/>
    <w:next w:val="10"/>
    <w:link w:val="48"/>
    <w:semiHidden/>
    <w:qFormat/>
    <w:uiPriority w:val="0"/>
    <w:rPr>
      <w:b/>
      <w:bCs/>
    </w:rPr>
  </w:style>
  <w:style w:type="paragraph" w:styleId="26">
    <w:name w:val="Body Text First Indent"/>
    <w:basedOn w:val="11"/>
    <w:next w:val="1"/>
    <w:qFormat/>
    <w:uiPriority w:val="0"/>
    <w:pPr>
      <w:spacing w:after="120"/>
      <w:ind w:firstLine="420" w:firstLineChars="100"/>
    </w:pPr>
    <w:rPr>
      <w:rFonts w:eastAsia="宋体"/>
      <w:sz w:val="21"/>
      <w:szCs w:val="20"/>
    </w:rPr>
  </w:style>
  <w:style w:type="table" w:styleId="28">
    <w:name w:val="Table Grid"/>
    <w:basedOn w:val="2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qFormat/>
    <w:uiPriority w:val="0"/>
  </w:style>
  <w:style w:type="character" w:styleId="31">
    <w:name w:val="Emphasis"/>
    <w:basedOn w:val="29"/>
    <w:qFormat/>
    <w:locked/>
    <w:uiPriority w:val="0"/>
    <w:rPr>
      <w:i/>
    </w:rPr>
  </w:style>
  <w:style w:type="character" w:styleId="32">
    <w:name w:val="Hyperlink"/>
    <w:qFormat/>
    <w:uiPriority w:val="0"/>
    <w:rPr>
      <w:color w:val="0000FF"/>
      <w:u w:val="single"/>
    </w:rPr>
  </w:style>
  <w:style w:type="character" w:styleId="33">
    <w:name w:val="annotation reference"/>
    <w:semiHidden/>
    <w:qFormat/>
    <w:uiPriority w:val="0"/>
    <w:rPr>
      <w:sz w:val="21"/>
    </w:rPr>
  </w:style>
  <w:style w:type="paragraph" w:customStyle="1" w:styleId="34">
    <w:name w:val="表格"/>
    <w:basedOn w:val="7"/>
    <w:next w:val="1"/>
    <w:link w:val="35"/>
    <w:qFormat/>
    <w:uiPriority w:val="0"/>
    <w:pPr>
      <w:wordWrap w:val="0"/>
      <w:adjustRightInd w:val="0"/>
      <w:snapToGrid w:val="0"/>
      <w:spacing w:line="240" w:lineRule="auto"/>
      <w:ind w:firstLine="0" w:firstLineChars="0"/>
      <w:jc w:val="center"/>
    </w:pPr>
    <w:rPr>
      <w:rFonts w:ascii="Times New Roman" w:hAnsi="Times New Roman" w:eastAsia="宋体"/>
      <w:kern w:val="0"/>
      <w:sz w:val="21"/>
      <w:szCs w:val="21"/>
    </w:rPr>
  </w:style>
  <w:style w:type="character" w:customStyle="1" w:styleId="35">
    <w:name w:val="表格 Char"/>
    <w:link w:val="34"/>
    <w:qFormat/>
    <w:locked/>
    <w:uiPriority w:val="0"/>
    <w:rPr>
      <w:rFonts w:ascii="Times New Roman" w:hAnsi="Times New Roman" w:eastAsia="宋体"/>
      <w:sz w:val="21"/>
    </w:rPr>
  </w:style>
  <w:style w:type="character" w:customStyle="1" w:styleId="36">
    <w:name w:val="标题 1 Char"/>
    <w:link w:val="2"/>
    <w:qFormat/>
    <w:uiPriority w:val="0"/>
    <w:rPr>
      <w:rFonts w:ascii="Times New Roman" w:hAnsi="Times New Roman" w:eastAsia="黑体" w:cs="Times New Roman"/>
      <w:bCs/>
      <w:color w:val="000000"/>
      <w:kern w:val="44"/>
      <w:sz w:val="24"/>
      <w:szCs w:val="30"/>
      <w:lang w:val="en-US" w:eastAsia="zh-CN" w:bidi="ar-SA"/>
    </w:rPr>
  </w:style>
  <w:style w:type="character" w:customStyle="1" w:styleId="37">
    <w:name w:val="标题 3 Char"/>
    <w:link w:val="4"/>
    <w:qFormat/>
    <w:uiPriority w:val="1"/>
    <w:rPr>
      <w:rFonts w:ascii="Times New Roman" w:hAnsi="Times New Roman" w:eastAsia="黑体" w:cs="宋体"/>
      <w:bCs/>
      <w:kern w:val="2"/>
      <w:sz w:val="30"/>
      <w:szCs w:val="28"/>
      <w:lang w:val="en-US" w:eastAsia="zh-CN" w:bidi="ar-SA"/>
    </w:rPr>
  </w:style>
  <w:style w:type="character" w:customStyle="1" w:styleId="38">
    <w:name w:val="标题 4 Char"/>
    <w:link w:val="5"/>
    <w:qFormat/>
    <w:uiPriority w:val="1"/>
    <w:rPr>
      <w:rFonts w:ascii="Times New Roman" w:hAnsi="Times New Roman" w:eastAsia="Times New Roman" w:cs="Times New Roman"/>
      <w:b/>
      <w:bCs/>
      <w:sz w:val="28"/>
      <w:szCs w:val="28"/>
    </w:rPr>
  </w:style>
  <w:style w:type="character" w:customStyle="1" w:styleId="39">
    <w:name w:val="批注文字 字符"/>
    <w:link w:val="10"/>
    <w:qFormat/>
    <w:locked/>
    <w:uiPriority w:val="0"/>
    <w:rPr>
      <w:rFonts w:ascii="Times New Roman" w:hAnsi="Times New Roman" w:eastAsia="宋体"/>
      <w:sz w:val="24"/>
    </w:rPr>
  </w:style>
  <w:style w:type="character" w:customStyle="1" w:styleId="40">
    <w:name w:val="正文文本 字符"/>
    <w:link w:val="11"/>
    <w:qFormat/>
    <w:locked/>
    <w:uiPriority w:val="0"/>
    <w:rPr>
      <w:sz w:val="18"/>
    </w:rPr>
  </w:style>
  <w:style w:type="character" w:customStyle="1" w:styleId="41">
    <w:name w:val="正文文本缩进 字符"/>
    <w:link w:val="9"/>
    <w:semiHidden/>
    <w:qFormat/>
    <w:locked/>
    <w:uiPriority w:val="0"/>
    <w:rPr>
      <w:rFonts w:ascii="Times New Roman" w:hAnsi="Times New Roman" w:eastAsia="宋体" w:cs="Times New Roman"/>
      <w:sz w:val="24"/>
      <w:szCs w:val="24"/>
    </w:rPr>
  </w:style>
  <w:style w:type="paragraph" w:customStyle="1" w:styleId="42">
    <w:name w:val="样式 正文文本缩进 + 行距: 1.5 倍行距"/>
    <w:basedOn w:val="1"/>
    <w:qFormat/>
    <w:uiPriority w:val="0"/>
    <w:pPr>
      <w:spacing w:after="120" w:line="360" w:lineRule="auto"/>
      <w:ind w:left="90" w:leftChars="32" w:firstLine="560" w:firstLineChars="200"/>
    </w:pPr>
    <w:rPr>
      <w:rFonts w:cs="宋体"/>
    </w:rPr>
  </w:style>
  <w:style w:type="character" w:customStyle="1" w:styleId="43">
    <w:name w:val="日期 字符1"/>
    <w:link w:val="15"/>
    <w:qFormat/>
    <w:locked/>
    <w:uiPriority w:val="0"/>
    <w:rPr>
      <w:rFonts w:ascii="Times New Roman" w:hAnsi="Times New Roman" w:eastAsia="宋体"/>
      <w:sz w:val="24"/>
    </w:rPr>
  </w:style>
  <w:style w:type="character" w:customStyle="1" w:styleId="44">
    <w:name w:val="批注框文本 字符"/>
    <w:link w:val="16"/>
    <w:semiHidden/>
    <w:qFormat/>
    <w:locked/>
    <w:uiPriority w:val="0"/>
    <w:rPr>
      <w:rFonts w:ascii="Times New Roman" w:hAnsi="Times New Roman" w:eastAsia="宋体" w:cs="Times New Roman"/>
      <w:sz w:val="18"/>
      <w:szCs w:val="18"/>
    </w:rPr>
  </w:style>
  <w:style w:type="character" w:customStyle="1" w:styleId="45">
    <w:name w:val="页脚 字符"/>
    <w:link w:val="17"/>
    <w:qFormat/>
    <w:locked/>
    <w:uiPriority w:val="99"/>
    <w:rPr>
      <w:rFonts w:cs="Times New Roman"/>
      <w:sz w:val="18"/>
      <w:szCs w:val="18"/>
    </w:rPr>
  </w:style>
  <w:style w:type="character" w:customStyle="1" w:styleId="46">
    <w:name w:val="页眉 字符"/>
    <w:link w:val="18"/>
    <w:qFormat/>
    <w:locked/>
    <w:uiPriority w:val="0"/>
    <w:rPr>
      <w:rFonts w:cs="Times New Roman"/>
      <w:sz w:val="18"/>
      <w:szCs w:val="18"/>
    </w:rPr>
  </w:style>
  <w:style w:type="character" w:customStyle="1" w:styleId="47">
    <w:name w:val="普通(网站) 字符"/>
    <w:link w:val="23"/>
    <w:qFormat/>
    <w:locked/>
    <w:uiPriority w:val="0"/>
    <w:rPr>
      <w:rFonts w:ascii="宋体" w:hAnsi="宋体" w:eastAsia="宋体"/>
      <w:sz w:val="24"/>
    </w:rPr>
  </w:style>
  <w:style w:type="character" w:customStyle="1" w:styleId="48">
    <w:name w:val="批注主题 字符"/>
    <w:link w:val="25"/>
    <w:semiHidden/>
    <w:qFormat/>
    <w:locked/>
    <w:uiPriority w:val="0"/>
    <w:rPr>
      <w:rFonts w:cs="Times New Roman"/>
      <w:b/>
      <w:bCs/>
      <w:kern w:val="2"/>
      <w:szCs w:val="24"/>
    </w:rPr>
  </w:style>
  <w:style w:type="paragraph" w:customStyle="1" w:styleId="49">
    <w:name w:val="Normal Indent1"/>
    <w:basedOn w:val="1"/>
    <w:qFormat/>
    <w:uiPriority w:val="0"/>
    <w:pPr>
      <w:spacing w:line="600" w:lineRule="exact"/>
      <w:ind w:firstLine="420"/>
    </w:pPr>
    <w:rPr>
      <w:rFonts w:ascii="宋体"/>
      <w:sz w:val="32"/>
      <w:szCs w:val="20"/>
    </w:rPr>
  </w:style>
  <w:style w:type="paragraph" w:customStyle="1" w:styleId="50">
    <w:name w:val="表头"/>
    <w:basedOn w:val="21"/>
    <w:next w:val="1"/>
    <w:qFormat/>
    <w:uiPriority w:val="0"/>
    <w:pPr>
      <w:adjustRightInd w:val="0"/>
      <w:snapToGrid w:val="0"/>
      <w:spacing w:beforeLines="25"/>
      <w:jc w:val="center"/>
      <w:textAlignment w:val="baseline"/>
    </w:pPr>
    <w:rPr>
      <w:rFonts w:hAnsi="宋体" w:eastAsia="仿宋_GB2312"/>
      <w:b/>
      <w:kern w:val="0"/>
      <w:sz w:val="28"/>
      <w:szCs w:val="28"/>
    </w:rPr>
  </w:style>
  <w:style w:type="paragraph" w:customStyle="1" w:styleId="51">
    <w:name w:val="正文."/>
    <w:basedOn w:val="1"/>
    <w:qFormat/>
    <w:uiPriority w:val="0"/>
  </w:style>
  <w:style w:type="paragraph" w:customStyle="1" w:styleId="52">
    <w:name w:val="正文（首行缩进两字）"/>
    <w:basedOn w:val="1"/>
    <w:qFormat/>
    <w:uiPriority w:val="0"/>
    <w:pPr>
      <w:ind w:firstLine="420"/>
    </w:pPr>
    <w:rPr>
      <w:sz w:val="28"/>
      <w:szCs w:val="21"/>
    </w:rPr>
  </w:style>
  <w:style w:type="character" w:customStyle="1" w:styleId="53">
    <w:name w:val="正文文本 字符1"/>
    <w:semiHidden/>
    <w:qFormat/>
    <w:uiPriority w:val="0"/>
    <w:rPr>
      <w:rFonts w:ascii="Times New Roman" w:hAnsi="Times New Roman" w:eastAsia="宋体" w:cs="Times New Roman"/>
      <w:sz w:val="24"/>
      <w:szCs w:val="24"/>
    </w:rPr>
  </w:style>
  <w:style w:type="character" w:customStyle="1" w:styleId="54">
    <w:name w:val="日期 字符"/>
    <w:semiHidden/>
    <w:qFormat/>
    <w:uiPriority w:val="0"/>
    <w:rPr>
      <w:rFonts w:ascii="Times New Roman" w:hAnsi="Times New Roman" w:eastAsia="宋体" w:cs="Times New Roman"/>
      <w:sz w:val="24"/>
      <w:szCs w:val="24"/>
    </w:rPr>
  </w:style>
  <w:style w:type="character" w:customStyle="1" w:styleId="55">
    <w:name w:val="普通(网站) Char"/>
    <w:qFormat/>
    <w:locked/>
    <w:uiPriority w:val="0"/>
    <w:rPr>
      <w:rFonts w:ascii="宋体" w:hAnsi="宋体" w:eastAsia="宋体"/>
      <w:sz w:val="24"/>
    </w:rPr>
  </w:style>
  <w:style w:type="character" w:customStyle="1" w:styleId="56">
    <w:name w:val="批注文字 字符1"/>
    <w:semiHidden/>
    <w:qFormat/>
    <w:uiPriority w:val="0"/>
    <w:rPr>
      <w:rFonts w:ascii="Times New Roman" w:hAnsi="Times New Roman" w:eastAsia="宋体" w:cs="Times New Roman"/>
      <w:sz w:val="24"/>
      <w:szCs w:val="24"/>
    </w:rPr>
  </w:style>
  <w:style w:type="paragraph" w:customStyle="1" w:styleId="57">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8">
    <w:name w:val="报告表标题1"/>
    <w:basedOn w:val="1"/>
    <w:qFormat/>
    <w:uiPriority w:val="0"/>
    <w:pPr>
      <w:adjustRightInd w:val="0"/>
    </w:pPr>
    <w:rPr>
      <w:rFonts w:ascii="Calibri" w:hAnsi="Calibri" w:eastAsia="黑体"/>
    </w:rPr>
  </w:style>
  <w:style w:type="paragraph" w:customStyle="1" w:styleId="59">
    <w:name w:val="Table Paragraph"/>
    <w:basedOn w:val="1"/>
    <w:qFormat/>
    <w:uiPriority w:val="1"/>
    <w:pPr>
      <w:jc w:val="center"/>
    </w:pPr>
    <w:rPr>
      <w:rFonts w:ascii="Times New Roman" w:hAnsi="Times New Roman" w:eastAsia="Times New Roman" w:cs="Times New Roman"/>
    </w:rPr>
  </w:style>
  <w:style w:type="paragraph" w:styleId="60">
    <w:name w:val="List Paragraph"/>
    <w:basedOn w:val="1"/>
    <w:qFormat/>
    <w:uiPriority w:val="1"/>
    <w:pPr>
      <w:ind w:left="956" w:hanging="197"/>
    </w:pPr>
    <w:rPr>
      <w:rFonts w:ascii="宋体" w:hAnsi="宋体" w:eastAsia="宋体" w:cs="宋体"/>
    </w:rPr>
  </w:style>
  <w:style w:type="paragraph" w:customStyle="1" w:styleId="61">
    <w:name w:val="Default"/>
    <w:basedOn w:val="62"/>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62">
    <w:name w:val="纯文本1"/>
    <w:basedOn w:val="1"/>
    <w:qFormat/>
    <w:uiPriority w:val="0"/>
    <w:rPr>
      <w:rFonts w:hint="eastAsia" w:ascii="宋体" w:hAnsi="Courier New"/>
      <w:szCs w:val="22"/>
    </w:rPr>
  </w:style>
  <w:style w:type="paragraph" w:customStyle="1" w:styleId="63">
    <w:name w:val="环评送审"/>
    <w:basedOn w:val="1"/>
    <w:qFormat/>
    <w:uiPriority w:val="0"/>
    <w:pPr>
      <w:spacing w:line="360" w:lineRule="auto"/>
      <w:ind w:firstLine="480" w:firstLineChars="200"/>
      <w:jc w:val="left"/>
    </w:pPr>
    <w:rPr>
      <w:rFonts w:ascii="仿宋_GB2312" w:eastAsia="仿宋_GB2312"/>
      <w:sz w:val="24"/>
      <w:szCs w:val="20"/>
    </w:rPr>
  </w:style>
  <w:style w:type="paragraph" w:customStyle="1" w:styleId="64">
    <w:name w:val="【正文】"/>
    <w:basedOn w:val="1"/>
    <w:qFormat/>
    <w:uiPriority w:val="0"/>
    <w:pPr>
      <w:spacing w:line="440" w:lineRule="exact"/>
      <w:ind w:firstLine="544"/>
    </w:pPr>
    <w:rPr>
      <w:rFonts w:cs="宋体"/>
      <w:sz w:val="24"/>
      <w:szCs w:val="20"/>
    </w:rPr>
  </w:style>
  <w:style w:type="paragraph" w:customStyle="1" w:styleId="65">
    <w:name w:val="正文120"/>
    <w:basedOn w:val="1"/>
    <w:qFormat/>
    <w:uiPriority w:val="0"/>
    <w:pPr>
      <w:spacing w:line="360" w:lineRule="auto"/>
      <w:ind w:firstLine="720" w:firstLineChars="200"/>
    </w:pPr>
    <w:rPr>
      <w:rFonts w:ascii="Times New Roman" w:hAnsi="Times New Roman" w:eastAsia="宋体"/>
      <w:sz w:val="24"/>
      <w:szCs w:val="24"/>
    </w:rPr>
  </w:style>
  <w:style w:type="paragraph" w:customStyle="1" w:styleId="66">
    <w:name w:val="p15"/>
    <w:basedOn w:val="1"/>
    <w:qFormat/>
    <w:uiPriority w:val="0"/>
    <w:pPr>
      <w:widowControl/>
      <w:snapToGrid w:val="0"/>
      <w:jc w:val="left"/>
    </w:pPr>
    <w:rPr>
      <w:color w:val="000000"/>
      <w:kern w:val="0"/>
      <w:sz w:val="24"/>
    </w:rPr>
  </w:style>
  <w:style w:type="character" w:customStyle="1" w:styleId="67">
    <w:name w:val="font11"/>
    <w:qFormat/>
    <w:uiPriority w:val="0"/>
    <w:rPr>
      <w:rFonts w:ascii="宋体" w:hAnsi="宋体" w:eastAsia="宋体" w:cs="宋体"/>
      <w:b/>
      <w:bCs/>
      <w:color w:val="000000"/>
      <w:sz w:val="22"/>
      <w:szCs w:val="22"/>
      <w:u w:val="none"/>
    </w:rPr>
  </w:style>
  <w:style w:type="character" w:customStyle="1" w:styleId="68">
    <w:name w:val="font51"/>
    <w:qFormat/>
    <w:uiPriority w:val="0"/>
    <w:rPr>
      <w:rFonts w:ascii="宋体" w:hAnsi="宋体" w:eastAsia="宋体" w:cs="宋体"/>
      <w:color w:val="000000"/>
      <w:sz w:val="22"/>
      <w:szCs w:val="22"/>
      <w:u w:val="none"/>
    </w:rPr>
  </w:style>
  <w:style w:type="character" w:customStyle="1" w:styleId="69">
    <w:name w:val="font41"/>
    <w:qFormat/>
    <w:uiPriority w:val="0"/>
    <w:rPr>
      <w:rFonts w:hint="default" w:ascii="Times New Roman" w:hAnsi="Times New Roman" w:cs="Times New Roman"/>
      <w:color w:val="000000"/>
      <w:sz w:val="22"/>
      <w:szCs w:val="22"/>
      <w:u w:val="none"/>
    </w:rPr>
  </w:style>
  <w:style w:type="character" w:customStyle="1" w:styleId="70">
    <w:name w:val="font91"/>
    <w:qFormat/>
    <w:uiPriority w:val="0"/>
    <w:rPr>
      <w:rFonts w:hint="default" w:ascii="Times New Roman" w:hAnsi="Times New Roman" w:cs="Times New Roman"/>
      <w:color w:val="000000"/>
      <w:sz w:val="22"/>
      <w:szCs w:val="22"/>
      <w:u w:val="none"/>
      <w:vertAlign w:val="superscript"/>
    </w:rPr>
  </w:style>
  <w:style w:type="character" w:customStyle="1" w:styleId="71">
    <w:name w:val="font101"/>
    <w:qFormat/>
    <w:uiPriority w:val="0"/>
    <w:rPr>
      <w:rFonts w:hint="default" w:ascii="Times New Roman" w:hAnsi="Times New Roman" w:cs="Times New Roman"/>
      <w:color w:val="000000"/>
      <w:sz w:val="22"/>
      <w:szCs w:val="22"/>
      <w:u w:val="none"/>
    </w:rPr>
  </w:style>
  <w:style w:type="character" w:customStyle="1" w:styleId="72">
    <w:name w:val="font112"/>
    <w:qFormat/>
    <w:uiPriority w:val="0"/>
    <w:rPr>
      <w:rFonts w:hint="default" w:ascii="Times New Roman" w:hAnsi="Times New Roman" w:cs="Times New Roman"/>
      <w:color w:val="000000"/>
      <w:sz w:val="22"/>
      <w:szCs w:val="22"/>
      <w:u w:val="none"/>
      <w:vertAlign w:val="superscript"/>
    </w:rPr>
  </w:style>
  <w:style w:type="character" w:customStyle="1" w:styleId="73">
    <w:name w:val="font121"/>
    <w:qFormat/>
    <w:uiPriority w:val="0"/>
    <w:rPr>
      <w:rFonts w:hint="default" w:ascii="Times New Roman" w:hAnsi="Times New Roman" w:cs="Times New Roman"/>
      <w:color w:val="FF0000"/>
      <w:sz w:val="22"/>
      <w:szCs w:val="22"/>
      <w:u w:val="none"/>
      <w:vertAlign w:val="superscript"/>
    </w:rPr>
  </w:style>
  <w:style w:type="character" w:customStyle="1" w:styleId="74">
    <w:name w:val="font01"/>
    <w:qFormat/>
    <w:uiPriority w:val="0"/>
    <w:rPr>
      <w:rFonts w:hint="eastAsia" w:ascii="宋体" w:hAnsi="宋体" w:eastAsia="宋体" w:cs="宋体"/>
      <w:color w:val="FF0000"/>
      <w:sz w:val="22"/>
      <w:szCs w:val="22"/>
      <w:u w:val="none"/>
    </w:rPr>
  </w:style>
  <w:style w:type="character" w:customStyle="1" w:styleId="75">
    <w:name w:val="font21"/>
    <w:qFormat/>
    <w:uiPriority w:val="0"/>
    <w:rPr>
      <w:rFonts w:hint="eastAsia" w:ascii="宋体" w:hAnsi="宋体" w:eastAsia="宋体" w:cs="宋体"/>
      <w:b/>
      <w:bCs/>
      <w:color w:val="000000"/>
      <w:sz w:val="21"/>
      <w:szCs w:val="21"/>
      <w:u w:val="none"/>
    </w:rPr>
  </w:style>
  <w:style w:type="character" w:customStyle="1" w:styleId="76">
    <w:name w:val="font71"/>
    <w:qFormat/>
    <w:uiPriority w:val="0"/>
    <w:rPr>
      <w:rFonts w:hint="default" w:ascii="Times New Roman" w:hAnsi="Times New Roman" w:cs="Times New Roman"/>
      <w:color w:val="000000"/>
      <w:sz w:val="21"/>
      <w:szCs w:val="21"/>
      <w:u w:val="none"/>
      <w:vertAlign w:val="subscript"/>
    </w:rPr>
  </w:style>
  <w:style w:type="character" w:customStyle="1" w:styleId="77">
    <w:name w:val="font61"/>
    <w:qFormat/>
    <w:uiPriority w:val="0"/>
    <w:rPr>
      <w:rFonts w:hint="default" w:ascii="Times New Roman" w:hAnsi="Times New Roman" w:cs="Times New Roman"/>
      <w:color w:val="000000"/>
      <w:sz w:val="21"/>
      <w:szCs w:val="21"/>
      <w:u w:val="none"/>
      <w:vertAlign w:val="superscript"/>
    </w:rPr>
  </w:style>
  <w:style w:type="character" w:customStyle="1" w:styleId="78">
    <w:name w:val="font31"/>
    <w:qFormat/>
    <w:uiPriority w:val="0"/>
    <w:rPr>
      <w:rFonts w:hint="default" w:ascii="Times New Roman" w:hAnsi="Times New Roman" w:cs="Times New Roman"/>
      <w:color w:val="000000"/>
      <w:sz w:val="20"/>
      <w:szCs w:val="20"/>
      <w:u w:val="none"/>
    </w:rPr>
  </w:style>
  <w:style w:type="paragraph" w:customStyle="1" w:styleId="79">
    <w:name w:val="_Style 78"/>
    <w:unhideWhenUsed/>
    <w:qFormat/>
    <w:uiPriority w:val="99"/>
    <w:rPr>
      <w:rFonts w:ascii="Times New Roman" w:hAnsi="Times New Roman" w:eastAsia="宋体" w:cs="Times New Roman"/>
      <w:kern w:val="2"/>
      <w:sz w:val="21"/>
      <w:szCs w:val="24"/>
      <w:lang w:val="en-US" w:eastAsia="zh-CN" w:bidi="ar-SA"/>
    </w:rPr>
  </w:style>
  <w:style w:type="table" w:customStyle="1" w:styleId="80">
    <w:name w:val="Table Normal"/>
    <w:unhideWhenUsed/>
    <w:qFormat/>
    <w:uiPriority w:val="0"/>
    <w:tblPr>
      <w:tblCellMar>
        <w:top w:w="0" w:type="dxa"/>
        <w:left w:w="0" w:type="dxa"/>
        <w:bottom w:w="0" w:type="dxa"/>
        <w:right w:w="0" w:type="dxa"/>
      </w:tblCellMar>
    </w:tblPr>
  </w:style>
  <w:style w:type="paragraph" w:customStyle="1" w:styleId="81">
    <w:name w:val="表格001"/>
    <w:basedOn w:val="1"/>
    <w:next w:val="1"/>
    <w:qFormat/>
    <w:uiPriority w:val="0"/>
    <w:pPr>
      <w:adjustRightInd w:val="0"/>
      <w:snapToGrid w:val="0"/>
      <w:jc w:val="center"/>
    </w:pPr>
    <w:rPr>
      <w:rFonts w:ascii="Calibri" w:hAnsi="Calibri" w:eastAsia="宋体" w:cs="Times New Roman"/>
      <w:szCs w:val="21"/>
    </w:rPr>
  </w:style>
  <w:style w:type="paragraph" w:customStyle="1" w:styleId="82">
    <w:name w:val="Table Text"/>
    <w:basedOn w:val="1"/>
    <w:semiHidden/>
    <w:qFormat/>
    <w:uiPriority w:val="0"/>
    <w:rPr>
      <w:rFonts w:ascii="宋体" w:hAnsi="宋体" w:eastAsia="宋体" w:cs="宋体"/>
      <w:sz w:val="20"/>
      <w:szCs w:val="20"/>
      <w:lang w:val="en-US" w:eastAsia="en-US" w:bidi="ar-SA"/>
    </w:rPr>
  </w:style>
  <w:style w:type="character" w:customStyle="1" w:styleId="83">
    <w:name w:val="标题 5 Char"/>
    <w:link w:val="6"/>
    <w:qFormat/>
    <w:uiPriority w:val="0"/>
    <w:rPr>
      <w:rFonts w:ascii="Times New Roman" w:hAnsi="Times New Roman" w:eastAsia="黑体"/>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emf"/><Relationship Id="rId12" Type="http://schemas.openxmlformats.org/officeDocument/2006/relationships/oleObject" Target="embeddings/oleObject2.bin"/><Relationship Id="rId11" Type="http://schemas.openxmlformats.org/officeDocument/2006/relationships/image" Target="media/image2.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60</Pages>
  <Words>15627</Words>
  <Characters>16604</Characters>
  <Lines>372</Lines>
  <Paragraphs>104</Paragraphs>
  <TotalTime>6</TotalTime>
  <ScaleCrop>false</ScaleCrop>
  <LinksUpToDate>false</LinksUpToDate>
  <CharactersWithSpaces>16950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2023-05-14T04:07:00Z</dcterms:created>
  <dc:creator>lhj</dc:creator>
  <cp:lastModifiedBy>鱼儿</cp:lastModifiedBy>
  <cp:lastPrinted>2020-12-24T01:50:00Z</cp:lastPrinted>
  <dcterms:modified xsi:type="dcterms:W3CDTF">2025-05-29T09:24:07Z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77AF3B974F58457AA8E798EB607E7F14_13</vt:lpwstr>
  </property>
  <property fmtid="{D5CDD505-2E9C-101B-9397-08002B2CF9AE}" pid="4" name="KSOTemplateDocerSaveRecord">
    <vt:lpwstr>eyJoZGlkIjoiZTY5MGFlNTdlZjkzNjdlYzUyMzQ3OTY0OTRlZmU5N2IiLCJ1c2VySWQiOiI0NjI0MTY4NzQifQ==</vt:lpwstr>
  </property>
</Properties>
</file>