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Spec="center" w:tblpY="1108"/>
        <w:tblOverlap w:val="never"/>
        <w:tblW w:w="14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800"/>
        <w:gridCol w:w="735"/>
        <w:gridCol w:w="990"/>
        <w:gridCol w:w="810"/>
        <w:gridCol w:w="1695"/>
        <w:gridCol w:w="2775"/>
        <w:gridCol w:w="5353"/>
      </w:tblGrid>
      <w:tr w14:paraId="3FAA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94DD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50BB8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60040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环评类别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5F0F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51B95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01A2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环境影响评价机构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8338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建设项目概况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2103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主要环境影响及预防或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减轻不良环境影响的对策和措施</w:t>
            </w:r>
          </w:p>
        </w:tc>
      </w:tr>
      <w:tr w14:paraId="3A85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5C795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68EB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沙坡头区寺口子矿山地质环境保护与修复治理工程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7AE8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28D8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中卫市沙坡头区宣和镇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C21E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中卫市沙坡头区自然资源局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1FD3D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中环科工（宁夏）生态环境设计院有限公司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F4313">
            <w:pPr>
              <w:pStyle w:val="2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64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为矿山修复治理工程，项目治理区位于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宣和镇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修复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治理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面积为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60980.94平方米。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主要工程内容为拆除废弃构筑物，清理回填浮渣，粘土封填遗留井筒，砌筑浆砌石，渣堆区域进行平整、覆土，安装围栏，播撒草籽。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177.32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，全部为环保投资。</w:t>
            </w:r>
          </w:p>
          <w:p w14:paraId="331127B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67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大气环境影响减缓措施</w:t>
            </w:r>
          </w:p>
          <w:p w14:paraId="04D52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严格控制施工范围，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施工场地设置施工围挡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，加强施工现场及施工便道的洒水降尘工作；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施工期临时堆土堆放在治理区内，并采用防尘网苫盖，定期洒水保湿；加强机械设备管理和保养维修，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物料运输过程中车辆加盖篷布，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合理选择运输路线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严禁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超载、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运料散落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颗粒物无组织排放浓度须满足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《大气污染物综合排放标准》（GB16297-1996）表2中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无组织排放监控浓度限值。</w:t>
            </w:r>
          </w:p>
          <w:p w14:paraId="4FE43A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 w14:paraId="22AA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施工期生活污水依托周边村庄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旱厕处理；施工场地设简易沉淀池，施工废水集中收集后经沉淀后回用或直接用于洒水抑尘，不外排。</w:t>
            </w:r>
          </w:p>
          <w:p w14:paraId="247EF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 w14:paraId="7FEB28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加强施工管理，选择低噪声的机械设备、作业方法，采取隔声、减振等措施，合理安排机械作业施工时间，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加强运输车辆管理，采取限速行驶、禁止鸣笛等综合降噪措施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施工场界噪声须满足《建筑施工场界环境噪声排放标准》（GB12523-2011）中的限值要求。</w:t>
            </w:r>
          </w:p>
          <w:p w14:paraId="0CB09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 w14:paraId="6275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建筑垃圾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集中收集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后清运至政府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指定地点处理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；废包装袋及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施工人员产生的生活垃圾，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集中分类收集送至邻近村庄生活垃圾收集点，由当地环卫部门统一清运处置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FCD78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环境管理措施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及生态保护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 w14:paraId="69863F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严格控制施工范围，优化施工布置和施工工艺，合理安排施工路线，做好施工期间的临时防护。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合理选择施工时间，加强施工活动管理，建立健全现场管理责任制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严格控制对区域动、植物的影响并采取相应的措施，保护生物多样性，维持或修复生态功能系统；施工期加强水土流失防治，严格控制对生态环境的破坏。严格控制施工红线范围，不得占用沿线基本农田、农用设施等，减少对地表植被的扰动和破坏。严格落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提出的生态保护措施，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加强环境管理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施工结束后及时对临时施工区占地、施工扰动区域进行清理、平整、恢复植被。</w:t>
            </w:r>
          </w:p>
        </w:tc>
      </w:tr>
      <w:tr w14:paraId="44BB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C006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E293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宁夏恒路工贸有限公司公路固废资源化综合利用建设项目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33D0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A085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中卫市沙坡头区迎水桥镇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3E446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宁夏恒路工贸有限公司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0EF4"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众旺达（宁夏）技术咨询有限公司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23FC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宁夏恒路工贸有限公司公路固废资源化综合利用建设项目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位于中卫市沙坡头区迎水桥镇，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总占地面积为53333.33平方米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主要建设水泥稳定土搅拌站、热拌再生沥青混合料搅拌站，配套骨料车间、储罐、水泥筒仓等储运工程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项目建成后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年产96万吨水泥稳定土生产线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54.4万吨热再生沥青混合料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总投资13996.04万元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，其中环保投资为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168万元，占总投资的1.2%。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683E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（一）大气环境影响减缓措施</w:t>
            </w:r>
          </w:p>
          <w:p w14:paraId="4A14F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水泥稳定土生产线在搅拌机上方设置集气罩，收集后经布袋除尘器处理，通过15米高排气筒（DA001）排出，废气排放标准执行《水泥工业大气污染物排放标准》（DB64/1995-2024）表1中的标准限值。</w:t>
            </w:r>
          </w:p>
          <w:p w14:paraId="2C6C2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再生沥青混合料生产线的烘干产生的废气、烘干筒天然气燃烧废气、矿石筛分产生的粉尘、搅拌产生的废气全部密闭收集进入烘干燃烧器二次燃烧，经过重力除尘+布袋除尘器处理后通过15米高排气筒（DA002）排放，废气中的NO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、苯并[a]芘、沥青烟排放标准执行《大气污染物综合排放标准》（GB16297-1996）中二级标准，颗粒物、SO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《工业炉窑大气污染物排放标准》(GB9078-1996)中大气污染物排放二级标准，企业承诺对烘干炉产生的废气污染物按照《工业炉窑大气污染综合治理方案》（环大气〔2019〕56号）中的浓度限值进行控制（颗粒物30mg/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二氧化硫200mg/m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、氮氧化物300mg/m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；配料罐废气、成品罐发育废气、装车废气通过收集装置收集后经管道引入导热油炉二次燃烧，通过15米高排气筒（DA003）排放，废气中苯并[a]芘、沥青烟执行《大气污染物综合排放标准》（GB16297-1996）中二级标准排放限值要求；导热油锅炉以天然气为燃料，燃烧产生的废气通过15米高排气筒（DA003）排放，颗粒物、烟气黑度、SO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执行《锅炉大气污染物排放标准》（GB13271-2014）表2新建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1"/>
                <w:sz w:val="32"/>
                <w:szCs w:val="32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锅炉大气污染物排放浓度限值中燃气锅炉标准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，NO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企业承诺按照《宁夏自治区环境空气质量改善“十四五”规划》进行控制（NO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x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 w14:paraId="494D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 w14:paraId="1511D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车辆清洗废水清洗搅拌机废水全部排入沉淀池，经沉淀池沉淀后回用于清洗搅拌机，不外排。项目部设置化粪池，生活污水进入化粪池处理，处理后水质须满足《污水综合排放标准》（GB8978-1996）表4中三级标准，NH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subscript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-N满足《污水排入城镇下水道水质标准》（GB/T31962-2015）表1中A级限值，定期拉运至中卫市第二污水处理厂处理。</w:t>
            </w:r>
          </w:p>
          <w:p w14:paraId="25D2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 w14:paraId="10B6E2FE">
            <w:pPr>
              <w:pStyle w:val="1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3168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合理布局，选用低噪声设备，定期进行维护和保养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加强运输车辆管理，减速慢行、禁止鸣笛，通过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消声、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基础减振、隔声、距离衰减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以及绿化等措施后，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界噪声须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《工业企业厂界环境噪声排放标准》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GB12348-2008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 w14:paraId="2D7FB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 w14:paraId="405FA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除尘器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收尘灰、滴漏的沥青及拌和残渣收集后回用于生产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；废机油收集后暂存于危险废物贮存库，定期交由有危废处理资质的单位处置；废导热油生产厂家更换后由有资质单位统一收集直接带走处置，不贮存；生活垃圾设置收集设施，集中收集后交由环卫部门处理。</w:t>
            </w:r>
          </w:p>
          <w:p w14:paraId="4867A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环境管理措施与环境监测计划</w:t>
            </w:r>
          </w:p>
          <w:p w14:paraId="48714297"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建立健全环境管理制度，落实环保岗位责任，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环境管理台账记录；严格落实《报告表》中提出的风险防范措施，做好防渗措施，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厂区储罐周围设置围堰，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并设置防火警告牌、微型消防站，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导热油炉及沥青储罐旁设置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应急收集池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编制企业突发环境事件应急预案，定期开展教育培训、操作演练，确保环境安全；落实环保措施，加强环保设施的日常维护和保养，使其正常稳定运行；加强环境管理，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并严格按照项目运营期环境监测计划一览表定期进行监测。</w:t>
            </w:r>
          </w:p>
        </w:tc>
      </w:tr>
    </w:tbl>
    <w:p w14:paraId="0907B5D5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03BC9E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D949656">
      <w:pPr>
        <w:pStyle w:val="1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0C7ED"/>
    <w:multiLevelType w:val="singleLevel"/>
    <w:tmpl w:val="EE20C7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2A05BD"/>
    <w:multiLevelType w:val="singleLevel"/>
    <w:tmpl w:val="7D2A05B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34F26FE8"/>
    <w:rsid w:val="00907702"/>
    <w:rsid w:val="00DA5C53"/>
    <w:rsid w:val="017163D1"/>
    <w:rsid w:val="01977413"/>
    <w:rsid w:val="019B2831"/>
    <w:rsid w:val="01BC3179"/>
    <w:rsid w:val="020D3871"/>
    <w:rsid w:val="02247ACE"/>
    <w:rsid w:val="02B80216"/>
    <w:rsid w:val="02EE3499"/>
    <w:rsid w:val="035902E9"/>
    <w:rsid w:val="03AF0689"/>
    <w:rsid w:val="045D1075"/>
    <w:rsid w:val="04811782"/>
    <w:rsid w:val="053242B0"/>
    <w:rsid w:val="0557490A"/>
    <w:rsid w:val="055B6402"/>
    <w:rsid w:val="066352CE"/>
    <w:rsid w:val="06693D01"/>
    <w:rsid w:val="069E4E1B"/>
    <w:rsid w:val="06D82C35"/>
    <w:rsid w:val="06FD4865"/>
    <w:rsid w:val="070B300A"/>
    <w:rsid w:val="072440CC"/>
    <w:rsid w:val="0760588E"/>
    <w:rsid w:val="0796093E"/>
    <w:rsid w:val="07AE141F"/>
    <w:rsid w:val="07C925B8"/>
    <w:rsid w:val="094055DE"/>
    <w:rsid w:val="09992D89"/>
    <w:rsid w:val="09A62AD4"/>
    <w:rsid w:val="09BA2701"/>
    <w:rsid w:val="09DC2A3C"/>
    <w:rsid w:val="0B187AA4"/>
    <w:rsid w:val="0B6C0FD1"/>
    <w:rsid w:val="0B756CA4"/>
    <w:rsid w:val="0C002C4A"/>
    <w:rsid w:val="0C7D22B4"/>
    <w:rsid w:val="0CD80A61"/>
    <w:rsid w:val="0D165B9F"/>
    <w:rsid w:val="0E0764FF"/>
    <w:rsid w:val="0E8826AD"/>
    <w:rsid w:val="0E8A0CB9"/>
    <w:rsid w:val="0EA855E3"/>
    <w:rsid w:val="0EFB1BB6"/>
    <w:rsid w:val="0F104CEB"/>
    <w:rsid w:val="0F2B5443"/>
    <w:rsid w:val="0F5F3552"/>
    <w:rsid w:val="0F687C02"/>
    <w:rsid w:val="0F8F5D51"/>
    <w:rsid w:val="0FE03CE6"/>
    <w:rsid w:val="10B62239"/>
    <w:rsid w:val="11001706"/>
    <w:rsid w:val="11B524F0"/>
    <w:rsid w:val="11EE5A02"/>
    <w:rsid w:val="12415CEB"/>
    <w:rsid w:val="12BC165D"/>
    <w:rsid w:val="12CC7BC5"/>
    <w:rsid w:val="12E6616C"/>
    <w:rsid w:val="12ED1816"/>
    <w:rsid w:val="130231FA"/>
    <w:rsid w:val="13A445CA"/>
    <w:rsid w:val="13D148D3"/>
    <w:rsid w:val="13EE0D22"/>
    <w:rsid w:val="147E1A93"/>
    <w:rsid w:val="148F142E"/>
    <w:rsid w:val="14956609"/>
    <w:rsid w:val="14BC1F34"/>
    <w:rsid w:val="163F4A7E"/>
    <w:rsid w:val="16B2369D"/>
    <w:rsid w:val="16DF5EDC"/>
    <w:rsid w:val="171A1540"/>
    <w:rsid w:val="17575DF8"/>
    <w:rsid w:val="17685603"/>
    <w:rsid w:val="183B63F2"/>
    <w:rsid w:val="18876269"/>
    <w:rsid w:val="18FE652B"/>
    <w:rsid w:val="19A83F9E"/>
    <w:rsid w:val="19D23E96"/>
    <w:rsid w:val="1A930EF5"/>
    <w:rsid w:val="1A9A04D5"/>
    <w:rsid w:val="1AA32E0D"/>
    <w:rsid w:val="1ACF5D3D"/>
    <w:rsid w:val="1B487F31"/>
    <w:rsid w:val="1C4C57FF"/>
    <w:rsid w:val="1CF739BD"/>
    <w:rsid w:val="1D3A2B25"/>
    <w:rsid w:val="1D5514AC"/>
    <w:rsid w:val="1D5A6E1C"/>
    <w:rsid w:val="1D7440AA"/>
    <w:rsid w:val="1EF26B32"/>
    <w:rsid w:val="1F1A746F"/>
    <w:rsid w:val="1F422EEA"/>
    <w:rsid w:val="1F6B41EE"/>
    <w:rsid w:val="204C29A0"/>
    <w:rsid w:val="209E791B"/>
    <w:rsid w:val="20A0579D"/>
    <w:rsid w:val="215F3C1B"/>
    <w:rsid w:val="21FB79D4"/>
    <w:rsid w:val="224D6757"/>
    <w:rsid w:val="22877591"/>
    <w:rsid w:val="22DD2570"/>
    <w:rsid w:val="23576CFB"/>
    <w:rsid w:val="23DC4733"/>
    <w:rsid w:val="248C3262"/>
    <w:rsid w:val="24AD1486"/>
    <w:rsid w:val="24CF3471"/>
    <w:rsid w:val="25D01A77"/>
    <w:rsid w:val="26AB5818"/>
    <w:rsid w:val="26B50445"/>
    <w:rsid w:val="26BE72FA"/>
    <w:rsid w:val="26C32B62"/>
    <w:rsid w:val="26FD1F37"/>
    <w:rsid w:val="27D51A97"/>
    <w:rsid w:val="27EC6201"/>
    <w:rsid w:val="28503734"/>
    <w:rsid w:val="287D475E"/>
    <w:rsid w:val="28DB4970"/>
    <w:rsid w:val="294E1C48"/>
    <w:rsid w:val="299A22A0"/>
    <w:rsid w:val="2B214C73"/>
    <w:rsid w:val="2B6C5576"/>
    <w:rsid w:val="2B8E1990"/>
    <w:rsid w:val="2BAC6E14"/>
    <w:rsid w:val="2C610E53"/>
    <w:rsid w:val="2C666077"/>
    <w:rsid w:val="2CA84CD4"/>
    <w:rsid w:val="2CBC5ED2"/>
    <w:rsid w:val="2CD935E2"/>
    <w:rsid w:val="2D6C4AD7"/>
    <w:rsid w:val="2D99461C"/>
    <w:rsid w:val="2DA72631"/>
    <w:rsid w:val="2DBB2E42"/>
    <w:rsid w:val="2E026666"/>
    <w:rsid w:val="2F7C5A5D"/>
    <w:rsid w:val="300A1801"/>
    <w:rsid w:val="301D62BF"/>
    <w:rsid w:val="30332800"/>
    <w:rsid w:val="308B06ED"/>
    <w:rsid w:val="30F85AFE"/>
    <w:rsid w:val="31B12094"/>
    <w:rsid w:val="31D2634F"/>
    <w:rsid w:val="31D71BB7"/>
    <w:rsid w:val="31E340B8"/>
    <w:rsid w:val="32266D1E"/>
    <w:rsid w:val="3230232C"/>
    <w:rsid w:val="325B0D62"/>
    <w:rsid w:val="32C861D6"/>
    <w:rsid w:val="334119DE"/>
    <w:rsid w:val="34F26FE8"/>
    <w:rsid w:val="35150D11"/>
    <w:rsid w:val="351F2803"/>
    <w:rsid w:val="35BC4B46"/>
    <w:rsid w:val="3633464F"/>
    <w:rsid w:val="368C0EAE"/>
    <w:rsid w:val="368F7963"/>
    <w:rsid w:val="36E711CA"/>
    <w:rsid w:val="37485FCA"/>
    <w:rsid w:val="37702892"/>
    <w:rsid w:val="378332AD"/>
    <w:rsid w:val="37883FC6"/>
    <w:rsid w:val="37A96833"/>
    <w:rsid w:val="37B95F7A"/>
    <w:rsid w:val="382174F0"/>
    <w:rsid w:val="38CF3B52"/>
    <w:rsid w:val="39161217"/>
    <w:rsid w:val="39646D5D"/>
    <w:rsid w:val="399D36E6"/>
    <w:rsid w:val="39EF6D0B"/>
    <w:rsid w:val="39F72DF7"/>
    <w:rsid w:val="3A3E3410"/>
    <w:rsid w:val="3A552DAA"/>
    <w:rsid w:val="3A941AAE"/>
    <w:rsid w:val="3AD413C5"/>
    <w:rsid w:val="3B2A389F"/>
    <w:rsid w:val="3B436316"/>
    <w:rsid w:val="3B6E533A"/>
    <w:rsid w:val="3B7434BE"/>
    <w:rsid w:val="3B930BF8"/>
    <w:rsid w:val="3BFD046C"/>
    <w:rsid w:val="3C1F09B0"/>
    <w:rsid w:val="3CEF4259"/>
    <w:rsid w:val="3D016A1B"/>
    <w:rsid w:val="3D153BD8"/>
    <w:rsid w:val="3D6466F9"/>
    <w:rsid w:val="3D827D7F"/>
    <w:rsid w:val="3DC456E6"/>
    <w:rsid w:val="3E612F34"/>
    <w:rsid w:val="3EDB4A95"/>
    <w:rsid w:val="3F984734"/>
    <w:rsid w:val="409A44DC"/>
    <w:rsid w:val="41466412"/>
    <w:rsid w:val="42160E79"/>
    <w:rsid w:val="42616FB6"/>
    <w:rsid w:val="42DA02CE"/>
    <w:rsid w:val="42FB058D"/>
    <w:rsid w:val="432A5FEB"/>
    <w:rsid w:val="432D474B"/>
    <w:rsid w:val="436A4B29"/>
    <w:rsid w:val="43721740"/>
    <w:rsid w:val="44511355"/>
    <w:rsid w:val="44A82AFB"/>
    <w:rsid w:val="456B6447"/>
    <w:rsid w:val="45723E20"/>
    <w:rsid w:val="45927197"/>
    <w:rsid w:val="45BD4E21"/>
    <w:rsid w:val="45BE44EE"/>
    <w:rsid w:val="46DD674E"/>
    <w:rsid w:val="47476ADD"/>
    <w:rsid w:val="479746A1"/>
    <w:rsid w:val="47F15329"/>
    <w:rsid w:val="48074B4D"/>
    <w:rsid w:val="48611E55"/>
    <w:rsid w:val="487E74FE"/>
    <w:rsid w:val="48E234FC"/>
    <w:rsid w:val="48FD73F3"/>
    <w:rsid w:val="491017DF"/>
    <w:rsid w:val="4B887D52"/>
    <w:rsid w:val="4B8E2E8F"/>
    <w:rsid w:val="4B957026"/>
    <w:rsid w:val="4C0C12DD"/>
    <w:rsid w:val="4C4D2F43"/>
    <w:rsid w:val="4CAC7CAA"/>
    <w:rsid w:val="4CC27294"/>
    <w:rsid w:val="4CFD207A"/>
    <w:rsid w:val="4D4E2E80"/>
    <w:rsid w:val="4D525AC0"/>
    <w:rsid w:val="4D9E1367"/>
    <w:rsid w:val="4DB7251F"/>
    <w:rsid w:val="4DC0429E"/>
    <w:rsid w:val="4DD40617"/>
    <w:rsid w:val="4DD8377A"/>
    <w:rsid w:val="4E4C0A68"/>
    <w:rsid w:val="4E54216E"/>
    <w:rsid w:val="4E7310AB"/>
    <w:rsid w:val="4E8D742E"/>
    <w:rsid w:val="4E8F423A"/>
    <w:rsid w:val="4ECA2FB5"/>
    <w:rsid w:val="4ED866D6"/>
    <w:rsid w:val="4EFA0F67"/>
    <w:rsid w:val="4F70440B"/>
    <w:rsid w:val="513737E2"/>
    <w:rsid w:val="513E478E"/>
    <w:rsid w:val="51700341"/>
    <w:rsid w:val="51876B27"/>
    <w:rsid w:val="519B6306"/>
    <w:rsid w:val="51CC6EC1"/>
    <w:rsid w:val="53682217"/>
    <w:rsid w:val="5452714F"/>
    <w:rsid w:val="54C24E95"/>
    <w:rsid w:val="54DD22F6"/>
    <w:rsid w:val="54F77CF7"/>
    <w:rsid w:val="552D54C7"/>
    <w:rsid w:val="55394F4F"/>
    <w:rsid w:val="557B041E"/>
    <w:rsid w:val="55C22555"/>
    <w:rsid w:val="55EC0170"/>
    <w:rsid w:val="55F14746"/>
    <w:rsid w:val="56E67FFC"/>
    <w:rsid w:val="56EA7D93"/>
    <w:rsid w:val="56F02C50"/>
    <w:rsid w:val="573E1C0D"/>
    <w:rsid w:val="58317352"/>
    <w:rsid w:val="587D5821"/>
    <w:rsid w:val="588E1CBB"/>
    <w:rsid w:val="58D04AE7"/>
    <w:rsid w:val="59126EAD"/>
    <w:rsid w:val="5A3E3CD2"/>
    <w:rsid w:val="5A4E03B9"/>
    <w:rsid w:val="5ACF5CC4"/>
    <w:rsid w:val="5C222CA6"/>
    <w:rsid w:val="5CB749BC"/>
    <w:rsid w:val="5CD15E21"/>
    <w:rsid w:val="5CFC1658"/>
    <w:rsid w:val="5D5F43EF"/>
    <w:rsid w:val="5E6C1861"/>
    <w:rsid w:val="5E8B1BDC"/>
    <w:rsid w:val="5EBA108B"/>
    <w:rsid w:val="5ED372FB"/>
    <w:rsid w:val="5F2275C5"/>
    <w:rsid w:val="5F445625"/>
    <w:rsid w:val="5F51094D"/>
    <w:rsid w:val="5F715882"/>
    <w:rsid w:val="5F8C2C3A"/>
    <w:rsid w:val="5FE5356E"/>
    <w:rsid w:val="60875AA0"/>
    <w:rsid w:val="60890469"/>
    <w:rsid w:val="60B30F76"/>
    <w:rsid w:val="60C72AAD"/>
    <w:rsid w:val="60CF51DF"/>
    <w:rsid w:val="612754C0"/>
    <w:rsid w:val="61913B54"/>
    <w:rsid w:val="61CE508D"/>
    <w:rsid w:val="621A4583"/>
    <w:rsid w:val="62261C1B"/>
    <w:rsid w:val="62726F96"/>
    <w:rsid w:val="63116428"/>
    <w:rsid w:val="63305B9F"/>
    <w:rsid w:val="63897EDA"/>
    <w:rsid w:val="639162DE"/>
    <w:rsid w:val="63AD3924"/>
    <w:rsid w:val="64652837"/>
    <w:rsid w:val="64A86918"/>
    <w:rsid w:val="64B90B25"/>
    <w:rsid w:val="64B96E71"/>
    <w:rsid w:val="64EF7314"/>
    <w:rsid w:val="65096757"/>
    <w:rsid w:val="651F1636"/>
    <w:rsid w:val="65634EC4"/>
    <w:rsid w:val="65C00FEB"/>
    <w:rsid w:val="663761A5"/>
    <w:rsid w:val="66723681"/>
    <w:rsid w:val="66774239"/>
    <w:rsid w:val="66C84152"/>
    <w:rsid w:val="6714083F"/>
    <w:rsid w:val="68552394"/>
    <w:rsid w:val="68684D3C"/>
    <w:rsid w:val="68C77CB4"/>
    <w:rsid w:val="68E436A7"/>
    <w:rsid w:val="699D27C3"/>
    <w:rsid w:val="6A07719C"/>
    <w:rsid w:val="6A2B6021"/>
    <w:rsid w:val="6A3D18F3"/>
    <w:rsid w:val="6A5B488F"/>
    <w:rsid w:val="6AC30FE4"/>
    <w:rsid w:val="6B5B46E4"/>
    <w:rsid w:val="6B8F5F51"/>
    <w:rsid w:val="6B982B45"/>
    <w:rsid w:val="6BC24763"/>
    <w:rsid w:val="6C3A0656"/>
    <w:rsid w:val="6C474C68"/>
    <w:rsid w:val="6CAC61C2"/>
    <w:rsid w:val="6D042B59"/>
    <w:rsid w:val="6D580D3A"/>
    <w:rsid w:val="6D633D24"/>
    <w:rsid w:val="6D943EDD"/>
    <w:rsid w:val="6E331948"/>
    <w:rsid w:val="6E690CD6"/>
    <w:rsid w:val="6EBC06F4"/>
    <w:rsid w:val="6F0D03EB"/>
    <w:rsid w:val="6F4216DC"/>
    <w:rsid w:val="6FCF744E"/>
    <w:rsid w:val="6FF46EB5"/>
    <w:rsid w:val="702324A5"/>
    <w:rsid w:val="70235CAC"/>
    <w:rsid w:val="71771B4C"/>
    <w:rsid w:val="71BE59CD"/>
    <w:rsid w:val="723E111D"/>
    <w:rsid w:val="72691DDC"/>
    <w:rsid w:val="72E57503"/>
    <w:rsid w:val="731437B8"/>
    <w:rsid w:val="736102C3"/>
    <w:rsid w:val="73FE2024"/>
    <w:rsid w:val="760A7432"/>
    <w:rsid w:val="76242E62"/>
    <w:rsid w:val="767D5E56"/>
    <w:rsid w:val="76C450FA"/>
    <w:rsid w:val="76D57A40"/>
    <w:rsid w:val="76EB4163"/>
    <w:rsid w:val="77C27899"/>
    <w:rsid w:val="77D623AA"/>
    <w:rsid w:val="785E75C1"/>
    <w:rsid w:val="787578B0"/>
    <w:rsid w:val="787C5C9A"/>
    <w:rsid w:val="78A552D4"/>
    <w:rsid w:val="790D4A2F"/>
    <w:rsid w:val="79877399"/>
    <w:rsid w:val="79F6234E"/>
    <w:rsid w:val="7A102B3D"/>
    <w:rsid w:val="7A124B07"/>
    <w:rsid w:val="7A7579C6"/>
    <w:rsid w:val="7B1342CC"/>
    <w:rsid w:val="7BF32717"/>
    <w:rsid w:val="7C080A39"/>
    <w:rsid w:val="7C72598F"/>
    <w:rsid w:val="7DE92023"/>
    <w:rsid w:val="7E2748F9"/>
    <w:rsid w:val="7E3E035F"/>
    <w:rsid w:val="7EFD65B5"/>
    <w:rsid w:val="7F4C286A"/>
    <w:rsid w:val="7F737DF6"/>
    <w:rsid w:val="7FC927C8"/>
    <w:rsid w:val="7FD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semiHidden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autoRedefine/>
    <w:qFormat/>
    <w:uiPriority w:val="0"/>
    <w:pPr>
      <w:spacing w:line="240" w:lineRule="atLeast"/>
      <w:jc w:val="center"/>
    </w:p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autoRedefine/>
    <w:qFormat/>
    <w:uiPriority w:val="0"/>
    <w:pPr>
      <w:snapToGrid w:val="0"/>
      <w:spacing w:before="120" w:line="360" w:lineRule="atLeast"/>
      <w:ind w:firstLine="539"/>
    </w:pPr>
  </w:style>
  <w:style w:type="paragraph" w:styleId="7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paragraph" w:styleId="8">
    <w:name w:val="Plain Text"/>
    <w:basedOn w:val="1"/>
    <w:next w:val="9"/>
    <w:autoRedefine/>
    <w:qFormat/>
    <w:uiPriority w:val="0"/>
    <w:rPr>
      <w:rFonts w:ascii="宋体" w:hAnsi="Courier New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1">
    <w:name w:val="Body Text 2"/>
    <w:basedOn w:val="1"/>
    <w:autoRedefine/>
    <w:qFormat/>
    <w:uiPriority w:val="0"/>
    <w:pPr>
      <w:spacing w:after="120" w:line="480" w:lineRule="auto"/>
    </w:p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rFonts w:cs="Times New Roman"/>
      <w:b/>
    </w:rPr>
  </w:style>
  <w:style w:type="paragraph" w:customStyle="1" w:styleId="17">
    <w:name w:val="表头"/>
    <w:basedOn w:val="8"/>
    <w:next w:val="1"/>
    <w:autoRedefine/>
    <w:qFormat/>
    <w:uiPriority w:val="0"/>
    <w:pPr>
      <w:snapToGrid w:val="0"/>
      <w:spacing w:before="60" w:beforeLines="25"/>
    </w:pPr>
    <w:rPr>
      <w:rFonts w:hAnsi="宋体" w:eastAsia="仿宋_GB2312"/>
      <w:b/>
      <w:sz w:val="28"/>
      <w:szCs w:val="28"/>
    </w:rPr>
  </w:style>
  <w:style w:type="paragraph" w:customStyle="1" w:styleId="18">
    <w:name w:val="正文（缩进）"/>
    <w:basedOn w:val="19"/>
    <w:next w:val="1"/>
    <w:autoRedefine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19">
    <w:name w:val="正文(首行缩进)"/>
    <w:basedOn w:val="1"/>
    <w:autoRedefine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customStyle="1" w:styleId="20">
    <w:name w:val="表格2"/>
    <w:next w:val="11"/>
    <w:autoRedefine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3">
    <w:name w:val="报告表正文"/>
    <w:basedOn w:val="1"/>
    <w:autoRedefine/>
    <w:qFormat/>
    <w:uiPriority w:val="0"/>
    <w:pPr>
      <w:overflowPunct w:val="0"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color w:val="000000"/>
      <w:kern w:val="16"/>
      <w:sz w:val="24"/>
      <w:szCs w:val="24"/>
    </w:rPr>
  </w:style>
  <w:style w:type="paragraph" w:customStyle="1" w:styleId="24">
    <w:name w:val="样式 正文缩进正文缩进2正文缩进 Char Char正文缩进 Char Char Char Char正文缩进 Char ..."/>
    <w:basedOn w:val="3"/>
    <w:autoRedefine/>
    <w:qFormat/>
    <w:uiPriority w:val="0"/>
    <w:pPr>
      <w:spacing w:line="360" w:lineRule="auto"/>
      <w:ind w:firstLine="200"/>
    </w:pPr>
    <w:rPr>
      <w:rFonts w:cs="宋体"/>
      <w:sz w:val="24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2680</Words>
  <Characters>2946</Characters>
  <Lines>0</Lines>
  <Paragraphs>0</Paragraphs>
  <TotalTime>1</TotalTime>
  <ScaleCrop>false</ScaleCrop>
  <LinksUpToDate>false</LinksUpToDate>
  <CharactersWithSpaces>3026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2020-08-05T07:22:00Z</dcterms:created>
  <dc:creator>鱼儿</dc:creator>
  <cp:lastModifiedBy>鱼儿</cp:lastModifiedBy>
  <cp:lastPrinted>2024-01-29T08:07:00Z</cp:lastPrinted>
  <dcterms:modified xsi:type="dcterms:W3CDTF">2025-05-21T02:42:35Z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520C81DA3F364CB98B7175746C5928F2</vt:lpwstr>
  </property>
  <property fmtid="{D5CDD505-2E9C-101B-9397-08002B2CF9AE}" pid="4" name="KSOTemplateDocerSaveRecord">
    <vt:lpwstr>eyJoZGlkIjoiZTY5MGFlNTdlZjkzNjdlYzUyMzQ3OTY0OTRlZmU5N2IiLCJ1c2VySWQiOiI0NjI0MTY4NzQifQ==</vt:lpwstr>
  </property>
</Properties>
</file>