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24CA18">
      <w:pPr>
        <w:rPr>
          <w:rFonts w:hint="default" w:ascii="Times New Roman" w:hAnsi="Times New Roman" w:eastAsia="仿宋_GB2312" w:cs="Times New Roman"/>
          <w:color w:val="auto"/>
          <w:sz w:val="10"/>
          <w:szCs w:val="10"/>
          <w:highlight w:val="none"/>
        </w:rPr>
      </w:pPr>
      <w:bookmarkStart w:id="0" w:name="_Toc10437"/>
    </w:p>
    <w:p w14:paraId="45A35B4B">
      <w:pPr>
        <w:rPr>
          <w:rFonts w:hint="default" w:ascii="Times New Roman" w:hAnsi="Times New Roman" w:eastAsia="仿宋_GB2312" w:cs="Times New Roman"/>
          <w:color w:val="auto"/>
          <w:sz w:val="36"/>
          <w:szCs w:val="36"/>
          <w:highlight w:val="none"/>
        </w:rPr>
      </w:pPr>
    </w:p>
    <w:p w14:paraId="7547F9C6">
      <w:pPr>
        <w:rPr>
          <w:rFonts w:hint="default" w:ascii="Times New Roman" w:hAnsi="Times New Roman" w:eastAsia="仿宋_GB2312" w:cs="Times New Roman"/>
          <w:color w:val="auto"/>
          <w:sz w:val="36"/>
          <w:szCs w:val="36"/>
          <w:highlight w:val="none"/>
        </w:rPr>
      </w:pPr>
    </w:p>
    <w:p w14:paraId="15C16B4E">
      <w:pPr>
        <w:rPr>
          <w:rFonts w:hint="default" w:ascii="Times New Roman" w:hAnsi="Times New Roman" w:eastAsia="仿宋_GB2312" w:cs="Times New Roman"/>
          <w:color w:val="auto"/>
          <w:sz w:val="36"/>
          <w:szCs w:val="36"/>
          <w:highlight w:val="none"/>
        </w:rPr>
      </w:pPr>
    </w:p>
    <w:p w14:paraId="6DEE1B0F">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638BA55D">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w:t>
      </w:r>
      <w:r>
        <w:rPr>
          <w:rFonts w:hint="default" w:ascii="Times New Roman" w:hAnsi="Times New Roman" w:eastAsia="楷体_GB2312" w:cs="Times New Roman"/>
          <w:bCs/>
          <w:color w:val="auto"/>
          <w:sz w:val="48"/>
          <w:szCs w:val="48"/>
          <w:highlight w:val="none"/>
          <w:lang w:val="en-US" w:eastAsia="zh-CN"/>
        </w:rPr>
        <w:t>生态</w:t>
      </w:r>
      <w:r>
        <w:rPr>
          <w:rFonts w:hint="default" w:ascii="Times New Roman" w:hAnsi="Times New Roman" w:eastAsia="楷体_GB2312" w:cs="Times New Roman"/>
          <w:bCs/>
          <w:color w:val="auto"/>
          <w:sz w:val="48"/>
          <w:szCs w:val="48"/>
          <w:highlight w:val="none"/>
        </w:rPr>
        <w:t>影响类）</w:t>
      </w:r>
    </w:p>
    <w:p w14:paraId="4BA4FD6F">
      <w:pPr>
        <w:adjustRightInd w:val="0"/>
        <w:snapToGrid w:val="0"/>
        <w:spacing w:line="288" w:lineRule="auto"/>
        <w:jc w:val="center"/>
        <w:outlineLvl w:val="9"/>
        <w:rPr>
          <w:rFonts w:hint="default" w:ascii="Times New Roman" w:hAnsi="Times New Roman" w:eastAsia="华文仿宋" w:cs="Times New Roman"/>
          <w:color w:val="auto"/>
          <w:kern w:val="44"/>
          <w:sz w:val="44"/>
          <w:szCs w:val="44"/>
          <w:highlight w:val="none"/>
          <w:lang w:eastAsia="zh-CN"/>
        </w:rPr>
      </w:pPr>
    </w:p>
    <w:p w14:paraId="29E13F12">
      <w:pPr>
        <w:jc w:val="center"/>
        <w:rPr>
          <w:rFonts w:hint="default" w:ascii="Times New Roman" w:hAnsi="Times New Roman" w:eastAsia="仿宋" w:cs="Times New Roman"/>
          <w:color w:val="auto"/>
          <w:sz w:val="52"/>
          <w:szCs w:val="52"/>
          <w:highlight w:val="none"/>
        </w:rPr>
      </w:pPr>
    </w:p>
    <w:p w14:paraId="1D445AAE">
      <w:pPr>
        <w:ind w:firstLine="1040"/>
        <w:rPr>
          <w:rFonts w:hint="default" w:ascii="Times New Roman" w:hAnsi="Times New Roman" w:eastAsia="仿宋" w:cs="Times New Roman"/>
          <w:color w:val="auto"/>
          <w:sz w:val="44"/>
          <w:szCs w:val="44"/>
          <w:highlight w:val="none"/>
        </w:rPr>
      </w:pPr>
    </w:p>
    <w:p w14:paraId="0484CCDF">
      <w:pPr>
        <w:ind w:firstLine="1040"/>
        <w:rPr>
          <w:rFonts w:hint="default" w:ascii="Times New Roman" w:hAnsi="Times New Roman" w:eastAsia="仿宋" w:cs="Times New Roman"/>
          <w:color w:val="auto"/>
          <w:sz w:val="44"/>
          <w:szCs w:val="44"/>
          <w:highlight w:val="none"/>
        </w:rPr>
      </w:pPr>
    </w:p>
    <w:p w14:paraId="0E1DD7A2">
      <w:pPr>
        <w:ind w:firstLine="1040"/>
        <w:rPr>
          <w:rFonts w:hint="default" w:ascii="Times New Roman" w:hAnsi="Times New Roman" w:eastAsia="仿宋" w:cs="Times New Roman"/>
          <w:color w:val="auto"/>
          <w:sz w:val="44"/>
          <w:szCs w:val="44"/>
          <w:highlight w:val="none"/>
        </w:rPr>
      </w:pPr>
    </w:p>
    <w:p w14:paraId="38698490">
      <w:pPr>
        <w:ind w:firstLine="1040"/>
        <w:rPr>
          <w:rFonts w:hint="default" w:ascii="Times New Roman" w:hAnsi="Times New Roman" w:eastAsia="仿宋" w:cs="Times New Roman"/>
          <w:color w:val="auto"/>
          <w:sz w:val="44"/>
          <w:szCs w:val="44"/>
          <w:highlight w:val="none"/>
        </w:rPr>
      </w:pPr>
    </w:p>
    <w:p w14:paraId="0B105488">
      <w:pPr>
        <w:ind w:firstLine="1040"/>
        <w:rPr>
          <w:rFonts w:hint="default" w:ascii="Times New Roman" w:hAnsi="Times New Roman" w:eastAsia="仿宋" w:cs="Times New Roman"/>
          <w:color w:val="auto"/>
          <w:sz w:val="44"/>
          <w:szCs w:val="44"/>
          <w:highlight w:val="none"/>
        </w:rPr>
      </w:pPr>
    </w:p>
    <w:p w14:paraId="1400B466">
      <w:pPr>
        <w:ind w:firstLine="1040"/>
        <w:rPr>
          <w:rFonts w:hint="default" w:ascii="Times New Roman" w:hAnsi="Times New Roman" w:eastAsia="仿宋" w:cs="Times New Roman"/>
          <w:color w:val="auto"/>
          <w:sz w:val="44"/>
          <w:szCs w:val="44"/>
          <w:highlight w:val="none"/>
        </w:rPr>
      </w:pPr>
    </w:p>
    <w:p w14:paraId="47159DFA">
      <w:pPr>
        <w:ind w:firstLine="1040"/>
        <w:rPr>
          <w:rFonts w:hint="default" w:ascii="Times New Roman" w:hAnsi="Times New Roman" w:eastAsia="仿宋" w:cs="Times New Roman"/>
          <w:color w:val="auto"/>
          <w:sz w:val="44"/>
          <w:szCs w:val="44"/>
          <w:highlight w:val="none"/>
        </w:rPr>
      </w:pPr>
    </w:p>
    <w:p w14:paraId="6CD43A49">
      <w:pPr>
        <w:ind w:firstLine="1040"/>
        <w:rPr>
          <w:rFonts w:hint="default" w:ascii="Times New Roman" w:hAnsi="Times New Roman" w:eastAsia="仿宋" w:cs="Times New Roman"/>
          <w:color w:val="auto"/>
          <w:sz w:val="44"/>
          <w:szCs w:val="44"/>
          <w:highlight w:val="none"/>
        </w:rPr>
      </w:pPr>
    </w:p>
    <w:p w14:paraId="4CA57405">
      <w:pPr>
        <w:ind w:firstLine="1040"/>
        <w:rPr>
          <w:rFonts w:hint="default" w:ascii="Times New Roman" w:hAnsi="Times New Roman" w:eastAsia="仿宋" w:cs="Times New Roman"/>
          <w:color w:val="auto"/>
          <w:sz w:val="44"/>
          <w:szCs w:val="44"/>
          <w:highlight w:val="none"/>
        </w:rPr>
      </w:pPr>
    </w:p>
    <w:p w14:paraId="3EFD55E8">
      <w:pPr>
        <w:adjustRightInd w:val="0"/>
        <w:snapToGrid w:val="0"/>
        <w:spacing w:line="288" w:lineRule="auto"/>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pacing w:val="-11"/>
          <w:sz w:val="36"/>
          <w:szCs w:val="36"/>
          <w:highlight w:val="none"/>
          <w:u w:val="single"/>
          <w:lang w:eastAsia="zh-CN"/>
        </w:rPr>
        <w:t>沙坡头区寺口子矿山地质环境保护与修复治理工程</w:t>
      </w:r>
    </w:p>
    <w:p w14:paraId="79B17664">
      <w:pPr>
        <w:adjustRightInd w:val="0"/>
        <w:snapToGrid w:val="0"/>
        <w:spacing w:line="288" w:lineRule="auto"/>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t>建设单位（盖章）：</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中卫市沙坡头区自然资源局</w:t>
      </w:r>
      <w:r>
        <w:rPr>
          <w:rFonts w:hint="default" w:ascii="Times New Roman" w:hAnsi="Times New Roman" w:eastAsia="仿宋_GB2312" w:cs="Times New Roman"/>
          <w:color w:val="auto"/>
          <w:sz w:val="36"/>
          <w:szCs w:val="36"/>
          <w:highlight w:val="none"/>
          <w:u w:val="single"/>
          <w:lang w:val="en-US" w:eastAsia="zh-CN"/>
        </w:rPr>
        <w:t xml:space="preserve">     </w:t>
      </w:r>
    </w:p>
    <w:p w14:paraId="40CA477A">
      <w:pPr>
        <w:adjustRightInd w:val="0"/>
        <w:snapToGrid w:val="0"/>
        <w:spacing w:line="288" w:lineRule="auto"/>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202</w:t>
      </w:r>
      <w:r>
        <w:rPr>
          <w:rFonts w:hint="default" w:ascii="Times New Roman" w:hAnsi="Times New Roman" w:eastAsia="仿宋_GB2312" w:cs="Times New Roman"/>
          <w:color w:val="auto"/>
          <w:sz w:val="36"/>
          <w:szCs w:val="36"/>
          <w:highlight w:val="none"/>
          <w:u w:val="single"/>
          <w:lang w:val="en-US" w:eastAsia="zh-CN"/>
        </w:rPr>
        <w:t>5</w:t>
      </w:r>
      <w:r>
        <w:rPr>
          <w:rFonts w:hint="default" w:ascii="Times New Roman" w:hAnsi="Times New Roman" w:eastAsia="仿宋_GB2312" w:cs="Times New Roman"/>
          <w:color w:val="auto"/>
          <w:sz w:val="36"/>
          <w:szCs w:val="36"/>
          <w:highlight w:val="none"/>
          <w:u w:val="single"/>
        </w:rPr>
        <w:t>年</w:t>
      </w:r>
      <w:r>
        <w:rPr>
          <w:rFonts w:hint="eastAsia" w:ascii="Times New Roman" w:hAnsi="Times New Roman" w:eastAsia="仿宋_GB2312" w:cs="Times New Roman"/>
          <w:color w:val="auto"/>
          <w:sz w:val="36"/>
          <w:szCs w:val="36"/>
          <w:highlight w:val="none"/>
          <w:u w:val="single"/>
          <w:lang w:val="en-US" w:eastAsia="zh-CN"/>
        </w:rPr>
        <w:t>5</w:t>
      </w:r>
      <w:bookmarkStart w:id="22" w:name="_GoBack"/>
      <w:bookmarkEnd w:id="22"/>
      <w:r>
        <w:rPr>
          <w:rFonts w:hint="default" w:ascii="Times New Roman" w:hAnsi="Times New Roman" w:eastAsia="仿宋_GB2312" w:cs="Times New Roman"/>
          <w:color w:val="auto"/>
          <w:sz w:val="36"/>
          <w:szCs w:val="36"/>
          <w:highlight w:val="none"/>
          <w:u w:val="single"/>
        </w:rPr>
        <w:t xml:space="preserve">月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p>
    <w:p w14:paraId="17FF47A4">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1D606455">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3C693404">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7BD891F1">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7DC04613">
      <w:pPr>
        <w:adjustRightInd w:val="0"/>
        <w:snapToGrid w:val="0"/>
        <w:spacing w:line="288" w:lineRule="auto"/>
        <w:jc w:val="center"/>
        <w:outlineLvl w:val="0"/>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14:paraId="77065ACE">
      <w:pPr>
        <w:adjustRightInd w:val="0"/>
        <w:snapToGrid w:val="0"/>
        <w:spacing w:line="288" w:lineRule="auto"/>
        <w:jc w:val="center"/>
        <w:rPr>
          <w:rFonts w:hint="default" w:ascii="Times New Roman" w:hAnsi="Times New Roman" w:eastAsia="楷体_GB2312" w:cs="Times New Roman"/>
          <w:color w:val="auto"/>
          <w:sz w:val="36"/>
          <w:szCs w:val="36"/>
          <w:highlight w:val="none"/>
        </w:rPr>
        <w:sectPr>
          <w:footerReference r:id="rId3" w:type="default"/>
          <w:footerReference r:id="rId4" w:type="even"/>
          <w:pgSz w:w="11905" w:h="16838"/>
          <w:pgMar w:top="1417" w:right="1417" w:bottom="1417" w:left="1417" w:header="851" w:footer="964" w:gutter="0"/>
          <w:pgBorders>
            <w:top w:val="none" w:sz="0" w:space="0"/>
            <w:left w:val="none" w:sz="0" w:space="0"/>
            <w:bottom w:val="none" w:sz="0" w:space="0"/>
            <w:right w:val="none" w:sz="0" w:space="0"/>
          </w:pgBorders>
          <w:pgNumType w:start="3"/>
          <w:cols w:space="720" w:num="1"/>
          <w:docGrid w:linePitch="312" w:charSpace="0"/>
        </w:sectPr>
      </w:pPr>
    </w:p>
    <w:bookmarkEnd w:id="0"/>
    <w:p w14:paraId="1DE14284">
      <w:pPr>
        <w:bidi w:val="0"/>
        <w:rPr>
          <w:rFonts w:hint="default" w:ascii="Calibri" w:hAnsi="Calibri" w:eastAsia="宋体" w:cs="Times New Roman"/>
          <w:kern w:val="2"/>
          <w:sz w:val="21"/>
          <w:szCs w:val="24"/>
          <w:lang w:val="en-US" w:eastAsia="zh-CN" w:bidi="ar-SA"/>
        </w:rPr>
      </w:pPr>
      <w:bookmarkStart w:id="1" w:name="_Toc17894"/>
    </w:p>
    <w:p w14:paraId="06A5E66A">
      <w:pPr>
        <w:pStyle w:val="22"/>
        <w:keepNext w:val="0"/>
        <w:keepLines w:val="0"/>
        <w:widowControl/>
        <w:numPr>
          <w:ilvl w:val="0"/>
          <w:numId w:val="2"/>
        </w:numPr>
        <w:spacing w:line="360" w:lineRule="auto"/>
        <w:jc w:val="center"/>
        <w:outlineLvl w:val="0"/>
        <w:rPr>
          <w:rFonts w:hint="default" w:ascii="Times New Roman" w:hAnsi="Times New Roman" w:eastAsia="黑体" w:cs="Times New Roman"/>
          <w:b w:val="0"/>
          <w:bCs w:val="0"/>
          <w:snapToGrid w:val="0"/>
          <w:color w:val="auto"/>
          <w:kern w:val="0"/>
          <w:sz w:val="30"/>
          <w:szCs w:val="30"/>
          <w:lang w:val="en-US" w:eastAsia="zh-CN" w:bidi="ar-SA"/>
        </w:rPr>
      </w:pPr>
      <w:r>
        <w:rPr>
          <w:rFonts w:hint="default" w:ascii="Times New Roman" w:hAnsi="Times New Roman" w:eastAsia="黑体" w:cs="Times New Roman"/>
          <w:b w:val="0"/>
          <w:bCs w:val="0"/>
          <w:snapToGrid w:val="0"/>
          <w:color w:val="auto"/>
          <w:kern w:val="0"/>
          <w:sz w:val="30"/>
          <w:szCs w:val="30"/>
          <w:lang w:val="en-US" w:eastAsia="zh-CN" w:bidi="ar-SA"/>
        </w:rPr>
        <w:t>建设项目基本情况</w:t>
      </w:r>
      <w:bookmarkEnd w:id="1"/>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859"/>
        <w:gridCol w:w="2231"/>
        <w:gridCol w:w="1650"/>
        <w:gridCol w:w="3301"/>
      </w:tblGrid>
      <w:tr w14:paraId="1E2EC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7BC57E9C">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建设项目名称</w:t>
            </w:r>
          </w:p>
        </w:tc>
        <w:tc>
          <w:tcPr>
            <w:tcW w:w="7182" w:type="dxa"/>
            <w:gridSpan w:val="3"/>
            <w:noWrap w:val="0"/>
            <w:vAlign w:val="center"/>
          </w:tcPr>
          <w:p w14:paraId="2857724B">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沙坡头区寺口子矿山地质环境保护与修复治理工程</w:t>
            </w:r>
          </w:p>
        </w:tc>
      </w:tr>
      <w:tr w14:paraId="78082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0522DFF6">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项目代码</w:t>
            </w:r>
          </w:p>
        </w:tc>
        <w:tc>
          <w:tcPr>
            <w:tcW w:w="7182" w:type="dxa"/>
            <w:gridSpan w:val="3"/>
            <w:noWrap w:val="0"/>
            <w:vAlign w:val="center"/>
          </w:tcPr>
          <w:p w14:paraId="6CD1E42E">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w:t>
            </w:r>
            <w:r>
              <w:rPr>
                <w:rFonts w:hint="default" w:ascii="Times New Roman" w:hAnsi="Times New Roman" w:eastAsia="宋体" w:cs="Times New Roman"/>
                <w:color w:val="auto"/>
                <w:sz w:val="24"/>
                <w:lang w:val="en-US" w:eastAsia="zh-CN"/>
              </w:rPr>
              <w:t>404</w:t>
            </w:r>
            <w:r>
              <w:rPr>
                <w:rFonts w:hint="default" w:ascii="Times New Roman" w:hAnsi="Times New Roman" w:eastAsia="宋体" w:cs="Times New Roman"/>
                <w:color w:val="auto"/>
                <w:sz w:val="24"/>
              </w:rPr>
              <w:t>-640</w:t>
            </w:r>
            <w:r>
              <w:rPr>
                <w:rFonts w:hint="default" w:ascii="Times New Roman" w:hAnsi="Times New Roman" w:cs="Times New Roman"/>
                <w:color w:val="auto"/>
                <w:sz w:val="24"/>
                <w:lang w:val="en-US" w:eastAsia="zh-CN"/>
              </w:rPr>
              <w:t>502</w:t>
            </w:r>
            <w:r>
              <w:rPr>
                <w:rFonts w:hint="default" w:ascii="Times New Roman" w:hAnsi="Times New Roman" w:eastAsia="宋体" w:cs="Times New Roman"/>
                <w:color w:val="auto"/>
                <w:sz w:val="24"/>
              </w:rPr>
              <w:t>-1</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rPr>
              <w:t>-0</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337819</w:t>
            </w:r>
          </w:p>
        </w:tc>
      </w:tr>
      <w:tr w14:paraId="640C3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3A86E2FE">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建设单位联系人</w:t>
            </w:r>
          </w:p>
        </w:tc>
        <w:tc>
          <w:tcPr>
            <w:tcW w:w="2231" w:type="dxa"/>
            <w:noWrap w:val="0"/>
            <w:vAlign w:val="center"/>
          </w:tcPr>
          <w:p w14:paraId="1DEA316C">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吕亚东</w:t>
            </w:r>
          </w:p>
        </w:tc>
        <w:tc>
          <w:tcPr>
            <w:tcW w:w="1650" w:type="dxa"/>
            <w:noWrap w:val="0"/>
            <w:vAlign w:val="center"/>
          </w:tcPr>
          <w:p w14:paraId="2B8CB984">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联系方式</w:t>
            </w:r>
          </w:p>
        </w:tc>
        <w:tc>
          <w:tcPr>
            <w:tcW w:w="3301" w:type="dxa"/>
            <w:noWrap w:val="0"/>
            <w:vAlign w:val="center"/>
          </w:tcPr>
          <w:p w14:paraId="3365EDA1">
            <w:pPr>
              <w:adjustRightInd w:val="0"/>
              <w:snapToGrid w:val="0"/>
              <w:jc w:val="center"/>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w:t>
            </w:r>
          </w:p>
        </w:tc>
      </w:tr>
      <w:tr w14:paraId="52329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6B7E516D">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建设地点</w:t>
            </w:r>
          </w:p>
        </w:tc>
        <w:tc>
          <w:tcPr>
            <w:tcW w:w="7182" w:type="dxa"/>
            <w:gridSpan w:val="3"/>
            <w:noWrap w:val="0"/>
            <w:vAlign w:val="center"/>
          </w:tcPr>
          <w:p w14:paraId="3480CD7E">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宁夏回族自治区中卫市</w:t>
            </w:r>
            <w:r>
              <w:rPr>
                <w:rFonts w:hint="default" w:ascii="Times New Roman" w:hAnsi="Times New Roman" w:cs="Times New Roman"/>
                <w:color w:val="auto"/>
                <w:sz w:val="24"/>
                <w:lang w:val="en-US" w:eastAsia="zh-CN"/>
              </w:rPr>
              <w:t>沙坡头区</w:t>
            </w:r>
            <w:r>
              <w:rPr>
                <w:rFonts w:hint="default" w:ascii="Times New Roman" w:hAnsi="Times New Roman" w:eastAsia="宋体" w:cs="Times New Roman"/>
                <w:color w:val="auto"/>
                <w:sz w:val="24"/>
              </w:rPr>
              <w:t>宣和镇</w:t>
            </w:r>
          </w:p>
        </w:tc>
      </w:tr>
      <w:tr w14:paraId="30124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2AB602CA">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地理位置</w:t>
            </w:r>
          </w:p>
        </w:tc>
        <w:tc>
          <w:tcPr>
            <w:tcW w:w="7182" w:type="dxa"/>
            <w:gridSpan w:val="3"/>
            <w:noWrap w:val="0"/>
            <w:vAlign w:val="center"/>
          </w:tcPr>
          <w:p w14:paraId="6E40663D">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（东经</w:t>
            </w:r>
            <w:r>
              <w:rPr>
                <w:rFonts w:hint="default" w:ascii="Times New Roman" w:hAnsi="Times New Roman" w:eastAsia="宋体" w:cs="Times New Roman"/>
                <w:color w:val="auto"/>
                <w:sz w:val="24"/>
                <w:u w:val="single"/>
              </w:rPr>
              <w:t>10</w:t>
            </w:r>
            <w:r>
              <w:rPr>
                <w:rFonts w:hint="default" w:ascii="Times New Roman" w:hAnsi="Times New Roman" w:cs="Times New Roman"/>
                <w:color w:val="auto"/>
                <w:sz w:val="24"/>
                <w:u w:val="single"/>
                <w:lang w:val="en-US" w:eastAsia="zh-CN"/>
              </w:rPr>
              <w:t>5</w:t>
            </w:r>
            <w:r>
              <w:rPr>
                <w:rFonts w:hint="default" w:ascii="Times New Roman" w:hAnsi="Times New Roman" w:eastAsia="宋体" w:cs="Times New Roman"/>
                <w:color w:val="auto"/>
                <w:sz w:val="24"/>
              </w:rPr>
              <w:t>度</w:t>
            </w:r>
            <w:r>
              <w:rPr>
                <w:rFonts w:hint="default" w:ascii="Times New Roman" w:hAnsi="Times New Roman" w:cs="Times New Roman"/>
                <w:color w:val="auto"/>
                <w:sz w:val="24"/>
                <w:u w:val="single"/>
                <w:lang w:val="en-US" w:eastAsia="zh-CN"/>
              </w:rPr>
              <w:t>27</w:t>
            </w:r>
            <w:r>
              <w:rPr>
                <w:rFonts w:hint="default" w:ascii="Times New Roman" w:hAnsi="Times New Roman" w:eastAsia="宋体" w:cs="Times New Roman"/>
                <w:color w:val="auto"/>
                <w:sz w:val="24"/>
              </w:rPr>
              <w:t>分</w:t>
            </w:r>
            <w:r>
              <w:rPr>
                <w:rFonts w:hint="default" w:ascii="Times New Roman" w:hAnsi="Times New Roman" w:cs="Times New Roman"/>
                <w:strike w:val="0"/>
                <w:dstrike w:val="0"/>
                <w:color w:val="auto"/>
                <w:sz w:val="24"/>
                <w:u w:val="single"/>
                <w:lang w:val="en-US" w:eastAsia="zh-CN"/>
              </w:rPr>
              <w:t>50.087</w:t>
            </w:r>
            <w:r>
              <w:rPr>
                <w:rFonts w:hint="default" w:ascii="Times New Roman" w:hAnsi="Times New Roman" w:eastAsia="宋体" w:cs="Times New Roman"/>
                <w:color w:val="auto"/>
                <w:sz w:val="24"/>
              </w:rPr>
              <w:t>秒，北纬</w:t>
            </w:r>
            <w:bookmarkStart w:id="2" w:name="OLE_LINK1"/>
            <w:r>
              <w:rPr>
                <w:rFonts w:hint="default" w:ascii="Times New Roman" w:hAnsi="Times New Roman" w:eastAsia="宋体" w:cs="Times New Roman"/>
                <w:color w:val="auto"/>
                <w:sz w:val="24"/>
                <w:u w:val="single"/>
              </w:rPr>
              <w:t>3</w:t>
            </w:r>
            <w:r>
              <w:rPr>
                <w:rFonts w:hint="default" w:ascii="Times New Roman" w:hAnsi="Times New Roman" w:cs="Times New Roman"/>
                <w:color w:val="auto"/>
                <w:sz w:val="24"/>
                <w:u w:val="single"/>
                <w:lang w:val="en-US" w:eastAsia="zh-CN"/>
              </w:rPr>
              <w:t>7</w:t>
            </w:r>
            <w:r>
              <w:rPr>
                <w:rFonts w:hint="default" w:ascii="Times New Roman" w:hAnsi="Times New Roman" w:eastAsia="宋体" w:cs="Times New Roman"/>
                <w:color w:val="auto"/>
                <w:sz w:val="24"/>
              </w:rPr>
              <w:t>度</w:t>
            </w:r>
            <w:r>
              <w:rPr>
                <w:rFonts w:hint="default" w:ascii="Times New Roman" w:hAnsi="Times New Roman" w:cs="Times New Roman"/>
                <w:color w:val="auto"/>
                <w:sz w:val="24"/>
                <w:u w:val="single"/>
                <w:lang w:val="en-US" w:eastAsia="zh-CN"/>
              </w:rPr>
              <w:t>17</w:t>
            </w:r>
            <w:r>
              <w:rPr>
                <w:rFonts w:hint="default" w:ascii="Times New Roman" w:hAnsi="Times New Roman" w:eastAsia="宋体" w:cs="Times New Roman"/>
                <w:color w:val="auto"/>
                <w:sz w:val="24"/>
              </w:rPr>
              <w:t>分</w:t>
            </w:r>
            <w:r>
              <w:rPr>
                <w:rFonts w:hint="default" w:ascii="Times New Roman" w:hAnsi="Times New Roman" w:cs="Times New Roman"/>
                <w:color w:val="auto"/>
                <w:sz w:val="24"/>
                <w:u w:val="single"/>
                <w:lang w:val="en-US" w:eastAsia="zh-CN"/>
              </w:rPr>
              <w:t>23.26</w:t>
            </w:r>
            <w:r>
              <w:rPr>
                <w:rFonts w:hint="default" w:ascii="Times New Roman" w:hAnsi="Times New Roman" w:eastAsia="宋体" w:cs="Times New Roman"/>
                <w:color w:val="auto"/>
                <w:sz w:val="24"/>
                <w:u w:val="single"/>
              </w:rPr>
              <w:t>3</w:t>
            </w:r>
            <w:r>
              <w:rPr>
                <w:rFonts w:hint="default" w:ascii="Times New Roman" w:hAnsi="Times New Roman" w:eastAsia="宋体" w:cs="Times New Roman"/>
                <w:color w:val="auto"/>
                <w:sz w:val="24"/>
              </w:rPr>
              <w:t>秒</w:t>
            </w:r>
            <w:bookmarkEnd w:id="2"/>
            <w:r>
              <w:rPr>
                <w:rFonts w:hint="default" w:ascii="Times New Roman" w:hAnsi="Times New Roman" w:cs="Times New Roman"/>
                <w:color w:val="auto"/>
                <w:sz w:val="24"/>
                <w:lang w:eastAsia="zh-CN"/>
              </w:rPr>
              <w:t>）</w:t>
            </w:r>
          </w:p>
        </w:tc>
      </w:tr>
      <w:tr w14:paraId="6203F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2299F3D2">
            <w:pPr>
              <w:adjustRightInd w:val="0"/>
              <w:snapToGrid w:val="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建设项目</w:t>
            </w:r>
          </w:p>
          <w:p w14:paraId="1F398337">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行业类别</w:t>
            </w:r>
          </w:p>
        </w:tc>
        <w:tc>
          <w:tcPr>
            <w:tcW w:w="2231" w:type="dxa"/>
            <w:noWrap w:val="0"/>
            <w:vAlign w:val="center"/>
          </w:tcPr>
          <w:p w14:paraId="4030427C">
            <w:pPr>
              <w:pStyle w:val="34"/>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lang w:val="en-US" w:eastAsia="zh-CN"/>
              </w:rPr>
              <w:t>八、非金属矿采选业11土砂石开采101（不含河道采砂项目）中的“其他”类别</w:t>
            </w:r>
          </w:p>
        </w:tc>
        <w:tc>
          <w:tcPr>
            <w:tcW w:w="1650" w:type="dxa"/>
            <w:noWrap w:val="0"/>
            <w:vAlign w:val="center"/>
          </w:tcPr>
          <w:p w14:paraId="43C4B546">
            <w:pPr>
              <w:adjustRightInd w:val="0"/>
              <w:snapToGrid w:val="0"/>
              <w:jc w:val="center"/>
              <w:rPr>
                <w:rFonts w:hint="default" w:ascii="Times New Roman" w:hAnsi="Times New Roman" w:eastAsia="宋体" w:cs="Times New Roman"/>
                <w:color w:val="auto"/>
                <w:sz w:val="24"/>
                <w:highlight w:val="yellow"/>
              </w:rPr>
            </w:pPr>
            <w:r>
              <w:rPr>
                <w:rFonts w:hint="default" w:ascii="Times New Roman" w:hAnsi="Times New Roman" w:eastAsia="宋体" w:cs="Times New Roman"/>
                <w:b/>
                <w:bCs/>
                <w:color w:val="auto"/>
                <w:sz w:val="24"/>
              </w:rPr>
              <w:t>用地（用海）面积（m</w:t>
            </w:r>
            <w:r>
              <w:rPr>
                <w:rFonts w:hint="default" w:ascii="Times New Roman" w:hAnsi="Times New Roman" w:eastAsia="宋体" w:cs="Times New Roman"/>
                <w:b/>
                <w:bCs/>
                <w:color w:val="auto"/>
                <w:sz w:val="24"/>
                <w:vertAlign w:val="superscript"/>
              </w:rPr>
              <w:t>2</w:t>
            </w:r>
            <w:r>
              <w:rPr>
                <w:rFonts w:hint="default" w:ascii="Times New Roman" w:hAnsi="Times New Roman" w:eastAsia="宋体" w:cs="Times New Roman"/>
                <w:b/>
                <w:bCs/>
                <w:color w:val="auto"/>
                <w:sz w:val="24"/>
              </w:rPr>
              <w:t>）/长度（km）</w:t>
            </w:r>
          </w:p>
        </w:tc>
        <w:tc>
          <w:tcPr>
            <w:tcW w:w="3301" w:type="dxa"/>
            <w:noWrap w:val="0"/>
            <w:vAlign w:val="center"/>
          </w:tcPr>
          <w:p w14:paraId="55FD0B1B">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lang w:val="en-US" w:eastAsia="zh-CN"/>
              </w:rPr>
              <w:t>60980.94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p>
        </w:tc>
      </w:tr>
      <w:tr w14:paraId="3C8D1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1A8AA50A">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建设性质</w:t>
            </w:r>
          </w:p>
        </w:tc>
        <w:tc>
          <w:tcPr>
            <w:tcW w:w="2231" w:type="dxa"/>
            <w:noWrap w:val="0"/>
            <w:vAlign w:val="center"/>
          </w:tcPr>
          <w:p w14:paraId="00D4EE6F">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新建（迁建）</w:t>
            </w:r>
          </w:p>
          <w:p w14:paraId="5587EB1D">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改建</w:t>
            </w:r>
          </w:p>
          <w:p w14:paraId="3E78B7F8">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14:paraId="1DC5B1AE">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技术改造</w:t>
            </w:r>
          </w:p>
        </w:tc>
        <w:tc>
          <w:tcPr>
            <w:tcW w:w="1650" w:type="dxa"/>
            <w:noWrap w:val="0"/>
            <w:vAlign w:val="center"/>
          </w:tcPr>
          <w:p w14:paraId="6B1827E2">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建设项目</w:t>
            </w:r>
          </w:p>
          <w:p w14:paraId="73547E31">
            <w:pPr>
              <w:adjustRightInd w:val="0"/>
              <w:snapToGrid w:val="0"/>
              <w:jc w:val="center"/>
              <w:rPr>
                <w:rFonts w:hint="default" w:ascii="Times New Roman" w:hAnsi="Times New Roman" w:eastAsia="宋体" w:cs="Times New Roman"/>
                <w:b/>
                <w:bCs/>
                <w:color w:val="auto"/>
                <w:sz w:val="24"/>
                <w:highlight w:val="yellow"/>
              </w:rPr>
            </w:pPr>
            <w:r>
              <w:rPr>
                <w:rFonts w:hint="default" w:ascii="Times New Roman" w:hAnsi="Times New Roman" w:eastAsia="宋体" w:cs="Times New Roman"/>
                <w:b/>
                <w:bCs/>
                <w:color w:val="auto"/>
                <w:sz w:val="24"/>
              </w:rPr>
              <w:t>申报情形</w:t>
            </w:r>
          </w:p>
        </w:tc>
        <w:tc>
          <w:tcPr>
            <w:tcW w:w="3301" w:type="dxa"/>
            <w:noWrap w:val="0"/>
            <w:vAlign w:val="center"/>
          </w:tcPr>
          <w:p w14:paraId="1B649890">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首次申报项目</w:t>
            </w:r>
          </w:p>
          <w:p w14:paraId="0CB03F49">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不予批准后再次申报项目</w:t>
            </w:r>
          </w:p>
          <w:p w14:paraId="0755BBF3">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超五年重新审核项目</w:t>
            </w:r>
          </w:p>
          <w:p w14:paraId="5F9402BD">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重大变动重新报批项目</w:t>
            </w:r>
          </w:p>
        </w:tc>
      </w:tr>
      <w:tr w14:paraId="47EC8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29468517">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项目审批（核准/</w:t>
            </w:r>
          </w:p>
          <w:p w14:paraId="73F85278">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备案）部门</w:t>
            </w:r>
          </w:p>
        </w:tc>
        <w:tc>
          <w:tcPr>
            <w:tcW w:w="2231" w:type="dxa"/>
            <w:noWrap w:val="0"/>
            <w:vAlign w:val="center"/>
          </w:tcPr>
          <w:p w14:paraId="4EA6C15F">
            <w:pPr>
              <w:adjustRightInd w:val="0"/>
              <w:snapToGrid w:val="0"/>
              <w:jc w:val="center"/>
              <w:rPr>
                <w:rFonts w:hint="default" w:ascii="Times New Roman" w:hAnsi="Times New Roman" w:eastAsia="宋体" w:cs="Times New Roman"/>
                <w:color w:val="auto"/>
                <w:sz w:val="24"/>
              </w:rPr>
            </w:pPr>
            <w:r>
              <w:rPr>
                <w:rFonts w:hint="default" w:ascii="Times New Roman" w:hAnsi="Times New Roman" w:cs="Times New Roman"/>
                <w:color w:val="auto"/>
                <w:sz w:val="24"/>
                <w:szCs w:val="24"/>
                <w:lang w:val="en-US" w:eastAsia="zh-CN"/>
              </w:rPr>
              <w:t>中卫市沙坡头区发展和改革局</w:t>
            </w:r>
          </w:p>
        </w:tc>
        <w:tc>
          <w:tcPr>
            <w:tcW w:w="1650" w:type="dxa"/>
            <w:noWrap w:val="0"/>
            <w:vAlign w:val="center"/>
          </w:tcPr>
          <w:p w14:paraId="2C6DC8B7">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项目审批（核准/备案）文号</w:t>
            </w:r>
          </w:p>
        </w:tc>
        <w:tc>
          <w:tcPr>
            <w:tcW w:w="3301" w:type="dxa"/>
            <w:noWrap w:val="0"/>
            <w:vAlign w:val="center"/>
          </w:tcPr>
          <w:p w14:paraId="156F79F1">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卫沙发改（审批）发〔2024〕35号</w:t>
            </w:r>
          </w:p>
        </w:tc>
      </w:tr>
      <w:tr w14:paraId="2E253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3DF65FD0">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总投资（万元）</w:t>
            </w:r>
          </w:p>
        </w:tc>
        <w:tc>
          <w:tcPr>
            <w:tcW w:w="2231" w:type="dxa"/>
            <w:noWrap w:val="0"/>
            <w:vAlign w:val="center"/>
          </w:tcPr>
          <w:p w14:paraId="609A2E11">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177.32</w:t>
            </w:r>
          </w:p>
        </w:tc>
        <w:tc>
          <w:tcPr>
            <w:tcW w:w="1650" w:type="dxa"/>
            <w:noWrap w:val="0"/>
            <w:vAlign w:val="center"/>
          </w:tcPr>
          <w:p w14:paraId="51AA47C5">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环保投资</w:t>
            </w:r>
          </w:p>
          <w:p w14:paraId="39222285">
            <w:pPr>
              <w:adjustRightInd w:val="0"/>
              <w:snapToGrid w:val="0"/>
              <w:jc w:val="center"/>
              <w:rPr>
                <w:rFonts w:hint="default" w:ascii="Times New Roman" w:hAnsi="Times New Roman" w:eastAsia="宋体" w:cs="Times New Roman"/>
                <w:b/>
                <w:bCs/>
                <w:color w:val="auto"/>
                <w:sz w:val="24"/>
                <w:highlight w:val="yellow"/>
              </w:rPr>
            </w:pPr>
            <w:r>
              <w:rPr>
                <w:rFonts w:hint="default" w:ascii="Times New Roman" w:hAnsi="Times New Roman" w:eastAsia="宋体" w:cs="Times New Roman"/>
                <w:b/>
                <w:bCs/>
                <w:color w:val="auto"/>
                <w:sz w:val="24"/>
              </w:rPr>
              <w:t>（万元）</w:t>
            </w:r>
          </w:p>
        </w:tc>
        <w:tc>
          <w:tcPr>
            <w:tcW w:w="3301" w:type="dxa"/>
            <w:noWrap w:val="0"/>
            <w:vAlign w:val="center"/>
          </w:tcPr>
          <w:p w14:paraId="0EF4EEDC">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177.32</w:t>
            </w:r>
          </w:p>
        </w:tc>
      </w:tr>
      <w:tr w14:paraId="29392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1CE6DE7E">
            <w:pPr>
              <w:adjustRightInd w:val="0"/>
              <w:snapToGrid w:val="0"/>
              <w:jc w:val="center"/>
              <w:rPr>
                <w:rFonts w:hint="default" w:ascii="Times New Roman" w:hAnsi="Times New Roman" w:eastAsia="宋体" w:cs="Times New Roman"/>
                <w:b/>
                <w:bCs/>
                <w:color w:val="auto"/>
                <w:sz w:val="24"/>
                <w:highlight w:val="yellow"/>
              </w:rPr>
            </w:pPr>
            <w:r>
              <w:rPr>
                <w:rFonts w:hint="default" w:ascii="Times New Roman" w:hAnsi="Times New Roman" w:eastAsia="宋体" w:cs="Times New Roman"/>
                <w:b/>
                <w:bCs/>
                <w:color w:val="auto"/>
                <w:sz w:val="24"/>
              </w:rPr>
              <w:t>环保投资占比（%）</w:t>
            </w:r>
          </w:p>
        </w:tc>
        <w:tc>
          <w:tcPr>
            <w:tcW w:w="2231" w:type="dxa"/>
            <w:noWrap w:val="0"/>
            <w:vAlign w:val="center"/>
          </w:tcPr>
          <w:p w14:paraId="49914BAC">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100%</w:t>
            </w:r>
          </w:p>
        </w:tc>
        <w:tc>
          <w:tcPr>
            <w:tcW w:w="1650" w:type="dxa"/>
            <w:noWrap w:val="0"/>
            <w:vAlign w:val="center"/>
          </w:tcPr>
          <w:p w14:paraId="722E8313">
            <w:pPr>
              <w:adjustRightInd w:val="0"/>
              <w:snapToGrid w:val="0"/>
              <w:jc w:val="center"/>
              <w:rPr>
                <w:rFonts w:hint="default" w:ascii="Times New Roman" w:hAnsi="Times New Roman" w:eastAsia="宋体" w:cs="Times New Roman"/>
                <w:b/>
                <w:bCs/>
                <w:color w:val="auto"/>
                <w:sz w:val="24"/>
                <w:highlight w:val="yellow"/>
              </w:rPr>
            </w:pPr>
            <w:r>
              <w:rPr>
                <w:rFonts w:hint="default" w:ascii="Times New Roman" w:hAnsi="Times New Roman" w:eastAsia="宋体" w:cs="Times New Roman"/>
                <w:b/>
                <w:bCs/>
                <w:color w:val="auto"/>
                <w:sz w:val="24"/>
              </w:rPr>
              <w:t>施工工期</w:t>
            </w:r>
          </w:p>
        </w:tc>
        <w:tc>
          <w:tcPr>
            <w:tcW w:w="3301" w:type="dxa"/>
            <w:noWrap w:val="0"/>
            <w:vAlign w:val="center"/>
          </w:tcPr>
          <w:p w14:paraId="3D4D1B98">
            <w:pPr>
              <w:adjustRightInd w:val="0"/>
              <w:snapToGrid w:val="0"/>
              <w:jc w:val="center"/>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12</w:t>
            </w:r>
            <w:r>
              <w:rPr>
                <w:rFonts w:hint="default" w:ascii="Times New Roman" w:hAnsi="Times New Roman" w:eastAsia="宋体" w:cs="Times New Roman"/>
                <w:color w:val="auto"/>
                <w:sz w:val="24"/>
              </w:rPr>
              <w:t>个月</w:t>
            </w:r>
          </w:p>
        </w:tc>
      </w:tr>
      <w:tr w14:paraId="0A992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0"/>
            <w:vAlign w:val="center"/>
          </w:tcPr>
          <w:p w14:paraId="520D0EFE">
            <w:pPr>
              <w:adjustRightInd w:val="0"/>
              <w:snapToGrid w:val="0"/>
              <w:jc w:val="center"/>
              <w:rPr>
                <w:rFonts w:hint="default" w:ascii="Times New Roman" w:hAnsi="Times New Roman" w:eastAsia="宋体" w:cs="Times New Roman"/>
                <w:b/>
                <w:bCs/>
                <w:color w:val="auto"/>
                <w:sz w:val="24"/>
                <w:highlight w:val="yellow"/>
              </w:rPr>
            </w:pPr>
            <w:r>
              <w:rPr>
                <w:rFonts w:hint="default" w:ascii="Times New Roman" w:hAnsi="Times New Roman" w:eastAsia="宋体" w:cs="Times New Roman"/>
                <w:b/>
                <w:bCs/>
                <w:color w:val="auto"/>
                <w:sz w:val="24"/>
              </w:rPr>
              <w:t>是否开工建设</w:t>
            </w:r>
          </w:p>
        </w:tc>
        <w:tc>
          <w:tcPr>
            <w:tcW w:w="7182" w:type="dxa"/>
            <w:gridSpan w:val="3"/>
            <w:noWrap w:val="0"/>
            <w:vAlign w:val="center"/>
          </w:tcPr>
          <w:p w14:paraId="6D9A2F0D">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52"/>
            </w:r>
            <w:r>
              <w:rPr>
                <w:rFonts w:hint="default" w:ascii="Times New Roman" w:hAnsi="Times New Roman" w:eastAsia="宋体" w:cs="Times New Roman"/>
                <w:color w:val="auto"/>
                <w:sz w:val="24"/>
              </w:rPr>
              <w:t>否</w:t>
            </w:r>
          </w:p>
          <w:p w14:paraId="2E86F3CC">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是：</w:t>
            </w:r>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u w:val="single"/>
              </w:rPr>
              <w:t xml:space="preserve">  </w:t>
            </w:r>
          </w:p>
        </w:tc>
      </w:tr>
      <w:tr w14:paraId="5E4D3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dxa"/>
            <w:noWrap w:val="0"/>
            <w:vAlign w:val="center"/>
          </w:tcPr>
          <w:p w14:paraId="64D904EF">
            <w:pPr>
              <w:adjustRightInd w:val="0"/>
              <w:snapToGrid w:val="0"/>
              <w:jc w:val="center"/>
              <w:rPr>
                <w:rFonts w:hint="default" w:ascii="Times New Roman" w:hAnsi="Times New Roman" w:eastAsia="宋体" w:cs="Times New Roman"/>
                <w:b/>
                <w:bCs/>
                <w:color w:val="auto"/>
                <w:sz w:val="24"/>
                <w:highlight w:val="yellow"/>
              </w:rPr>
            </w:pPr>
            <w:r>
              <w:rPr>
                <w:rFonts w:hint="default" w:ascii="Times New Roman" w:hAnsi="Times New Roman" w:eastAsia="宋体" w:cs="Times New Roman"/>
                <w:b/>
                <w:bCs/>
                <w:color w:val="auto"/>
                <w:sz w:val="24"/>
              </w:rPr>
              <w:t>专项评价设置情况</w:t>
            </w:r>
          </w:p>
        </w:tc>
        <w:tc>
          <w:tcPr>
            <w:tcW w:w="8041" w:type="dxa"/>
            <w:gridSpan w:val="4"/>
            <w:noWrap w:val="0"/>
            <w:vAlign w:val="center"/>
          </w:tcPr>
          <w:p w14:paraId="68FD6410">
            <w:pPr>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无</w:t>
            </w:r>
          </w:p>
        </w:tc>
      </w:tr>
      <w:tr w14:paraId="47730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7" w:type="dxa"/>
            <w:noWrap w:val="0"/>
            <w:vAlign w:val="center"/>
          </w:tcPr>
          <w:p w14:paraId="43C48348">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规划情况</w:t>
            </w:r>
          </w:p>
        </w:tc>
        <w:tc>
          <w:tcPr>
            <w:tcW w:w="8041" w:type="dxa"/>
            <w:gridSpan w:val="4"/>
            <w:noWrap w:val="0"/>
            <w:vAlign w:val="center"/>
          </w:tcPr>
          <w:p w14:paraId="7AE0F98E">
            <w:pPr>
              <w:keepNext w:val="0"/>
              <w:keepLines w:val="0"/>
              <w:pageBreakBefore w:val="0"/>
              <w:widowControl w:val="0"/>
              <w:kinsoku/>
              <w:wordWrap/>
              <w:overflowPunct/>
              <w:topLinePunct w:val="0"/>
              <w:autoSpaceDE/>
              <w:autoSpaceDN/>
              <w:bidi w:val="0"/>
              <w:adjustRightInd/>
              <w:snapToGrid/>
              <w:spacing w:before="240" w:after="60"/>
              <w:textAlignment w:val="auto"/>
              <w:rPr>
                <w:rStyle w:val="31"/>
                <w:rFonts w:hint="default" w:ascii="Times New Roman" w:hAnsi="Times New Roman" w:cs="Times New Roman"/>
                <w:b/>
                <w:bCs/>
                <w:color w:val="auto"/>
                <w:kern w:val="0"/>
                <w:sz w:val="24"/>
              </w:rPr>
            </w:pPr>
            <w:r>
              <w:rPr>
                <w:rStyle w:val="31"/>
                <w:rFonts w:hint="default" w:ascii="Times New Roman" w:hAnsi="Times New Roman" w:cs="Times New Roman"/>
                <w:b/>
                <w:bCs/>
                <w:color w:val="auto"/>
                <w:kern w:val="0"/>
                <w:sz w:val="24"/>
              </w:rPr>
              <w:t>1</w:t>
            </w:r>
            <w:r>
              <w:rPr>
                <w:rStyle w:val="31"/>
                <w:rFonts w:hint="default" w:ascii="Times New Roman" w:hAnsi="Times New Roman" w:cs="Times New Roman"/>
                <w:b/>
                <w:bCs/>
                <w:color w:val="auto"/>
                <w:kern w:val="0"/>
                <w:sz w:val="24"/>
                <w:lang w:eastAsia="zh-CN"/>
              </w:rPr>
              <w:t>、</w:t>
            </w:r>
            <w:r>
              <w:rPr>
                <w:rStyle w:val="31"/>
                <w:rFonts w:hint="default" w:ascii="Times New Roman" w:hAnsi="Times New Roman" w:cs="Times New Roman"/>
                <w:b/>
                <w:bCs/>
                <w:color w:val="auto"/>
                <w:kern w:val="0"/>
                <w:sz w:val="24"/>
              </w:rPr>
              <w:t>规划名称：</w:t>
            </w:r>
            <w:r>
              <w:rPr>
                <w:rStyle w:val="31"/>
                <w:rFonts w:hint="default" w:ascii="Times New Roman" w:hAnsi="Times New Roman" w:cs="Times New Roman"/>
                <w:b w:val="0"/>
                <w:bCs w:val="0"/>
                <w:color w:val="auto"/>
                <w:kern w:val="0"/>
                <w:sz w:val="24"/>
              </w:rPr>
              <w:t>《中卫市矿产资源总体规划(2021-2025年)》</w:t>
            </w:r>
            <w:r>
              <w:rPr>
                <w:rStyle w:val="31"/>
                <w:rFonts w:hint="default" w:ascii="Times New Roman" w:hAnsi="Times New Roman" w:cs="Times New Roman"/>
                <w:b/>
                <w:bCs/>
                <w:color w:val="auto"/>
                <w:kern w:val="0"/>
                <w:sz w:val="24"/>
              </w:rPr>
              <w:t>；</w:t>
            </w:r>
          </w:p>
          <w:p w14:paraId="7A735CD6">
            <w:pPr>
              <w:keepNext w:val="0"/>
              <w:keepLines w:val="0"/>
              <w:pageBreakBefore w:val="0"/>
              <w:widowControl w:val="0"/>
              <w:kinsoku/>
              <w:wordWrap/>
              <w:overflowPunct/>
              <w:topLinePunct w:val="0"/>
              <w:autoSpaceDE/>
              <w:autoSpaceDN/>
              <w:bidi w:val="0"/>
              <w:adjustRightInd/>
              <w:snapToGrid/>
              <w:textAlignment w:val="auto"/>
              <w:rPr>
                <w:rStyle w:val="31"/>
                <w:rFonts w:hint="default" w:ascii="Times New Roman" w:hAnsi="Times New Roman" w:cs="Times New Roman"/>
                <w:color w:val="auto"/>
                <w:kern w:val="0"/>
                <w:sz w:val="24"/>
              </w:rPr>
            </w:pPr>
            <w:r>
              <w:rPr>
                <w:rStyle w:val="31"/>
                <w:rFonts w:hint="default" w:ascii="Times New Roman" w:hAnsi="Times New Roman" w:cs="Times New Roman"/>
                <w:b/>
                <w:bCs/>
                <w:color w:val="auto"/>
                <w:kern w:val="0"/>
                <w:sz w:val="24"/>
              </w:rPr>
              <w:t>审批单位：</w:t>
            </w:r>
            <w:r>
              <w:rPr>
                <w:rStyle w:val="31"/>
                <w:rFonts w:hint="default" w:ascii="Times New Roman" w:hAnsi="Times New Roman" w:cs="Times New Roman"/>
                <w:color w:val="auto"/>
                <w:kern w:val="0"/>
                <w:sz w:val="24"/>
              </w:rPr>
              <w:t>中卫市人民政府办公室；</w:t>
            </w:r>
          </w:p>
          <w:p w14:paraId="3291FECF">
            <w:pPr>
              <w:keepNext w:val="0"/>
              <w:keepLines w:val="0"/>
              <w:pageBreakBefore w:val="0"/>
              <w:widowControl w:val="0"/>
              <w:kinsoku/>
              <w:wordWrap/>
              <w:overflowPunct/>
              <w:topLinePunct w:val="0"/>
              <w:autoSpaceDE/>
              <w:autoSpaceDN/>
              <w:bidi w:val="0"/>
              <w:adjustRightInd/>
              <w:snapToGrid/>
              <w:textAlignment w:val="auto"/>
              <w:rPr>
                <w:rStyle w:val="31"/>
                <w:rFonts w:hint="default" w:ascii="Times New Roman" w:hAnsi="Times New Roman" w:eastAsia="宋体" w:cs="Times New Roman"/>
                <w:b/>
                <w:bCs/>
                <w:color w:val="auto"/>
                <w:kern w:val="0"/>
                <w:sz w:val="24"/>
                <w:lang w:eastAsia="zh-CN"/>
              </w:rPr>
            </w:pPr>
            <w:r>
              <w:rPr>
                <w:rStyle w:val="31"/>
                <w:rFonts w:hint="default" w:ascii="Times New Roman" w:hAnsi="Times New Roman" w:cs="Times New Roman"/>
                <w:b/>
                <w:bCs/>
                <w:color w:val="auto"/>
                <w:kern w:val="0"/>
                <w:sz w:val="24"/>
              </w:rPr>
              <w:t>批复文件名称及文号：</w:t>
            </w:r>
            <w:r>
              <w:rPr>
                <w:rStyle w:val="31"/>
                <w:rFonts w:hint="default" w:ascii="Times New Roman" w:hAnsi="Times New Roman" w:cs="Times New Roman"/>
                <w:color w:val="auto"/>
                <w:kern w:val="0"/>
                <w:sz w:val="24"/>
              </w:rPr>
              <w:t>关于印发《中卫市矿产资源总体规划（2021-2025年）》的通知，卫政办发〔2022〕66号</w:t>
            </w:r>
            <w:r>
              <w:rPr>
                <w:rStyle w:val="31"/>
                <w:rFonts w:hint="default" w:ascii="Times New Roman" w:hAnsi="Times New Roman" w:cs="Times New Roman"/>
                <w:color w:val="auto"/>
                <w:kern w:val="0"/>
                <w:sz w:val="24"/>
                <w:lang w:eastAsia="zh-CN"/>
              </w:rPr>
              <w:t>。</w:t>
            </w:r>
          </w:p>
          <w:p w14:paraId="2594E566">
            <w:pPr>
              <w:keepNext w:val="0"/>
              <w:keepLines w:val="0"/>
              <w:pageBreakBefore w:val="0"/>
              <w:widowControl w:val="0"/>
              <w:numPr>
                <w:ilvl w:val="0"/>
                <w:numId w:val="0"/>
              </w:numPr>
              <w:kinsoku/>
              <w:wordWrap/>
              <w:overflowPunct/>
              <w:topLinePunct w:val="0"/>
              <w:autoSpaceDE/>
              <w:autoSpaceDN/>
              <w:bidi w:val="0"/>
              <w:adjustRightInd/>
              <w:snapToGrid/>
              <w:spacing w:before="240" w:after="60"/>
              <w:textAlignment w:val="auto"/>
              <w:rPr>
                <w:rStyle w:val="31"/>
                <w:rFonts w:hint="default" w:ascii="Times New Roman" w:hAnsi="Times New Roman" w:cs="Times New Roman"/>
                <w:b/>
                <w:bCs/>
                <w:color w:val="auto"/>
                <w:kern w:val="0"/>
                <w:sz w:val="24"/>
              </w:rPr>
            </w:pPr>
            <w:r>
              <w:rPr>
                <w:rStyle w:val="31"/>
                <w:rFonts w:hint="default" w:ascii="Times New Roman" w:hAnsi="Times New Roman" w:cs="Times New Roman"/>
                <w:b/>
                <w:bCs/>
                <w:color w:val="auto"/>
                <w:kern w:val="0"/>
                <w:sz w:val="24"/>
                <w:lang w:val="en-US" w:eastAsia="zh-CN"/>
              </w:rPr>
              <w:t>2、</w:t>
            </w:r>
            <w:r>
              <w:rPr>
                <w:rStyle w:val="31"/>
                <w:rFonts w:hint="default" w:ascii="Times New Roman" w:hAnsi="Times New Roman" w:cs="Times New Roman"/>
                <w:b/>
                <w:bCs/>
                <w:color w:val="auto"/>
                <w:kern w:val="0"/>
                <w:sz w:val="24"/>
              </w:rPr>
              <w:t>规划名称：</w:t>
            </w:r>
            <w:r>
              <w:rPr>
                <w:rStyle w:val="31"/>
                <w:rFonts w:hint="default" w:ascii="Times New Roman" w:hAnsi="Times New Roman" w:cs="Times New Roman"/>
                <w:b w:val="0"/>
                <w:bCs w:val="0"/>
                <w:color w:val="auto"/>
                <w:kern w:val="0"/>
                <w:sz w:val="24"/>
              </w:rPr>
              <w:t>《全国重要生态系统保护和修复重大工程总体规划（2021-2035年）》；</w:t>
            </w:r>
          </w:p>
          <w:p w14:paraId="17CE92FC">
            <w:pPr>
              <w:keepNext w:val="0"/>
              <w:keepLines w:val="0"/>
              <w:pageBreakBefore w:val="0"/>
              <w:widowControl w:val="0"/>
              <w:kinsoku/>
              <w:wordWrap/>
              <w:overflowPunct/>
              <w:topLinePunct w:val="0"/>
              <w:autoSpaceDE/>
              <w:autoSpaceDN/>
              <w:bidi w:val="0"/>
              <w:adjustRightInd/>
              <w:snapToGrid/>
              <w:textAlignment w:val="auto"/>
              <w:rPr>
                <w:rStyle w:val="31"/>
                <w:rFonts w:hint="default" w:ascii="Times New Roman" w:hAnsi="Times New Roman" w:cs="Times New Roman"/>
                <w:color w:val="auto"/>
                <w:kern w:val="0"/>
                <w:sz w:val="24"/>
              </w:rPr>
            </w:pPr>
            <w:r>
              <w:rPr>
                <w:rStyle w:val="31"/>
                <w:rFonts w:hint="default" w:ascii="Times New Roman" w:hAnsi="Times New Roman" w:cs="Times New Roman"/>
                <w:b/>
                <w:bCs/>
                <w:color w:val="auto"/>
                <w:kern w:val="0"/>
                <w:sz w:val="24"/>
              </w:rPr>
              <w:t>审批单位：</w:t>
            </w:r>
            <w:r>
              <w:rPr>
                <w:rStyle w:val="31"/>
                <w:rFonts w:hint="default" w:ascii="Times New Roman" w:hAnsi="Times New Roman" w:cs="Times New Roman"/>
                <w:color w:val="auto"/>
                <w:kern w:val="0"/>
                <w:sz w:val="24"/>
              </w:rPr>
              <w:t>发展改革委</w:t>
            </w:r>
            <w:r>
              <w:rPr>
                <w:rStyle w:val="31"/>
                <w:rFonts w:hint="default" w:ascii="Times New Roman" w:hAnsi="Times New Roman" w:cs="Times New Roman"/>
                <w:color w:val="auto"/>
                <w:kern w:val="0"/>
                <w:sz w:val="24"/>
                <w:lang w:val="en-US" w:eastAsia="zh-CN"/>
              </w:rPr>
              <w:t xml:space="preserve"> </w:t>
            </w:r>
            <w:r>
              <w:rPr>
                <w:rStyle w:val="31"/>
                <w:rFonts w:hint="default" w:ascii="Times New Roman" w:hAnsi="Times New Roman" w:cs="Times New Roman"/>
                <w:color w:val="auto"/>
                <w:kern w:val="0"/>
                <w:sz w:val="24"/>
              </w:rPr>
              <w:t>自然资源部；</w:t>
            </w:r>
          </w:p>
          <w:p w14:paraId="326DCD69">
            <w:pPr>
              <w:keepNext w:val="0"/>
              <w:keepLines w:val="0"/>
              <w:pageBreakBefore w:val="0"/>
              <w:widowControl w:val="0"/>
              <w:kinsoku/>
              <w:wordWrap/>
              <w:overflowPunct/>
              <w:topLinePunct w:val="0"/>
              <w:autoSpaceDE w:val="0"/>
              <w:autoSpaceDN w:val="0"/>
              <w:bidi w:val="0"/>
              <w:adjustRightInd/>
              <w:snapToGrid/>
              <w:spacing w:line="240" w:lineRule="auto"/>
              <w:textAlignment w:val="auto"/>
              <w:rPr>
                <w:rStyle w:val="31"/>
                <w:rFonts w:hint="default" w:ascii="Times New Roman" w:hAnsi="Times New Roman" w:cs="Times New Roman"/>
                <w:color w:val="auto"/>
                <w:kern w:val="0"/>
                <w:sz w:val="24"/>
                <w:lang w:eastAsia="zh-CN"/>
              </w:rPr>
            </w:pPr>
            <w:r>
              <w:rPr>
                <w:rStyle w:val="31"/>
                <w:rFonts w:hint="default" w:ascii="Times New Roman" w:hAnsi="Times New Roman" w:cs="Times New Roman"/>
                <w:b/>
                <w:bCs/>
                <w:color w:val="auto"/>
                <w:kern w:val="0"/>
                <w:sz w:val="24"/>
              </w:rPr>
              <w:t>批复文件名称及文号：</w:t>
            </w:r>
            <w:r>
              <w:rPr>
                <w:rStyle w:val="31"/>
                <w:rFonts w:hint="default" w:ascii="Times New Roman" w:hAnsi="Times New Roman" w:cs="Times New Roman"/>
                <w:color w:val="auto"/>
                <w:kern w:val="0"/>
                <w:sz w:val="24"/>
              </w:rPr>
              <w:t>国家发展改革委 自然资源部关于印发《全国重要生态系统保护和修复重大工程总体规划（2021-2035年）》的通知，发改农经〔2020〕837号</w:t>
            </w:r>
            <w:r>
              <w:rPr>
                <w:rStyle w:val="31"/>
                <w:rFonts w:hint="default" w:ascii="Times New Roman" w:hAnsi="Times New Roman" w:cs="Times New Roman"/>
                <w:color w:val="auto"/>
                <w:kern w:val="0"/>
                <w:sz w:val="24"/>
                <w:lang w:eastAsia="zh-CN"/>
              </w:rPr>
              <w:t>。</w:t>
            </w:r>
          </w:p>
          <w:p w14:paraId="3BB81ED3">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cs="Times New Roman"/>
                <w:b/>
                <w:color w:val="auto"/>
                <w:sz w:val="24"/>
                <w:lang w:val="en-US" w:eastAsia="zh-CN"/>
              </w:rPr>
              <w:t>3、规划名称：</w:t>
            </w:r>
            <w:r>
              <w:rPr>
                <w:rFonts w:hint="default" w:ascii="Times New Roman" w:hAnsi="Times New Roman" w:cs="Times New Roman"/>
                <w:b w:val="0"/>
                <w:bCs w:val="0"/>
                <w:color w:val="auto"/>
                <w:sz w:val="24"/>
                <w:szCs w:val="22"/>
              </w:rPr>
              <w:t>《</w:t>
            </w:r>
            <w:r>
              <w:rPr>
                <w:rFonts w:hint="default" w:ascii="Times New Roman" w:hAnsi="Times New Roman" w:cs="Times New Roman"/>
                <w:b w:val="0"/>
                <w:bCs w:val="0"/>
                <w:color w:val="auto"/>
                <w:sz w:val="24"/>
                <w:szCs w:val="22"/>
                <w:lang w:val="en-US" w:eastAsia="zh-CN"/>
              </w:rPr>
              <w:t>宁夏回族自治区自然资源保护和利用“十四五”规划</w:t>
            </w:r>
            <w:r>
              <w:rPr>
                <w:rFonts w:hint="default" w:ascii="Times New Roman" w:hAnsi="Times New Roman" w:cs="Times New Roman"/>
                <w:b w:val="0"/>
                <w:bCs w:val="0"/>
                <w:color w:val="auto"/>
                <w:sz w:val="24"/>
                <w:szCs w:val="22"/>
              </w:rPr>
              <w:t>》</w:t>
            </w:r>
            <w:r>
              <w:rPr>
                <w:rFonts w:hint="default" w:ascii="Times New Roman" w:hAnsi="Times New Roman" w:cs="Times New Roman"/>
                <w:b w:val="0"/>
                <w:bCs w:val="0"/>
                <w:color w:val="auto"/>
                <w:sz w:val="24"/>
                <w:szCs w:val="22"/>
                <w:lang w:eastAsia="zh-CN"/>
              </w:rPr>
              <w:t>；</w:t>
            </w:r>
          </w:p>
          <w:p w14:paraId="64C72699">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cs="Times New Roman"/>
                <w:b w:val="0"/>
                <w:bCs w:val="0"/>
                <w:color w:val="auto"/>
                <w:sz w:val="24"/>
                <w:szCs w:val="22"/>
              </w:rPr>
            </w:pPr>
            <w:r>
              <w:rPr>
                <w:rFonts w:hint="default" w:ascii="Times New Roman" w:hAnsi="Times New Roman" w:cs="Times New Roman"/>
                <w:b/>
                <w:bCs/>
                <w:color w:val="auto"/>
                <w:sz w:val="24"/>
                <w:szCs w:val="22"/>
              </w:rPr>
              <w:t>审批单位：</w:t>
            </w:r>
            <w:r>
              <w:rPr>
                <w:rFonts w:hint="default" w:ascii="Times New Roman" w:hAnsi="Times New Roman" w:cs="Times New Roman"/>
                <w:b w:val="0"/>
                <w:bCs w:val="0"/>
                <w:color w:val="auto"/>
                <w:sz w:val="24"/>
                <w:szCs w:val="22"/>
              </w:rPr>
              <w:t>宁夏回族自治区人民政府办公厅；</w:t>
            </w:r>
          </w:p>
          <w:p w14:paraId="6674D3FB">
            <w:pPr>
              <w:pStyle w:val="37"/>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b/>
                <w:bCs/>
                <w:color w:val="auto"/>
                <w:sz w:val="24"/>
                <w:lang w:val="en-US" w:eastAsia="zh-CN"/>
              </w:rPr>
              <w:t>审批</w:t>
            </w:r>
            <w:r>
              <w:rPr>
                <w:rFonts w:hint="default" w:ascii="Times New Roman" w:hAnsi="Times New Roman" w:cs="Times New Roman"/>
                <w:b/>
                <w:bCs/>
                <w:color w:val="auto"/>
                <w:sz w:val="24"/>
              </w:rPr>
              <w:t>文件名称及文号：</w:t>
            </w:r>
            <w:r>
              <w:rPr>
                <w:rFonts w:hint="default" w:ascii="Times New Roman" w:hAnsi="Times New Roman" w:cs="Times New Roman"/>
                <w:b w:val="0"/>
                <w:bCs w:val="0"/>
                <w:color w:val="auto"/>
                <w:sz w:val="24"/>
              </w:rPr>
              <w:t>自治区人民政府办公厅关于印发宁夏回族自治区自然资源保护和利用“十四五”规划的通知</w:t>
            </w:r>
            <w:r>
              <w:rPr>
                <w:rFonts w:hint="default" w:ascii="Times New Roman" w:hAnsi="Times New Roman" w:cs="Times New Roman"/>
                <w:b w:val="0"/>
                <w:bCs w:val="0"/>
                <w:color w:val="auto"/>
                <w:sz w:val="24"/>
                <w:lang w:eastAsia="zh-CN"/>
              </w:rPr>
              <w:t>，宁政办发〔2021〕57号</w:t>
            </w:r>
            <w:r>
              <w:rPr>
                <w:rFonts w:hint="default" w:ascii="Times New Roman" w:hAnsi="Times New Roman" w:eastAsia="宋体" w:cs="Times New Roman"/>
                <w:color w:val="auto"/>
                <w:kern w:val="0"/>
                <w:sz w:val="24"/>
                <w:szCs w:val="24"/>
                <w:lang w:eastAsia="zh-CN"/>
              </w:rPr>
              <w:t>。</w:t>
            </w:r>
          </w:p>
          <w:p w14:paraId="1769EBC1">
            <w:pPr>
              <w:pStyle w:val="41"/>
              <w:spacing w:line="240" w:lineRule="auto"/>
              <w:ind w:firstLine="0" w:firstLineChars="0"/>
              <w:jc w:val="both"/>
              <w:rPr>
                <w:rFonts w:hint="default" w:ascii="Times New Roman" w:hAnsi="Times New Roman" w:eastAsia="宋体" w:cs="Times New Roman"/>
                <w:color w:val="auto"/>
                <w:lang w:val="en-US" w:eastAsia="zh-CN"/>
              </w:rPr>
            </w:pPr>
          </w:p>
        </w:tc>
      </w:tr>
      <w:tr w14:paraId="70DAE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dxa"/>
            <w:noWrap w:val="0"/>
            <w:vAlign w:val="center"/>
          </w:tcPr>
          <w:p w14:paraId="6C884554">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规划环境影响评价情况</w:t>
            </w:r>
          </w:p>
        </w:tc>
        <w:tc>
          <w:tcPr>
            <w:tcW w:w="8041" w:type="dxa"/>
            <w:gridSpan w:val="4"/>
            <w:noWrap w:val="0"/>
            <w:vAlign w:val="center"/>
          </w:tcPr>
          <w:p w14:paraId="5D2739CE">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无</w:t>
            </w:r>
          </w:p>
        </w:tc>
      </w:tr>
      <w:tr w14:paraId="49B2B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7" w:type="dxa"/>
            <w:noWrap w:val="0"/>
            <w:vAlign w:val="center"/>
          </w:tcPr>
          <w:p w14:paraId="2A616BB8">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规划及规划环境影响评价符合性分析</w:t>
            </w:r>
          </w:p>
        </w:tc>
        <w:tc>
          <w:tcPr>
            <w:tcW w:w="8041" w:type="dxa"/>
            <w:gridSpan w:val="4"/>
            <w:noWrap w:val="0"/>
            <w:vAlign w:val="center"/>
          </w:tcPr>
          <w:p w14:paraId="6E482E56">
            <w:pPr>
              <w:numPr>
                <w:ilvl w:val="0"/>
                <w:numId w:val="3"/>
              </w:numPr>
              <w:autoSpaceDE w:val="0"/>
              <w:autoSpaceDN w:val="0"/>
              <w:rPr>
                <w:rFonts w:hint="default" w:ascii="Times New Roman" w:hAnsi="Times New Roman" w:eastAsia="黑体" w:cs="Times New Roman"/>
                <w:b w:val="0"/>
                <w:bCs w:val="0"/>
                <w:color w:val="auto"/>
                <w:kern w:val="0"/>
                <w:sz w:val="24"/>
                <w:szCs w:val="24"/>
                <w:highlight w:val="none"/>
              </w:rPr>
            </w:pPr>
            <w:r>
              <w:rPr>
                <w:rFonts w:hint="default" w:ascii="Times New Roman" w:hAnsi="Times New Roman" w:eastAsia="黑体" w:cs="Times New Roman"/>
                <w:b w:val="0"/>
                <w:bCs w:val="0"/>
                <w:color w:val="auto"/>
                <w:kern w:val="0"/>
                <w:sz w:val="24"/>
                <w:szCs w:val="24"/>
                <w:highlight w:val="none"/>
              </w:rPr>
              <w:t>项目与《</w:t>
            </w:r>
            <w:bookmarkStart w:id="3" w:name="_Hlk136461871"/>
            <w:r>
              <w:rPr>
                <w:rFonts w:hint="default" w:ascii="Times New Roman" w:hAnsi="Times New Roman" w:eastAsia="黑体" w:cs="Times New Roman"/>
                <w:b w:val="0"/>
                <w:bCs w:val="0"/>
                <w:color w:val="auto"/>
                <w:kern w:val="0"/>
                <w:sz w:val="24"/>
                <w:szCs w:val="24"/>
                <w:highlight w:val="none"/>
              </w:rPr>
              <w:t>中卫市矿产资源总体规划(2021-2025年)》</w:t>
            </w:r>
            <w:bookmarkEnd w:id="3"/>
            <w:r>
              <w:rPr>
                <w:rFonts w:hint="default" w:ascii="Times New Roman" w:hAnsi="Times New Roman" w:eastAsia="黑体" w:cs="Times New Roman"/>
                <w:b w:val="0"/>
                <w:bCs w:val="0"/>
                <w:color w:val="auto"/>
                <w:kern w:val="0"/>
                <w:sz w:val="24"/>
                <w:szCs w:val="24"/>
                <w:highlight w:val="none"/>
              </w:rPr>
              <w:t>的符合性分析</w:t>
            </w:r>
          </w:p>
          <w:p w14:paraId="316EA651">
            <w:pPr>
              <w:keepNext w:val="0"/>
              <w:keepLines w:val="0"/>
              <w:pageBreakBefore w:val="0"/>
              <w:widowControl w:val="0"/>
              <w:kinsoku/>
              <w:wordWrap/>
              <w:overflowPunct/>
              <w:topLinePunct w:val="0"/>
              <w:autoSpaceDE w:val="0"/>
              <w:autoSpaceDN w:val="0"/>
              <w:bidi w:val="0"/>
              <w:adjustRightInd/>
              <w:snapToGrid/>
              <w:ind w:firstLine="51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中卫市矿产资源总体规划（2021-2025年）》（以下简称《规划》）依据《中华人民共和国矿产资源法》，《中华人民共和国矿产资源法实施细则》，《宁夏回族自治区矿产资源总体规划（2021-2025年）》和《中卫市国民经济和社会发展第十四个五年规划和二〇三五年远景目标纲要》制定而成，是“十四五”时期中卫市行政区内矿产资源勘查、开发利用与保护的指导性文件。</w:t>
            </w:r>
          </w:p>
          <w:p w14:paraId="79585053">
            <w:pPr>
              <w:pStyle w:val="39"/>
              <w:keepNext w:val="0"/>
              <w:keepLines w:val="0"/>
              <w:pageBreakBefore w:val="0"/>
              <w:widowControl w:val="0"/>
              <w:kinsoku/>
              <w:wordWrap/>
              <w:overflowPunct/>
              <w:topLinePunct w:val="0"/>
              <w:autoSpaceDE/>
              <w:autoSpaceDN/>
              <w:bidi w:val="0"/>
              <w:adjustRightInd/>
              <w:snapToGrid/>
              <w:spacing w:beforeLines="0" w:afterLines="0" w:line="240" w:lineRule="auto"/>
              <w:ind w:firstLine="512"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规划要求：</w:t>
            </w:r>
            <w:r>
              <w:rPr>
                <w:rFonts w:hint="default" w:ascii="Times New Roman" w:hAnsi="Times New Roman" w:eastAsia="宋体" w:cs="Times New Roman"/>
                <w:b/>
                <w:color w:val="auto"/>
                <w:sz w:val="24"/>
              </w:rPr>
              <w:t>“六、全面推进矿业绿色发展”</w:t>
            </w:r>
            <w:r>
              <w:rPr>
                <w:rFonts w:hint="default" w:ascii="Times New Roman" w:hAnsi="Times New Roman" w:eastAsia="宋体" w:cs="Times New Roman"/>
                <w:color w:val="auto"/>
                <w:sz w:val="24"/>
              </w:rPr>
              <w:t>全面推进绿色勘查、绿色矿山建设、矿区生态保护修复，将绿色发展理念贯穿于矿产资源保护、勘查、开发利用全过程，体现源头管控、过程控制和末端治理。</w:t>
            </w:r>
          </w:p>
          <w:p w14:paraId="1A7ACBAD">
            <w:pPr>
              <w:pStyle w:val="39"/>
              <w:keepNext w:val="0"/>
              <w:keepLines w:val="0"/>
              <w:pageBreakBefore w:val="0"/>
              <w:widowControl w:val="0"/>
              <w:kinsoku/>
              <w:wordWrap/>
              <w:overflowPunct/>
              <w:topLinePunct w:val="0"/>
              <w:autoSpaceDE/>
              <w:autoSpaceDN/>
              <w:bidi w:val="0"/>
              <w:adjustRightInd/>
              <w:snapToGrid/>
              <w:spacing w:beforeLines="0" w:afterLines="0" w:line="240" w:lineRule="auto"/>
              <w:ind w:firstLine="512"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color w:val="auto"/>
                <w:sz w:val="24"/>
              </w:rPr>
              <w:t>“加快推进历史遗留废弃矿山生态修复。”</w:t>
            </w:r>
            <w:r>
              <w:rPr>
                <w:rFonts w:hint="default" w:ascii="Times New Roman" w:hAnsi="Times New Roman" w:eastAsia="宋体" w:cs="Times New Roman"/>
                <w:color w:val="auto"/>
                <w:sz w:val="24"/>
              </w:rPr>
              <w:t>加大历史遗留废弃矿山生态修复力度，切实履行矿山生态修复责任。按照集中连片、重点突出、全面治理的原则，以矿山环境问题类似、区域接近的大型矿山或若干小型矿山群采区为单元，部署实施重点治理项目，提升生态环境质量和水土保持能力，筑牢绿色生态安全屏障。</w:t>
            </w:r>
          </w:p>
          <w:p w14:paraId="18D460C6">
            <w:pPr>
              <w:keepNext w:val="0"/>
              <w:keepLines w:val="0"/>
              <w:widowControl/>
              <w:suppressLineNumbers w:val="0"/>
              <w:ind w:firstLine="512"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本项目位于中卫市沙坡头区。治理区生态环境恢复治理工程包括：13个盗采洞需要回填治理、12个井筒需要填封、10处渣堆平整、1处构筑物需要拆除等。</w:t>
            </w:r>
          </w:p>
          <w:p w14:paraId="0F260A0E">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的实施</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使得项目区地形地貌得以重塑，水源涵养、防风固沙能力得以提升，生物多样性和水土保持等生态功能趋于向好，从而促进沙坡头区统筹推进山水林田湖草沙生态系统治理，全面提升自然资源承载力和生态系统服务功能，实现自然资源保护与经济发展协调统一，建设黄河流域生态保护和高质量发展先行区。</w:t>
            </w:r>
          </w:p>
          <w:p w14:paraId="66DC1CDD">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因此，</w:t>
            </w:r>
            <w:r>
              <w:rPr>
                <w:rFonts w:hint="default" w:ascii="Times New Roman" w:hAnsi="Times New Roman" w:cs="Times New Roman"/>
                <w:color w:val="auto"/>
                <w:sz w:val="24"/>
              </w:rPr>
              <w:t>本项目符合《中卫市矿产资源总体规划(2021-2025年)》中相关要求。</w:t>
            </w:r>
          </w:p>
          <w:p w14:paraId="70B0C725">
            <w:pPr>
              <w:keepNext w:val="0"/>
              <w:keepLines w:val="0"/>
              <w:pageBreakBefore w:val="0"/>
              <w:widowControl w:val="0"/>
              <w:numPr>
                <w:ilvl w:val="0"/>
                <w:numId w:val="3"/>
              </w:numPr>
              <w:kinsoku/>
              <w:wordWrap/>
              <w:overflowPunct/>
              <w:topLinePunct w:val="0"/>
              <w:autoSpaceDE w:val="0"/>
              <w:autoSpaceDN w:val="0"/>
              <w:bidi w:val="0"/>
              <w:adjustRightInd/>
              <w:snapToGrid/>
              <w:spacing w:before="240" w:after="60"/>
              <w:textAlignment w:val="auto"/>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项目与《全国重要生态系统保护和修复重大工程总体规划（2021-2035年）》的符合性分析</w:t>
            </w:r>
          </w:p>
          <w:p w14:paraId="1285CECA">
            <w:pPr>
              <w:keepNext w:val="0"/>
              <w:keepLines w:val="0"/>
              <w:pageBreakBefore w:val="0"/>
              <w:widowControl w:val="0"/>
              <w:kinsoku/>
              <w:wordWrap/>
              <w:overflowPunct/>
              <w:topLinePunct w:val="0"/>
              <w:autoSpaceDE w:val="0"/>
              <w:autoSpaceDN w:val="0"/>
              <w:bidi w:val="0"/>
              <w:adjustRightInd/>
              <w:snapToGrid/>
              <w:ind w:firstLine="51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全国重要生态系统保护和修复重大工程总体规划（2021-2035年）》（以下简称《规划》）研究提出：到2035年推进森林、草原、荒漠、河流、湖泊、湿地、海洋等自然生态系统保护和修复工作的主要目标，以及统筹山水林田湖草一体化保护和修复的总体布局、重点任务、重大工程和政策举措。《规划》是当前和今后一段时期推进全国重要生态系统保护和修复重大工程的指导性规划，是编制和实施有关重大工程建设规划的主要依据。</w:t>
            </w:r>
          </w:p>
          <w:p w14:paraId="6F053F59">
            <w:pPr>
              <w:keepNext w:val="0"/>
              <w:keepLines w:val="0"/>
              <w:pageBreakBefore w:val="0"/>
              <w:widowControl w:val="0"/>
              <w:kinsoku/>
              <w:wordWrap/>
              <w:overflowPunct/>
              <w:topLinePunct w:val="0"/>
              <w:autoSpaceDE w:val="0"/>
              <w:autoSpaceDN w:val="0"/>
              <w:bidi w:val="0"/>
              <w:adjustRightInd/>
              <w:snapToGrid/>
              <w:ind w:firstLine="51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本项目位于宁夏回族自治区中卫市沙坡头区，属于《规划》中</w:t>
            </w:r>
            <w:r>
              <w:rPr>
                <w:rFonts w:hint="default" w:ascii="Times New Roman" w:hAnsi="Times New Roman" w:cs="Times New Roman"/>
                <w:b/>
                <w:bCs/>
                <w:color w:val="auto"/>
                <w:sz w:val="24"/>
              </w:rPr>
              <w:t>黄河重点生态区</w:t>
            </w:r>
            <w:r>
              <w:rPr>
                <w:rFonts w:hint="default" w:ascii="Times New Roman" w:hAnsi="Times New Roman" w:cs="Times New Roman"/>
                <w:color w:val="auto"/>
                <w:sz w:val="24"/>
              </w:rPr>
              <w:t>，该区域主要生态问题有“矿产资源开采对生态系统破坏面大、破坏程度高、治理难度大。”</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规划</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提出主攻方向：加强矿区综合治理和生态修复，使区域内水土流失状况得到有效控制，完善自然保护地体系建设并保护区域内生物多样性。《规划》专栏4-2黄河重点生态区（含黄土高原生态屏障）生态保护和修复重点工程提出“5黄河重点生态区矿山生态修复：</w:t>
            </w:r>
            <w:r>
              <w:rPr>
                <w:rFonts w:hint="default" w:ascii="Times New Roman" w:hAnsi="Times New Roman" w:cs="Times New Roman"/>
                <w:b/>
                <w:bCs/>
                <w:color w:val="auto"/>
                <w:sz w:val="24"/>
              </w:rPr>
              <w:t>大力开展历史遗留矿山生态修复，实施地质环境治理、地形重塑、土壤重构、植被重建等综合治理，恢复矿山生态</w:t>
            </w:r>
            <w:r>
              <w:rPr>
                <w:rFonts w:hint="default" w:ascii="Times New Roman" w:hAnsi="Times New Roman" w:cs="Times New Roman"/>
                <w:color w:val="auto"/>
                <w:sz w:val="24"/>
              </w:rPr>
              <w:t>”。</w:t>
            </w:r>
          </w:p>
          <w:p w14:paraId="4755DF0D">
            <w:pPr>
              <w:keepNext w:val="0"/>
              <w:keepLines w:val="0"/>
              <w:pageBreakBefore w:val="0"/>
              <w:widowControl w:val="0"/>
              <w:kinsoku/>
              <w:wordWrap/>
              <w:overflowPunct/>
              <w:topLinePunct w:val="0"/>
              <w:autoSpaceDE w:val="0"/>
              <w:autoSpaceDN w:val="0"/>
              <w:bidi w:val="0"/>
              <w:adjustRightInd/>
              <w:snapToGrid/>
              <w:ind w:firstLine="51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本项目治理历史遗留13个盗采洞、12个井筒填封、10处渣堆平整、1处构筑物</w:t>
            </w:r>
            <w:r>
              <w:rPr>
                <w:rFonts w:hint="default" w:ascii="Times New Roman" w:hAnsi="Times New Roman" w:cs="Times New Roman"/>
                <w:color w:val="auto"/>
                <w:sz w:val="24"/>
                <w:lang w:val="en-US" w:eastAsia="zh-CN"/>
              </w:rPr>
              <w:t>拆除</w:t>
            </w:r>
            <w:r>
              <w:rPr>
                <w:rFonts w:hint="default" w:ascii="Times New Roman" w:hAnsi="Times New Roman" w:cs="Times New Roman"/>
                <w:color w:val="auto"/>
                <w:sz w:val="24"/>
              </w:rPr>
              <w:t>，本项目实施</w:t>
            </w:r>
            <w:r>
              <w:rPr>
                <w:rFonts w:hint="default" w:ascii="Times New Roman" w:hAnsi="Times New Roman" w:cs="Times New Roman"/>
                <w:color w:val="auto"/>
                <w:sz w:val="24"/>
                <w:lang w:val="en-US" w:eastAsia="zh-CN"/>
              </w:rPr>
              <w:t>地形地貌整治工程、覆土工程、植被恢复工程</w:t>
            </w:r>
            <w:r>
              <w:rPr>
                <w:rFonts w:hint="default" w:ascii="Times New Roman" w:hAnsi="Times New Roman" w:cs="Times New Roman"/>
                <w:color w:val="auto"/>
                <w:sz w:val="24"/>
              </w:rPr>
              <w:t>，可有效提高区域生态环境自我修复能力。</w:t>
            </w:r>
          </w:p>
          <w:p w14:paraId="7B9DC129">
            <w:pPr>
              <w:keepNext w:val="0"/>
              <w:keepLines w:val="0"/>
              <w:pageBreakBefore w:val="0"/>
              <w:widowControl w:val="0"/>
              <w:kinsoku/>
              <w:wordWrap/>
              <w:overflowPunct/>
              <w:topLinePunct w:val="0"/>
              <w:autoSpaceDE w:val="0"/>
              <w:autoSpaceDN w:val="0"/>
              <w:bidi w:val="0"/>
              <w:adjustRightInd/>
              <w:snapToGrid/>
              <w:ind w:firstLine="51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因此，本项目符合《全国重要生态系统保护和修复重大工程总体规划（2021-2035年）》（HJ651-2013）中的相关要求。</w:t>
            </w:r>
          </w:p>
          <w:p w14:paraId="69044364">
            <w:pPr>
              <w:widowControl w:val="0"/>
              <w:numPr>
                <w:ilvl w:val="0"/>
                <w:numId w:val="3"/>
              </w:numPr>
              <w:autoSpaceDE w:val="0"/>
              <w:autoSpaceDN w:val="0"/>
              <w:spacing w:before="240" w:after="60"/>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与《宁夏回族自治区自然资源保护和利用“十四五”规划》符合性分析</w:t>
            </w:r>
          </w:p>
          <w:p w14:paraId="7A741B4D">
            <w:pPr>
              <w:autoSpaceDE w:val="0"/>
              <w:autoSpaceDN w:val="0"/>
              <w:ind w:firstLine="512" w:firstLineChars="200"/>
              <w:jc w:val="left"/>
              <w:rPr>
                <w:rFonts w:hint="default" w:ascii="Times New Roman" w:hAnsi="Times New Roman" w:cs="Times New Roman"/>
                <w:color w:val="auto"/>
                <w:kern w:val="0"/>
                <w:sz w:val="24"/>
                <w:lang w:eastAsia="zh-CN" w:bidi="ar"/>
              </w:rPr>
            </w:pPr>
            <w:r>
              <w:rPr>
                <w:rFonts w:hint="default" w:ascii="Times New Roman" w:hAnsi="Times New Roman" w:eastAsia="宋体" w:cs="Times New Roman"/>
                <w:color w:val="auto"/>
                <w:kern w:val="0"/>
                <w:sz w:val="24"/>
                <w:lang w:bidi="ar"/>
              </w:rPr>
              <w:t>《宁夏回族自治区自然资源保护和利用“十四五”规划》</w:t>
            </w:r>
            <w:r>
              <w:rPr>
                <w:rFonts w:hint="default" w:ascii="Times New Roman" w:hAnsi="Times New Roman" w:eastAsia="宋体" w:cs="Times New Roman"/>
                <w:color w:val="auto"/>
                <w:kern w:val="0"/>
                <w:sz w:val="24"/>
                <w:lang w:val="en-US" w:eastAsia="zh-CN" w:bidi="ar"/>
              </w:rPr>
              <w:t>中提出，</w:t>
            </w:r>
            <w:r>
              <w:rPr>
                <w:rFonts w:hint="default" w:ascii="Times New Roman" w:hAnsi="Times New Roman" w:eastAsia="宋体" w:cs="Times New Roman"/>
                <w:color w:val="auto"/>
                <w:kern w:val="0"/>
                <w:sz w:val="24"/>
                <w:lang w:bidi="ar"/>
              </w:rPr>
              <w:t>加强矿山生态恢复治理。因地制宜推进工矿废弃地治理，以解决矿山开采破坏地质环境、水土流失等问题为目标，以贺兰山、六盘山、罗山和黄河干支流沿线历史遗留矿山为重点，按照安全、生态、景观的次序，消除地质灾害隐患，修复地形地貌、恢复地表植被、防治水土流失，逐步实现破损地区自然风貌与周边自然景观和谐一致、融为一体。整治腾出的建设用地可作为节余指标纳入城乡建设用地增减挂钩政策管理，复垦出的耕地节余指标，符合相关规定的，可申请承担跨省域国家统筹补充耕地任务。按照“谁开采、谁治理”的原则，落实在建矿山生态保护修复治理责任，确保“不欠新账”</w:t>
            </w:r>
            <w:r>
              <w:rPr>
                <w:rFonts w:hint="default" w:ascii="Times New Roman" w:hAnsi="Times New Roman" w:cs="Times New Roman"/>
                <w:color w:val="auto"/>
                <w:kern w:val="0"/>
                <w:sz w:val="24"/>
                <w:lang w:eastAsia="zh-CN" w:bidi="ar"/>
              </w:rPr>
              <w:t>。</w:t>
            </w:r>
          </w:p>
          <w:p w14:paraId="38240241">
            <w:pPr>
              <w:autoSpaceDE w:val="0"/>
              <w:autoSpaceDN w:val="0"/>
              <w:ind w:firstLine="512" w:firstLineChars="200"/>
              <w:jc w:val="left"/>
              <w:rPr>
                <w:rFonts w:hint="default" w:ascii="Times New Roman" w:hAnsi="Times New Roman" w:eastAsia="宋体" w:cs="Times New Roman"/>
                <w:b w:val="0"/>
                <w:bCs w:val="0"/>
                <w:color w:val="auto"/>
                <w:kern w:val="0"/>
                <w:sz w:val="24"/>
                <w:lang w:bidi="ar"/>
              </w:rPr>
            </w:pPr>
            <w:r>
              <w:rPr>
                <w:rFonts w:hint="default" w:ascii="Times New Roman" w:hAnsi="Times New Roman" w:eastAsia="宋体" w:cs="Times New Roman"/>
                <w:b w:val="0"/>
                <w:bCs w:val="0"/>
                <w:color w:val="auto"/>
                <w:kern w:val="0"/>
                <w:sz w:val="24"/>
                <w:lang w:bidi="ar"/>
              </w:rPr>
              <w:t>通过该项目的实施，使项目区地质灾害隐患得到消除，项目区周边生态环境得到显著改善，区域地质环境风险得到有效控制。通过对项目区有效治理和合理利用，恢复土地生态功能，有效的降低水土流失，改善地貌景观，优化生态环境。</w:t>
            </w:r>
          </w:p>
          <w:p w14:paraId="4D49623A">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firstLine="512" w:firstLineChars="200"/>
              <w:jc w:val="both"/>
              <w:textAlignment w:val="auto"/>
              <w:rPr>
                <w:rFonts w:hint="default" w:ascii="Times New Roman" w:hAnsi="Times New Roman" w:eastAsia="宋体" w:cs="Times New Roman"/>
                <w:color w:val="auto"/>
                <w:lang w:val="en-US" w:eastAsia="zh-CN"/>
              </w:rPr>
            </w:pPr>
          </w:p>
        </w:tc>
      </w:tr>
      <w:tr w14:paraId="02CC0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dxa"/>
            <w:noWrap w:val="0"/>
            <w:vAlign w:val="center"/>
          </w:tcPr>
          <w:p w14:paraId="762BC568">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其他符合性分析</w:t>
            </w:r>
          </w:p>
        </w:tc>
        <w:tc>
          <w:tcPr>
            <w:tcW w:w="8041" w:type="dxa"/>
            <w:gridSpan w:val="4"/>
            <w:noWrap w:val="0"/>
            <w:vAlign w:val="center"/>
          </w:tcPr>
          <w:p w14:paraId="6451DCB4">
            <w:pPr>
              <w:numPr>
                <w:ilvl w:val="0"/>
                <w:numId w:val="4"/>
              </w:numPr>
              <w:autoSpaceDE w:val="0"/>
              <w:autoSpaceDN w:val="0"/>
              <w:spacing w:before="240" w:after="60"/>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产业政策符合性分析</w:t>
            </w:r>
          </w:p>
          <w:p w14:paraId="34A2B438">
            <w:pPr>
              <w:adjustRightInd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根据国家发改委第</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号令《产业结构调整指导目录(20</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年本)》</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本项目属于</w:t>
            </w:r>
            <w:r>
              <w:rPr>
                <w:rFonts w:hint="default" w:ascii="Times New Roman" w:hAnsi="Times New Roman" w:eastAsia="宋体" w:cs="Times New Roman"/>
                <w:color w:val="auto"/>
                <w:sz w:val="24"/>
                <w:highlight w:val="none"/>
                <w:lang w:val="en-US" w:eastAsia="zh-CN"/>
              </w:rPr>
              <w:t>“第一类鼓励类”</w:t>
            </w:r>
            <w:r>
              <w:rPr>
                <w:rFonts w:hint="default" w:ascii="Times New Roman" w:hAnsi="Times New Roman" w:cs="Times New Roman"/>
                <w:color w:val="auto"/>
                <w:sz w:val="24"/>
                <w:lang w:val="en-US" w:eastAsia="zh-CN"/>
              </w:rPr>
              <w:t>中第四十二项</w:t>
            </w:r>
            <w:r>
              <w:rPr>
                <w:rFonts w:hint="default" w:ascii="Times New Roman" w:hAnsi="Times New Roman" w:eastAsia="宋体" w:cs="Times New Roman"/>
                <w:color w:val="auto"/>
                <w:sz w:val="24"/>
                <w:highlight w:val="none"/>
                <w:lang w:val="en-US" w:eastAsia="zh-CN"/>
              </w:rPr>
              <w:t>“环境保护与资源节约综合利用”中的项目（</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szCs w:val="24"/>
              </w:rPr>
              <w:t>矿山生态环境恢复工程</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的建设</w:t>
            </w:r>
            <w:r>
              <w:rPr>
                <w:rFonts w:hint="default" w:ascii="Times New Roman" w:hAnsi="Times New Roman" w:cs="Times New Roman"/>
                <w:color w:val="auto"/>
                <w:sz w:val="24"/>
              </w:rPr>
              <w:t>符合现行国家有关产业政策。</w:t>
            </w:r>
          </w:p>
          <w:p w14:paraId="4330330B">
            <w:pPr>
              <w:numPr>
                <w:ilvl w:val="0"/>
                <w:numId w:val="4"/>
              </w:numPr>
              <w:autoSpaceDE w:val="0"/>
              <w:autoSpaceDN w:val="0"/>
              <w:spacing w:before="240" w:after="60"/>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与</w:t>
            </w:r>
            <w:r>
              <w:rPr>
                <w:rFonts w:hint="default" w:ascii="Times New Roman" w:hAnsi="Times New Roman" w:eastAsia="黑体" w:cs="Times New Roman"/>
                <w:b w:val="0"/>
                <w:bCs w:val="0"/>
                <w:color w:val="auto"/>
                <w:kern w:val="0"/>
                <w:sz w:val="24"/>
                <w:highlight w:val="none"/>
                <w:lang w:val="en-US" w:eastAsia="zh-CN"/>
              </w:rPr>
              <w:t>中卫</w:t>
            </w:r>
            <w:r>
              <w:rPr>
                <w:rFonts w:hint="default" w:ascii="Times New Roman" w:hAnsi="Times New Roman" w:eastAsia="黑体" w:cs="Times New Roman"/>
                <w:b w:val="0"/>
                <w:bCs w:val="0"/>
                <w:color w:val="auto"/>
                <w:kern w:val="0"/>
                <w:sz w:val="24"/>
                <w:highlight w:val="none"/>
              </w:rPr>
              <w:t>市</w:t>
            </w:r>
            <w:r>
              <w:rPr>
                <w:rFonts w:hint="default" w:ascii="Times New Roman" w:hAnsi="Times New Roman" w:eastAsia="黑体" w:cs="Times New Roman"/>
                <w:b w:val="0"/>
                <w:bCs w:val="0"/>
                <w:color w:val="auto"/>
                <w:kern w:val="0"/>
                <w:sz w:val="24"/>
                <w:highlight w:val="none"/>
                <w:lang w:eastAsia="zh-CN"/>
              </w:rPr>
              <w:t>“三线一单”</w:t>
            </w:r>
            <w:r>
              <w:rPr>
                <w:rFonts w:hint="default" w:ascii="Times New Roman" w:hAnsi="Times New Roman" w:eastAsia="黑体" w:cs="Times New Roman"/>
                <w:b w:val="0"/>
                <w:bCs w:val="0"/>
                <w:color w:val="auto"/>
                <w:kern w:val="0"/>
                <w:sz w:val="24"/>
                <w:highlight w:val="none"/>
              </w:rPr>
              <w:t>符合性分析</w:t>
            </w:r>
          </w:p>
          <w:p w14:paraId="18E722EA">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（1）生态保护红线</w:t>
            </w:r>
          </w:p>
          <w:p w14:paraId="7443BB30">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cs="Times New Roman"/>
                <w:color w:val="auto"/>
                <w:sz w:val="24"/>
                <w:highlight w:val="none"/>
                <w:lang w:val="en-US" w:eastAsia="zh-CN"/>
              </w:rPr>
              <w:t>中卫市生态环境分区管控动态更新成果</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（卫政办发[2024]33号）</w:t>
            </w:r>
            <w:r>
              <w:rPr>
                <w:rFonts w:hint="default" w:ascii="Times New Roman" w:hAnsi="Times New Roman" w:eastAsia="宋体" w:cs="Times New Roman"/>
                <w:color w:val="auto"/>
                <w:sz w:val="24"/>
                <w:highlight w:val="none"/>
                <w:lang w:val="en-US" w:eastAsia="zh-CN"/>
              </w:rPr>
              <w:t>文件要求，本项目所在区域不占用生态保护红线，所在区域</w:t>
            </w:r>
            <w:r>
              <w:rPr>
                <w:rFonts w:hint="default" w:ascii="Times New Roman" w:hAnsi="Times New Roman" w:cs="Times New Roman"/>
                <w:color w:val="auto"/>
                <w:sz w:val="24"/>
                <w:highlight w:val="none"/>
                <w:lang w:val="en-US" w:eastAsia="zh-CN"/>
              </w:rPr>
              <w:t>不属于</w:t>
            </w:r>
            <w:r>
              <w:rPr>
                <w:rFonts w:hint="default" w:ascii="Times New Roman" w:hAnsi="Times New Roman" w:eastAsia="宋体" w:cs="Times New Roman"/>
                <w:color w:val="auto"/>
                <w:sz w:val="24"/>
                <w:highlight w:val="none"/>
                <w:lang w:val="en-US" w:eastAsia="zh-CN"/>
              </w:rPr>
              <w:t>一般生态空间。</w:t>
            </w:r>
          </w:p>
          <w:p w14:paraId="65146220">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本项目在中卫市生态保护红线图中的位置见附图1</w:t>
            </w: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，在中卫市生态空间图中的位置见附图1-</w:t>
            </w:r>
            <w:r>
              <w:rPr>
                <w:rFonts w:hint="default" w:ascii="Times New Roman" w:hAnsi="Times New Roman" w:cs="Times New Roman"/>
                <w:color w:val="auto"/>
                <w:sz w:val="24"/>
                <w:highlight w:val="none"/>
                <w:lang w:val="en-US" w:eastAsia="zh-CN"/>
              </w:rPr>
              <w:t>2。</w:t>
            </w:r>
          </w:p>
          <w:p w14:paraId="6D2BEAE0">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（2）环境质量底线及分区管控</w:t>
            </w:r>
          </w:p>
          <w:p w14:paraId="22CC3E20">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①大气环境质量底线及分区管控</w:t>
            </w:r>
          </w:p>
          <w:p w14:paraId="7E4B758D">
            <w:pPr>
              <w:pStyle w:val="42"/>
              <w:ind w:firstLine="514"/>
              <w:rPr>
                <w:rFonts w:hint="default" w:ascii="Times New Roman" w:hAnsi="Times New Roman" w:eastAsia="宋体" w:cs="Times New Roman"/>
                <w:color w:val="auto"/>
                <w:sz w:val="24"/>
                <w:lang w:val="en-US"/>
              </w:rPr>
            </w:pPr>
            <w:r>
              <w:rPr>
                <w:rFonts w:hint="default" w:ascii="Times New Roman" w:hAnsi="Times New Roman" w:eastAsia="宋体" w:cs="Times New Roman"/>
                <w:color w:val="auto"/>
                <w:sz w:val="24"/>
                <w:lang w:bidi="ar"/>
              </w:rPr>
              <w:t>大气环境质量底线：根据《</w:t>
            </w:r>
            <w:r>
              <w:rPr>
                <w:rFonts w:hint="default" w:ascii="Times New Roman" w:hAnsi="Times New Roman" w:cs="Times New Roman"/>
                <w:color w:val="auto"/>
                <w:sz w:val="24"/>
                <w:lang w:val="en-US" w:eastAsia="zh-CN" w:bidi="ar"/>
              </w:rPr>
              <w:t>中卫市生态环境分区管控方案文本</w:t>
            </w:r>
            <w:r>
              <w:rPr>
                <w:rFonts w:hint="default" w:ascii="Times New Roman" w:hAnsi="Times New Roman" w:eastAsia="宋体" w:cs="Times New Roman"/>
                <w:color w:val="auto"/>
                <w:sz w:val="24"/>
                <w:lang w:bidi="ar"/>
              </w:rPr>
              <w:t>》中</w:t>
            </w:r>
            <w:r>
              <w:rPr>
                <w:rFonts w:hint="default" w:ascii="Times New Roman" w:hAnsi="Times New Roman" w:eastAsia="宋体" w:cs="Times New Roman"/>
                <w:color w:val="auto"/>
                <w:sz w:val="24"/>
                <w:lang w:eastAsia="zh-CN" w:bidi="ar"/>
              </w:rPr>
              <w:t>“表</w:t>
            </w:r>
            <w:r>
              <w:rPr>
                <w:rFonts w:hint="default" w:ascii="Times New Roman" w:hAnsi="Times New Roman" w:eastAsia="宋体" w:cs="Times New Roman"/>
                <w:color w:val="auto"/>
                <w:sz w:val="24"/>
                <w:lang w:val="en-US" w:eastAsia="zh-CN" w:bidi="ar"/>
              </w:rPr>
              <w:t>3</w:t>
            </w:r>
            <w:r>
              <w:rPr>
                <w:rFonts w:hint="default" w:ascii="Times New Roman" w:hAnsi="Times New Roman" w:eastAsia="宋体" w:cs="Times New Roman"/>
                <w:color w:val="auto"/>
                <w:sz w:val="24"/>
                <w:lang w:eastAsia="zh-CN" w:bidi="ar"/>
              </w:rPr>
              <w:t>-</w:t>
            </w:r>
            <w:r>
              <w:rPr>
                <w:rFonts w:hint="default" w:ascii="Times New Roman" w:hAnsi="Times New Roman" w:cs="Times New Roman"/>
                <w:color w:val="auto"/>
                <w:sz w:val="24"/>
                <w:lang w:val="en-US" w:eastAsia="zh-CN" w:bidi="ar"/>
              </w:rPr>
              <w:t>2中卫</w:t>
            </w:r>
            <w:r>
              <w:rPr>
                <w:rFonts w:hint="default" w:ascii="Times New Roman" w:hAnsi="Times New Roman" w:eastAsia="宋体" w:cs="Times New Roman"/>
                <w:color w:val="auto"/>
                <w:sz w:val="24"/>
                <w:lang w:val="en-US" w:eastAsia="zh-CN" w:bidi="ar"/>
              </w:rPr>
              <w:t>市大气环境质量目标</w:t>
            </w: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bidi="ar"/>
              </w:rPr>
              <w:t>，</w:t>
            </w:r>
            <w:r>
              <w:rPr>
                <w:rFonts w:hint="default" w:ascii="Times New Roman" w:hAnsi="Times New Roman" w:cs="Times New Roman"/>
                <w:color w:val="auto"/>
                <w:sz w:val="24"/>
                <w:lang w:eastAsia="zh-CN" w:bidi="ar"/>
              </w:rPr>
              <w:t>沙坡头区</w:t>
            </w:r>
            <w:r>
              <w:rPr>
                <w:rFonts w:hint="default" w:ascii="Times New Roman" w:hAnsi="Times New Roman" w:eastAsia="宋体" w:cs="Times New Roman"/>
                <w:color w:val="auto"/>
                <w:sz w:val="24"/>
                <w:lang w:bidi="ar"/>
              </w:rPr>
              <w:t>2025年、2035年PM</w:t>
            </w:r>
            <w:r>
              <w:rPr>
                <w:rFonts w:hint="default" w:ascii="Times New Roman" w:hAnsi="Times New Roman" w:eastAsia="宋体" w:cs="Times New Roman"/>
                <w:color w:val="auto"/>
                <w:sz w:val="24"/>
                <w:vertAlign w:val="subscript"/>
                <w:lang w:bidi="ar"/>
              </w:rPr>
              <w:t>2.5</w:t>
            </w:r>
            <w:r>
              <w:rPr>
                <w:rFonts w:hint="default" w:ascii="Times New Roman" w:hAnsi="Times New Roman" w:eastAsia="宋体" w:cs="Times New Roman"/>
                <w:color w:val="auto"/>
                <w:sz w:val="24"/>
                <w:lang w:bidi="ar"/>
              </w:rPr>
              <w:t>目标值</w:t>
            </w:r>
            <w:r>
              <w:rPr>
                <w:rFonts w:hint="default" w:ascii="Times New Roman" w:hAnsi="Times New Roman" w:eastAsia="宋体" w:cs="Times New Roman"/>
                <w:color w:val="auto"/>
                <w:sz w:val="24"/>
                <w:lang w:val="en-US" w:bidi="ar"/>
              </w:rPr>
              <w:t>均</w:t>
            </w:r>
            <w:r>
              <w:rPr>
                <w:rFonts w:hint="default" w:ascii="Times New Roman" w:hAnsi="Times New Roman" w:eastAsia="宋体" w:cs="Times New Roman"/>
                <w:color w:val="auto"/>
                <w:sz w:val="24"/>
                <w:lang w:bidi="ar"/>
              </w:rPr>
              <w:t>为</w:t>
            </w:r>
            <w:r>
              <w:rPr>
                <w:rFonts w:hint="default" w:ascii="Times New Roman" w:hAnsi="Times New Roman" w:cs="Times New Roman"/>
                <w:color w:val="auto"/>
                <w:sz w:val="24"/>
                <w:lang w:val="en-US" w:eastAsia="zh-CN" w:bidi="ar"/>
              </w:rPr>
              <w:t>30</w:t>
            </w:r>
            <w:r>
              <w:rPr>
                <w:rFonts w:hint="default" w:ascii="Times New Roman" w:hAnsi="Times New Roman" w:eastAsia="宋体" w:cs="Times New Roman"/>
                <w:color w:val="auto"/>
                <w:sz w:val="24"/>
                <w:lang w:bidi="ar"/>
              </w:rPr>
              <w:t>μg/m</w:t>
            </w:r>
            <w:r>
              <w:rPr>
                <w:rFonts w:hint="default" w:ascii="Times New Roman" w:hAnsi="Times New Roman" w:eastAsia="宋体" w:cs="Times New Roman"/>
                <w:color w:val="auto"/>
                <w:sz w:val="24"/>
                <w:vertAlign w:val="superscript"/>
                <w:lang w:bidi="ar"/>
              </w:rPr>
              <w:t>3</w:t>
            </w:r>
            <w:r>
              <w:rPr>
                <w:rFonts w:hint="default" w:ascii="Times New Roman" w:hAnsi="Times New Roman" w:eastAsia="宋体" w:cs="Times New Roman"/>
                <w:color w:val="auto"/>
                <w:sz w:val="24"/>
                <w:lang w:bidi="ar"/>
              </w:rPr>
              <w:t>，本次大气环境质量引用《202</w:t>
            </w:r>
            <w:r>
              <w:rPr>
                <w:rFonts w:hint="default" w:ascii="Times New Roman" w:hAnsi="Times New Roman" w:cs="Times New Roman"/>
                <w:color w:val="auto"/>
                <w:sz w:val="24"/>
                <w:lang w:val="en-US" w:eastAsia="zh-CN" w:bidi="ar"/>
              </w:rPr>
              <w:t>3</w:t>
            </w:r>
            <w:r>
              <w:rPr>
                <w:rFonts w:hint="default" w:ascii="Times New Roman" w:hAnsi="Times New Roman" w:eastAsia="宋体" w:cs="Times New Roman"/>
                <w:color w:val="auto"/>
                <w:sz w:val="24"/>
                <w:lang w:bidi="ar"/>
              </w:rPr>
              <w:t>年宁夏生态环境质量报告》中202</w:t>
            </w:r>
            <w:r>
              <w:rPr>
                <w:rFonts w:hint="default" w:ascii="Times New Roman" w:hAnsi="Times New Roman" w:cs="Times New Roman"/>
                <w:color w:val="auto"/>
                <w:sz w:val="24"/>
                <w:lang w:val="en-US" w:eastAsia="zh-CN" w:bidi="ar"/>
              </w:rPr>
              <w:t>3</w:t>
            </w:r>
            <w:r>
              <w:rPr>
                <w:rFonts w:hint="default" w:ascii="Times New Roman" w:hAnsi="Times New Roman" w:eastAsia="宋体" w:cs="Times New Roman"/>
                <w:color w:val="auto"/>
                <w:sz w:val="24"/>
                <w:lang w:bidi="ar"/>
              </w:rPr>
              <w:t>年</w:t>
            </w:r>
            <w:r>
              <w:rPr>
                <w:rFonts w:hint="default" w:ascii="Times New Roman" w:hAnsi="Times New Roman" w:cs="Times New Roman"/>
                <w:color w:val="auto"/>
                <w:sz w:val="24"/>
                <w:lang w:eastAsia="zh-CN" w:bidi="ar"/>
              </w:rPr>
              <w:t>沙坡头区</w:t>
            </w:r>
            <w:r>
              <w:rPr>
                <w:rFonts w:hint="default" w:ascii="Times New Roman" w:hAnsi="Times New Roman" w:eastAsia="宋体" w:cs="Times New Roman"/>
                <w:color w:val="auto"/>
                <w:sz w:val="24"/>
                <w:lang w:bidi="ar"/>
              </w:rPr>
              <w:t>的监测数据，</w:t>
            </w:r>
            <w:r>
              <w:rPr>
                <w:rFonts w:hint="default" w:ascii="Times New Roman" w:hAnsi="Times New Roman" w:eastAsia="宋体" w:cs="Times New Roman"/>
                <w:color w:val="auto"/>
                <w:sz w:val="24"/>
                <w:lang w:val="en-US" w:eastAsia="zh-CN" w:bidi="ar"/>
              </w:rPr>
              <w:t>剔除沙尘天气影响后，</w:t>
            </w:r>
            <w:r>
              <w:rPr>
                <w:rFonts w:hint="default" w:ascii="Times New Roman" w:hAnsi="Times New Roman" w:eastAsia="宋体" w:cs="Times New Roman"/>
                <w:color w:val="auto"/>
                <w:sz w:val="24"/>
                <w:lang w:bidi="ar"/>
              </w:rPr>
              <w:t>PM</w:t>
            </w:r>
            <w:r>
              <w:rPr>
                <w:rFonts w:hint="default" w:ascii="Times New Roman" w:hAnsi="Times New Roman" w:eastAsia="宋体" w:cs="Times New Roman"/>
                <w:color w:val="auto"/>
                <w:sz w:val="24"/>
                <w:vertAlign w:val="subscript"/>
                <w:lang w:bidi="ar"/>
              </w:rPr>
              <w:t>2.5</w:t>
            </w:r>
            <w:r>
              <w:rPr>
                <w:rFonts w:hint="default" w:ascii="Times New Roman" w:hAnsi="Times New Roman" w:eastAsia="宋体" w:cs="Times New Roman"/>
                <w:color w:val="auto"/>
                <w:sz w:val="24"/>
                <w:lang w:bidi="ar"/>
              </w:rPr>
              <w:t>为</w:t>
            </w:r>
            <w:r>
              <w:rPr>
                <w:rFonts w:hint="default" w:ascii="Times New Roman" w:hAnsi="Times New Roman" w:eastAsia="宋体" w:cs="Times New Roman"/>
                <w:color w:val="auto"/>
                <w:sz w:val="24"/>
                <w:lang w:val="en-US" w:eastAsia="zh-CN" w:bidi="ar"/>
              </w:rPr>
              <w:t>2</w:t>
            </w:r>
            <w:r>
              <w:rPr>
                <w:rFonts w:hint="default" w:ascii="Times New Roman" w:hAnsi="Times New Roman" w:cs="Times New Roman"/>
                <w:color w:val="auto"/>
                <w:sz w:val="24"/>
                <w:lang w:val="en-US" w:eastAsia="zh-CN" w:bidi="ar"/>
              </w:rPr>
              <w:t>3</w:t>
            </w:r>
            <w:r>
              <w:rPr>
                <w:rFonts w:hint="default" w:ascii="Times New Roman" w:hAnsi="Times New Roman" w:eastAsia="宋体" w:cs="Times New Roman"/>
                <w:color w:val="auto"/>
                <w:sz w:val="24"/>
                <w:lang w:bidi="ar"/>
              </w:rPr>
              <w:t>μg/m</w:t>
            </w:r>
            <w:r>
              <w:rPr>
                <w:rFonts w:hint="default" w:ascii="Times New Roman" w:hAnsi="Times New Roman" w:eastAsia="宋体" w:cs="Times New Roman"/>
                <w:color w:val="auto"/>
                <w:sz w:val="24"/>
                <w:vertAlign w:val="superscript"/>
                <w:lang w:bidi="ar"/>
              </w:rPr>
              <w:t>3</w:t>
            </w:r>
            <w:r>
              <w:rPr>
                <w:rFonts w:hint="default" w:ascii="Times New Roman" w:hAnsi="Times New Roman" w:eastAsia="宋体" w:cs="Times New Roman"/>
                <w:color w:val="auto"/>
                <w:sz w:val="24"/>
                <w:lang w:bidi="ar"/>
              </w:rPr>
              <w:t>，符合</w:t>
            </w:r>
            <w:r>
              <w:rPr>
                <w:rFonts w:hint="default" w:ascii="Times New Roman" w:hAnsi="Times New Roman" w:cs="Times New Roman"/>
                <w:color w:val="auto"/>
                <w:sz w:val="24"/>
                <w:lang w:eastAsia="zh-CN" w:bidi="ar"/>
              </w:rPr>
              <w:t>沙坡头区</w:t>
            </w:r>
            <w:r>
              <w:rPr>
                <w:rFonts w:hint="default" w:ascii="Times New Roman" w:hAnsi="Times New Roman" w:eastAsia="宋体" w:cs="Times New Roman"/>
                <w:color w:val="auto"/>
                <w:sz w:val="24"/>
                <w:lang w:bidi="ar"/>
              </w:rPr>
              <w:t>2025年、2035年PM</w:t>
            </w:r>
            <w:r>
              <w:rPr>
                <w:rFonts w:hint="default" w:ascii="Times New Roman" w:hAnsi="Times New Roman" w:eastAsia="宋体" w:cs="Times New Roman"/>
                <w:color w:val="auto"/>
                <w:sz w:val="24"/>
                <w:vertAlign w:val="subscript"/>
                <w:lang w:bidi="ar"/>
              </w:rPr>
              <w:t>2.5</w:t>
            </w:r>
            <w:r>
              <w:rPr>
                <w:rFonts w:hint="default" w:ascii="Times New Roman" w:hAnsi="Times New Roman" w:eastAsia="宋体" w:cs="Times New Roman"/>
                <w:color w:val="auto"/>
                <w:sz w:val="24"/>
                <w:lang w:bidi="ar"/>
              </w:rPr>
              <w:t>目标值</w:t>
            </w:r>
            <w:r>
              <w:rPr>
                <w:rFonts w:hint="default" w:ascii="Times New Roman" w:hAnsi="Times New Roman" w:cs="Times New Roman"/>
                <w:color w:val="auto"/>
                <w:sz w:val="24"/>
                <w:lang w:val="en-US" w:eastAsia="zh-CN" w:bidi="ar"/>
              </w:rPr>
              <w:t>30</w:t>
            </w:r>
            <w:r>
              <w:rPr>
                <w:rFonts w:hint="default" w:ascii="Times New Roman" w:hAnsi="Times New Roman" w:eastAsia="宋体" w:cs="Times New Roman"/>
                <w:color w:val="auto"/>
                <w:sz w:val="24"/>
                <w:lang w:bidi="ar"/>
              </w:rPr>
              <w:t>μg/m</w:t>
            </w:r>
            <w:r>
              <w:rPr>
                <w:rFonts w:hint="default" w:ascii="Times New Roman" w:hAnsi="Times New Roman" w:eastAsia="宋体" w:cs="Times New Roman"/>
                <w:color w:val="auto"/>
                <w:sz w:val="24"/>
                <w:vertAlign w:val="superscript"/>
                <w:lang w:bidi="ar"/>
              </w:rPr>
              <w:t>3</w:t>
            </w:r>
            <w:r>
              <w:rPr>
                <w:rFonts w:hint="default" w:ascii="Times New Roman" w:hAnsi="Times New Roman" w:eastAsia="宋体" w:cs="Times New Roman"/>
                <w:color w:val="auto"/>
                <w:sz w:val="24"/>
                <w:lang w:bidi="ar"/>
              </w:rPr>
              <w:t>的目标要求。</w:t>
            </w:r>
            <w:r>
              <w:rPr>
                <w:rFonts w:hint="default" w:ascii="Times New Roman" w:hAnsi="Times New Roman" w:cs="Times New Roman"/>
                <w:color w:val="auto"/>
                <w:sz w:val="24"/>
                <w:lang w:val="en-US" w:eastAsia="zh-CN" w:bidi="ar"/>
              </w:rPr>
              <w:t>沙坡头区</w:t>
            </w:r>
            <w:r>
              <w:rPr>
                <w:rFonts w:hint="default" w:ascii="Times New Roman" w:hAnsi="Times New Roman" w:eastAsia="宋体" w:cs="Times New Roman"/>
                <w:color w:val="auto"/>
                <w:sz w:val="24"/>
                <w:lang w:val="en-US" w:bidi="ar"/>
              </w:rPr>
              <w:t>2022年度SO</w:t>
            </w:r>
            <w:r>
              <w:rPr>
                <w:rFonts w:hint="default" w:ascii="Times New Roman" w:hAnsi="Times New Roman" w:eastAsia="宋体" w:cs="Times New Roman"/>
                <w:color w:val="auto"/>
                <w:sz w:val="24"/>
                <w:vertAlign w:val="subscript"/>
                <w:lang w:val="en-US" w:bidi="ar"/>
              </w:rPr>
              <w:t>2</w:t>
            </w:r>
            <w:r>
              <w:rPr>
                <w:rFonts w:hint="default" w:ascii="Times New Roman" w:hAnsi="Times New Roman" w:eastAsia="宋体" w:cs="Times New Roman"/>
                <w:color w:val="auto"/>
                <w:sz w:val="24"/>
                <w:lang w:val="en-US" w:bidi="ar"/>
              </w:rPr>
              <w:t>、NO</w:t>
            </w:r>
            <w:r>
              <w:rPr>
                <w:rFonts w:hint="default" w:ascii="Times New Roman" w:hAnsi="Times New Roman" w:eastAsia="宋体" w:cs="Times New Roman"/>
                <w:color w:val="auto"/>
                <w:sz w:val="24"/>
                <w:vertAlign w:val="subscript"/>
                <w:lang w:val="en-US" w:bidi="ar"/>
              </w:rPr>
              <w:t>2</w:t>
            </w:r>
            <w:r>
              <w:rPr>
                <w:rFonts w:hint="default" w:ascii="Times New Roman" w:hAnsi="Times New Roman" w:eastAsia="宋体" w:cs="Times New Roman"/>
                <w:color w:val="auto"/>
                <w:sz w:val="24"/>
                <w:lang w:val="en-US" w:bidi="ar"/>
              </w:rPr>
              <w:t>、PM</w:t>
            </w:r>
            <w:r>
              <w:rPr>
                <w:rFonts w:hint="default" w:ascii="Times New Roman" w:hAnsi="Times New Roman" w:eastAsia="宋体" w:cs="Times New Roman"/>
                <w:color w:val="auto"/>
                <w:sz w:val="24"/>
                <w:vertAlign w:val="subscript"/>
                <w:lang w:val="en-US" w:bidi="ar"/>
              </w:rPr>
              <w:t>2.5</w:t>
            </w:r>
            <w:r>
              <w:rPr>
                <w:rFonts w:hint="default" w:ascii="Times New Roman" w:hAnsi="Times New Roman" w:eastAsia="宋体" w:cs="Times New Roman"/>
                <w:color w:val="auto"/>
                <w:sz w:val="24"/>
                <w:lang w:val="en-US" w:bidi="ar"/>
              </w:rPr>
              <w:t>、PM</w:t>
            </w:r>
            <w:r>
              <w:rPr>
                <w:rFonts w:hint="default" w:ascii="Times New Roman" w:hAnsi="Times New Roman" w:eastAsia="宋体" w:cs="Times New Roman"/>
                <w:color w:val="auto"/>
                <w:sz w:val="24"/>
                <w:vertAlign w:val="subscript"/>
                <w:lang w:val="en-US" w:bidi="ar"/>
              </w:rPr>
              <w:t>10</w:t>
            </w:r>
            <w:r>
              <w:rPr>
                <w:rFonts w:hint="default" w:ascii="Times New Roman" w:hAnsi="Times New Roman" w:eastAsia="宋体" w:cs="Times New Roman"/>
                <w:color w:val="auto"/>
                <w:sz w:val="24"/>
                <w:lang w:val="en-US" w:bidi="ar"/>
              </w:rPr>
              <w:t>年均浓度、CO24h平均第95百分位数浓度、O</w:t>
            </w:r>
            <w:r>
              <w:rPr>
                <w:rFonts w:hint="default" w:ascii="Times New Roman" w:hAnsi="Times New Roman" w:eastAsia="宋体" w:cs="Times New Roman"/>
                <w:color w:val="auto"/>
                <w:sz w:val="24"/>
                <w:vertAlign w:val="subscript"/>
                <w:lang w:val="en-US" w:bidi="ar"/>
              </w:rPr>
              <w:t>3</w:t>
            </w:r>
            <w:r>
              <w:rPr>
                <w:rFonts w:hint="default" w:ascii="Times New Roman" w:hAnsi="Times New Roman" w:eastAsia="宋体" w:cs="Times New Roman"/>
                <w:color w:val="auto"/>
                <w:sz w:val="24"/>
                <w:lang w:val="en-US" w:bidi="ar"/>
              </w:rPr>
              <w:t>日最大8h滑动平均值第90百分位数浓度均达到《环境空气质量标准》（GB3095-2012）及修改单中二级标准，项目所处区域属于达标区。</w:t>
            </w:r>
          </w:p>
          <w:p w14:paraId="2D94B009">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大气环境分区管控图，本项目所在区域属于大气环境一般管控区，管控要求为：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14:paraId="46F06AE0">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w:t>
            </w:r>
            <w:r>
              <w:rPr>
                <w:rFonts w:hint="default" w:ascii="Times New Roman" w:hAnsi="Times New Roman" w:cs="Times New Roman"/>
                <w:color w:val="auto"/>
                <w:sz w:val="24"/>
                <w:lang w:val="en-US" w:eastAsia="zh-CN"/>
              </w:rPr>
              <w:t>矿山生态环境恢复项目</w:t>
            </w:r>
            <w:r>
              <w:rPr>
                <w:rFonts w:hint="default" w:ascii="Times New Roman" w:hAnsi="Times New Roman" w:eastAsia="宋体" w:cs="Times New Roman"/>
                <w:color w:val="auto"/>
                <w:sz w:val="24"/>
              </w:rPr>
              <w:t>，项目施工过程中严格按照大气环境保护措施执行，并且施工期较短，因此施工期对大气环境影响较小。项目运营期</w:t>
            </w:r>
            <w:r>
              <w:rPr>
                <w:rFonts w:hint="default" w:ascii="Times New Roman" w:hAnsi="Times New Roman" w:cs="Times New Roman"/>
                <w:color w:val="auto"/>
                <w:sz w:val="24"/>
                <w:lang w:val="en-US" w:eastAsia="zh-CN"/>
              </w:rPr>
              <w:t>无废气产生，区域</w:t>
            </w:r>
            <w:r>
              <w:rPr>
                <w:rFonts w:hint="default" w:ascii="Times New Roman" w:hAnsi="Times New Roman" w:eastAsia="宋体" w:cs="Times New Roman"/>
                <w:color w:val="auto"/>
                <w:sz w:val="24"/>
              </w:rPr>
              <w:t>植被有所恢复，有利于颗粒物排放量的消减，有助于区域环境空气质量的改善。另外，项目不属于国家和自治区禁止类和限制类的大气污染物排放项目，因此项目建设符合大气环境一般管控区要求，不会突破大气环境质量底线。</w:t>
            </w:r>
          </w:p>
          <w:p w14:paraId="564E8EFD">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本项目与</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市大气环境分区管控位置关系见附图2。</w:t>
            </w:r>
          </w:p>
          <w:p w14:paraId="52A8C480">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②水环境环境质量底线及分区管控</w:t>
            </w:r>
          </w:p>
          <w:p w14:paraId="6472D5CE">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水环境质量底线：根据《</w:t>
            </w:r>
            <w:r>
              <w:rPr>
                <w:rFonts w:hint="default" w:ascii="Times New Roman" w:hAnsi="Times New Roman" w:cs="Times New Roman"/>
                <w:color w:val="auto"/>
                <w:sz w:val="24"/>
                <w:lang w:val="en-US" w:eastAsia="zh-CN"/>
              </w:rPr>
              <w:t>中卫市生态环境分区管控方案文本</w:t>
            </w:r>
            <w:r>
              <w:rPr>
                <w:rFonts w:hint="default" w:ascii="Times New Roman" w:hAnsi="Times New Roman" w:eastAsia="宋体" w:cs="Times New Roman"/>
                <w:color w:val="auto"/>
                <w:sz w:val="24"/>
              </w:rPr>
              <w:t>》中“表3-1</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市水环境质量底线目标”，</w:t>
            </w:r>
            <w:r>
              <w:rPr>
                <w:rFonts w:hint="default" w:ascii="Times New Roman" w:hAnsi="Times New Roman" w:cs="Times New Roman"/>
                <w:color w:val="auto"/>
                <w:sz w:val="24"/>
                <w:lang w:val="en-US" w:eastAsia="zh-CN"/>
              </w:rPr>
              <w:t>本项目所在地主要地表水为清水河，属</w:t>
            </w:r>
            <w:r>
              <w:rPr>
                <w:rFonts w:hint="default" w:ascii="Times New Roman" w:hAnsi="Times New Roman" w:eastAsia="宋体" w:cs="Times New Roman"/>
                <w:color w:val="auto"/>
                <w:sz w:val="24"/>
              </w:rPr>
              <w:t>于</w:t>
            </w:r>
            <w:r>
              <w:rPr>
                <w:rFonts w:hint="default" w:ascii="Times New Roman" w:hAnsi="Times New Roman" w:cs="Times New Roman"/>
                <w:color w:val="auto"/>
                <w:sz w:val="24"/>
                <w:lang w:val="en-US" w:eastAsia="zh-CN"/>
              </w:rPr>
              <w:t>黄河</w:t>
            </w:r>
            <w:r>
              <w:rPr>
                <w:rFonts w:hint="default" w:ascii="Times New Roman" w:hAnsi="Times New Roman" w:eastAsia="宋体" w:cs="Times New Roman"/>
                <w:color w:val="auto"/>
                <w:sz w:val="24"/>
              </w:rPr>
              <w:t>一级支流，采用《202</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年宁夏生态环境质量报告》中</w:t>
            </w:r>
            <w:r>
              <w:rPr>
                <w:rFonts w:hint="default" w:ascii="Times New Roman" w:hAnsi="Times New Roman" w:cs="Times New Roman"/>
                <w:color w:val="auto"/>
                <w:sz w:val="24"/>
                <w:lang w:val="en-US" w:eastAsia="zh-CN"/>
              </w:rPr>
              <w:t>石炭沟桥</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吴忠（同心县）</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中卫市（中宁县）市界</w:t>
            </w:r>
            <w:r>
              <w:rPr>
                <w:rFonts w:hint="default" w:ascii="Times New Roman" w:hAnsi="Times New Roman" w:eastAsia="宋体" w:cs="Times New Roman"/>
                <w:color w:val="auto"/>
                <w:sz w:val="24"/>
              </w:rPr>
              <w:t>断面）处的监测数据，全部满足《地表水环境质量标准》（GB3838-2002）中</w:t>
            </w:r>
            <w:r>
              <w:rPr>
                <w:rFonts w:hint="default" w:ascii="Times New Roman" w:hAnsi="Times New Roman" w:cs="Times New Roman"/>
                <w:color w:val="auto"/>
                <w:sz w:val="24"/>
                <w:lang w:val="en-US" w:eastAsia="zh-CN"/>
              </w:rPr>
              <w:t>IV</w:t>
            </w:r>
            <w:r>
              <w:rPr>
                <w:rFonts w:hint="default" w:ascii="Times New Roman" w:hAnsi="Times New Roman" w:eastAsia="宋体" w:cs="Times New Roman"/>
                <w:color w:val="auto"/>
                <w:sz w:val="24"/>
                <w:lang w:eastAsia="zh-CN"/>
              </w:rPr>
              <w:t>类</w:t>
            </w:r>
            <w:r>
              <w:rPr>
                <w:rFonts w:hint="default" w:ascii="Times New Roman" w:hAnsi="Times New Roman" w:eastAsia="宋体" w:cs="Times New Roman"/>
                <w:color w:val="auto"/>
                <w:sz w:val="24"/>
              </w:rPr>
              <w:t>标准要求。满足2025、2035年（</w:t>
            </w:r>
            <w:r>
              <w:rPr>
                <w:rFonts w:hint="default" w:ascii="Times New Roman" w:hAnsi="Times New Roman" w:cs="Times New Roman"/>
                <w:color w:val="auto"/>
                <w:sz w:val="24"/>
                <w:lang w:val="en-US" w:eastAsia="zh-CN"/>
              </w:rPr>
              <w:t>洪</w:t>
            </w:r>
            <w:r>
              <w:rPr>
                <w:rFonts w:hint="default" w:ascii="Times New Roman" w:hAnsi="Times New Roman" w:eastAsia="宋体" w:cs="Times New Roman"/>
                <w:color w:val="auto"/>
                <w:sz w:val="24"/>
              </w:rPr>
              <w:t>河水质考核目标为</w:t>
            </w:r>
            <w:r>
              <w:rPr>
                <w:rFonts w:hint="default" w:ascii="Times New Roman" w:hAnsi="Times New Roman" w:cs="Times New Roman"/>
                <w:color w:val="auto"/>
                <w:sz w:val="24"/>
                <w:lang w:val="en-US" w:eastAsia="zh-CN"/>
              </w:rPr>
              <w:t>IV</w:t>
            </w:r>
            <w:r>
              <w:rPr>
                <w:rFonts w:hint="default" w:ascii="Times New Roman" w:hAnsi="Times New Roman" w:eastAsia="宋体" w:cs="Times New Roman"/>
                <w:color w:val="auto"/>
                <w:sz w:val="24"/>
              </w:rPr>
              <w:t>类）的水环境质量底线目标。</w:t>
            </w:r>
          </w:p>
          <w:p w14:paraId="72DB4471">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水环境分区管控图，本项目位于水环境一般管控区，管控要求为：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p w14:paraId="39BD5054">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w:t>
            </w:r>
            <w:r>
              <w:rPr>
                <w:rFonts w:hint="default" w:ascii="Times New Roman" w:hAnsi="Times New Roman" w:cs="Times New Roman"/>
                <w:color w:val="auto"/>
                <w:sz w:val="24"/>
                <w:lang w:val="en-US" w:eastAsia="zh-CN"/>
              </w:rPr>
              <w:t>矿山生态环境恢复项目</w:t>
            </w:r>
            <w:r>
              <w:rPr>
                <w:rFonts w:hint="default" w:ascii="Times New Roman" w:hAnsi="Times New Roman" w:eastAsia="宋体" w:cs="Times New Roman"/>
                <w:color w:val="auto"/>
                <w:sz w:val="24"/>
              </w:rPr>
              <w:t>，施工期</w:t>
            </w:r>
            <w:r>
              <w:rPr>
                <w:rFonts w:hint="default" w:ascii="Times New Roman" w:hAnsi="Times New Roman" w:cs="Times New Roman"/>
                <w:color w:val="auto"/>
                <w:sz w:val="24"/>
                <w:lang w:val="en-US" w:eastAsia="zh-CN"/>
              </w:rPr>
              <w:t>施工废水经临时沉淀池处理后用于场地洒水抑尘</w:t>
            </w:r>
            <w:r>
              <w:rPr>
                <w:rFonts w:hint="default" w:ascii="Times New Roman" w:hAnsi="Times New Roman" w:eastAsia="宋体" w:cs="Times New Roman"/>
                <w:color w:val="auto"/>
                <w:sz w:val="24"/>
              </w:rPr>
              <w:t>，生活污水</w:t>
            </w:r>
            <w:r>
              <w:rPr>
                <w:rFonts w:hint="default" w:ascii="Times New Roman" w:hAnsi="Times New Roman" w:cs="Times New Roman"/>
                <w:color w:val="auto"/>
                <w:sz w:val="24"/>
                <w:lang w:val="en-US" w:eastAsia="zh-CN"/>
              </w:rPr>
              <w:t>依托当地居民区旱厕</w:t>
            </w:r>
            <w:r>
              <w:rPr>
                <w:rFonts w:hint="default" w:ascii="Times New Roman" w:hAnsi="Times New Roman" w:eastAsia="宋体" w:cs="Times New Roman"/>
                <w:color w:val="auto"/>
                <w:sz w:val="24"/>
              </w:rPr>
              <w:t>处理后</w:t>
            </w:r>
            <w:r>
              <w:rPr>
                <w:rFonts w:hint="default" w:ascii="Times New Roman" w:hAnsi="Times New Roman" w:cs="Times New Roman"/>
                <w:color w:val="auto"/>
                <w:sz w:val="24"/>
                <w:lang w:val="en-US" w:eastAsia="zh-CN"/>
              </w:rPr>
              <w:t>定期清掏外运</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项目运营期无废水产生。</w:t>
            </w:r>
            <w:r>
              <w:rPr>
                <w:rFonts w:hint="default" w:ascii="Times New Roman" w:hAnsi="Times New Roman" w:eastAsia="宋体" w:cs="Times New Roman"/>
                <w:color w:val="auto"/>
                <w:sz w:val="24"/>
              </w:rPr>
              <w:t>因此，本项目</w:t>
            </w:r>
            <w:r>
              <w:rPr>
                <w:rFonts w:hint="default" w:ascii="Times New Roman" w:hAnsi="Times New Roman" w:cs="Times New Roman"/>
                <w:color w:val="auto"/>
                <w:sz w:val="24"/>
                <w:lang w:val="en-US" w:eastAsia="zh-CN"/>
              </w:rPr>
              <w:t>废水</w:t>
            </w:r>
            <w:r>
              <w:rPr>
                <w:rFonts w:hint="default" w:ascii="Times New Roman" w:hAnsi="Times New Roman" w:eastAsia="宋体" w:cs="Times New Roman"/>
                <w:color w:val="auto"/>
                <w:sz w:val="24"/>
              </w:rPr>
              <w:t>对周围环境影响较小，符合水环境一般管控区要求，不会突破水环境质量底线。</w:t>
            </w:r>
          </w:p>
          <w:p w14:paraId="6FC77781">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本项目与</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市水环境分区管控位置关系见附图3。</w:t>
            </w:r>
          </w:p>
          <w:p w14:paraId="207572B4">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③土壤污染风险防控底线及分区管控</w:t>
            </w:r>
          </w:p>
          <w:p w14:paraId="65033142">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市土壤污染风险分区管控图，本项目所在区域属于一般管控</w:t>
            </w:r>
            <w:r>
              <w:rPr>
                <w:rFonts w:hint="default" w:ascii="Times New Roman" w:hAnsi="Times New Roman" w:cs="Times New Roman"/>
                <w:color w:val="auto"/>
                <w:sz w:val="24"/>
                <w:lang w:val="en-US" w:eastAsia="zh-CN"/>
              </w:rPr>
              <w:t>区</w:t>
            </w:r>
            <w:r>
              <w:rPr>
                <w:rFonts w:hint="default" w:ascii="Times New Roman" w:hAnsi="Times New Roman" w:eastAsia="宋体" w:cs="Times New Roman"/>
                <w:color w:val="auto"/>
                <w:sz w:val="24"/>
              </w:rPr>
              <w:t>，管控要求为：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14:paraId="52996B6B">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本项目不属于有色金属冶炼、焦化等行业企业，也不属于排放重点污染物的建设项目，运营期无废气排放。</w:t>
            </w:r>
            <w:r>
              <w:rPr>
                <w:rFonts w:hint="default" w:ascii="Times New Roman" w:hAnsi="Times New Roman" w:eastAsia="宋体" w:cs="Times New Roman"/>
                <w:color w:val="auto"/>
                <w:sz w:val="24"/>
                <w:highlight w:val="none"/>
                <w:lang w:val="en-US" w:eastAsia="zh-CN"/>
              </w:rPr>
              <w:t>项目区不设置施工生活营地，施工生活营地依托周边村庄，项目区生活污水依托当地居民旱厕处理，定期由吸污车清掏外运；洗漱</w:t>
            </w:r>
            <w:r>
              <w:rPr>
                <w:rFonts w:hint="default" w:ascii="Times New Roman" w:hAnsi="Times New Roman" w:eastAsia="宋体" w:cs="Times New Roman"/>
                <w:color w:val="auto"/>
                <w:kern w:val="2"/>
                <w:sz w:val="24"/>
                <w:szCs w:val="24"/>
                <w:highlight w:val="none"/>
                <w:lang w:val="en-US" w:eastAsia="zh-CN" w:bidi="ar-SA"/>
              </w:rPr>
              <w:t>废水回用于洒水抑尘，不外排</w:t>
            </w:r>
            <w:r>
              <w:rPr>
                <w:rFonts w:hint="default" w:ascii="Times New Roman" w:hAnsi="Times New Roman" w:eastAsia="宋体" w:cs="Times New Roman"/>
                <w:color w:val="auto"/>
                <w:sz w:val="24"/>
                <w:highlight w:val="none"/>
                <w:lang w:val="en-US" w:eastAsia="zh-CN"/>
              </w:rPr>
              <w:t>；本项目运营期无废水排放，因此污染地块的环境风险小。项目施工期会对建设地址的土壤造成扰动，施工结束后进行生态复绿，对所在地的土壤环境影响较小。本项目符合土壤污染风险一般管空区的管控要求。</w:t>
            </w:r>
          </w:p>
          <w:p w14:paraId="4B298BEF">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项目建设符合</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w:t>
            </w:r>
            <w:r>
              <w:rPr>
                <w:rFonts w:hint="default" w:ascii="Times New Roman" w:hAnsi="Times New Roman" w:cs="Times New Roman"/>
                <w:color w:val="auto"/>
                <w:sz w:val="24"/>
                <w:lang w:val="en-US" w:eastAsia="zh-CN"/>
              </w:rPr>
              <w:t>一般管控区</w:t>
            </w:r>
            <w:r>
              <w:rPr>
                <w:rFonts w:hint="default" w:ascii="Times New Roman" w:hAnsi="Times New Roman" w:eastAsia="宋体" w:cs="Times New Roman"/>
                <w:color w:val="auto"/>
                <w:sz w:val="24"/>
              </w:rPr>
              <w:t>管控要求，不会突破土壤环境风险管控底线。</w:t>
            </w:r>
          </w:p>
          <w:p w14:paraId="52945CCD">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本项目与</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市土壤污染风险防控分区位置关系见附图4。</w:t>
            </w:r>
          </w:p>
          <w:p w14:paraId="298DAE55">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综上所述，本项目建设符合环境质量底线和分区管控的要求。</w:t>
            </w:r>
          </w:p>
          <w:p w14:paraId="17F38900">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（3）资源利用上线</w:t>
            </w:r>
          </w:p>
          <w:p w14:paraId="61450DFD">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①水资源利用上线</w:t>
            </w:r>
          </w:p>
          <w:p w14:paraId="487C9882">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本项目用水为施工</w:t>
            </w:r>
            <w:r>
              <w:rPr>
                <w:rFonts w:hint="default" w:ascii="Times New Roman" w:hAnsi="Times New Roman" w:cs="Times New Roman"/>
                <w:color w:val="auto"/>
                <w:sz w:val="24"/>
                <w:lang w:val="en-US" w:eastAsia="zh-CN"/>
              </w:rPr>
              <w:t>期</w:t>
            </w:r>
            <w:r>
              <w:rPr>
                <w:rFonts w:hint="default" w:ascii="Times New Roman" w:hAnsi="Times New Roman" w:eastAsia="宋体" w:cs="Times New Roman"/>
                <w:color w:val="auto"/>
                <w:sz w:val="24"/>
              </w:rPr>
              <w:t>生活用水，用水量</w:t>
            </w:r>
            <w:r>
              <w:rPr>
                <w:rFonts w:hint="default" w:ascii="Times New Roman" w:hAnsi="Times New Roman" w:cs="Times New Roman"/>
                <w:color w:val="auto"/>
                <w:sz w:val="24"/>
                <w:lang w:val="en-US" w:eastAsia="zh-CN"/>
              </w:rPr>
              <w:t>较小</w:t>
            </w:r>
            <w:r>
              <w:rPr>
                <w:rFonts w:hint="default" w:ascii="Times New Roman" w:hAnsi="Times New Roman" w:eastAsia="宋体" w:cs="Times New Roman"/>
                <w:color w:val="auto"/>
                <w:sz w:val="24"/>
              </w:rPr>
              <w:t>，本项目建设不会突破</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市水资源利用上线，符合</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市水资源利用上线要求。</w:t>
            </w:r>
          </w:p>
          <w:p w14:paraId="5AC8645D">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②土地资源利用上线</w:t>
            </w:r>
          </w:p>
          <w:p w14:paraId="35811C3A">
            <w:pPr>
              <w:keepNext/>
              <w:keepLines/>
              <w:ind w:firstLine="512"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cs="Times New Roman"/>
                <w:color w:val="auto"/>
                <w:sz w:val="24"/>
                <w:highlight w:val="none"/>
                <w:lang w:val="en-US" w:eastAsia="zh-CN"/>
              </w:rPr>
              <w:t>中卫市生态环境分区管控方案文本</w:t>
            </w:r>
            <w:r>
              <w:rPr>
                <w:rFonts w:hint="default" w:ascii="Times New Roman" w:hAnsi="Times New Roman" w:eastAsia="宋体" w:cs="Times New Roman"/>
                <w:color w:val="auto"/>
                <w:sz w:val="24"/>
                <w:highlight w:val="none"/>
                <w:lang w:val="en-US" w:eastAsia="zh-CN"/>
              </w:rPr>
              <w:t>》，中卫市无土地资源重点管控区，所以本项目所在区域不属于土地资源重点管控区。本项目不新增临时占地。</w:t>
            </w:r>
          </w:p>
          <w:p w14:paraId="203EC0BF">
            <w:pPr>
              <w:keepNext/>
              <w:keepLines/>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③能源（煤炭）资源利用上线</w:t>
            </w:r>
          </w:p>
          <w:p w14:paraId="0A16C1F9">
            <w:pPr>
              <w:keepNext/>
              <w:keepLines/>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本项目不消耗煤炭资源。符合能源（煤炭）资源利用上线要求。</w:t>
            </w:r>
          </w:p>
          <w:p w14:paraId="04039E43">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（4）环境管控单元与准入清单</w:t>
            </w:r>
          </w:p>
          <w:p w14:paraId="2B5AE51D">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①环境管控单元</w:t>
            </w:r>
          </w:p>
          <w:p w14:paraId="620F39CC">
            <w:pPr>
              <w:ind w:firstLine="512"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rPr>
              <w:t>对照《</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市环境管控单元图》，本项目</w:t>
            </w:r>
            <w:r>
              <w:rPr>
                <w:rFonts w:hint="default" w:ascii="Times New Roman" w:hAnsi="Times New Roman" w:cs="Times New Roman"/>
                <w:color w:val="auto"/>
                <w:sz w:val="24"/>
                <w:lang w:val="en-US" w:eastAsia="zh-CN"/>
              </w:rPr>
              <w:t>位于优先保护单元。</w:t>
            </w:r>
          </w:p>
          <w:p w14:paraId="6296ED93">
            <w:pPr>
              <w:ind w:firstLine="512"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优先保护单元</w:t>
            </w:r>
            <w:r>
              <w:rPr>
                <w:rFonts w:hint="default" w:ascii="Times New Roman" w:hAnsi="Times New Roman" w:cs="Times New Roman"/>
                <w:color w:val="auto"/>
                <w:sz w:val="24"/>
                <w:lang w:val="en-US" w:eastAsia="zh-CN"/>
              </w:rPr>
              <w:t>管控要求为</w:t>
            </w:r>
            <w:r>
              <w:rPr>
                <w:rFonts w:hint="default" w:ascii="Times New Roman" w:hAnsi="Times New Roman" w:eastAsia="宋体" w:cs="Times New Roman"/>
                <w:color w:val="auto"/>
                <w:sz w:val="24"/>
                <w:lang w:val="en-US" w:eastAsia="zh-CN"/>
              </w:rPr>
              <w:t>：为生态保护红线、一般生态空间、水环境优先保护区、大气环境优先保护区的并集。优先保护单元以严格保护生态环境、严格限制产业发展为导向，禁止或限制大规模的工业开发和城镇建设</w:t>
            </w:r>
            <w:r>
              <w:rPr>
                <w:rFonts w:hint="default" w:ascii="Times New Roman" w:hAnsi="Times New Roman" w:cs="Times New Roman"/>
                <w:color w:val="auto"/>
                <w:sz w:val="24"/>
                <w:lang w:val="en-US" w:eastAsia="zh-CN"/>
              </w:rPr>
              <w:t>。</w:t>
            </w:r>
          </w:p>
          <w:p w14:paraId="3612FE8D">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本项目为</w:t>
            </w:r>
            <w:r>
              <w:rPr>
                <w:rFonts w:hint="default" w:ascii="Times New Roman" w:hAnsi="Times New Roman" w:cs="Times New Roman"/>
                <w:color w:val="auto"/>
                <w:sz w:val="24"/>
                <w:lang w:val="en-US" w:eastAsia="zh-CN"/>
              </w:rPr>
              <w:t>矿山生态环境恢复项目</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为生态类项目，不</w:t>
            </w:r>
            <w:r>
              <w:rPr>
                <w:rFonts w:hint="default" w:ascii="Times New Roman" w:hAnsi="Times New Roman" w:cs="Times New Roman"/>
                <w:color w:val="auto"/>
                <w:sz w:val="24"/>
                <w:lang w:val="en-US" w:eastAsia="zh-CN"/>
              </w:rPr>
              <w:t>属于</w:t>
            </w:r>
            <w:r>
              <w:rPr>
                <w:rFonts w:hint="default" w:ascii="Times New Roman" w:hAnsi="Times New Roman" w:eastAsia="宋体" w:cs="Times New Roman"/>
                <w:color w:val="auto"/>
                <w:sz w:val="24"/>
              </w:rPr>
              <w:t>工业项目，</w:t>
            </w:r>
            <w:r>
              <w:rPr>
                <w:rFonts w:hint="default" w:ascii="Times New Roman" w:hAnsi="Times New Roman" w:cs="Times New Roman"/>
                <w:color w:val="auto"/>
                <w:sz w:val="24"/>
                <w:lang w:val="en-US" w:eastAsia="zh-CN"/>
              </w:rPr>
              <w:t>并且项目的建设有利于提升区域生态环境，项目建成后，不会对环境产生不利影响。</w:t>
            </w:r>
          </w:p>
          <w:p w14:paraId="11DDFA23">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本项目与</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市环境管控单元分布图位置关系见附图5。</w:t>
            </w:r>
          </w:p>
          <w:p w14:paraId="788A2FA9">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②生态环境准入清单</w:t>
            </w:r>
          </w:p>
          <w:p w14:paraId="6429F515">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市生态环境准入清单》，项目所在区域属于</w:t>
            </w:r>
            <w:r>
              <w:rPr>
                <w:rFonts w:hint="default" w:ascii="Times New Roman" w:hAnsi="Times New Roman" w:cs="Times New Roman"/>
                <w:color w:val="auto"/>
                <w:sz w:val="24"/>
                <w:lang w:eastAsia="zh-CN"/>
              </w:rPr>
              <w:t>沙坡头区永康镇-宣和镇-常乐镇生态空间优先保护单元</w:t>
            </w:r>
            <w:r>
              <w:rPr>
                <w:rFonts w:hint="default" w:ascii="Times New Roman" w:hAnsi="Times New Roman" w:eastAsia="宋体" w:cs="Times New Roman"/>
                <w:color w:val="auto"/>
                <w:sz w:val="24"/>
              </w:rPr>
              <w:t>，项目与</w:t>
            </w:r>
            <w:r>
              <w:rPr>
                <w:rFonts w:hint="default" w:ascii="Times New Roman" w:hAnsi="Times New Roman" w:cs="Times New Roman"/>
                <w:color w:val="auto"/>
                <w:sz w:val="24"/>
                <w:lang w:eastAsia="zh-CN"/>
              </w:rPr>
              <w:t>中卫</w:t>
            </w:r>
            <w:r>
              <w:rPr>
                <w:rFonts w:hint="default" w:ascii="Times New Roman" w:hAnsi="Times New Roman" w:eastAsia="宋体" w:cs="Times New Roman"/>
                <w:color w:val="auto"/>
                <w:sz w:val="24"/>
              </w:rPr>
              <w:t>市生态环境总体准入清单符合性分析见表1-</w:t>
            </w:r>
            <w:r>
              <w:rPr>
                <w:rFonts w:hint="default" w:ascii="Times New Roman" w:hAnsi="Times New Roman" w:cs="Times New Roman"/>
                <w:color w:val="auto"/>
                <w:sz w:val="24"/>
                <w:lang w:val="en-US" w:eastAsia="zh-CN"/>
              </w:rPr>
              <w:t>1</w:t>
            </w:r>
            <w:r>
              <w:rPr>
                <w:rFonts w:hint="default" w:ascii="Times New Roman" w:hAnsi="Times New Roman" w:eastAsia="宋体" w:cs="Times New Roman"/>
                <w:color w:val="auto"/>
                <w:sz w:val="24"/>
              </w:rPr>
              <w:t>。与</w:t>
            </w:r>
            <w:r>
              <w:rPr>
                <w:rFonts w:hint="default" w:ascii="Times New Roman" w:hAnsi="Times New Roman" w:cs="Times New Roman"/>
                <w:color w:val="auto"/>
                <w:sz w:val="24"/>
                <w:lang w:val="en-US" w:eastAsia="zh-CN"/>
              </w:rPr>
              <w:t>中卫市</w:t>
            </w:r>
            <w:r>
              <w:rPr>
                <w:rFonts w:hint="default" w:ascii="Times New Roman" w:hAnsi="Times New Roman" w:eastAsia="宋体" w:cs="Times New Roman"/>
                <w:color w:val="auto"/>
                <w:sz w:val="24"/>
              </w:rPr>
              <w:t>管控单元符合性分析见表1-</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rPr>
              <w:t>。</w:t>
            </w:r>
          </w:p>
          <w:p w14:paraId="26B65BAE">
            <w:pPr>
              <w:jc w:val="center"/>
              <w:rPr>
                <w:rFonts w:hint="default" w:ascii="Times New Roman" w:hAnsi="Times New Roman" w:cs="Times New Roman"/>
                <w:color w:val="auto"/>
              </w:rPr>
            </w:pPr>
            <w:r>
              <w:rPr>
                <w:rFonts w:hint="default" w:ascii="Times New Roman" w:hAnsi="Times New Roman" w:eastAsia="黑体" w:cs="Times New Roman"/>
                <w:color w:val="auto"/>
                <w:sz w:val="24"/>
              </w:rPr>
              <w:t>表1-</w:t>
            </w:r>
            <w:r>
              <w:rPr>
                <w:rFonts w:hint="default" w:ascii="Times New Roman" w:hAnsi="Times New Roman" w:eastAsia="黑体" w:cs="Times New Roman"/>
                <w:color w:val="auto"/>
                <w:sz w:val="24"/>
                <w:lang w:val="en-US" w:eastAsia="zh-CN"/>
              </w:rPr>
              <w:t>1</w:t>
            </w:r>
            <w:r>
              <w:rPr>
                <w:rFonts w:hint="default" w:ascii="Times New Roman" w:hAnsi="Times New Roman" w:eastAsia="黑体" w:cs="Times New Roman"/>
                <w:color w:val="auto"/>
                <w:sz w:val="24"/>
              </w:rPr>
              <w:t xml:space="preserve">  项目与</w:t>
            </w:r>
            <w:r>
              <w:rPr>
                <w:rFonts w:hint="default" w:ascii="Times New Roman" w:hAnsi="Times New Roman" w:eastAsia="黑体" w:cs="Times New Roman"/>
                <w:color w:val="auto"/>
                <w:sz w:val="24"/>
                <w:lang w:eastAsia="zh-CN"/>
              </w:rPr>
              <w:t>中卫</w:t>
            </w:r>
            <w:r>
              <w:rPr>
                <w:rFonts w:hint="default" w:ascii="Times New Roman" w:hAnsi="Times New Roman" w:eastAsia="黑体" w:cs="Times New Roman"/>
                <w:color w:val="auto"/>
                <w:sz w:val="24"/>
              </w:rPr>
              <w:t>市生态环境总体准入清单符合性分析</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20"/>
              <w:gridCol w:w="841"/>
              <w:gridCol w:w="3528"/>
              <w:gridCol w:w="2398"/>
              <w:gridCol w:w="608"/>
            </w:tblGrid>
            <w:tr w14:paraId="6D50B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39" w:hRule="atLeast"/>
                <w:tblHeader/>
                <w:jc w:val="center"/>
              </w:trPr>
              <w:tc>
                <w:tcPr>
                  <w:tcW w:w="1260" w:type="dxa"/>
                  <w:gridSpan w:val="2"/>
                  <w:tcBorders>
                    <w:tl2br w:val="nil"/>
                    <w:tr2bl w:val="nil"/>
                  </w:tcBorders>
                  <w:noWrap w:val="0"/>
                  <w:vAlign w:val="center"/>
                </w:tcPr>
                <w:p w14:paraId="529D76F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w:t>
                  </w:r>
                </w:p>
                <w:p w14:paraId="58094BC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维度</w:t>
                  </w:r>
                </w:p>
              </w:tc>
              <w:tc>
                <w:tcPr>
                  <w:tcW w:w="3525" w:type="dxa"/>
                  <w:tcBorders>
                    <w:tl2br w:val="nil"/>
                    <w:tr2bl w:val="nil"/>
                  </w:tcBorders>
                  <w:noWrap w:val="0"/>
                  <w:vAlign w:val="center"/>
                </w:tcPr>
                <w:p w14:paraId="27C5FE84">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2396" w:type="dxa"/>
                  <w:tcBorders>
                    <w:tl2br w:val="nil"/>
                    <w:tr2bl w:val="nil"/>
                  </w:tcBorders>
                  <w:noWrap w:val="0"/>
                  <w:vAlign w:val="center"/>
                </w:tcPr>
                <w:p w14:paraId="2DB4EADE">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608" w:type="dxa"/>
                  <w:tcBorders>
                    <w:tl2br w:val="nil"/>
                    <w:tr2bl w:val="nil"/>
                  </w:tcBorders>
                  <w:noWrap w:val="0"/>
                  <w:vAlign w:val="center"/>
                </w:tcPr>
                <w:p w14:paraId="59F96CA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6417F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restart"/>
                  <w:tcBorders>
                    <w:tl2br w:val="nil"/>
                    <w:tr2bl w:val="nil"/>
                  </w:tcBorders>
                  <w:noWrap w:val="0"/>
                  <w:vAlign w:val="center"/>
                </w:tcPr>
                <w:p w14:paraId="2425F5F0">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A1</w:t>
                  </w:r>
                </w:p>
                <w:p w14:paraId="20DAD16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空间布局约束</w:t>
                  </w:r>
                </w:p>
              </w:tc>
              <w:tc>
                <w:tcPr>
                  <w:tcW w:w="840" w:type="dxa"/>
                  <w:vMerge w:val="restart"/>
                  <w:tcBorders>
                    <w:tl2br w:val="nil"/>
                    <w:tr2bl w:val="nil"/>
                  </w:tcBorders>
                  <w:noWrap w:val="0"/>
                  <w:vAlign w:val="center"/>
                </w:tcPr>
                <w:p w14:paraId="1522A6C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A1.1禁止开发建设活动的要求</w:t>
                  </w:r>
                </w:p>
              </w:tc>
              <w:tc>
                <w:tcPr>
                  <w:tcW w:w="3525" w:type="dxa"/>
                  <w:tcBorders>
                    <w:tl2br w:val="nil"/>
                    <w:tr2bl w:val="nil"/>
                  </w:tcBorders>
                  <w:noWrap w:val="0"/>
                  <w:vAlign w:val="center"/>
                </w:tcPr>
                <w:p w14:paraId="608E703A">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严禁在黄河干流及主要支流临岸1公里范围内新建“两高一资”项目及相关产业园区。</w:t>
                  </w:r>
                </w:p>
              </w:tc>
              <w:tc>
                <w:tcPr>
                  <w:tcW w:w="2396" w:type="dxa"/>
                  <w:tcBorders>
                    <w:tl2br w:val="nil"/>
                    <w:tr2bl w:val="nil"/>
                  </w:tcBorders>
                  <w:noWrap w:val="0"/>
                  <w:vAlign w:val="center"/>
                </w:tcPr>
                <w:p w14:paraId="6A5F390B">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0C92857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FC9F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7323D60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2B1B2DF0">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64A20862">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黄河沿线两岸3公里范围内不再新建养殖场。</w:t>
                  </w:r>
                </w:p>
              </w:tc>
              <w:tc>
                <w:tcPr>
                  <w:tcW w:w="2396" w:type="dxa"/>
                  <w:tcBorders>
                    <w:tl2br w:val="nil"/>
                    <w:tr2bl w:val="nil"/>
                  </w:tcBorders>
                  <w:noWrap w:val="0"/>
                  <w:vAlign w:val="center"/>
                </w:tcPr>
                <w:p w14:paraId="71E26081">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788BD4C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37E42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51598551">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3C3A5184">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06FCC548">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所有工业企业原则上一律入园，工业园区及产业集聚区外不再建设工业项目。</w:t>
                  </w:r>
                </w:p>
              </w:tc>
              <w:tc>
                <w:tcPr>
                  <w:tcW w:w="2396" w:type="dxa"/>
                  <w:tcBorders>
                    <w:tl2br w:val="nil"/>
                    <w:tr2bl w:val="nil"/>
                  </w:tcBorders>
                  <w:noWrap w:val="0"/>
                  <w:vAlign w:val="center"/>
                </w:tcPr>
                <w:p w14:paraId="4F58F33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79FDC3E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187C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668FB304">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369AC4D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4E0A2C5E">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禁止露天焚烧产生有毒有害烟尘和恶臭气体的物质或将其用作燃料。</w:t>
                  </w:r>
                </w:p>
              </w:tc>
              <w:tc>
                <w:tcPr>
                  <w:tcW w:w="2396" w:type="dxa"/>
                  <w:tcBorders>
                    <w:tl2br w:val="nil"/>
                    <w:tr2bl w:val="nil"/>
                  </w:tcBorders>
                  <w:noWrap w:val="0"/>
                  <w:vAlign w:val="center"/>
                </w:tcPr>
                <w:p w14:paraId="46B084FE">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6E2DCE0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F7E0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2AB3BBE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1DC67165">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45FFCAEF">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除已列入计划内项目，“十四五”期间不再新增燃煤自备电厂（区域背压式供热机组除外）。</w:t>
                  </w:r>
                </w:p>
              </w:tc>
              <w:tc>
                <w:tcPr>
                  <w:tcW w:w="2396" w:type="dxa"/>
                  <w:tcBorders>
                    <w:tl2br w:val="nil"/>
                    <w:tr2bl w:val="nil"/>
                  </w:tcBorders>
                  <w:noWrap w:val="0"/>
                  <w:vAlign w:val="center"/>
                </w:tcPr>
                <w:p w14:paraId="5F8FDF3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39EC3CC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73B4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745A3A7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582D24E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554956B6">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严禁在优先保护类耕地集中区域新建污染土壤的行业企业。</w:t>
                  </w:r>
                </w:p>
              </w:tc>
              <w:tc>
                <w:tcPr>
                  <w:tcW w:w="2396" w:type="dxa"/>
                  <w:tcBorders>
                    <w:tl2br w:val="nil"/>
                    <w:tr2bl w:val="nil"/>
                  </w:tcBorders>
                  <w:noWrap w:val="0"/>
                  <w:vAlign w:val="center"/>
                </w:tcPr>
                <w:p w14:paraId="2D73A945">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7CAE630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7AAD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4384BB2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tcBorders>
                    <w:tl2br w:val="nil"/>
                    <w:tr2bl w:val="nil"/>
                  </w:tcBorders>
                  <w:noWrap w:val="0"/>
                  <w:vAlign w:val="center"/>
                </w:tcPr>
                <w:p w14:paraId="6AA9108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A1.2限制开发建设活动的要求</w:t>
                  </w:r>
                </w:p>
              </w:tc>
              <w:tc>
                <w:tcPr>
                  <w:tcW w:w="3525" w:type="dxa"/>
                  <w:tcBorders>
                    <w:tl2br w:val="nil"/>
                    <w:tr2bl w:val="nil"/>
                  </w:tcBorders>
                  <w:noWrap w:val="0"/>
                  <w:vAlign w:val="center"/>
                </w:tcPr>
                <w:p w14:paraId="1E21D272">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w:t>
                  </w:r>
                </w:p>
                <w:p w14:paraId="19553222">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量减量置换要求。</w:t>
                  </w:r>
                </w:p>
              </w:tc>
              <w:tc>
                <w:tcPr>
                  <w:tcW w:w="2396" w:type="dxa"/>
                  <w:tcBorders>
                    <w:tl2br w:val="nil"/>
                    <w:tr2bl w:val="nil"/>
                  </w:tcBorders>
                  <w:noWrap w:val="0"/>
                  <w:vAlign w:val="center"/>
                </w:tcPr>
                <w:p w14:paraId="0DB57762">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结构调整指导目录(2024年本)》，本项目属于“第一类鼓励类”中第四十二项“环境保护与资源节约综合利用”中的项目（“矿山生态环境恢复工程”）。因此，本项目符合国家和地方相关产业政策。本项目位于中卫市“三线一单”</w:t>
                  </w:r>
                  <w:r>
                    <w:rPr>
                      <w:rFonts w:hint="default" w:ascii="Times New Roman" w:hAnsi="Times New Roman" w:eastAsia="宋体" w:cs="Times New Roman"/>
                      <w:color w:val="auto"/>
                      <w:sz w:val="21"/>
                      <w:szCs w:val="21"/>
                      <w:lang w:val="en-US" w:eastAsia="zh-CN"/>
                    </w:rPr>
                    <w:t>优先保护单元</w:t>
                  </w:r>
                  <w:r>
                    <w:rPr>
                      <w:rFonts w:hint="default" w:ascii="Times New Roman" w:hAnsi="Times New Roman" w:eastAsia="宋体" w:cs="Times New Roman"/>
                      <w:color w:val="auto"/>
                      <w:sz w:val="21"/>
                      <w:szCs w:val="21"/>
                    </w:rPr>
                    <w:t>，符合相关要求。</w:t>
                  </w:r>
                </w:p>
              </w:tc>
              <w:tc>
                <w:tcPr>
                  <w:tcW w:w="608" w:type="dxa"/>
                  <w:tcBorders>
                    <w:tl2br w:val="nil"/>
                    <w:tr2bl w:val="nil"/>
                  </w:tcBorders>
                  <w:noWrap w:val="0"/>
                  <w:vAlign w:val="center"/>
                </w:tcPr>
                <w:p w14:paraId="06F0B81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6457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157AA7A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restart"/>
                  <w:tcBorders>
                    <w:tl2br w:val="nil"/>
                    <w:tr2bl w:val="nil"/>
                  </w:tcBorders>
                  <w:noWrap w:val="0"/>
                  <w:vAlign w:val="center"/>
                </w:tcPr>
                <w:p w14:paraId="538DDCB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A1.3不符合空间布局要求活动的退出要求</w:t>
                  </w:r>
                </w:p>
              </w:tc>
              <w:tc>
                <w:tcPr>
                  <w:tcW w:w="3525" w:type="dxa"/>
                  <w:tcBorders>
                    <w:tl2br w:val="nil"/>
                    <w:tr2bl w:val="nil"/>
                  </w:tcBorders>
                  <w:noWrap w:val="0"/>
                  <w:vAlign w:val="center"/>
                </w:tcPr>
                <w:p w14:paraId="4E3C2112">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对列入建设用地土壤污染风险管控和修复名录需要实施修复的地块，土壤污染责任人应当按照规定编制修复方案，报所在地生态环境主管部门备案并实施。</w:t>
                  </w:r>
                </w:p>
              </w:tc>
              <w:tc>
                <w:tcPr>
                  <w:tcW w:w="2396" w:type="dxa"/>
                  <w:tcBorders>
                    <w:tl2br w:val="nil"/>
                    <w:tr2bl w:val="nil"/>
                  </w:tcBorders>
                  <w:noWrap w:val="0"/>
                  <w:vAlign w:val="center"/>
                </w:tcPr>
                <w:p w14:paraId="65D8587E">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cs="Times New Roman"/>
                      <w:color w:val="auto"/>
                      <w:sz w:val="21"/>
                      <w:szCs w:val="21"/>
                      <w:lang w:val="en-US" w:eastAsia="zh-CN"/>
                    </w:rPr>
                    <w:t>不涉及。</w:t>
                  </w:r>
                </w:p>
              </w:tc>
              <w:tc>
                <w:tcPr>
                  <w:tcW w:w="608" w:type="dxa"/>
                  <w:tcBorders>
                    <w:tl2br w:val="nil"/>
                    <w:tr2bl w:val="nil"/>
                  </w:tcBorders>
                  <w:noWrap w:val="0"/>
                  <w:vAlign w:val="center"/>
                </w:tcPr>
                <w:p w14:paraId="4DBD4251">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8139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79A94BF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080FA9CB">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76A008F8">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严格管控自然保护地范围内非生态活动，稳妥推进核心区内居民、耕地、矿权有序退出。</w:t>
                  </w:r>
                </w:p>
              </w:tc>
              <w:tc>
                <w:tcPr>
                  <w:tcW w:w="2396" w:type="dxa"/>
                  <w:tcBorders>
                    <w:tl2br w:val="nil"/>
                    <w:tr2bl w:val="nil"/>
                  </w:tcBorders>
                  <w:noWrap w:val="0"/>
                  <w:vAlign w:val="center"/>
                </w:tcPr>
                <w:p w14:paraId="540DBCC9">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本项目不涉及自然保护地范围。</w:t>
                  </w:r>
                </w:p>
              </w:tc>
              <w:tc>
                <w:tcPr>
                  <w:tcW w:w="608" w:type="dxa"/>
                  <w:tcBorders>
                    <w:tl2br w:val="nil"/>
                    <w:tr2bl w:val="nil"/>
                  </w:tcBorders>
                  <w:noWrap w:val="0"/>
                  <w:vAlign w:val="center"/>
                </w:tcPr>
                <w:p w14:paraId="74A5CB7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74B5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05CF12C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52C75D1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2AD01767">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对所有现状不达标的养殖场，明确治理时限和治理措施，在规定时间内不能完成污染治理的养殖场，要按照有关规定实施严肃处罚。</w:t>
                  </w:r>
                </w:p>
              </w:tc>
              <w:tc>
                <w:tcPr>
                  <w:tcW w:w="2396" w:type="dxa"/>
                  <w:tcBorders>
                    <w:tl2br w:val="nil"/>
                    <w:tr2bl w:val="nil"/>
                  </w:tcBorders>
                  <w:noWrap w:val="0"/>
                  <w:vAlign w:val="center"/>
                </w:tcPr>
                <w:p w14:paraId="6F49E82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7E132F6B">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D70D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57695AF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31E3CF8E">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56087932">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w:t>
                  </w:r>
                </w:p>
                <w:p w14:paraId="1F4B735E">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要求。</w:t>
                  </w:r>
                </w:p>
              </w:tc>
              <w:tc>
                <w:tcPr>
                  <w:tcW w:w="2396" w:type="dxa"/>
                  <w:tcBorders>
                    <w:tl2br w:val="nil"/>
                    <w:tr2bl w:val="nil"/>
                  </w:tcBorders>
                  <w:noWrap w:val="0"/>
                  <w:vAlign w:val="center"/>
                </w:tcPr>
                <w:p w14:paraId="6155DB9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533DF90A">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309A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restart"/>
                  <w:tcBorders>
                    <w:tl2br w:val="nil"/>
                    <w:tr2bl w:val="nil"/>
                  </w:tcBorders>
                  <w:noWrap w:val="0"/>
                  <w:vAlign w:val="center"/>
                </w:tcPr>
                <w:p w14:paraId="7BFC91B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A2</w:t>
                  </w:r>
                </w:p>
                <w:p w14:paraId="031F8AA5">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污染物排放管控</w:t>
                  </w:r>
                </w:p>
              </w:tc>
              <w:tc>
                <w:tcPr>
                  <w:tcW w:w="840" w:type="dxa"/>
                  <w:vMerge w:val="restart"/>
                  <w:tcBorders>
                    <w:tl2br w:val="nil"/>
                    <w:tr2bl w:val="nil"/>
                  </w:tcBorders>
                  <w:noWrap w:val="0"/>
                  <w:vAlign w:val="center"/>
                </w:tcPr>
                <w:p w14:paraId="41D56F41">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A2.1允许排放量要求</w:t>
                  </w:r>
                </w:p>
              </w:tc>
              <w:tc>
                <w:tcPr>
                  <w:tcW w:w="3525" w:type="dxa"/>
                  <w:tcBorders>
                    <w:tl2br w:val="nil"/>
                    <w:tr2bl w:val="nil"/>
                  </w:tcBorders>
                  <w:noWrap w:val="0"/>
                  <w:vAlign w:val="center"/>
                </w:tcPr>
                <w:p w14:paraId="36612890">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化学需氧量、氨氮、氮氧化物和挥发性有机物排放总量完成自治区下达任务。</w:t>
                  </w:r>
                </w:p>
              </w:tc>
              <w:tc>
                <w:tcPr>
                  <w:tcW w:w="2396" w:type="dxa"/>
                  <w:vMerge w:val="restart"/>
                  <w:tcBorders>
                    <w:tl2br w:val="nil"/>
                    <w:tr2bl w:val="nil"/>
                  </w:tcBorders>
                  <w:noWrap w:val="0"/>
                  <w:vAlign w:val="center"/>
                </w:tcPr>
                <w:p w14:paraId="1D9D4D6E">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vMerge w:val="restart"/>
                  <w:tcBorders>
                    <w:tl2br w:val="nil"/>
                    <w:tr2bl w:val="nil"/>
                  </w:tcBorders>
                  <w:noWrap w:val="0"/>
                  <w:vAlign w:val="center"/>
                </w:tcPr>
                <w:p w14:paraId="4242D90A">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424B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0E1A482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5C61DFF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2DA1321B">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和O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未达标城市，新、改、扩建项目实施更严格的污染物排放总量控制要求，所需二氧化硫、NOx、VOCs排放量指标要进行减量替代。</w:t>
                  </w:r>
                </w:p>
              </w:tc>
              <w:tc>
                <w:tcPr>
                  <w:tcW w:w="2396" w:type="dxa"/>
                  <w:vMerge w:val="continue"/>
                  <w:tcBorders>
                    <w:tl2br w:val="nil"/>
                    <w:tr2bl w:val="nil"/>
                  </w:tcBorders>
                  <w:noWrap w:val="0"/>
                  <w:vAlign w:val="center"/>
                </w:tcPr>
                <w:p w14:paraId="4BAB46C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08" w:type="dxa"/>
                  <w:vMerge w:val="continue"/>
                  <w:tcBorders>
                    <w:tl2br w:val="nil"/>
                    <w:tr2bl w:val="nil"/>
                  </w:tcBorders>
                  <w:noWrap w:val="0"/>
                  <w:vAlign w:val="center"/>
                </w:tcPr>
                <w:p w14:paraId="490FB86A">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4E676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00F0BB3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41A1C48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7FC0235D">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1.2:1。</w:t>
                  </w:r>
                </w:p>
              </w:tc>
              <w:tc>
                <w:tcPr>
                  <w:tcW w:w="2396" w:type="dxa"/>
                  <w:vMerge w:val="continue"/>
                  <w:tcBorders>
                    <w:tl2br w:val="nil"/>
                    <w:tr2bl w:val="nil"/>
                  </w:tcBorders>
                  <w:noWrap w:val="0"/>
                  <w:vAlign w:val="center"/>
                </w:tcPr>
                <w:p w14:paraId="3923955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08" w:type="dxa"/>
                  <w:vMerge w:val="continue"/>
                  <w:tcBorders>
                    <w:tl2br w:val="nil"/>
                    <w:tr2bl w:val="nil"/>
                  </w:tcBorders>
                  <w:noWrap w:val="0"/>
                  <w:vAlign w:val="center"/>
                </w:tcPr>
                <w:p w14:paraId="09D0F94E">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43309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4244CFF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42C299E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7B287EBB">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到2025年，中卫市畜禽养殖废物综合利用率达到95%，规模养殖场粪污处理设施装备配套率达到100%。</w:t>
                  </w:r>
                </w:p>
              </w:tc>
              <w:tc>
                <w:tcPr>
                  <w:tcW w:w="2396" w:type="dxa"/>
                  <w:vMerge w:val="continue"/>
                  <w:tcBorders>
                    <w:tl2br w:val="nil"/>
                    <w:tr2bl w:val="nil"/>
                  </w:tcBorders>
                  <w:noWrap w:val="0"/>
                  <w:vAlign w:val="center"/>
                </w:tcPr>
                <w:p w14:paraId="5A819535">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08" w:type="dxa"/>
                  <w:vMerge w:val="continue"/>
                  <w:tcBorders>
                    <w:tl2br w:val="nil"/>
                    <w:tr2bl w:val="nil"/>
                  </w:tcBorders>
                  <w:noWrap w:val="0"/>
                  <w:vAlign w:val="center"/>
                </w:tcPr>
                <w:p w14:paraId="4E60477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644F3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26DFD96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tcBorders>
                    <w:tl2br w:val="nil"/>
                    <w:tr2bl w:val="nil"/>
                  </w:tcBorders>
                  <w:noWrap w:val="0"/>
                  <w:vAlign w:val="center"/>
                </w:tcPr>
                <w:p w14:paraId="66B9E4C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A2.2现有源提标升级改造</w:t>
                  </w:r>
                </w:p>
              </w:tc>
              <w:tc>
                <w:tcPr>
                  <w:tcW w:w="3525" w:type="dxa"/>
                  <w:tcBorders>
                    <w:tl2br w:val="nil"/>
                    <w:tr2bl w:val="nil"/>
                  </w:tcBorders>
                  <w:noWrap w:val="0"/>
                  <w:vAlign w:val="center"/>
                </w:tcPr>
                <w:p w14:paraId="6C5AE8AF">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1.力争到2024年底，所有钢铁企业主要大气污染物基本达到超低排放指标限值；有序推进水泥行业超低排放改造计划，水泥熟料窑改造后氮氧化物排放浓度不高于 100 毫克/立方米；焦化企业参照《关于推进实施钢铁行业超低排放的意见》要求实施升级改造，改造后氮氧化物排放浓度不高于150毫克/立方米。</w:t>
                  </w:r>
                </w:p>
                <w:p w14:paraId="7B92A84E">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2.2024年底前，烧结、炼铁、炼钢轧钢、自备电厂等有组织排放污染物实行超低排放限值。</w:t>
                  </w:r>
                </w:p>
              </w:tc>
              <w:tc>
                <w:tcPr>
                  <w:tcW w:w="2396" w:type="dxa"/>
                  <w:tcBorders>
                    <w:tl2br w:val="nil"/>
                    <w:tr2bl w:val="nil"/>
                  </w:tcBorders>
                  <w:noWrap w:val="0"/>
                  <w:vAlign w:val="center"/>
                </w:tcPr>
                <w:p w14:paraId="2696F45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4415B8A0">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F37D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43" w:hRule="atLeast"/>
                <w:jc w:val="center"/>
              </w:trPr>
              <w:tc>
                <w:tcPr>
                  <w:tcW w:w="420" w:type="dxa"/>
                  <w:vMerge w:val="restart"/>
                  <w:tcBorders>
                    <w:tl2br w:val="nil"/>
                    <w:tr2bl w:val="nil"/>
                  </w:tcBorders>
                  <w:noWrap w:val="0"/>
                  <w:vAlign w:val="center"/>
                </w:tcPr>
                <w:p w14:paraId="19B5889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A3</w:t>
                  </w:r>
                </w:p>
                <w:p w14:paraId="1D265E2A">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环境风险防控</w:t>
                  </w:r>
                </w:p>
              </w:tc>
              <w:tc>
                <w:tcPr>
                  <w:tcW w:w="840" w:type="dxa"/>
                  <w:vMerge w:val="restart"/>
                  <w:tcBorders>
                    <w:tl2br w:val="nil"/>
                    <w:tr2bl w:val="nil"/>
                  </w:tcBorders>
                  <w:noWrap w:val="0"/>
                  <w:vAlign w:val="center"/>
                </w:tcPr>
                <w:p w14:paraId="7E89BEC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A3.1联防联控要求</w:t>
                  </w:r>
                </w:p>
              </w:tc>
              <w:tc>
                <w:tcPr>
                  <w:tcW w:w="3525" w:type="dxa"/>
                  <w:tcBorders>
                    <w:tl2br w:val="nil"/>
                    <w:tr2bl w:val="nil"/>
                  </w:tcBorders>
                  <w:noWrap w:val="0"/>
                  <w:vAlign w:val="center"/>
                </w:tcPr>
                <w:p w14:paraId="20FDE79A">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健全市生态环境局与公安、交通、应急、气象、水务等部门联动机制，细化落实各相关部门之间联防联控责任与任务分工，联合开展突发环境污染事件处置应急演练，提高联防联控实战能力。</w:t>
                  </w:r>
                </w:p>
              </w:tc>
              <w:tc>
                <w:tcPr>
                  <w:tcW w:w="2396" w:type="dxa"/>
                  <w:tcBorders>
                    <w:tl2br w:val="nil"/>
                    <w:tr2bl w:val="nil"/>
                  </w:tcBorders>
                  <w:noWrap w:val="0"/>
                  <w:vAlign w:val="center"/>
                </w:tcPr>
                <w:p w14:paraId="25414C0A">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本项目不涉及。</w:t>
                  </w:r>
                </w:p>
              </w:tc>
              <w:tc>
                <w:tcPr>
                  <w:tcW w:w="608" w:type="dxa"/>
                  <w:tcBorders>
                    <w:tl2br w:val="nil"/>
                    <w:tr2bl w:val="nil"/>
                  </w:tcBorders>
                  <w:noWrap w:val="0"/>
                  <w:vAlign w:val="center"/>
                </w:tcPr>
                <w:p w14:paraId="4E467CE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6C71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43" w:hRule="atLeast"/>
                <w:jc w:val="center"/>
              </w:trPr>
              <w:tc>
                <w:tcPr>
                  <w:tcW w:w="420" w:type="dxa"/>
                  <w:vMerge w:val="continue"/>
                  <w:tcBorders>
                    <w:tl2br w:val="nil"/>
                    <w:tr2bl w:val="nil"/>
                  </w:tcBorders>
                  <w:noWrap w:val="0"/>
                  <w:vAlign w:val="center"/>
                </w:tcPr>
                <w:p w14:paraId="066C1AD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rPr>
                  </w:pPr>
                </w:p>
              </w:tc>
              <w:tc>
                <w:tcPr>
                  <w:tcW w:w="840" w:type="dxa"/>
                  <w:vMerge w:val="continue"/>
                  <w:tcBorders>
                    <w:tl2br w:val="nil"/>
                    <w:tr2bl w:val="nil"/>
                  </w:tcBorders>
                  <w:noWrap w:val="0"/>
                  <w:vAlign w:val="center"/>
                </w:tcPr>
                <w:p w14:paraId="001F043A">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cs="Times New Roman"/>
                      <w:color w:val="auto"/>
                    </w:rPr>
                  </w:pPr>
                </w:p>
              </w:tc>
              <w:tc>
                <w:tcPr>
                  <w:tcW w:w="3525" w:type="dxa"/>
                  <w:tcBorders>
                    <w:tl2br w:val="nil"/>
                    <w:tr2bl w:val="nil"/>
                  </w:tcBorders>
                  <w:noWrap w:val="0"/>
                  <w:vAlign w:val="center"/>
                </w:tcPr>
                <w:p w14:paraId="4289301C">
                  <w:pPr>
                    <w:keepNext w:val="0"/>
                    <w:keepLines w:val="0"/>
                    <w:pageBreakBefore w:val="0"/>
                    <w:widowControl w:val="0"/>
                    <w:kinsoku/>
                    <w:wordWrap/>
                    <w:overflowPunct/>
                    <w:topLinePunct/>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黄河干流和主要支流为重点，严控石化、化工、有色金属、印染、原料药制造等行业企业环境风险，加强油气管道环境风险防范，开展新污染物环境调查监测和环境风险评估，推进流域突发环境风险调查与监控预警体系建设，构建市-县(区)-区域-企业四级应急物资储备网络。</w:t>
                  </w:r>
                </w:p>
              </w:tc>
              <w:tc>
                <w:tcPr>
                  <w:tcW w:w="2396" w:type="dxa"/>
                  <w:tcBorders>
                    <w:tl2br w:val="nil"/>
                    <w:tr2bl w:val="nil"/>
                  </w:tcBorders>
                  <w:noWrap w:val="0"/>
                  <w:vAlign w:val="center"/>
                </w:tcPr>
                <w:p w14:paraId="1142E1C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本项目不涉及。</w:t>
                  </w:r>
                </w:p>
              </w:tc>
              <w:tc>
                <w:tcPr>
                  <w:tcW w:w="608" w:type="dxa"/>
                  <w:tcBorders>
                    <w:tl2br w:val="nil"/>
                    <w:tr2bl w:val="nil"/>
                  </w:tcBorders>
                  <w:noWrap w:val="0"/>
                  <w:vAlign w:val="center"/>
                </w:tcPr>
                <w:p w14:paraId="51D31CA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6A7F3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7E36441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tcBorders>
                    <w:tl2br w:val="nil"/>
                    <w:tr2bl w:val="nil"/>
                  </w:tcBorders>
                  <w:noWrap w:val="0"/>
                  <w:vAlign w:val="center"/>
                </w:tcPr>
                <w:p w14:paraId="38211BC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A3.2企业环境风险防控要求</w:t>
                  </w:r>
                </w:p>
              </w:tc>
              <w:tc>
                <w:tcPr>
                  <w:tcW w:w="3525" w:type="dxa"/>
                  <w:tcBorders>
                    <w:tl2br w:val="nil"/>
                    <w:tr2bl w:val="nil"/>
                  </w:tcBorders>
                  <w:noWrap w:val="0"/>
                  <w:vAlign w:val="center"/>
                </w:tcPr>
                <w:p w14:paraId="2AE02FEC">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紧盯涉危险废物涉重金属企业、化工园区、水源地，强化环境应急三级防控体系建设，落实企业环境安全主体责任，推行企业突发环境事件应急预案电子备案。</w:t>
                  </w:r>
                </w:p>
              </w:tc>
              <w:tc>
                <w:tcPr>
                  <w:tcW w:w="2396" w:type="dxa"/>
                  <w:tcBorders>
                    <w:tl2br w:val="nil"/>
                    <w:tr2bl w:val="nil"/>
                  </w:tcBorders>
                  <w:noWrap w:val="0"/>
                  <w:vAlign w:val="center"/>
                </w:tcPr>
                <w:p w14:paraId="7B15CA2A">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tcBorders>
                    <w:tl2br w:val="nil"/>
                    <w:tr2bl w:val="nil"/>
                  </w:tcBorders>
                  <w:noWrap w:val="0"/>
                  <w:vAlign w:val="center"/>
                </w:tcPr>
                <w:p w14:paraId="2FECCF0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071C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restart"/>
                  <w:tcBorders>
                    <w:tl2br w:val="nil"/>
                    <w:tr2bl w:val="nil"/>
                  </w:tcBorders>
                  <w:noWrap w:val="0"/>
                  <w:vAlign w:val="center"/>
                </w:tcPr>
                <w:p w14:paraId="12071C8D">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A4</w:t>
                  </w:r>
                </w:p>
                <w:p w14:paraId="7B08B90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资源利用效率要求</w:t>
                  </w:r>
                </w:p>
              </w:tc>
              <w:tc>
                <w:tcPr>
                  <w:tcW w:w="840" w:type="dxa"/>
                  <w:vMerge w:val="restart"/>
                  <w:tcBorders>
                    <w:tl2br w:val="nil"/>
                    <w:tr2bl w:val="nil"/>
                  </w:tcBorders>
                  <w:noWrap w:val="0"/>
                  <w:vAlign w:val="center"/>
                </w:tcPr>
                <w:p w14:paraId="025367C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A4.1能源利用总量及效率要求</w:t>
                  </w:r>
                </w:p>
              </w:tc>
              <w:tc>
                <w:tcPr>
                  <w:tcW w:w="3525" w:type="dxa"/>
                  <w:tcBorders>
                    <w:tl2br w:val="nil"/>
                    <w:tr2bl w:val="nil"/>
                  </w:tcBorders>
                  <w:noWrap w:val="0"/>
                  <w:vAlign w:val="center"/>
                </w:tcPr>
                <w:p w14:paraId="79E30A87">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1.全面贯彻落实国家和自治区下达煤炭消费总量目标，严格控制耗煤行业煤炭新增量，优先保障民生供暖新增用煤需求。</w:t>
                  </w:r>
                </w:p>
                <w:p w14:paraId="64FC62DF">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2.新增产能必须符合国内先进能效标准。</w:t>
                  </w:r>
                </w:p>
              </w:tc>
              <w:tc>
                <w:tcPr>
                  <w:tcW w:w="2396" w:type="dxa"/>
                  <w:vMerge w:val="restart"/>
                  <w:tcBorders>
                    <w:tl2br w:val="nil"/>
                    <w:tr2bl w:val="nil"/>
                  </w:tcBorders>
                  <w:noWrap w:val="0"/>
                  <w:vAlign w:val="center"/>
                </w:tcPr>
                <w:p w14:paraId="2985CB29">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608" w:type="dxa"/>
                  <w:vMerge w:val="restart"/>
                  <w:tcBorders>
                    <w:tl2br w:val="nil"/>
                    <w:tr2bl w:val="nil"/>
                  </w:tcBorders>
                  <w:noWrap w:val="0"/>
                  <w:vAlign w:val="center"/>
                </w:tcPr>
                <w:p w14:paraId="07DDFE12">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CC4F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1F04E80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vMerge w:val="continue"/>
                  <w:tcBorders>
                    <w:tl2br w:val="nil"/>
                    <w:tr2bl w:val="nil"/>
                  </w:tcBorders>
                  <w:noWrap w:val="0"/>
                  <w:vAlign w:val="center"/>
                </w:tcPr>
                <w:p w14:paraId="3D16990C">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3525" w:type="dxa"/>
                  <w:tcBorders>
                    <w:tl2br w:val="nil"/>
                    <w:tr2bl w:val="nil"/>
                  </w:tcBorders>
                  <w:noWrap w:val="0"/>
                  <w:vAlign w:val="center"/>
                </w:tcPr>
                <w:p w14:paraId="384CC238">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国家大气污染防治重点区域内新建耗煤项目应严格按规定采取煤炭消费减量替代措施，不得使用高污染燃料作为煤炭减量替代措施。</w:t>
                  </w:r>
                </w:p>
              </w:tc>
              <w:tc>
                <w:tcPr>
                  <w:tcW w:w="2396" w:type="dxa"/>
                  <w:vMerge w:val="continue"/>
                  <w:tcBorders>
                    <w:tl2br w:val="nil"/>
                    <w:tr2bl w:val="nil"/>
                  </w:tcBorders>
                  <w:noWrap w:val="0"/>
                  <w:vAlign w:val="center"/>
                </w:tcPr>
                <w:p w14:paraId="60D8F876">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08" w:type="dxa"/>
                  <w:vMerge w:val="continue"/>
                  <w:tcBorders>
                    <w:tl2br w:val="nil"/>
                    <w:tr2bl w:val="nil"/>
                  </w:tcBorders>
                  <w:noWrap w:val="0"/>
                  <w:vAlign w:val="center"/>
                </w:tcPr>
                <w:p w14:paraId="704DB9E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BEB8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0" w:type="dxa"/>
                  <w:vMerge w:val="continue"/>
                  <w:tcBorders>
                    <w:tl2br w:val="nil"/>
                    <w:tr2bl w:val="nil"/>
                  </w:tcBorders>
                  <w:noWrap w:val="0"/>
                  <w:vAlign w:val="center"/>
                </w:tcPr>
                <w:p w14:paraId="5A8B6E47">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p>
              </w:tc>
              <w:tc>
                <w:tcPr>
                  <w:tcW w:w="840" w:type="dxa"/>
                  <w:tcBorders>
                    <w:tl2br w:val="nil"/>
                    <w:tr2bl w:val="nil"/>
                  </w:tcBorders>
                  <w:noWrap w:val="0"/>
                  <w:vAlign w:val="center"/>
                </w:tcPr>
                <w:p w14:paraId="6282FED8">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A4.2水资源利用总量及效率要求</w:t>
                  </w:r>
                </w:p>
              </w:tc>
              <w:tc>
                <w:tcPr>
                  <w:tcW w:w="3525" w:type="dxa"/>
                  <w:tcBorders>
                    <w:tl2br w:val="nil"/>
                    <w:tr2bl w:val="nil"/>
                  </w:tcBorders>
                  <w:noWrap w:val="0"/>
                  <w:vAlign w:val="center"/>
                </w:tcPr>
                <w:p w14:paraId="616E16ED">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建立水资源刚性约束制度，严格准入条件，按照地区取水总量限值审核新、改、扩建项目，取水总量不得超过地区水资源取用上限或承载能力。</w:t>
                  </w:r>
                </w:p>
              </w:tc>
              <w:tc>
                <w:tcPr>
                  <w:tcW w:w="2396" w:type="dxa"/>
                  <w:tcBorders>
                    <w:tl2br w:val="nil"/>
                    <w:tr2bl w:val="nil"/>
                  </w:tcBorders>
                  <w:noWrap w:val="0"/>
                  <w:vAlign w:val="center"/>
                </w:tcPr>
                <w:p w14:paraId="53207013">
                  <w:pPr>
                    <w:keepNext w:val="0"/>
                    <w:keepLines w:val="0"/>
                    <w:pageBreakBefore w:val="0"/>
                    <w:widowControl w:val="0"/>
                    <w:kinsoku/>
                    <w:wordWrap/>
                    <w:overflowPunct/>
                    <w:topLinePunct/>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本项目施工期生活用水采用外部拉运的方式或与周边</w:t>
                  </w:r>
                  <w:r>
                    <w:rPr>
                      <w:rFonts w:hint="default" w:ascii="Times New Roman" w:hAnsi="Times New Roman" w:eastAsia="宋体" w:cs="Times New Roman"/>
                      <w:color w:val="auto"/>
                      <w:sz w:val="21"/>
                      <w:szCs w:val="21"/>
                      <w:lang w:val="en-US" w:eastAsia="zh-CN"/>
                    </w:rPr>
                    <w:t>村庄</w:t>
                  </w:r>
                  <w:r>
                    <w:rPr>
                      <w:rFonts w:hint="default" w:ascii="Times New Roman" w:hAnsi="Times New Roman" w:eastAsia="宋体" w:cs="Times New Roman"/>
                      <w:color w:val="auto"/>
                      <w:sz w:val="21"/>
                      <w:szCs w:val="21"/>
                    </w:rPr>
                    <w:t>沟通协调水源供给。不会超过地区水资源取用上限或承载能力。</w:t>
                  </w:r>
                </w:p>
              </w:tc>
              <w:tc>
                <w:tcPr>
                  <w:tcW w:w="608" w:type="dxa"/>
                  <w:tcBorders>
                    <w:tl2br w:val="nil"/>
                    <w:tr2bl w:val="nil"/>
                  </w:tcBorders>
                  <w:noWrap w:val="0"/>
                  <w:vAlign w:val="center"/>
                </w:tcPr>
                <w:p w14:paraId="319A22E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A3F9273">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表1-</w:t>
            </w:r>
            <w:r>
              <w:rPr>
                <w:rFonts w:hint="default" w:ascii="Times New Roman" w:hAnsi="Times New Roman" w:eastAsia="黑体" w:cs="Times New Roman"/>
                <w:color w:val="auto"/>
                <w:sz w:val="24"/>
                <w:lang w:val="en-US" w:eastAsia="zh-CN"/>
              </w:rPr>
              <w:t>2</w:t>
            </w:r>
            <w:r>
              <w:rPr>
                <w:rFonts w:hint="default" w:ascii="Times New Roman" w:hAnsi="Times New Roman" w:eastAsia="黑体" w:cs="Times New Roman"/>
                <w:color w:val="auto"/>
                <w:sz w:val="24"/>
              </w:rPr>
              <w:t xml:space="preserve">  项目与</w:t>
            </w:r>
            <w:r>
              <w:rPr>
                <w:rFonts w:hint="default" w:ascii="Times New Roman" w:hAnsi="Times New Roman" w:eastAsia="黑体" w:cs="Times New Roman"/>
                <w:color w:val="auto"/>
                <w:sz w:val="24"/>
                <w:lang w:val="en-US" w:eastAsia="zh-CN"/>
              </w:rPr>
              <w:t>优先保护</w:t>
            </w:r>
            <w:r>
              <w:rPr>
                <w:rFonts w:hint="default" w:ascii="Times New Roman" w:hAnsi="Times New Roman" w:eastAsia="黑体" w:cs="Times New Roman"/>
                <w:color w:val="auto"/>
                <w:sz w:val="24"/>
              </w:rPr>
              <w:t>单元符合性分析</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24"/>
              <w:gridCol w:w="975"/>
              <w:gridCol w:w="3208"/>
              <w:gridCol w:w="2208"/>
              <w:gridCol w:w="580"/>
            </w:tblGrid>
            <w:tr w14:paraId="5735C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 w:type="dxa"/>
                  <w:tcBorders>
                    <w:tl2br w:val="nil"/>
                    <w:tr2bl w:val="nil"/>
                  </w:tcBorders>
                  <w:noWrap w:val="0"/>
                  <w:vAlign w:val="center"/>
                </w:tcPr>
                <w:p w14:paraId="66FF85C7">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管控单元名称</w:t>
                  </w:r>
                </w:p>
              </w:tc>
              <w:tc>
                <w:tcPr>
                  <w:tcW w:w="4183" w:type="dxa"/>
                  <w:gridSpan w:val="2"/>
                  <w:tcBorders>
                    <w:tl2br w:val="nil"/>
                    <w:tr2bl w:val="nil"/>
                  </w:tcBorders>
                  <w:noWrap w:val="0"/>
                  <w:vAlign w:val="center"/>
                </w:tcPr>
                <w:p w14:paraId="6A1955BC">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管控要求</w:t>
                  </w:r>
                </w:p>
              </w:tc>
              <w:tc>
                <w:tcPr>
                  <w:tcW w:w="2208" w:type="dxa"/>
                  <w:tcBorders>
                    <w:tl2br w:val="nil"/>
                    <w:tr2bl w:val="nil"/>
                  </w:tcBorders>
                  <w:noWrap w:val="0"/>
                  <w:vAlign w:val="center"/>
                </w:tcPr>
                <w:p w14:paraId="71F20D38">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本项目情况</w:t>
                  </w:r>
                </w:p>
              </w:tc>
              <w:tc>
                <w:tcPr>
                  <w:tcW w:w="580" w:type="dxa"/>
                  <w:tcBorders>
                    <w:tl2br w:val="nil"/>
                    <w:tr2bl w:val="nil"/>
                  </w:tcBorders>
                  <w:noWrap w:val="0"/>
                  <w:vAlign w:val="center"/>
                </w:tcPr>
                <w:p w14:paraId="0C321CCF">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符合性</w:t>
                  </w:r>
                </w:p>
              </w:tc>
            </w:tr>
            <w:tr w14:paraId="1CB19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95" w:hRule="atLeast"/>
                <w:jc w:val="center"/>
              </w:trPr>
              <w:tc>
                <w:tcPr>
                  <w:tcW w:w="824" w:type="dxa"/>
                  <w:vMerge w:val="restart"/>
                  <w:tcBorders>
                    <w:tl2br w:val="nil"/>
                    <w:tr2bl w:val="nil"/>
                  </w:tcBorders>
                  <w:noWrap w:val="0"/>
                  <w:vAlign w:val="center"/>
                </w:tcPr>
                <w:p w14:paraId="17CB717B">
                  <w:pPr>
                    <w:adjustRightInd w:val="0"/>
                    <w:snapToGrid w:val="0"/>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lang w:eastAsia="zh-CN"/>
                    </w:rPr>
                    <w:t>沙坡头区</w:t>
                  </w:r>
                  <w:r>
                    <w:rPr>
                      <w:rFonts w:hint="default" w:ascii="Times New Roman" w:hAnsi="Times New Roman" w:cs="Times New Roman"/>
                      <w:bCs/>
                      <w:color w:val="auto"/>
                      <w:kern w:val="0"/>
                      <w:szCs w:val="21"/>
                      <w:lang w:val="en-US" w:eastAsia="zh-CN"/>
                    </w:rPr>
                    <w:t>优先保护</w:t>
                  </w:r>
                  <w:r>
                    <w:rPr>
                      <w:rFonts w:hint="default" w:ascii="Times New Roman" w:hAnsi="Times New Roman" w:eastAsia="宋体" w:cs="Times New Roman"/>
                      <w:bCs/>
                      <w:color w:val="auto"/>
                      <w:kern w:val="0"/>
                      <w:szCs w:val="21"/>
                    </w:rPr>
                    <w:t>单元</w:t>
                  </w:r>
                  <w:r>
                    <w:rPr>
                      <w:rFonts w:hint="default" w:ascii="Times New Roman" w:hAnsi="Times New Roman" w:cs="Times New Roman"/>
                      <w:bCs/>
                      <w:color w:val="auto"/>
                      <w:kern w:val="0"/>
                      <w:szCs w:val="21"/>
                      <w:lang w:val="en-US" w:eastAsia="zh-CN"/>
                    </w:rPr>
                    <w:t>5</w:t>
                  </w:r>
                </w:p>
              </w:tc>
              <w:tc>
                <w:tcPr>
                  <w:tcW w:w="975" w:type="dxa"/>
                  <w:vMerge w:val="restart"/>
                  <w:tcBorders>
                    <w:tl2br w:val="nil"/>
                    <w:tr2bl w:val="nil"/>
                  </w:tcBorders>
                  <w:noWrap w:val="0"/>
                  <w:vAlign w:val="center"/>
                </w:tcPr>
                <w:p w14:paraId="339E4325">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空间布局约束</w:t>
                  </w:r>
                </w:p>
              </w:tc>
              <w:tc>
                <w:tcPr>
                  <w:tcW w:w="3208" w:type="dxa"/>
                  <w:tcBorders>
                    <w:tl2br w:val="nil"/>
                    <w:tr2bl w:val="nil"/>
                  </w:tcBorders>
                  <w:noWrap w:val="0"/>
                  <w:vAlign w:val="center"/>
                </w:tcPr>
                <w:p w14:paraId="004FAF53">
                  <w:pPr>
                    <w:adjustRightInd w:val="0"/>
                    <w:snapToGrid w:val="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1.禁止新建项目乱征滥占草地、破坏沙生植被，严格限制在区域内采砂取土。</w:t>
                  </w:r>
                </w:p>
              </w:tc>
              <w:tc>
                <w:tcPr>
                  <w:tcW w:w="2208" w:type="dxa"/>
                  <w:tcBorders>
                    <w:tl2br w:val="nil"/>
                    <w:tr2bl w:val="nil"/>
                  </w:tcBorders>
                  <w:noWrap w:val="0"/>
                  <w:vAlign w:val="center"/>
                </w:tcPr>
                <w:p w14:paraId="11B5161A">
                  <w:pPr>
                    <w:adjustRightInd w:val="0"/>
                    <w:snapToGrid w:val="0"/>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1.</w:t>
                  </w:r>
                  <w:r>
                    <w:rPr>
                      <w:rFonts w:hint="default" w:ascii="Times New Roman" w:hAnsi="Times New Roman" w:cs="Times New Roman"/>
                      <w:bCs/>
                      <w:color w:val="auto"/>
                      <w:kern w:val="0"/>
                      <w:szCs w:val="21"/>
                      <w:lang w:val="en-US" w:eastAsia="zh-CN"/>
                    </w:rPr>
                    <w:t>本项目为矿山治理修复项目，项目实施后将恢复项目区植被，播撒草种，改善生态环境。</w:t>
                  </w:r>
                </w:p>
              </w:tc>
              <w:tc>
                <w:tcPr>
                  <w:tcW w:w="580" w:type="dxa"/>
                  <w:tcBorders>
                    <w:tl2br w:val="nil"/>
                    <w:tr2bl w:val="nil"/>
                  </w:tcBorders>
                  <w:noWrap w:val="0"/>
                  <w:vAlign w:val="center"/>
                </w:tcPr>
                <w:p w14:paraId="033D5046">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color w:val="auto"/>
                      <w:szCs w:val="21"/>
                    </w:rPr>
                    <w:t>符合</w:t>
                  </w:r>
                </w:p>
              </w:tc>
            </w:tr>
            <w:tr w14:paraId="31BCB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95" w:hRule="atLeast"/>
                <w:jc w:val="center"/>
              </w:trPr>
              <w:tc>
                <w:tcPr>
                  <w:tcW w:w="824" w:type="dxa"/>
                  <w:vMerge w:val="continue"/>
                  <w:tcBorders>
                    <w:tl2br w:val="nil"/>
                    <w:tr2bl w:val="nil"/>
                  </w:tcBorders>
                  <w:noWrap w:val="0"/>
                  <w:vAlign w:val="center"/>
                </w:tcPr>
                <w:p w14:paraId="00121795">
                  <w:pPr>
                    <w:adjustRightInd w:val="0"/>
                    <w:snapToGrid w:val="0"/>
                    <w:rPr>
                      <w:rFonts w:hint="default" w:ascii="Times New Roman" w:hAnsi="Times New Roman" w:eastAsia="宋体" w:cs="Times New Roman"/>
                      <w:color w:val="auto"/>
                    </w:rPr>
                  </w:pPr>
                </w:p>
              </w:tc>
              <w:tc>
                <w:tcPr>
                  <w:tcW w:w="975" w:type="dxa"/>
                  <w:vMerge w:val="continue"/>
                  <w:tcBorders>
                    <w:tl2br w:val="nil"/>
                    <w:tr2bl w:val="nil"/>
                  </w:tcBorders>
                  <w:noWrap w:val="0"/>
                  <w:vAlign w:val="center"/>
                </w:tcPr>
                <w:p w14:paraId="7940A91F">
                  <w:pPr>
                    <w:adjustRightInd w:val="0"/>
                    <w:snapToGrid w:val="0"/>
                    <w:rPr>
                      <w:rFonts w:hint="default" w:ascii="Times New Roman" w:hAnsi="Times New Roman" w:eastAsia="宋体" w:cs="Times New Roman"/>
                      <w:color w:val="auto"/>
                    </w:rPr>
                  </w:pPr>
                </w:p>
              </w:tc>
              <w:tc>
                <w:tcPr>
                  <w:tcW w:w="3208" w:type="dxa"/>
                  <w:tcBorders>
                    <w:tl2br w:val="nil"/>
                    <w:tr2bl w:val="nil"/>
                  </w:tcBorders>
                  <w:noWrap w:val="0"/>
                  <w:vAlign w:val="center"/>
                </w:tcPr>
                <w:p w14:paraId="6E0E64BD">
                  <w:pPr>
                    <w:adjustRightInd w:val="0"/>
                    <w:snapToGrid w:val="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2.生态保护红线内自然保护地核心保护区外，禁止开发性、生产性建设活动，在符合法律法规的前提下，仅允许十类对生态功能不造成破坏的有限人为活动。一般生态空间内，在生态保护红线正面清单的基础上，仅允许开展生态修复等对生态环境扰动较小、不损害或有利于提升生态功能的开发项目。</w:t>
                  </w:r>
                </w:p>
              </w:tc>
              <w:tc>
                <w:tcPr>
                  <w:tcW w:w="2208" w:type="dxa"/>
                  <w:tcBorders>
                    <w:tl2br w:val="nil"/>
                    <w:tr2bl w:val="nil"/>
                  </w:tcBorders>
                  <w:noWrap w:val="0"/>
                  <w:vAlign w:val="center"/>
                </w:tcPr>
                <w:p w14:paraId="10C6150F">
                  <w:pPr>
                    <w:adjustRightInd w:val="0"/>
                    <w:snapToGrid w:val="0"/>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2.本项目为</w:t>
                  </w:r>
                  <w:r>
                    <w:rPr>
                      <w:rFonts w:hint="default" w:ascii="Times New Roman" w:hAnsi="Times New Roman" w:cs="Times New Roman"/>
                      <w:bCs/>
                      <w:color w:val="auto"/>
                      <w:kern w:val="0"/>
                      <w:szCs w:val="21"/>
                      <w:lang w:val="en-US" w:eastAsia="zh-CN"/>
                    </w:rPr>
                    <w:t>矿山生态环境恢复项目</w:t>
                  </w:r>
                  <w:r>
                    <w:rPr>
                      <w:rFonts w:hint="default" w:ascii="Times New Roman" w:hAnsi="Times New Roman" w:eastAsia="宋体" w:cs="Times New Roman"/>
                      <w:bCs/>
                      <w:color w:val="auto"/>
                      <w:kern w:val="0"/>
                      <w:szCs w:val="21"/>
                      <w:lang w:val="en-US" w:eastAsia="zh-CN"/>
                    </w:rPr>
                    <w:t>，不属于各类开发性、生产性建设活动。</w:t>
                  </w:r>
                </w:p>
              </w:tc>
              <w:tc>
                <w:tcPr>
                  <w:tcW w:w="580" w:type="dxa"/>
                  <w:tcBorders>
                    <w:tl2br w:val="nil"/>
                    <w:tr2bl w:val="nil"/>
                  </w:tcBorders>
                  <w:noWrap w:val="0"/>
                  <w:vAlign w:val="center"/>
                </w:tcPr>
                <w:p w14:paraId="393352C8">
                  <w:pPr>
                    <w:topLinePunct/>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符合</w:t>
                  </w:r>
                </w:p>
              </w:tc>
            </w:tr>
            <w:tr w14:paraId="06835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95" w:hRule="atLeast"/>
                <w:jc w:val="center"/>
              </w:trPr>
              <w:tc>
                <w:tcPr>
                  <w:tcW w:w="824" w:type="dxa"/>
                  <w:vMerge w:val="continue"/>
                  <w:tcBorders>
                    <w:tl2br w:val="nil"/>
                    <w:tr2bl w:val="nil"/>
                  </w:tcBorders>
                  <w:noWrap w:val="0"/>
                  <w:vAlign w:val="center"/>
                </w:tcPr>
                <w:p w14:paraId="392F5D4B">
                  <w:pPr>
                    <w:adjustRightInd w:val="0"/>
                    <w:snapToGrid w:val="0"/>
                    <w:rPr>
                      <w:rFonts w:hint="default" w:ascii="Times New Roman" w:hAnsi="Times New Roman" w:eastAsia="宋体" w:cs="Times New Roman"/>
                      <w:bCs/>
                      <w:color w:val="auto"/>
                      <w:kern w:val="0"/>
                      <w:szCs w:val="21"/>
                    </w:rPr>
                  </w:pPr>
                </w:p>
              </w:tc>
              <w:tc>
                <w:tcPr>
                  <w:tcW w:w="975" w:type="dxa"/>
                  <w:vMerge w:val="continue"/>
                  <w:tcBorders>
                    <w:tl2br w:val="nil"/>
                    <w:tr2bl w:val="nil"/>
                  </w:tcBorders>
                  <w:noWrap w:val="0"/>
                  <w:vAlign w:val="center"/>
                </w:tcPr>
                <w:p w14:paraId="344ACF98">
                  <w:pPr>
                    <w:adjustRightInd w:val="0"/>
                    <w:snapToGrid w:val="0"/>
                    <w:rPr>
                      <w:rFonts w:hint="default" w:ascii="Times New Roman" w:hAnsi="Times New Roman" w:eastAsia="宋体" w:cs="Times New Roman"/>
                      <w:bCs/>
                      <w:color w:val="auto"/>
                      <w:kern w:val="0"/>
                      <w:szCs w:val="21"/>
                    </w:rPr>
                  </w:pPr>
                </w:p>
              </w:tc>
              <w:tc>
                <w:tcPr>
                  <w:tcW w:w="3208" w:type="dxa"/>
                  <w:tcBorders>
                    <w:tl2br w:val="nil"/>
                    <w:tr2bl w:val="nil"/>
                  </w:tcBorders>
                  <w:noWrap w:val="0"/>
                  <w:vAlign w:val="center"/>
                </w:tcPr>
                <w:p w14:paraId="611E851F">
                  <w:pPr>
                    <w:adjustRightInd w:val="0"/>
                    <w:snapToGrid w:val="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3.对区域内“散乱污”企业根据实际情况采取关停或搬迁入园措施。</w:t>
                  </w:r>
                </w:p>
              </w:tc>
              <w:tc>
                <w:tcPr>
                  <w:tcW w:w="2208" w:type="dxa"/>
                  <w:tcBorders>
                    <w:tl2br w:val="nil"/>
                    <w:tr2bl w:val="nil"/>
                  </w:tcBorders>
                  <w:noWrap w:val="0"/>
                  <w:vAlign w:val="center"/>
                </w:tcPr>
                <w:p w14:paraId="0717C2FD">
                  <w:pPr>
                    <w:adjustRightInd w:val="0"/>
                    <w:snapToGrid w:val="0"/>
                    <w:rPr>
                      <w:rFonts w:hint="default" w:ascii="Times New Roman" w:hAnsi="Times New Roman" w:eastAsia="宋体" w:cs="Times New Roman"/>
                      <w:bCs/>
                      <w:color w:val="auto"/>
                      <w:kern w:val="0"/>
                      <w:szCs w:val="21"/>
                      <w:lang w:val="en-US" w:eastAsia="zh-CN"/>
                    </w:rPr>
                  </w:pPr>
                  <w:r>
                    <w:rPr>
                      <w:rFonts w:hint="default" w:ascii="Times New Roman" w:hAnsi="Times New Roman" w:eastAsia="宋体" w:cs="Times New Roman"/>
                      <w:bCs/>
                      <w:color w:val="auto"/>
                      <w:kern w:val="0"/>
                      <w:szCs w:val="21"/>
                      <w:lang w:val="en-US" w:eastAsia="zh-CN"/>
                    </w:rPr>
                    <w:t>3.本项目</w:t>
                  </w:r>
                  <w:r>
                    <w:rPr>
                      <w:rFonts w:hint="default" w:ascii="Times New Roman" w:hAnsi="Times New Roman" w:cs="Times New Roman"/>
                      <w:bCs/>
                      <w:color w:val="auto"/>
                      <w:kern w:val="0"/>
                      <w:szCs w:val="21"/>
                      <w:lang w:val="en-US" w:eastAsia="zh-CN"/>
                    </w:rPr>
                    <w:t>不涉及。</w:t>
                  </w:r>
                </w:p>
              </w:tc>
              <w:tc>
                <w:tcPr>
                  <w:tcW w:w="580" w:type="dxa"/>
                  <w:tcBorders>
                    <w:tl2br w:val="nil"/>
                    <w:tr2bl w:val="nil"/>
                  </w:tcBorders>
                  <w:noWrap w:val="0"/>
                  <w:vAlign w:val="center"/>
                </w:tcPr>
                <w:p w14:paraId="6FC3D408">
                  <w:pPr>
                    <w:topLinePunct/>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符合</w:t>
                  </w:r>
                </w:p>
              </w:tc>
            </w:tr>
            <w:tr w14:paraId="00646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 w:type="dxa"/>
                  <w:vMerge w:val="continue"/>
                  <w:tcBorders>
                    <w:tl2br w:val="nil"/>
                    <w:tr2bl w:val="nil"/>
                  </w:tcBorders>
                  <w:noWrap w:val="0"/>
                  <w:vAlign w:val="center"/>
                </w:tcPr>
                <w:p w14:paraId="22EF5940">
                  <w:pPr>
                    <w:widowControl/>
                    <w:adjustRightInd w:val="0"/>
                    <w:snapToGrid w:val="0"/>
                    <w:jc w:val="center"/>
                    <w:rPr>
                      <w:rFonts w:hint="default" w:ascii="Times New Roman" w:hAnsi="Times New Roman" w:eastAsia="宋体" w:cs="Times New Roman"/>
                      <w:color w:val="auto"/>
                      <w:szCs w:val="21"/>
                    </w:rPr>
                  </w:pPr>
                </w:p>
              </w:tc>
              <w:tc>
                <w:tcPr>
                  <w:tcW w:w="975" w:type="dxa"/>
                  <w:tcBorders>
                    <w:tl2br w:val="nil"/>
                    <w:tr2bl w:val="nil"/>
                  </w:tcBorders>
                  <w:noWrap w:val="0"/>
                  <w:vAlign w:val="center"/>
                </w:tcPr>
                <w:p w14:paraId="4C3B55EE">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污染物排放管控</w:t>
                  </w:r>
                </w:p>
              </w:tc>
              <w:tc>
                <w:tcPr>
                  <w:tcW w:w="3208" w:type="dxa"/>
                  <w:tcBorders>
                    <w:tl2br w:val="nil"/>
                    <w:tr2bl w:val="nil"/>
                  </w:tcBorders>
                  <w:noWrap w:val="0"/>
                  <w:vAlign w:val="center"/>
                </w:tcPr>
                <w:p w14:paraId="009D63A3">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2208" w:type="dxa"/>
                  <w:tcBorders>
                    <w:tl2br w:val="nil"/>
                    <w:tr2bl w:val="nil"/>
                  </w:tcBorders>
                  <w:noWrap w:val="0"/>
                  <w:vAlign w:val="center"/>
                </w:tcPr>
                <w:p w14:paraId="428001CB">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580" w:type="dxa"/>
                  <w:tcBorders>
                    <w:tl2br w:val="nil"/>
                    <w:tr2bl w:val="nil"/>
                  </w:tcBorders>
                  <w:noWrap w:val="0"/>
                  <w:vAlign w:val="center"/>
                </w:tcPr>
                <w:p w14:paraId="7748A9FC">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r>
            <w:tr w14:paraId="4D459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 w:type="dxa"/>
                  <w:vMerge w:val="continue"/>
                  <w:tcBorders>
                    <w:tl2br w:val="nil"/>
                    <w:tr2bl w:val="nil"/>
                  </w:tcBorders>
                  <w:noWrap w:val="0"/>
                  <w:vAlign w:val="center"/>
                </w:tcPr>
                <w:p w14:paraId="3B897AFC">
                  <w:pPr>
                    <w:widowControl/>
                    <w:adjustRightInd w:val="0"/>
                    <w:snapToGrid w:val="0"/>
                    <w:jc w:val="center"/>
                    <w:rPr>
                      <w:rFonts w:hint="default" w:ascii="Times New Roman" w:hAnsi="Times New Roman" w:eastAsia="宋体" w:cs="Times New Roman"/>
                      <w:color w:val="auto"/>
                      <w:szCs w:val="21"/>
                    </w:rPr>
                  </w:pPr>
                </w:p>
              </w:tc>
              <w:tc>
                <w:tcPr>
                  <w:tcW w:w="975" w:type="dxa"/>
                  <w:tcBorders>
                    <w:tl2br w:val="nil"/>
                    <w:tr2bl w:val="nil"/>
                  </w:tcBorders>
                  <w:noWrap w:val="0"/>
                  <w:vAlign w:val="center"/>
                </w:tcPr>
                <w:p w14:paraId="0C9DFB2C">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环境风险防控</w:t>
                  </w:r>
                </w:p>
              </w:tc>
              <w:tc>
                <w:tcPr>
                  <w:tcW w:w="3208" w:type="dxa"/>
                  <w:tcBorders>
                    <w:tl2br w:val="nil"/>
                    <w:tr2bl w:val="nil"/>
                  </w:tcBorders>
                  <w:noWrap w:val="0"/>
                  <w:vAlign w:val="center"/>
                </w:tcPr>
                <w:p w14:paraId="3C3C2239">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2208" w:type="dxa"/>
                  <w:tcBorders>
                    <w:tl2br w:val="nil"/>
                    <w:tr2bl w:val="nil"/>
                  </w:tcBorders>
                  <w:noWrap w:val="0"/>
                  <w:vAlign w:val="center"/>
                </w:tcPr>
                <w:p w14:paraId="05B85C55">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580" w:type="dxa"/>
                  <w:tcBorders>
                    <w:tl2br w:val="nil"/>
                    <w:tr2bl w:val="nil"/>
                  </w:tcBorders>
                  <w:noWrap w:val="0"/>
                  <w:vAlign w:val="center"/>
                </w:tcPr>
                <w:p w14:paraId="7E38C564">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r>
            <w:tr w14:paraId="288B9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4" w:type="dxa"/>
                  <w:vMerge w:val="continue"/>
                  <w:tcBorders>
                    <w:tl2br w:val="nil"/>
                    <w:tr2bl w:val="nil"/>
                  </w:tcBorders>
                  <w:noWrap w:val="0"/>
                  <w:vAlign w:val="center"/>
                </w:tcPr>
                <w:p w14:paraId="28D8A0D4">
                  <w:pPr>
                    <w:widowControl/>
                    <w:adjustRightInd w:val="0"/>
                    <w:snapToGrid w:val="0"/>
                    <w:jc w:val="center"/>
                    <w:rPr>
                      <w:rFonts w:hint="default" w:ascii="Times New Roman" w:hAnsi="Times New Roman" w:eastAsia="宋体" w:cs="Times New Roman"/>
                      <w:color w:val="auto"/>
                      <w:szCs w:val="21"/>
                    </w:rPr>
                  </w:pPr>
                </w:p>
              </w:tc>
              <w:tc>
                <w:tcPr>
                  <w:tcW w:w="975" w:type="dxa"/>
                  <w:tcBorders>
                    <w:tl2br w:val="nil"/>
                    <w:tr2bl w:val="nil"/>
                  </w:tcBorders>
                  <w:noWrap w:val="0"/>
                  <w:vAlign w:val="center"/>
                </w:tcPr>
                <w:p w14:paraId="69EC7D18">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资源开发效率</w:t>
                  </w:r>
                </w:p>
              </w:tc>
              <w:tc>
                <w:tcPr>
                  <w:tcW w:w="3208" w:type="dxa"/>
                  <w:tcBorders>
                    <w:tl2br w:val="nil"/>
                    <w:tr2bl w:val="nil"/>
                  </w:tcBorders>
                  <w:noWrap w:val="0"/>
                  <w:vAlign w:val="center"/>
                </w:tcPr>
                <w:p w14:paraId="0116AC77">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2208" w:type="dxa"/>
                  <w:tcBorders>
                    <w:tl2br w:val="nil"/>
                    <w:tr2bl w:val="nil"/>
                  </w:tcBorders>
                  <w:noWrap w:val="0"/>
                  <w:vAlign w:val="center"/>
                </w:tcPr>
                <w:p w14:paraId="2DD08A45">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c>
                <w:tcPr>
                  <w:tcW w:w="580" w:type="dxa"/>
                  <w:tcBorders>
                    <w:tl2br w:val="nil"/>
                    <w:tr2bl w:val="nil"/>
                  </w:tcBorders>
                  <w:noWrap w:val="0"/>
                  <w:vAlign w:val="center"/>
                </w:tcPr>
                <w:p w14:paraId="13EC53A7">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w:t>
                  </w:r>
                </w:p>
              </w:tc>
            </w:tr>
          </w:tbl>
          <w:p w14:paraId="2ACD72F1">
            <w:pPr>
              <w:numPr>
                <w:ilvl w:val="0"/>
                <w:numId w:val="4"/>
              </w:numPr>
              <w:autoSpaceDE w:val="0"/>
              <w:autoSpaceDN w:val="0"/>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项目与《矿山生态环境保护与恢复治理技术规范（试行）》 （HJ651-2013）符合性分析</w:t>
            </w:r>
          </w:p>
          <w:p w14:paraId="58C600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4"/>
              </w:rPr>
            </w:pPr>
            <w:r>
              <w:rPr>
                <w:rFonts w:hint="default" w:ascii="Times New Roman" w:hAnsi="Times New Roman" w:eastAsia="黑体" w:cs="Times New Roman"/>
                <w:color w:val="auto"/>
                <w:sz w:val="24"/>
              </w:rPr>
              <w:t>表1-</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本项目</w:t>
            </w:r>
            <w:r>
              <w:rPr>
                <w:rFonts w:hint="default" w:ascii="Times New Roman" w:hAnsi="Times New Roman" w:eastAsia="黑体" w:cs="Times New Roman"/>
                <w:color w:val="auto"/>
                <w:kern w:val="0"/>
                <w:sz w:val="24"/>
              </w:rPr>
              <w:t>与HJ651-2013相符性分析</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21"/>
              <w:gridCol w:w="2680"/>
              <w:gridCol w:w="794"/>
            </w:tblGrid>
            <w:tr w14:paraId="61FF3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7" w:type="dxa"/>
                  <w:tcBorders>
                    <w:tl2br w:val="nil"/>
                    <w:tr2bl w:val="nil"/>
                  </w:tcBorders>
                  <w:noWrap w:val="0"/>
                  <w:vAlign w:val="center"/>
                </w:tcPr>
                <w:p w14:paraId="3DC607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矿山生态环境保护与恢复治理的</w:t>
                  </w:r>
                </w:p>
                <w:p w14:paraId="13782C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一般要求</w:t>
                  </w:r>
                </w:p>
              </w:tc>
              <w:tc>
                <w:tcPr>
                  <w:tcW w:w="2492" w:type="dxa"/>
                  <w:tcBorders>
                    <w:tl2br w:val="nil"/>
                    <w:tr2bl w:val="nil"/>
                  </w:tcBorders>
                  <w:noWrap w:val="0"/>
                  <w:vAlign w:val="center"/>
                </w:tcPr>
                <w:p w14:paraId="247522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本项目</w:t>
                  </w:r>
                </w:p>
              </w:tc>
              <w:tc>
                <w:tcPr>
                  <w:tcW w:w="738" w:type="dxa"/>
                  <w:tcBorders>
                    <w:tl2br w:val="nil"/>
                    <w:tr2bl w:val="nil"/>
                  </w:tcBorders>
                  <w:noWrap w:val="0"/>
                  <w:vAlign w:val="center"/>
                </w:tcPr>
                <w:p w14:paraId="2416E5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是否符合</w:t>
                  </w:r>
                </w:p>
              </w:tc>
            </w:tr>
            <w:tr w14:paraId="02539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7" w:type="dxa"/>
                  <w:tcBorders>
                    <w:tl2br w:val="nil"/>
                    <w:tr2bl w:val="nil"/>
                  </w:tcBorders>
                  <w:noWrap w:val="0"/>
                  <w:vAlign w:val="center"/>
                </w:tcPr>
                <w:p w14:paraId="7052818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2492" w:type="dxa"/>
                  <w:tcBorders>
                    <w:tl2br w:val="nil"/>
                    <w:tr2bl w:val="nil"/>
                  </w:tcBorders>
                  <w:noWrap w:val="0"/>
                  <w:vAlign w:val="center"/>
                </w:tcPr>
                <w:p w14:paraId="092A7DF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本项目不属于采矿项目，属于矿山生态环境恢复项目</w:t>
                  </w:r>
                  <w:r>
                    <w:rPr>
                      <w:rFonts w:hint="default" w:ascii="Times New Roman" w:hAnsi="Times New Roman" w:cs="Times New Roman"/>
                      <w:color w:val="auto"/>
                      <w:szCs w:val="21"/>
                      <w:lang w:eastAsia="zh-CN"/>
                    </w:rPr>
                    <w:t>。</w:t>
                  </w:r>
                </w:p>
              </w:tc>
              <w:tc>
                <w:tcPr>
                  <w:tcW w:w="738" w:type="dxa"/>
                  <w:tcBorders>
                    <w:tl2br w:val="nil"/>
                    <w:tr2bl w:val="nil"/>
                  </w:tcBorders>
                  <w:noWrap w:val="0"/>
                  <w:vAlign w:val="center"/>
                </w:tcPr>
                <w:p w14:paraId="20C681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05F6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7" w:type="dxa"/>
                  <w:tcBorders>
                    <w:tl2br w:val="nil"/>
                    <w:tr2bl w:val="nil"/>
                  </w:tcBorders>
                  <w:noWrap w:val="0"/>
                  <w:vAlign w:val="center"/>
                </w:tcPr>
                <w:p w14:paraId="2341BFE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矿产资源开发活动应符合国家和区域主体功能区规划、生态功能区划、生态环境保护规划的要求，采取有效预防和保护措施，避免或减轻矿产资源开发活动造成的生态破坏和环境污染。</w:t>
                  </w:r>
                </w:p>
              </w:tc>
              <w:tc>
                <w:tcPr>
                  <w:tcW w:w="2492" w:type="dxa"/>
                  <w:tcBorders>
                    <w:tl2br w:val="nil"/>
                    <w:tr2bl w:val="nil"/>
                  </w:tcBorders>
                  <w:noWrap w:val="0"/>
                  <w:vAlign w:val="center"/>
                </w:tcPr>
                <w:p w14:paraId="429437D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本项目不涉及矿产资源开发活动。</w:t>
                  </w:r>
                </w:p>
              </w:tc>
              <w:tc>
                <w:tcPr>
                  <w:tcW w:w="738" w:type="dxa"/>
                  <w:tcBorders>
                    <w:tl2br w:val="nil"/>
                    <w:tr2bl w:val="nil"/>
                  </w:tcBorders>
                  <w:noWrap w:val="0"/>
                  <w:vAlign w:val="center"/>
                </w:tcPr>
                <w:p w14:paraId="3014EA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C86D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7" w:type="dxa"/>
                  <w:tcBorders>
                    <w:tl2br w:val="nil"/>
                    <w:tr2bl w:val="nil"/>
                  </w:tcBorders>
                  <w:noWrap w:val="0"/>
                  <w:vAlign w:val="center"/>
                </w:tcPr>
                <w:p w14:paraId="00DAAAA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492" w:type="dxa"/>
                  <w:tcBorders>
                    <w:tl2br w:val="nil"/>
                    <w:tr2bl w:val="nil"/>
                  </w:tcBorders>
                  <w:noWrap w:val="0"/>
                  <w:vAlign w:val="center"/>
                </w:tcPr>
                <w:p w14:paraId="3DDEF9D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本项目通过</w:t>
                  </w:r>
                  <w:r>
                    <w:rPr>
                      <w:rFonts w:hint="default" w:ascii="Times New Roman" w:hAnsi="Times New Roman" w:cs="Times New Roman"/>
                      <w:color w:val="auto"/>
                      <w:szCs w:val="21"/>
                      <w:lang w:eastAsia="zh-CN"/>
                    </w:rPr>
                    <w:t>地形地貌整治工程、覆土工程、砌体工程、植被恢复工程、养护工程、道路工程以及其他工程</w:t>
                  </w:r>
                  <w:r>
                    <w:rPr>
                      <w:rFonts w:hint="default" w:ascii="Times New Roman" w:hAnsi="Times New Roman" w:cs="Times New Roman"/>
                      <w:color w:val="auto"/>
                      <w:szCs w:val="21"/>
                    </w:rPr>
                    <w:t>，恢复区域内的植被和被破坏的地形地貌，防止水土流失，减轻地质灾害，消除生态环境问题及隐患</w:t>
                  </w:r>
                  <w:r>
                    <w:rPr>
                      <w:rFonts w:hint="default" w:ascii="Times New Roman" w:hAnsi="Times New Roman" w:cs="Times New Roman"/>
                      <w:color w:val="auto"/>
                      <w:szCs w:val="21"/>
                      <w:lang w:eastAsia="zh-CN"/>
                    </w:rPr>
                    <w:t>。</w:t>
                  </w:r>
                </w:p>
              </w:tc>
              <w:tc>
                <w:tcPr>
                  <w:tcW w:w="738" w:type="dxa"/>
                  <w:tcBorders>
                    <w:tl2br w:val="nil"/>
                    <w:tr2bl w:val="nil"/>
                  </w:tcBorders>
                  <w:noWrap w:val="0"/>
                  <w:vAlign w:val="center"/>
                </w:tcPr>
                <w:p w14:paraId="17555C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5977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7" w:type="dxa"/>
                  <w:tcBorders>
                    <w:tl2br w:val="nil"/>
                    <w:tr2bl w:val="nil"/>
                  </w:tcBorders>
                  <w:noWrap w:val="0"/>
                  <w:vAlign w:val="center"/>
                </w:tcPr>
                <w:p w14:paraId="53C2D6D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恢复治理后的各类场地应实现，安全稳定，对人类和动植物不造成威胁；对周边环境不产生污染，与周边自然环境和景观相协调；恢复土地基本功能，因地制宜实现士地可持续利用；区域整体生态功能得到保护和恢复。</w:t>
                  </w:r>
                </w:p>
              </w:tc>
              <w:tc>
                <w:tcPr>
                  <w:tcW w:w="2492" w:type="dxa"/>
                  <w:tcBorders>
                    <w:tl2br w:val="nil"/>
                    <w:tr2bl w:val="nil"/>
                  </w:tcBorders>
                  <w:noWrap w:val="0"/>
                  <w:vAlign w:val="center"/>
                </w:tcPr>
                <w:p w14:paraId="1CBF148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恢复治理后的各类场地对周边环境不会产生污染，区域整体生态功能得到保护和恢复。</w:t>
                  </w:r>
                </w:p>
              </w:tc>
              <w:tc>
                <w:tcPr>
                  <w:tcW w:w="738" w:type="dxa"/>
                  <w:tcBorders>
                    <w:tl2br w:val="nil"/>
                    <w:tr2bl w:val="nil"/>
                  </w:tcBorders>
                  <w:noWrap w:val="0"/>
                  <w:vAlign w:val="center"/>
                </w:tcPr>
                <w:p w14:paraId="2C98D1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57E99C61">
            <w:pPr>
              <w:pStyle w:val="37"/>
              <w:keepNext w:val="0"/>
              <w:keepLines w:val="0"/>
              <w:pageBreakBefore w:val="0"/>
              <w:widowControl w:val="0"/>
              <w:kinsoku/>
              <w:wordWrap/>
              <w:overflowPunct/>
              <w:topLinePunct w:val="0"/>
              <w:autoSpaceDE/>
              <w:autoSpaceDN/>
              <w:bidi w:val="0"/>
              <w:adjustRightInd/>
              <w:snapToGrid/>
              <w:spacing w:line="240" w:lineRule="auto"/>
              <w:ind w:left="0" w:leftChars="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综上，本项目符合《矿山生态环境保护与恢复治理技术规范（试行）》（HJ651-2013）中的相关要求。</w:t>
            </w:r>
          </w:p>
          <w:p w14:paraId="3F5D6E56">
            <w:pPr>
              <w:widowControl w:val="0"/>
              <w:numPr>
                <w:ilvl w:val="0"/>
                <w:numId w:val="3"/>
              </w:numPr>
              <w:autoSpaceDE w:val="0"/>
              <w:autoSpaceDN w:val="0"/>
              <w:spacing w:before="240" w:after="60"/>
              <w:rPr>
                <w:rFonts w:hint="default" w:ascii="Times New Roman" w:hAnsi="Times New Roman" w:eastAsia="黑体" w:cs="Times New Roman"/>
                <w:b w:val="0"/>
                <w:bCs w:val="0"/>
                <w:color w:val="auto"/>
                <w:kern w:val="0"/>
                <w:sz w:val="24"/>
                <w:highlight w:val="none"/>
                <w:lang w:val="en-US" w:eastAsia="zh-CN"/>
              </w:rPr>
            </w:pPr>
            <w:r>
              <w:rPr>
                <w:rFonts w:hint="default" w:ascii="Times New Roman" w:hAnsi="Times New Roman" w:eastAsia="黑体" w:cs="Times New Roman"/>
                <w:b w:val="0"/>
                <w:bCs w:val="0"/>
                <w:color w:val="auto"/>
                <w:kern w:val="0"/>
                <w:sz w:val="24"/>
                <w:highlight w:val="none"/>
                <w:lang w:val="en-US" w:eastAsia="zh-CN"/>
              </w:rPr>
              <w:t>项目与《中卫市生态环境保护“十四五”规划》符合性分析</w:t>
            </w:r>
          </w:p>
          <w:p w14:paraId="00EEC997">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中卫市生态环境保护“十四五”规划》第七章第二节要求：加强矿山地质环境保护与生态恢复，推进绿色矿山建设，督促矿山企业依法依规编制矿山地质环境保护与土地复垦方案，制定落实露天矿山生态修复计划。</w:t>
            </w:r>
          </w:p>
          <w:p w14:paraId="639BBCB8">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7"/>
                <w:lang w:eastAsia="zh-CN"/>
              </w:rPr>
            </w:pPr>
            <w:r>
              <w:rPr>
                <w:rFonts w:hint="default" w:ascii="Times New Roman" w:hAnsi="Times New Roman" w:eastAsia="宋体" w:cs="Times New Roman"/>
                <w:i w:val="0"/>
                <w:iCs w:val="0"/>
                <w:caps w:val="0"/>
                <w:color w:val="auto"/>
                <w:spacing w:val="0"/>
                <w:sz w:val="24"/>
                <w:szCs w:val="27"/>
              </w:rPr>
              <w:t>本项目为</w:t>
            </w:r>
            <w:r>
              <w:rPr>
                <w:rFonts w:hint="default" w:ascii="Times New Roman" w:hAnsi="Times New Roman" w:cs="Times New Roman"/>
                <w:color w:val="auto"/>
                <w:szCs w:val="21"/>
              </w:rPr>
              <w:t>矿山生态环境恢复项目</w:t>
            </w:r>
            <w:r>
              <w:rPr>
                <w:rFonts w:hint="default" w:ascii="Times New Roman" w:hAnsi="Times New Roman" w:eastAsia="宋体" w:cs="Times New Roman"/>
                <w:i w:val="0"/>
                <w:iCs w:val="0"/>
                <w:caps w:val="0"/>
                <w:color w:val="auto"/>
                <w:spacing w:val="0"/>
                <w:sz w:val="24"/>
                <w:szCs w:val="27"/>
              </w:rPr>
              <w:t>，项目承担单位为中卫市沙坡头区自然资源局。项目已经获得《</w:t>
            </w:r>
            <w:r>
              <w:rPr>
                <w:rFonts w:hint="default" w:ascii="Times New Roman" w:hAnsi="Times New Roman" w:cs="Times New Roman"/>
                <w:i w:val="0"/>
                <w:iCs w:val="0"/>
                <w:caps w:val="0"/>
                <w:color w:val="auto"/>
                <w:spacing w:val="0"/>
                <w:sz w:val="24"/>
                <w:szCs w:val="27"/>
                <w:lang w:val="en-US" w:eastAsia="zh-CN"/>
              </w:rPr>
              <w:t>关于</w:t>
            </w:r>
            <w:r>
              <w:rPr>
                <w:rFonts w:hint="default" w:ascii="Times New Roman" w:hAnsi="Times New Roman" w:eastAsia="宋体" w:cs="Times New Roman"/>
                <w:i w:val="0"/>
                <w:iCs w:val="0"/>
                <w:caps w:val="0"/>
                <w:color w:val="auto"/>
                <w:spacing w:val="0"/>
                <w:sz w:val="24"/>
                <w:szCs w:val="27"/>
              </w:rPr>
              <w:t>沙坡头区</w:t>
            </w:r>
            <w:r>
              <w:rPr>
                <w:rFonts w:hint="default" w:ascii="Times New Roman" w:hAnsi="Times New Roman" w:cs="Times New Roman"/>
                <w:i w:val="0"/>
                <w:iCs w:val="0"/>
                <w:caps w:val="0"/>
                <w:color w:val="auto"/>
                <w:spacing w:val="0"/>
                <w:sz w:val="24"/>
                <w:szCs w:val="27"/>
                <w:lang w:val="en-US" w:eastAsia="zh-CN"/>
              </w:rPr>
              <w:t>寺口子</w:t>
            </w:r>
            <w:r>
              <w:rPr>
                <w:rFonts w:hint="default" w:ascii="Times New Roman" w:hAnsi="Times New Roman" w:eastAsia="宋体" w:cs="Times New Roman"/>
                <w:i w:val="0"/>
                <w:iCs w:val="0"/>
                <w:caps w:val="0"/>
                <w:color w:val="auto"/>
                <w:spacing w:val="0"/>
                <w:sz w:val="24"/>
                <w:szCs w:val="27"/>
              </w:rPr>
              <w:t>矿山</w:t>
            </w:r>
            <w:r>
              <w:rPr>
                <w:rFonts w:hint="default" w:ascii="Times New Roman" w:hAnsi="Times New Roman" w:cs="Times New Roman"/>
                <w:i w:val="0"/>
                <w:iCs w:val="0"/>
                <w:caps w:val="0"/>
                <w:color w:val="auto"/>
                <w:spacing w:val="0"/>
                <w:sz w:val="24"/>
                <w:szCs w:val="27"/>
                <w:lang w:val="en-US" w:eastAsia="zh-CN"/>
              </w:rPr>
              <w:t>地质环境保护</w:t>
            </w:r>
            <w:r>
              <w:rPr>
                <w:rFonts w:hint="default" w:ascii="Times New Roman" w:hAnsi="Times New Roman" w:eastAsia="宋体" w:cs="Times New Roman"/>
                <w:i w:val="0"/>
                <w:iCs w:val="0"/>
                <w:caps w:val="0"/>
                <w:color w:val="auto"/>
                <w:spacing w:val="0"/>
                <w:sz w:val="24"/>
                <w:szCs w:val="27"/>
              </w:rPr>
              <w:t>与修复</w:t>
            </w:r>
            <w:r>
              <w:rPr>
                <w:rFonts w:hint="default" w:ascii="Times New Roman" w:hAnsi="Times New Roman" w:cs="Times New Roman"/>
                <w:i w:val="0"/>
                <w:iCs w:val="0"/>
                <w:caps w:val="0"/>
                <w:color w:val="auto"/>
                <w:spacing w:val="0"/>
                <w:sz w:val="24"/>
                <w:szCs w:val="27"/>
                <w:lang w:val="en-US" w:eastAsia="zh-CN"/>
              </w:rPr>
              <w:t>治理工程</w:t>
            </w:r>
            <w:r>
              <w:rPr>
                <w:rFonts w:hint="default" w:ascii="Times New Roman" w:hAnsi="Times New Roman" w:eastAsia="宋体" w:cs="Times New Roman"/>
                <w:i w:val="0"/>
                <w:iCs w:val="0"/>
                <w:caps w:val="0"/>
                <w:color w:val="auto"/>
                <w:spacing w:val="0"/>
                <w:sz w:val="24"/>
                <w:szCs w:val="27"/>
              </w:rPr>
              <w:t>初步设计的批复》（卫沙发改（审批）发〔202</w:t>
            </w:r>
            <w:r>
              <w:rPr>
                <w:rFonts w:hint="default" w:ascii="Times New Roman" w:hAnsi="Times New Roman" w:cs="Times New Roman"/>
                <w:i w:val="0"/>
                <w:iCs w:val="0"/>
                <w:caps w:val="0"/>
                <w:color w:val="auto"/>
                <w:spacing w:val="0"/>
                <w:sz w:val="24"/>
                <w:szCs w:val="27"/>
                <w:lang w:val="en-US" w:eastAsia="zh-CN"/>
              </w:rPr>
              <w:t>4</w:t>
            </w:r>
            <w:r>
              <w:rPr>
                <w:rFonts w:hint="default" w:ascii="Times New Roman" w:hAnsi="Times New Roman" w:eastAsia="宋体" w:cs="Times New Roman"/>
                <w:i w:val="0"/>
                <w:iCs w:val="0"/>
                <w:caps w:val="0"/>
                <w:color w:val="auto"/>
                <w:spacing w:val="0"/>
                <w:sz w:val="24"/>
                <w:szCs w:val="27"/>
              </w:rPr>
              <w:t>〕</w:t>
            </w:r>
            <w:r>
              <w:rPr>
                <w:rFonts w:hint="default" w:ascii="Times New Roman" w:hAnsi="Times New Roman" w:cs="Times New Roman"/>
                <w:i w:val="0"/>
                <w:iCs w:val="0"/>
                <w:caps w:val="0"/>
                <w:color w:val="auto"/>
                <w:spacing w:val="0"/>
                <w:sz w:val="24"/>
                <w:szCs w:val="27"/>
                <w:lang w:val="en-US" w:eastAsia="zh-CN"/>
              </w:rPr>
              <w:t>35</w:t>
            </w:r>
            <w:r>
              <w:rPr>
                <w:rFonts w:hint="default" w:ascii="Times New Roman" w:hAnsi="Times New Roman" w:eastAsia="宋体" w:cs="Times New Roman"/>
                <w:i w:val="0"/>
                <w:iCs w:val="0"/>
                <w:caps w:val="0"/>
                <w:color w:val="auto"/>
                <w:spacing w:val="0"/>
                <w:sz w:val="24"/>
                <w:szCs w:val="27"/>
              </w:rPr>
              <w:t>号），项目符合《规划》要求</w:t>
            </w:r>
            <w:r>
              <w:rPr>
                <w:rFonts w:hint="default" w:ascii="Times New Roman" w:hAnsi="Times New Roman" w:cs="Times New Roman"/>
                <w:i w:val="0"/>
                <w:iCs w:val="0"/>
                <w:caps w:val="0"/>
                <w:color w:val="auto"/>
                <w:spacing w:val="0"/>
                <w:sz w:val="24"/>
                <w:szCs w:val="27"/>
                <w:lang w:eastAsia="zh-CN"/>
              </w:rPr>
              <w:t>。</w:t>
            </w:r>
          </w:p>
          <w:p w14:paraId="09753FC7">
            <w:pPr>
              <w:widowControl w:val="0"/>
              <w:numPr>
                <w:ilvl w:val="0"/>
                <w:numId w:val="3"/>
              </w:numPr>
              <w:autoSpaceDE w:val="0"/>
              <w:autoSpaceDN w:val="0"/>
              <w:rPr>
                <w:rFonts w:hint="default" w:ascii="Times New Roman" w:hAnsi="Times New Roman" w:eastAsia="黑体" w:cs="Times New Roman"/>
                <w:i w:val="0"/>
                <w:iCs w:val="0"/>
                <w:caps w:val="0"/>
                <w:color w:val="auto"/>
                <w:spacing w:val="0"/>
                <w:kern w:val="0"/>
                <w:sz w:val="24"/>
                <w:szCs w:val="24"/>
                <w:highlight w:val="none"/>
              </w:rPr>
            </w:pPr>
            <w:r>
              <w:rPr>
                <w:rFonts w:hint="default" w:ascii="Times New Roman" w:hAnsi="Times New Roman" w:eastAsia="黑体" w:cs="Times New Roman"/>
                <w:b w:val="0"/>
                <w:bCs w:val="0"/>
                <w:i w:val="0"/>
                <w:iCs w:val="0"/>
                <w:caps w:val="0"/>
                <w:color w:val="auto"/>
                <w:spacing w:val="0"/>
                <w:kern w:val="0"/>
                <w:sz w:val="24"/>
                <w:szCs w:val="24"/>
                <w:highlight w:val="none"/>
              </w:rPr>
              <w:t>项目与《中卫市沙坡头区生态环境保护“十四五”规划》符合性分析</w:t>
            </w:r>
          </w:p>
          <w:p w14:paraId="2C8DE0D2">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Chars="0" w:firstLine="512" w:firstLineChars="200"/>
              <w:jc w:val="both"/>
              <w:textAlignment w:val="auto"/>
              <w:rPr>
                <w:rFonts w:hint="default" w:ascii="Times New Roman" w:hAnsi="Times New Roman" w:eastAsia="宋体" w:cs="Times New Roman"/>
                <w:i w:val="0"/>
                <w:iCs w:val="0"/>
                <w:caps w:val="0"/>
                <w:color w:val="auto"/>
                <w:spacing w:val="0"/>
                <w:sz w:val="24"/>
                <w:szCs w:val="27"/>
              </w:rPr>
            </w:pPr>
            <w:r>
              <w:rPr>
                <w:rFonts w:hint="default" w:ascii="Times New Roman" w:hAnsi="Times New Roman" w:eastAsia="宋体" w:cs="Times New Roman"/>
                <w:i w:val="0"/>
                <w:iCs w:val="0"/>
                <w:caps w:val="0"/>
                <w:color w:val="auto"/>
                <w:spacing w:val="0"/>
                <w:sz w:val="24"/>
                <w:szCs w:val="27"/>
              </w:rPr>
              <w:t>本项目位于中卫市沙坡头区，根据《中卫市生态环境保护“十四五”规划》、《中卫市沙坡头区生态环境保护“十四五”规划》：坚持系统谋划，整体推进。牢固树立和践行绿水青山就是金山银山的理念，坚持山水林田湖草系统治理，加强生态建设与修复、环境保护与治理、资源节约与集约利用，对减污降碳协同增效一体谋划、一体部署、一体推进，从根本上解决环境污染问题。根据《规划》文件要求：加强矿山地质环境保护与生态恢复，推进绿色矿山建设，督促矿山企业依法依规编制矿山地质环境保护与土地复垦方案，制定落实露天矿山生态修复计划。</w:t>
            </w:r>
          </w:p>
          <w:p w14:paraId="54707F46">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r>
              <w:rPr>
                <w:rFonts w:hint="default" w:ascii="Times New Roman" w:hAnsi="Times New Roman" w:eastAsia="宋体" w:cs="Times New Roman"/>
                <w:i w:val="0"/>
                <w:iCs w:val="0"/>
                <w:caps w:val="0"/>
                <w:color w:val="auto"/>
                <w:spacing w:val="0"/>
                <w:sz w:val="24"/>
                <w:szCs w:val="21"/>
              </w:rPr>
              <w:t>本项目为</w:t>
            </w:r>
            <w:r>
              <w:rPr>
                <w:rFonts w:hint="default" w:ascii="Times New Roman" w:hAnsi="Times New Roman" w:cs="Times New Roman"/>
                <w:color w:val="auto"/>
                <w:szCs w:val="21"/>
              </w:rPr>
              <w:t>矿山生态环境恢复项目</w:t>
            </w:r>
            <w:r>
              <w:rPr>
                <w:rFonts w:hint="default" w:ascii="Times New Roman" w:hAnsi="Times New Roman" w:eastAsia="宋体" w:cs="Times New Roman"/>
                <w:i w:val="0"/>
                <w:iCs w:val="0"/>
                <w:caps w:val="0"/>
                <w:color w:val="auto"/>
                <w:spacing w:val="0"/>
                <w:sz w:val="24"/>
                <w:szCs w:val="21"/>
              </w:rPr>
              <w:t>，项目承担单位为中卫市沙坡头区自然资源局。项目已经获得《</w:t>
            </w:r>
            <w:r>
              <w:rPr>
                <w:rFonts w:hint="default" w:ascii="Times New Roman" w:hAnsi="Times New Roman" w:cs="Times New Roman"/>
                <w:i w:val="0"/>
                <w:iCs w:val="0"/>
                <w:caps w:val="0"/>
                <w:color w:val="auto"/>
                <w:spacing w:val="0"/>
                <w:sz w:val="24"/>
                <w:szCs w:val="21"/>
                <w:lang w:val="en-US" w:eastAsia="zh-CN"/>
              </w:rPr>
              <w:t>关于</w:t>
            </w:r>
            <w:r>
              <w:rPr>
                <w:rFonts w:hint="default" w:ascii="Times New Roman" w:hAnsi="Times New Roman" w:eastAsia="宋体" w:cs="Times New Roman"/>
                <w:i w:val="0"/>
                <w:iCs w:val="0"/>
                <w:caps w:val="0"/>
                <w:color w:val="auto"/>
                <w:spacing w:val="0"/>
                <w:sz w:val="24"/>
                <w:szCs w:val="21"/>
              </w:rPr>
              <w:t>沙坡头区</w:t>
            </w:r>
            <w:r>
              <w:rPr>
                <w:rFonts w:hint="default" w:ascii="Times New Roman" w:hAnsi="Times New Roman" w:cs="Times New Roman"/>
                <w:i w:val="0"/>
                <w:iCs w:val="0"/>
                <w:caps w:val="0"/>
                <w:color w:val="auto"/>
                <w:spacing w:val="0"/>
                <w:sz w:val="24"/>
                <w:szCs w:val="21"/>
                <w:lang w:val="en-US" w:eastAsia="zh-CN"/>
              </w:rPr>
              <w:t>寺口子</w:t>
            </w:r>
            <w:r>
              <w:rPr>
                <w:rFonts w:hint="default" w:ascii="Times New Roman" w:hAnsi="Times New Roman" w:eastAsia="宋体" w:cs="Times New Roman"/>
                <w:i w:val="0"/>
                <w:iCs w:val="0"/>
                <w:caps w:val="0"/>
                <w:color w:val="auto"/>
                <w:spacing w:val="0"/>
                <w:sz w:val="24"/>
                <w:szCs w:val="21"/>
              </w:rPr>
              <w:t>矿山</w:t>
            </w:r>
            <w:r>
              <w:rPr>
                <w:rFonts w:hint="default" w:ascii="Times New Roman" w:hAnsi="Times New Roman" w:cs="Times New Roman"/>
                <w:i w:val="0"/>
                <w:iCs w:val="0"/>
                <w:caps w:val="0"/>
                <w:color w:val="auto"/>
                <w:spacing w:val="0"/>
                <w:sz w:val="24"/>
                <w:szCs w:val="21"/>
                <w:lang w:val="en-US" w:eastAsia="zh-CN"/>
              </w:rPr>
              <w:t>地质环境保护</w:t>
            </w:r>
            <w:r>
              <w:rPr>
                <w:rFonts w:hint="default" w:ascii="Times New Roman" w:hAnsi="Times New Roman" w:eastAsia="宋体" w:cs="Times New Roman"/>
                <w:i w:val="0"/>
                <w:iCs w:val="0"/>
                <w:caps w:val="0"/>
                <w:color w:val="auto"/>
                <w:spacing w:val="0"/>
                <w:sz w:val="24"/>
                <w:szCs w:val="21"/>
              </w:rPr>
              <w:t>与修复</w:t>
            </w:r>
            <w:r>
              <w:rPr>
                <w:rFonts w:hint="default" w:ascii="Times New Roman" w:hAnsi="Times New Roman" w:cs="Times New Roman"/>
                <w:i w:val="0"/>
                <w:iCs w:val="0"/>
                <w:caps w:val="0"/>
                <w:color w:val="auto"/>
                <w:spacing w:val="0"/>
                <w:sz w:val="24"/>
                <w:szCs w:val="21"/>
                <w:lang w:val="en-US" w:eastAsia="zh-CN"/>
              </w:rPr>
              <w:t>治理工程</w:t>
            </w:r>
            <w:r>
              <w:rPr>
                <w:rFonts w:hint="default" w:ascii="Times New Roman" w:hAnsi="Times New Roman" w:eastAsia="宋体" w:cs="Times New Roman"/>
                <w:i w:val="0"/>
                <w:iCs w:val="0"/>
                <w:caps w:val="0"/>
                <w:color w:val="auto"/>
                <w:spacing w:val="0"/>
                <w:sz w:val="24"/>
                <w:szCs w:val="21"/>
              </w:rPr>
              <w:t>初步设计的批复》（卫沙发改（审批）发〔202</w:t>
            </w:r>
            <w:r>
              <w:rPr>
                <w:rFonts w:hint="default" w:ascii="Times New Roman" w:hAnsi="Times New Roman" w:cs="Times New Roman"/>
                <w:i w:val="0"/>
                <w:iCs w:val="0"/>
                <w:caps w:val="0"/>
                <w:color w:val="auto"/>
                <w:spacing w:val="0"/>
                <w:sz w:val="24"/>
                <w:szCs w:val="21"/>
                <w:lang w:val="en-US" w:eastAsia="zh-CN"/>
              </w:rPr>
              <w:t>4</w:t>
            </w:r>
            <w:r>
              <w:rPr>
                <w:rFonts w:hint="default" w:ascii="Times New Roman" w:hAnsi="Times New Roman" w:eastAsia="宋体" w:cs="Times New Roman"/>
                <w:i w:val="0"/>
                <w:iCs w:val="0"/>
                <w:caps w:val="0"/>
                <w:color w:val="auto"/>
                <w:spacing w:val="0"/>
                <w:sz w:val="24"/>
                <w:szCs w:val="21"/>
              </w:rPr>
              <w:t>〕</w:t>
            </w:r>
            <w:r>
              <w:rPr>
                <w:rFonts w:hint="default" w:ascii="Times New Roman" w:hAnsi="Times New Roman" w:cs="Times New Roman"/>
                <w:i w:val="0"/>
                <w:iCs w:val="0"/>
                <w:caps w:val="0"/>
                <w:color w:val="auto"/>
                <w:spacing w:val="0"/>
                <w:sz w:val="24"/>
                <w:szCs w:val="21"/>
                <w:lang w:val="en-US" w:eastAsia="zh-CN"/>
              </w:rPr>
              <w:t>35</w:t>
            </w:r>
            <w:r>
              <w:rPr>
                <w:rFonts w:hint="default" w:ascii="Times New Roman" w:hAnsi="Times New Roman" w:eastAsia="宋体" w:cs="Times New Roman"/>
                <w:i w:val="0"/>
                <w:iCs w:val="0"/>
                <w:caps w:val="0"/>
                <w:color w:val="auto"/>
                <w:spacing w:val="0"/>
                <w:sz w:val="24"/>
                <w:szCs w:val="21"/>
              </w:rPr>
              <w:t>号），项目符合《规划》要求</w:t>
            </w:r>
            <w:r>
              <w:rPr>
                <w:rFonts w:hint="default" w:ascii="Times New Roman" w:hAnsi="Times New Roman" w:cs="Times New Roman"/>
                <w:i w:val="0"/>
                <w:iCs w:val="0"/>
                <w:caps w:val="0"/>
                <w:color w:val="auto"/>
                <w:spacing w:val="0"/>
                <w:sz w:val="24"/>
                <w:szCs w:val="21"/>
                <w:lang w:eastAsia="zh-CN"/>
              </w:rPr>
              <w:t>。</w:t>
            </w:r>
          </w:p>
          <w:p w14:paraId="1A3FDC30">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p>
          <w:p w14:paraId="24D01A5B">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p>
          <w:p w14:paraId="73C55014">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p>
          <w:p w14:paraId="72431C3A">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p>
          <w:p w14:paraId="2CCB9726">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p>
          <w:p w14:paraId="2B747794">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p>
          <w:p w14:paraId="60D2990F">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p>
          <w:p w14:paraId="54797868">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p>
          <w:p w14:paraId="6DD2FDDD">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512" w:firstLineChars="200"/>
              <w:jc w:val="both"/>
              <w:textAlignment w:val="auto"/>
              <w:rPr>
                <w:rFonts w:hint="default" w:ascii="Times New Roman" w:hAnsi="Times New Roman" w:cs="Times New Roman"/>
                <w:i w:val="0"/>
                <w:iCs w:val="0"/>
                <w:caps w:val="0"/>
                <w:color w:val="auto"/>
                <w:spacing w:val="0"/>
                <w:sz w:val="24"/>
                <w:szCs w:val="21"/>
                <w:lang w:eastAsia="zh-CN"/>
              </w:rPr>
            </w:pPr>
          </w:p>
          <w:p w14:paraId="34E80FCC">
            <w:pPr>
              <w:pStyle w:val="5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i w:val="0"/>
                <w:iCs w:val="0"/>
                <w:caps w:val="0"/>
                <w:color w:val="auto"/>
                <w:spacing w:val="0"/>
                <w:sz w:val="24"/>
                <w:szCs w:val="21"/>
                <w:lang w:eastAsia="zh-CN"/>
              </w:rPr>
            </w:pPr>
          </w:p>
        </w:tc>
      </w:tr>
    </w:tbl>
    <w:p w14:paraId="0BD3A9BD">
      <w:pPr>
        <w:rPr>
          <w:rFonts w:hint="default" w:ascii="Times New Roman" w:hAnsi="Times New Roman" w:cs="Times New Roman"/>
          <w:color w:val="auto"/>
        </w:rPr>
        <w:sectPr>
          <w:headerReference r:id="rId5" w:type="default"/>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720" w:num="1"/>
          <w:docGrid w:type="linesAndChars" w:linePitch="466" w:charSpace="3440"/>
        </w:sectPr>
      </w:pPr>
    </w:p>
    <w:p w14:paraId="12674B64">
      <w:pPr>
        <w:pStyle w:val="22"/>
        <w:keepNext w:val="0"/>
        <w:keepLines w:val="0"/>
        <w:widowControl/>
        <w:numPr>
          <w:ilvl w:val="0"/>
          <w:numId w:val="2"/>
        </w:numPr>
        <w:spacing w:line="360" w:lineRule="auto"/>
        <w:jc w:val="center"/>
        <w:rPr>
          <w:rFonts w:hint="default" w:ascii="Times New Roman" w:hAnsi="Times New Roman" w:eastAsia="黑体" w:cs="Times New Roman"/>
          <w:b w:val="0"/>
          <w:bCs w:val="0"/>
          <w:snapToGrid w:val="0"/>
          <w:color w:val="auto"/>
          <w:kern w:val="0"/>
          <w:sz w:val="30"/>
          <w:szCs w:val="30"/>
          <w:lang w:val="en-US" w:eastAsia="zh-CN" w:bidi="ar-SA"/>
        </w:rPr>
      </w:pPr>
      <w:bookmarkStart w:id="4" w:name="_Toc31712"/>
      <w:bookmarkStart w:id="5" w:name="_Toc22292"/>
      <w:r>
        <w:rPr>
          <w:rFonts w:hint="default" w:ascii="Times New Roman" w:hAnsi="Times New Roman" w:eastAsia="黑体" w:cs="Times New Roman"/>
          <w:b w:val="0"/>
          <w:bCs w:val="0"/>
          <w:snapToGrid w:val="0"/>
          <w:color w:val="auto"/>
          <w:kern w:val="0"/>
          <w:sz w:val="30"/>
          <w:szCs w:val="30"/>
          <w:lang w:val="en-US" w:eastAsia="zh-CN" w:bidi="ar-SA"/>
        </w:rPr>
        <w:t>建设内容</w:t>
      </w:r>
    </w:p>
    <w:bookmarkEnd w:id="4"/>
    <w:bookmarkEnd w:id="5"/>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824"/>
      </w:tblGrid>
      <w:tr w14:paraId="6CEBE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0"/>
            <w:vAlign w:val="center"/>
          </w:tcPr>
          <w:p w14:paraId="302F61E0">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地理位置</w:t>
            </w:r>
          </w:p>
        </w:tc>
        <w:tc>
          <w:tcPr>
            <w:tcW w:w="8824" w:type="dxa"/>
            <w:noWrap w:val="0"/>
            <w:vAlign w:val="center"/>
          </w:tcPr>
          <w:p w14:paraId="0D050F9F">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项目治理区位于中卫市宣和镇以南约25km，天景山西北部，行政区划属中卫市宣和镇管辖。极值地理坐标（2000国家大地坐标系）为东经105°27′18″-105°28′14″、北纬37°17′03″-37°17′40″。</w:t>
            </w:r>
          </w:p>
          <w:p w14:paraId="37132F21">
            <w:pPr>
              <w:ind w:firstLine="510" w:firstLineChars="200"/>
              <w:rPr>
                <w:rFonts w:hint="default" w:ascii="Times New Roman" w:hAnsi="Times New Roman" w:eastAsia="宋体" w:cs="Times New Roman"/>
                <w:color w:val="auto"/>
                <w:kern w:val="0"/>
                <w:szCs w:val="21"/>
                <w:lang w:val="en-US"/>
              </w:rPr>
            </w:pPr>
            <w:r>
              <w:rPr>
                <w:rFonts w:hint="default" w:ascii="Times New Roman" w:hAnsi="Times New Roman" w:cs="Times New Roman"/>
                <w:color w:val="auto"/>
                <w:sz w:val="24"/>
                <w:lang w:val="en-US" w:eastAsia="zh-CN"/>
              </w:rPr>
              <w:t>本项目治理区范围坐标见附图6。</w:t>
            </w:r>
          </w:p>
        </w:tc>
      </w:tr>
      <w:tr w14:paraId="1B619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0"/>
            <w:vAlign w:val="center"/>
          </w:tcPr>
          <w:p w14:paraId="3EA68752">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项目组成及规模</w:t>
            </w:r>
          </w:p>
        </w:tc>
        <w:tc>
          <w:tcPr>
            <w:tcW w:w="8824" w:type="dxa"/>
            <w:noWrap w:val="0"/>
            <w:vAlign w:val="top"/>
          </w:tcPr>
          <w:p w14:paraId="724F1EFA">
            <w:pPr>
              <w:numPr>
                <w:ilvl w:val="0"/>
                <w:numId w:val="5"/>
              </w:numPr>
              <w:autoSpaceDE w:val="0"/>
              <w:autoSpaceDN w:val="0"/>
              <w:spacing w:before="240" w:after="60"/>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工程任务</w:t>
            </w:r>
          </w:p>
          <w:p w14:paraId="4AECCB92">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本工程的任务</w:t>
            </w:r>
            <w:r>
              <w:rPr>
                <w:rFonts w:hint="default" w:ascii="Times New Roman" w:hAnsi="Times New Roman" w:cs="Times New Roman"/>
                <w:color w:val="auto"/>
                <w:sz w:val="24"/>
                <w:lang w:val="en-US" w:eastAsia="zh-CN"/>
              </w:rPr>
              <w:t>如下：</w:t>
            </w:r>
          </w:p>
          <w:p w14:paraId="6BE8C55D">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拆除废弃构筑物212.56立方米;清理回填浮渣53503.2立方米，粘土封填12个遗留的井筒1512立方米，砌筑浆砌石453.6立方米</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平整土方92051.55立方米</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安装围栏810米，播撒草籽17.25公顷，覆土10800立方米等。</w:t>
            </w:r>
          </w:p>
          <w:p w14:paraId="3C557345">
            <w:pPr>
              <w:numPr>
                <w:ilvl w:val="0"/>
                <w:numId w:val="5"/>
              </w:numPr>
              <w:autoSpaceDE w:val="0"/>
              <w:autoSpaceDN w:val="0"/>
              <w:spacing w:before="240" w:after="60"/>
              <w:jc w:val="left"/>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项目主要建设内容</w:t>
            </w:r>
          </w:p>
          <w:p w14:paraId="2DEDA368">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根据项目年度实施计划，项目</w:t>
            </w:r>
            <w:r>
              <w:rPr>
                <w:rFonts w:hint="default" w:ascii="Times New Roman" w:hAnsi="Times New Roman" w:cs="Times New Roman"/>
                <w:color w:val="auto"/>
                <w:sz w:val="24"/>
                <w:lang w:val="en-US" w:eastAsia="zh-CN"/>
              </w:rPr>
              <w:t>主要实施内容如下</w:t>
            </w:r>
            <w:r>
              <w:rPr>
                <w:rFonts w:hint="default" w:ascii="Times New Roman" w:hAnsi="Times New Roman" w:eastAsia="宋体" w:cs="Times New Roman"/>
                <w:color w:val="auto"/>
                <w:sz w:val="24"/>
                <w:lang w:val="en-US" w:eastAsia="zh-CN"/>
              </w:rPr>
              <w:t>：</w:t>
            </w:r>
          </w:p>
          <w:p w14:paraId="1FF5F74A">
            <w:pPr>
              <w:ind w:firstLine="51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本项目治理区面积为</w:t>
            </w:r>
            <w:r>
              <w:rPr>
                <w:rFonts w:hint="default" w:ascii="Times New Roman" w:hAnsi="Times New Roman" w:cs="Times New Roman"/>
                <w:color w:val="auto"/>
                <w:kern w:val="0"/>
                <w:sz w:val="24"/>
                <w:szCs w:val="24"/>
                <w:vertAlign w:val="baseline"/>
                <w:lang w:val="en-US" w:eastAsia="zh-CN" w:bidi="ar"/>
              </w:rPr>
              <w:t>60980.94m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cs="Times New Roman"/>
                <w:color w:val="auto"/>
                <w:sz w:val="24"/>
                <w:lang w:val="en-US" w:eastAsia="zh-CN"/>
              </w:rPr>
              <w:t>。拆除废弃构筑物212.56m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；对遗留的13个盗采洞进行渣土回填，</w:t>
            </w:r>
            <w:r>
              <w:rPr>
                <w:rFonts w:hint="default" w:ascii="Times New Roman" w:hAnsi="Times New Roman" w:cs="Times New Roman"/>
                <w:color w:val="auto"/>
                <w:sz w:val="24"/>
                <w:lang w:val="en-US" w:eastAsia="zh-CN"/>
              </w:rPr>
              <w:t>清理回填浮渣53503.2m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；粘土封填12个遗留的井筒1512m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，砌筑浆砌石453.6m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；对10个渣堆区域进行平整、覆土，</w:t>
            </w:r>
            <w:r>
              <w:rPr>
                <w:rFonts w:hint="default" w:ascii="Times New Roman" w:hAnsi="Times New Roman" w:cs="Times New Roman"/>
                <w:color w:val="auto"/>
                <w:sz w:val="24"/>
                <w:lang w:val="en-US" w:eastAsia="zh-CN"/>
              </w:rPr>
              <w:t>平整土方92051.55m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w:t>
            </w:r>
            <w:r>
              <w:rPr>
                <w:rFonts w:hint="default" w:ascii="Times New Roman" w:hAnsi="Times New Roman" w:cs="Times New Roman"/>
                <w:color w:val="auto"/>
                <w:sz w:val="24"/>
                <w:lang w:val="en-US" w:eastAsia="zh-CN"/>
              </w:rPr>
              <w:t>安装围栏共810m，播撒草籽60980.94m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，覆土10800m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等。</w:t>
            </w:r>
          </w:p>
          <w:p w14:paraId="01BAD673">
            <w:pPr>
              <w:numPr>
                <w:ilvl w:val="0"/>
                <w:numId w:val="5"/>
              </w:numPr>
              <w:autoSpaceDE w:val="0"/>
              <w:autoSpaceDN w:val="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项目组成</w:t>
            </w:r>
          </w:p>
          <w:p w14:paraId="3C48F705">
            <w:pPr>
              <w:pStyle w:val="20"/>
              <w:spacing w:line="240" w:lineRule="auto"/>
              <w:ind w:left="0" w:leftChars="0" w:firstLine="550" w:firstLineChars="200"/>
              <w:rPr>
                <w:rFonts w:hint="default" w:ascii="Times New Roman" w:hAnsi="Times New Roman" w:cs="Times New Roman"/>
                <w:color w:val="auto"/>
              </w:rPr>
            </w:pPr>
            <w:r>
              <w:rPr>
                <w:rFonts w:hint="default" w:ascii="Times New Roman" w:hAnsi="Times New Roman" w:cs="Times New Roman"/>
                <w:color w:val="auto"/>
              </w:rPr>
              <w:t>项目主要由主体工程、辅助工程、依托工程、临时工程、环保工程等组成具体项目组成见表2-</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p w14:paraId="7D83F65F">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表2-</w:t>
            </w:r>
            <w:r>
              <w:rPr>
                <w:rFonts w:hint="default" w:ascii="Times New Roman" w:hAnsi="Times New Roman" w:eastAsia="黑体" w:cs="Times New Roman"/>
                <w:color w:val="auto"/>
                <w:sz w:val="24"/>
                <w:lang w:val="en-US" w:eastAsia="zh-CN"/>
              </w:rPr>
              <w:t>1</w:t>
            </w:r>
            <w:r>
              <w:rPr>
                <w:rFonts w:hint="default" w:ascii="Times New Roman" w:hAnsi="Times New Roman" w:eastAsia="黑体" w:cs="Times New Roman"/>
                <w:color w:val="auto"/>
                <w:sz w:val="24"/>
              </w:rPr>
              <w:t xml:space="preserve">  本项目主要工程内容一览表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014"/>
              <w:gridCol w:w="1049"/>
              <w:gridCol w:w="5660"/>
            </w:tblGrid>
            <w:tr w14:paraId="0E3BF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noWrap w:val="0"/>
                  <w:vAlign w:val="center"/>
                </w:tcPr>
                <w:p w14:paraId="475B11A4">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工程类别</w:t>
                  </w:r>
                </w:p>
              </w:tc>
              <w:tc>
                <w:tcPr>
                  <w:tcW w:w="591" w:type="pct"/>
                  <w:noWrap w:val="0"/>
                  <w:vAlign w:val="center"/>
                </w:tcPr>
                <w:p w14:paraId="16FB3930">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工程</w:t>
                  </w:r>
                </w:p>
                <w:p w14:paraId="5E3E3FFA">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3910" w:type="pct"/>
                  <w:gridSpan w:val="2"/>
                  <w:noWrap w:val="0"/>
                  <w:vAlign w:val="center"/>
                </w:tcPr>
                <w:p w14:paraId="6C891833">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主要内容</w:t>
                  </w:r>
                </w:p>
              </w:tc>
            </w:tr>
            <w:tr w14:paraId="161D9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noWrap w:val="0"/>
                  <w:vAlign w:val="center"/>
                </w:tcPr>
                <w:p w14:paraId="43513187">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rPr>
                    <w:t>主体工程</w:t>
                  </w:r>
                </w:p>
              </w:tc>
              <w:tc>
                <w:tcPr>
                  <w:tcW w:w="591" w:type="pct"/>
                  <w:vMerge w:val="restart"/>
                  <w:noWrap w:val="0"/>
                  <w:vAlign w:val="center"/>
                </w:tcPr>
                <w:p w14:paraId="18C8122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地形地貌恢复工程</w:t>
                  </w:r>
                </w:p>
              </w:tc>
              <w:tc>
                <w:tcPr>
                  <w:tcW w:w="611" w:type="pct"/>
                  <w:shd w:val="clear" w:color="auto" w:fill="auto"/>
                  <w:noWrap w:val="0"/>
                  <w:vAlign w:val="center"/>
                </w:tcPr>
                <w:p w14:paraId="48894B7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废弃构筑物拆除</w:t>
                  </w:r>
                </w:p>
              </w:tc>
              <w:tc>
                <w:tcPr>
                  <w:tcW w:w="3299" w:type="pct"/>
                  <w:shd w:val="clear" w:color="auto" w:fill="auto"/>
                  <w:noWrap w:val="0"/>
                  <w:vAlign w:val="center"/>
                </w:tcPr>
                <w:p w14:paraId="1B1AE3D9">
                  <w:pPr>
                    <w:pStyle w:val="6"/>
                    <w:adjustRightInd w:val="0"/>
                    <w:snapToGrid w:val="0"/>
                    <w:spacing w:line="240" w:lineRule="auto"/>
                    <w:ind w:firstLine="45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1"/>
                      <w:szCs w:val="21"/>
                      <w:lang w:val="en-US" w:eastAsia="zh-CN"/>
                    </w:rPr>
                    <w:t>治理区有1处废弃构筑物需要拆除，需要拆除废弃构筑物212.56m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。废弃构筑物设计采用推土机、挖掘机等进行机械拆除，运输至填埋场填埋</w:t>
                  </w:r>
                  <w:r>
                    <w:rPr>
                      <w:rFonts w:hint="default" w:ascii="Times New Roman" w:hAnsi="Times New Roman" w:cs="Times New Roman"/>
                      <w:color w:val="auto"/>
                      <w:sz w:val="21"/>
                      <w:szCs w:val="21"/>
                      <w:lang w:val="en-US" w:eastAsia="zh-CN"/>
                    </w:rPr>
                    <w:t>。</w:t>
                  </w:r>
                </w:p>
              </w:tc>
            </w:tr>
            <w:tr w14:paraId="408C1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375C1870">
                  <w:pPr>
                    <w:pStyle w:val="6"/>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591" w:type="pct"/>
                  <w:vMerge w:val="continue"/>
                  <w:noWrap w:val="0"/>
                  <w:vAlign w:val="center"/>
                </w:tcPr>
                <w:p w14:paraId="4D661BD5">
                  <w:pPr>
                    <w:pStyle w:val="6"/>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611" w:type="pct"/>
                  <w:shd w:val="clear" w:color="auto" w:fill="auto"/>
                  <w:noWrap w:val="0"/>
                  <w:vAlign w:val="center"/>
                </w:tcPr>
                <w:p w14:paraId="2EEB54C6">
                  <w:pPr>
                    <w:pStyle w:val="6"/>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盗采洞穴回填</w:t>
                  </w:r>
                </w:p>
              </w:tc>
              <w:tc>
                <w:tcPr>
                  <w:tcW w:w="3299" w:type="pct"/>
                  <w:shd w:val="clear" w:color="auto" w:fill="auto"/>
                  <w:noWrap w:val="0"/>
                  <w:vAlign w:val="center"/>
                </w:tcPr>
                <w:p w14:paraId="0CCEDD31">
                  <w:pPr>
                    <w:pStyle w:val="6"/>
                    <w:adjustRightInd w:val="0"/>
                    <w:snapToGrid w:val="0"/>
                    <w:spacing w:line="240" w:lineRule="auto"/>
                    <w:ind w:firstLine="45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治理区有13个盗采洞穴需要回填，对渣台外侧散乱分布的浮渣进行清理，回填到盗采洞穴。根据计算，盗采洞穴回填53503.20m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14:paraId="403BD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718C7990">
                  <w:pPr>
                    <w:pStyle w:val="6"/>
                    <w:adjustRightInd w:val="0"/>
                    <w:snapToGrid w:val="0"/>
                    <w:spacing w:line="240" w:lineRule="auto"/>
                    <w:ind w:firstLine="0" w:firstLineChars="0"/>
                    <w:jc w:val="center"/>
                    <w:rPr>
                      <w:rFonts w:hint="default" w:ascii="Times New Roman" w:hAnsi="Times New Roman" w:cs="Times New Roman"/>
                      <w:color w:val="auto"/>
                    </w:rPr>
                  </w:pPr>
                </w:p>
              </w:tc>
              <w:tc>
                <w:tcPr>
                  <w:tcW w:w="591" w:type="pct"/>
                  <w:vMerge w:val="continue"/>
                  <w:noWrap w:val="0"/>
                  <w:vAlign w:val="center"/>
                </w:tcPr>
                <w:p w14:paraId="4F052C8B">
                  <w:pPr>
                    <w:pStyle w:val="6"/>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611" w:type="pct"/>
                  <w:shd w:val="clear" w:color="auto" w:fill="auto"/>
                  <w:noWrap w:val="0"/>
                  <w:vAlign w:val="center"/>
                </w:tcPr>
                <w:p w14:paraId="4B42CFE8">
                  <w:pPr>
                    <w:pStyle w:val="6"/>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井筒填封</w:t>
                  </w:r>
                </w:p>
              </w:tc>
              <w:tc>
                <w:tcPr>
                  <w:tcW w:w="3299" w:type="pct"/>
                  <w:shd w:val="clear" w:color="auto" w:fill="auto"/>
                  <w:noWrap w:val="0"/>
                  <w:vAlign w:val="center"/>
                </w:tcPr>
                <w:p w14:paraId="15C5D42A">
                  <w:pPr>
                    <w:pStyle w:val="6"/>
                    <w:adjustRightInd w:val="0"/>
                    <w:snapToGrid w:val="0"/>
                    <w:spacing w:line="240" w:lineRule="auto"/>
                    <w:ind w:firstLine="45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对遗留的12个井筒采用粘土进行封填，并在井口采用浆砌石进行封堵，封堵时，必须从洞口向里用粘土（充填过程中掺入适量石灰粉），填实至少20m，确保满足防水要求，再在井口处修建1.0m的浆砌石封墙。根据计算，回填粘土1512.00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，砌筑浆砌石453.60m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14:paraId="05ADD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29B01D6D">
                  <w:pPr>
                    <w:pStyle w:val="6"/>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91" w:type="pct"/>
                  <w:vMerge w:val="continue"/>
                  <w:noWrap w:val="0"/>
                  <w:vAlign w:val="center"/>
                </w:tcPr>
                <w:p w14:paraId="4C49A8C1">
                  <w:pPr>
                    <w:pStyle w:val="6"/>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611" w:type="pct"/>
                  <w:shd w:val="clear" w:color="auto" w:fill="auto"/>
                  <w:noWrap w:val="0"/>
                  <w:vAlign w:val="center"/>
                </w:tcPr>
                <w:p w14:paraId="2FA88F4E">
                  <w:pPr>
                    <w:pStyle w:val="6"/>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土地平整</w:t>
                  </w:r>
                </w:p>
              </w:tc>
              <w:tc>
                <w:tcPr>
                  <w:tcW w:w="3299" w:type="pct"/>
                  <w:shd w:val="clear" w:color="auto" w:fill="auto"/>
                  <w:noWrap w:val="0"/>
                  <w:vAlign w:val="center"/>
                </w:tcPr>
                <w:p w14:paraId="165F72A0">
                  <w:pPr>
                    <w:pStyle w:val="6"/>
                    <w:adjustRightInd w:val="0"/>
                    <w:snapToGrid w:val="0"/>
                    <w:spacing w:line="240" w:lineRule="auto"/>
                    <w:ind w:firstLine="45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对治理区</w:t>
                  </w:r>
                  <w:r>
                    <w:rPr>
                      <w:rFonts w:hint="default" w:ascii="Times New Roman" w:hAnsi="Times New Roman" w:cs="Times New Roman"/>
                      <w:color w:val="auto"/>
                      <w:sz w:val="21"/>
                      <w:szCs w:val="21"/>
                      <w:lang w:val="en-US" w:eastAsia="zh-CN"/>
                    </w:rPr>
                    <w:t>10个</w:t>
                  </w:r>
                  <w:r>
                    <w:rPr>
                      <w:rFonts w:hint="default" w:ascii="Times New Roman" w:hAnsi="Times New Roman" w:eastAsia="宋体" w:cs="Times New Roman"/>
                      <w:color w:val="auto"/>
                      <w:sz w:val="21"/>
                      <w:szCs w:val="21"/>
                    </w:rPr>
                    <w:t>大小不一的渣堆</w:t>
                  </w:r>
                  <w:r>
                    <w:rPr>
                      <w:rFonts w:hint="default" w:ascii="Times New Roman" w:hAnsi="Times New Roman" w:cs="Times New Roman"/>
                      <w:color w:val="auto"/>
                      <w:sz w:val="21"/>
                      <w:szCs w:val="21"/>
                      <w:lang w:val="en-US" w:eastAsia="zh-CN"/>
                    </w:rPr>
                    <w:t>区</w:t>
                  </w:r>
                  <w:r>
                    <w:rPr>
                      <w:rFonts w:hint="default" w:ascii="Times New Roman" w:hAnsi="Times New Roman" w:eastAsia="宋体" w:cs="Times New Roman"/>
                      <w:color w:val="auto"/>
                      <w:sz w:val="21"/>
                      <w:szCs w:val="21"/>
                    </w:rPr>
                    <w:t>，根据附近地形变化情况，同时根据依坡就势原则，挖高填低，整体挖填整平。平整土方量为92051.55m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14:paraId="041EA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28386EB5">
                  <w:pPr>
                    <w:pStyle w:val="6"/>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91" w:type="pct"/>
                  <w:vMerge w:val="continue"/>
                  <w:noWrap w:val="0"/>
                  <w:vAlign w:val="center"/>
                </w:tcPr>
                <w:p w14:paraId="7F01B87E">
                  <w:pPr>
                    <w:pStyle w:val="6"/>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611" w:type="pct"/>
                  <w:shd w:val="clear" w:color="auto" w:fill="auto"/>
                  <w:noWrap w:val="0"/>
                  <w:vAlign w:val="center"/>
                </w:tcPr>
                <w:p w14:paraId="15086FF7">
                  <w:pPr>
                    <w:pStyle w:val="6"/>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围栏安装</w:t>
                  </w:r>
                </w:p>
              </w:tc>
              <w:tc>
                <w:tcPr>
                  <w:tcW w:w="3299" w:type="pct"/>
                  <w:shd w:val="clear" w:color="auto" w:fill="auto"/>
                  <w:noWrap w:val="0"/>
                  <w:vAlign w:val="center"/>
                </w:tcPr>
                <w:p w14:paraId="1580CC79">
                  <w:pPr>
                    <w:pStyle w:val="6"/>
                    <w:adjustRightInd w:val="0"/>
                    <w:snapToGrid w:val="0"/>
                    <w:spacing w:line="240" w:lineRule="auto"/>
                    <w:ind w:firstLine="45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1"/>
                      <w:szCs w:val="21"/>
                      <w:lang w:val="en-US" w:eastAsia="zh-CN"/>
                    </w:rPr>
                    <w:t>对治理区地质灾害严重的区域，安装围栏，围栏安装810m</w:t>
                  </w:r>
                  <w:r>
                    <w:rPr>
                      <w:rFonts w:hint="default" w:ascii="Times New Roman" w:hAnsi="Times New Roman" w:eastAsia="宋体" w:cs="Times New Roman"/>
                      <w:color w:val="auto"/>
                      <w:sz w:val="21"/>
                      <w:szCs w:val="21"/>
                    </w:rPr>
                    <w:t>。</w:t>
                  </w:r>
                </w:p>
              </w:tc>
            </w:tr>
            <w:tr w14:paraId="5495A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4699A2D2">
                  <w:pPr>
                    <w:pStyle w:val="6"/>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91" w:type="pct"/>
                  <w:noWrap w:val="0"/>
                  <w:vAlign w:val="center"/>
                </w:tcPr>
                <w:p w14:paraId="64E76D2E">
                  <w:pPr>
                    <w:pStyle w:val="6"/>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覆土工程</w:t>
                  </w:r>
                </w:p>
              </w:tc>
              <w:tc>
                <w:tcPr>
                  <w:tcW w:w="3910" w:type="pct"/>
                  <w:gridSpan w:val="2"/>
                  <w:noWrap w:val="0"/>
                  <w:vAlign w:val="center"/>
                </w:tcPr>
                <w:p w14:paraId="1DAF6F79">
                  <w:pPr>
                    <w:pStyle w:val="6"/>
                    <w:adjustRightInd w:val="0"/>
                    <w:snapToGrid w:val="0"/>
                    <w:spacing w:line="240" w:lineRule="auto"/>
                    <w:ind w:firstLine="45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治理区地貌修复后，根据治理区现状条件，进行覆土，覆土厚度为0.3m，覆土量为10800m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r>
            <w:tr w14:paraId="51C62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3B1A7467">
                  <w:pPr>
                    <w:pStyle w:val="6"/>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591" w:type="pct"/>
                  <w:noWrap w:val="0"/>
                  <w:vAlign w:val="center"/>
                </w:tcPr>
                <w:p w14:paraId="63D01412">
                  <w:pPr>
                    <w:pStyle w:val="6"/>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植被恢复工程</w:t>
                  </w:r>
                </w:p>
              </w:tc>
              <w:tc>
                <w:tcPr>
                  <w:tcW w:w="3910" w:type="pct"/>
                  <w:gridSpan w:val="2"/>
                  <w:noWrap w:val="0"/>
                  <w:vAlign w:val="center"/>
                </w:tcPr>
                <w:p w14:paraId="4B32A734">
                  <w:pPr>
                    <w:pStyle w:val="6"/>
                    <w:adjustRightInd w:val="0"/>
                    <w:snapToGrid w:val="0"/>
                    <w:spacing w:line="240" w:lineRule="auto"/>
                    <w:ind w:firstLine="45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草地种植要求：一般选择春播，具体根据气候稍情况而定。在治理区以4月中下旬播种为宜。采用冰草与沙蒿混播，比例为1:1。播种量36kg/hm²，播深3-5cm。</w:t>
                  </w:r>
                </w:p>
              </w:tc>
            </w:tr>
            <w:tr w14:paraId="50496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noWrap w:val="0"/>
                  <w:vAlign w:val="center"/>
                </w:tcPr>
                <w:p w14:paraId="2B5C4C9F">
                  <w:pPr>
                    <w:adjustRightInd w:val="0"/>
                    <w:snapToGrid w:val="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临时工程</w:t>
                  </w:r>
                </w:p>
              </w:tc>
              <w:tc>
                <w:tcPr>
                  <w:tcW w:w="591" w:type="pct"/>
                  <w:shd w:val="clear" w:color="auto" w:fill="auto"/>
                  <w:noWrap w:val="0"/>
                  <w:vAlign w:val="center"/>
                </w:tcPr>
                <w:p w14:paraId="7A760ED4">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施工营地</w:t>
                  </w:r>
                </w:p>
              </w:tc>
              <w:tc>
                <w:tcPr>
                  <w:tcW w:w="3910" w:type="pct"/>
                  <w:gridSpan w:val="2"/>
                  <w:shd w:val="clear" w:color="auto" w:fill="auto"/>
                  <w:noWrap w:val="0"/>
                  <w:vAlign w:val="center"/>
                </w:tcPr>
                <w:p w14:paraId="463416B9">
                  <w:pPr>
                    <w:adjustRightInd w:val="0"/>
                    <w:snapToGrid w:val="0"/>
                    <w:ind w:firstLine="45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Cs/>
                      <w:color w:val="auto"/>
                      <w:sz w:val="21"/>
                      <w:szCs w:val="21"/>
                      <w:highlight w:val="none"/>
                    </w:rPr>
                    <w:t>本项目租用附近农户用房作为临时施工营地</w:t>
                  </w:r>
                  <w:r>
                    <w:rPr>
                      <w:rFonts w:hint="default" w:ascii="Times New Roman" w:hAnsi="Times New Roman" w:cs="Times New Roman"/>
                      <w:bCs/>
                      <w:color w:val="auto"/>
                      <w:sz w:val="21"/>
                      <w:szCs w:val="21"/>
                      <w:highlight w:val="none"/>
                      <w:lang w:eastAsia="zh-CN"/>
                    </w:rPr>
                    <w:t>。</w:t>
                  </w:r>
                </w:p>
              </w:tc>
            </w:tr>
            <w:tr w14:paraId="78680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498" w:type="pct"/>
                  <w:vMerge w:val="continue"/>
                  <w:noWrap w:val="0"/>
                  <w:vAlign w:val="center"/>
                </w:tcPr>
                <w:p w14:paraId="14EA1025">
                  <w:pPr>
                    <w:adjustRightInd w:val="0"/>
                    <w:snapToGrid w:val="0"/>
                    <w:jc w:val="center"/>
                    <w:rPr>
                      <w:rFonts w:hint="default" w:ascii="Times New Roman" w:hAnsi="Times New Roman" w:cs="Times New Roman"/>
                      <w:b/>
                      <w:bCs/>
                      <w:color w:val="auto"/>
                      <w:lang w:val="en-US" w:eastAsia="zh-CN"/>
                    </w:rPr>
                  </w:pPr>
                </w:p>
              </w:tc>
              <w:tc>
                <w:tcPr>
                  <w:tcW w:w="591" w:type="pct"/>
                  <w:shd w:val="clear" w:color="auto" w:fill="auto"/>
                  <w:noWrap w:val="0"/>
                  <w:vAlign w:val="center"/>
                </w:tcPr>
                <w:p w14:paraId="69AA4323">
                  <w:pPr>
                    <w:keepNext w:val="0"/>
                    <w:keepLines w:val="0"/>
                    <w:pageBreakBefore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lang w:val="en-US" w:eastAsia="zh-CN"/>
                    </w:rPr>
                    <w:t>施工临时占地</w:t>
                  </w:r>
                </w:p>
              </w:tc>
              <w:tc>
                <w:tcPr>
                  <w:tcW w:w="3910" w:type="pct"/>
                  <w:gridSpan w:val="2"/>
                  <w:shd w:val="clear" w:color="auto" w:fill="auto"/>
                  <w:noWrap w:val="0"/>
                  <w:vAlign w:val="center"/>
                </w:tcPr>
                <w:p w14:paraId="202F158C">
                  <w:pPr>
                    <w:keepNext w:val="0"/>
                    <w:keepLines w:val="0"/>
                    <w:pageBreakBefore w:val="0"/>
                    <w:kinsoku/>
                    <w:overflowPunct/>
                    <w:topLinePunct w:val="0"/>
                    <w:autoSpaceDE/>
                    <w:autoSpaceDN/>
                    <w:bidi w:val="0"/>
                    <w:adjustRightInd w:val="0"/>
                    <w:snapToGrid w:val="0"/>
                    <w:spacing w:line="240" w:lineRule="auto"/>
                    <w:ind w:firstLine="450" w:firstLineChars="200"/>
                    <w:jc w:val="both"/>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本项目实现区域内挖填平衡，土石方均外购，开挖土石方均用于场地回填平整，不设取弃土场。</w:t>
                  </w:r>
                </w:p>
                <w:p w14:paraId="01DF59D0">
                  <w:pPr>
                    <w:keepNext w:val="0"/>
                    <w:keepLines w:val="0"/>
                    <w:pageBreakBefore w:val="0"/>
                    <w:kinsoku/>
                    <w:overflowPunct/>
                    <w:topLinePunct w:val="0"/>
                    <w:autoSpaceDE/>
                    <w:autoSpaceDN/>
                    <w:bidi w:val="0"/>
                    <w:adjustRightInd w:val="0"/>
                    <w:snapToGrid w:val="0"/>
                    <w:spacing w:line="240" w:lineRule="auto"/>
                    <w:ind w:firstLine="450" w:firstLineChars="200"/>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施工有关设施和机械停放场地可布置在工程区的空地上，均位于项目占地范围内，不新增临时占地。</w:t>
                  </w:r>
                  <w:r>
                    <w:rPr>
                      <w:rFonts w:hint="eastAsia" w:ascii="Times New Roman" w:hAnsi="Times New Roman" w:cs="Times New Roman"/>
                      <w:bCs/>
                      <w:color w:val="auto"/>
                      <w:sz w:val="21"/>
                      <w:szCs w:val="21"/>
                      <w:highlight w:val="none"/>
                      <w:lang w:val="en-US" w:eastAsia="zh-CN"/>
                    </w:rPr>
                    <w:t>工程结束后同其他区域一同进行土地平整，播撒草籽。</w:t>
                  </w:r>
                </w:p>
              </w:tc>
            </w:tr>
            <w:tr w14:paraId="2AACE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498" w:type="pct"/>
                  <w:vMerge w:val="continue"/>
                  <w:noWrap w:val="0"/>
                  <w:vAlign w:val="center"/>
                </w:tcPr>
                <w:p w14:paraId="6F5BE93F">
                  <w:pPr>
                    <w:adjustRightInd w:val="0"/>
                    <w:snapToGrid w:val="0"/>
                    <w:jc w:val="center"/>
                    <w:rPr>
                      <w:rFonts w:hint="default" w:ascii="Times New Roman" w:hAnsi="Times New Roman" w:eastAsia="宋体" w:cs="Times New Roman"/>
                      <w:b/>
                      <w:bCs/>
                      <w:color w:val="auto"/>
                      <w:lang w:val="en-US" w:eastAsia="zh-CN"/>
                    </w:rPr>
                  </w:pPr>
                </w:p>
              </w:tc>
              <w:tc>
                <w:tcPr>
                  <w:tcW w:w="591" w:type="pct"/>
                  <w:shd w:val="clear" w:color="auto" w:fill="auto"/>
                  <w:noWrap w:val="0"/>
                  <w:vAlign w:val="center"/>
                </w:tcPr>
                <w:p w14:paraId="350AB315">
                  <w:pPr>
                    <w:keepNext w:val="0"/>
                    <w:keepLines w:val="0"/>
                    <w:pageBreakBefore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施工道路</w:t>
                  </w:r>
                </w:p>
              </w:tc>
              <w:tc>
                <w:tcPr>
                  <w:tcW w:w="3910" w:type="pct"/>
                  <w:gridSpan w:val="2"/>
                  <w:shd w:val="clear" w:color="auto" w:fill="auto"/>
                  <w:noWrap w:val="0"/>
                  <w:vAlign w:val="center"/>
                </w:tcPr>
                <w:p w14:paraId="34D1FAEC">
                  <w:pPr>
                    <w:keepNext w:val="0"/>
                    <w:keepLines w:val="0"/>
                    <w:pageBreakBefore w:val="0"/>
                    <w:kinsoku/>
                    <w:overflowPunct/>
                    <w:topLinePunct w:val="0"/>
                    <w:autoSpaceDE/>
                    <w:autoSpaceDN/>
                    <w:bidi w:val="0"/>
                    <w:adjustRightInd w:val="0"/>
                    <w:snapToGrid w:val="0"/>
                    <w:spacing w:line="240" w:lineRule="auto"/>
                    <w:ind w:firstLine="45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对外交通：</w:t>
                  </w:r>
                </w:p>
                <w:p w14:paraId="70127459">
                  <w:pPr>
                    <w:keepNext w:val="0"/>
                    <w:keepLines w:val="0"/>
                    <w:pageBreakBefore w:val="0"/>
                    <w:kinsoku/>
                    <w:overflowPunct/>
                    <w:topLinePunct w:val="0"/>
                    <w:autoSpaceDE/>
                    <w:autoSpaceDN/>
                    <w:bidi w:val="0"/>
                    <w:adjustRightInd w:val="0"/>
                    <w:snapToGrid w:val="0"/>
                    <w:spacing w:line="240" w:lineRule="auto"/>
                    <w:ind w:firstLine="45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通往治理区的交通路线畅通，天景山北侧修建有简易矿山道路，西接寺口线经迎太线、永大路连接S205省道，东经乡村道路联通109国道</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均依托现有道路。</w:t>
                  </w:r>
                </w:p>
                <w:p w14:paraId="220A69C1">
                  <w:pPr>
                    <w:keepNext w:val="0"/>
                    <w:keepLines w:val="0"/>
                    <w:pageBreakBefore w:val="0"/>
                    <w:kinsoku/>
                    <w:overflowPunct/>
                    <w:topLinePunct w:val="0"/>
                    <w:autoSpaceDE/>
                    <w:autoSpaceDN/>
                    <w:bidi w:val="0"/>
                    <w:adjustRightInd w:val="0"/>
                    <w:snapToGrid w:val="0"/>
                    <w:spacing w:line="240" w:lineRule="auto"/>
                    <w:ind w:firstLine="45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对内交通：</w:t>
                  </w:r>
                </w:p>
                <w:p w14:paraId="17D8B127">
                  <w:pPr>
                    <w:keepNext w:val="0"/>
                    <w:keepLines w:val="0"/>
                    <w:pageBreakBefore w:val="0"/>
                    <w:kinsoku/>
                    <w:overflowPunct/>
                    <w:topLinePunct w:val="0"/>
                    <w:autoSpaceDE/>
                    <w:autoSpaceDN/>
                    <w:bidi w:val="0"/>
                    <w:adjustRightInd w:val="0"/>
                    <w:snapToGrid w:val="0"/>
                    <w:spacing w:line="240" w:lineRule="auto"/>
                    <w:ind w:firstLine="450" w:firstLineChars="200"/>
                    <w:jc w:val="both"/>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rPr>
                    <w:t>本项目不</w:t>
                  </w:r>
                  <w:r>
                    <w:rPr>
                      <w:rFonts w:hint="default" w:ascii="Times New Roman" w:hAnsi="Times New Roman" w:cs="Times New Roman"/>
                      <w:color w:val="auto"/>
                      <w:sz w:val="21"/>
                      <w:szCs w:val="21"/>
                      <w:lang w:val="en-US" w:eastAsia="zh-CN"/>
                    </w:rPr>
                    <w:t>新修建</w:t>
                  </w:r>
                  <w:r>
                    <w:rPr>
                      <w:rFonts w:hint="default" w:ascii="Times New Roman" w:hAnsi="Times New Roman" w:cs="Times New Roman"/>
                      <w:color w:val="auto"/>
                      <w:sz w:val="21"/>
                      <w:szCs w:val="21"/>
                    </w:rPr>
                    <w:t>施工便道，</w:t>
                  </w:r>
                  <w:r>
                    <w:rPr>
                      <w:rFonts w:hint="default" w:ascii="Times New Roman" w:hAnsi="Times New Roman" w:cs="Times New Roman"/>
                      <w:color w:val="auto"/>
                      <w:sz w:val="21"/>
                      <w:szCs w:val="21"/>
                      <w:lang w:val="en-US" w:eastAsia="zh-CN"/>
                    </w:rPr>
                    <w:t>施工交通均</w:t>
                  </w:r>
                  <w:r>
                    <w:rPr>
                      <w:rFonts w:hint="default" w:ascii="Times New Roman" w:hAnsi="Times New Roman" w:cs="Times New Roman"/>
                      <w:color w:val="auto"/>
                      <w:sz w:val="21"/>
                      <w:szCs w:val="21"/>
                    </w:rPr>
                    <w:t>依托附近</w:t>
                  </w:r>
                  <w:r>
                    <w:rPr>
                      <w:rFonts w:hint="default" w:ascii="Times New Roman" w:hAnsi="Times New Roman" w:cs="Times New Roman"/>
                      <w:color w:val="auto"/>
                      <w:sz w:val="21"/>
                      <w:szCs w:val="21"/>
                      <w:lang w:val="en-US" w:eastAsia="zh-CN"/>
                    </w:rPr>
                    <w:t>道路</w:t>
                  </w:r>
                  <w:r>
                    <w:rPr>
                      <w:rFonts w:hint="default" w:ascii="Times New Roman" w:hAnsi="Times New Roman" w:cs="Times New Roman"/>
                      <w:color w:val="auto"/>
                      <w:sz w:val="21"/>
                      <w:szCs w:val="21"/>
                    </w:rPr>
                    <w:t>。</w:t>
                  </w:r>
                </w:p>
              </w:tc>
            </w:tr>
            <w:tr w14:paraId="099CA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noWrap w:val="0"/>
                  <w:vAlign w:val="center"/>
                </w:tcPr>
                <w:p w14:paraId="43C7D620">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公用工程</w:t>
                  </w:r>
                </w:p>
              </w:tc>
              <w:tc>
                <w:tcPr>
                  <w:tcW w:w="591" w:type="pct"/>
                  <w:noWrap w:val="0"/>
                  <w:vAlign w:val="center"/>
                </w:tcPr>
                <w:p w14:paraId="54D866C2">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供水</w:t>
                  </w:r>
                </w:p>
              </w:tc>
              <w:tc>
                <w:tcPr>
                  <w:tcW w:w="3910" w:type="pct"/>
                  <w:gridSpan w:val="2"/>
                  <w:noWrap w:val="0"/>
                  <w:vAlign w:val="center"/>
                </w:tcPr>
                <w:p w14:paraId="0D319585">
                  <w:pPr>
                    <w:keepNext w:val="0"/>
                    <w:keepLines w:val="0"/>
                    <w:pageBreakBefore w:val="0"/>
                    <w:kinsoku/>
                    <w:wordWrap w:val="0"/>
                    <w:overflowPunct/>
                    <w:topLinePunct w:val="0"/>
                    <w:autoSpaceDE/>
                    <w:autoSpaceDN/>
                    <w:bidi w:val="0"/>
                    <w:adjustRightInd w:val="0"/>
                    <w:snapToGrid w:val="0"/>
                    <w:spacing w:line="240" w:lineRule="auto"/>
                    <w:ind w:firstLine="45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highlight w:val="none"/>
                      <w:lang w:val="en-US" w:eastAsia="zh-CN"/>
                    </w:rPr>
                    <w:t>本项目用水主要为施工期施工人员生活用水、</w:t>
                  </w:r>
                  <w:r>
                    <w:rPr>
                      <w:rFonts w:hint="default" w:ascii="Times New Roman" w:hAnsi="Times New Roman" w:eastAsia="宋体" w:cs="Times New Roman"/>
                      <w:color w:val="auto"/>
                      <w:highlight w:val="none"/>
                      <w:lang w:val="en-US" w:eastAsia="zh-CN"/>
                    </w:rPr>
                    <w:t>洒水抑尘用水</w:t>
                  </w:r>
                  <w:r>
                    <w:rPr>
                      <w:rFonts w:hint="default" w:ascii="Times New Roman" w:hAnsi="Times New Roman" w:cs="Times New Roman"/>
                      <w:color w:val="auto"/>
                      <w:highlight w:val="none"/>
                      <w:lang w:val="en-US" w:eastAsia="zh-CN"/>
                    </w:rPr>
                    <w:t>，从项目区周边村庄拉运。</w:t>
                  </w:r>
                </w:p>
              </w:tc>
            </w:tr>
            <w:tr w14:paraId="290E9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4FFD5DD6">
                  <w:pPr>
                    <w:adjustRightInd w:val="0"/>
                    <w:snapToGrid w:val="0"/>
                    <w:jc w:val="center"/>
                    <w:rPr>
                      <w:rFonts w:hint="default" w:ascii="Times New Roman" w:hAnsi="Times New Roman" w:eastAsia="宋体" w:cs="Times New Roman"/>
                      <w:b/>
                      <w:bCs/>
                      <w:color w:val="auto"/>
                    </w:rPr>
                  </w:pPr>
                </w:p>
              </w:tc>
              <w:tc>
                <w:tcPr>
                  <w:tcW w:w="591" w:type="pct"/>
                  <w:noWrap w:val="0"/>
                  <w:vAlign w:val="center"/>
                </w:tcPr>
                <w:p w14:paraId="07456E81">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排水</w:t>
                  </w:r>
                </w:p>
              </w:tc>
              <w:tc>
                <w:tcPr>
                  <w:tcW w:w="3910" w:type="pct"/>
                  <w:gridSpan w:val="2"/>
                  <w:noWrap w:val="0"/>
                  <w:vAlign w:val="center"/>
                </w:tcPr>
                <w:p w14:paraId="55F574D7">
                  <w:pPr>
                    <w:adjustRightInd w:val="0"/>
                    <w:snapToGrid w:val="0"/>
                    <w:ind w:firstLine="450" w:firstLineChars="200"/>
                    <w:rPr>
                      <w:rFonts w:hint="default" w:ascii="Times New Roman" w:hAnsi="Times New Roman" w:cs="Times New Roman"/>
                      <w:color w:val="auto"/>
                      <w:szCs w:val="21"/>
                      <w:lang w:eastAsia="zh-CN"/>
                    </w:rPr>
                  </w:pPr>
                  <w:r>
                    <w:rPr>
                      <w:rFonts w:hint="default" w:ascii="Times New Roman" w:hAnsi="Times New Roman" w:eastAsia="宋体" w:cs="Times New Roman"/>
                      <w:color w:val="auto"/>
                      <w:sz w:val="21"/>
                      <w:szCs w:val="21"/>
                      <w:lang w:val="en-US" w:eastAsia="zh-CN"/>
                    </w:rPr>
                    <w:t>项目区施工生活营地依托周边村庄，生活污水</w:t>
                  </w:r>
                  <w:r>
                    <w:rPr>
                      <w:rFonts w:hint="default" w:ascii="Times New Roman" w:hAnsi="Times New Roman" w:cs="Times New Roman"/>
                      <w:color w:val="auto"/>
                      <w:lang w:val="en-US" w:eastAsia="zh-CN"/>
                    </w:rPr>
                    <w:t>依托村庄旱厕处理</w:t>
                  </w:r>
                  <w:r>
                    <w:rPr>
                      <w:rFonts w:hint="default" w:ascii="Times New Roman" w:hAnsi="Times New Roman" w:cs="Times New Roman"/>
                      <w:color w:val="auto"/>
                      <w:lang w:eastAsia="zh-CN"/>
                    </w:rPr>
                    <w:t>处理后定期由吸污车清掏外运，</w:t>
                  </w:r>
                  <w:r>
                    <w:rPr>
                      <w:rFonts w:hint="default" w:ascii="Times New Roman" w:hAnsi="Times New Roman" w:cs="Times New Roman"/>
                      <w:color w:val="auto"/>
                      <w:lang w:val="en-US" w:eastAsia="zh-CN"/>
                    </w:rPr>
                    <w:t>洗漱废水用于场地洒水抑尘</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Cs w:val="21"/>
                    </w:rPr>
                    <w:t>施工废水主要是冲洗砂砾石的含泥沙废水，经临时沉淀池处理后，用于场地洒水抑尘</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不</w:t>
                  </w:r>
                  <w:r>
                    <w:rPr>
                      <w:rFonts w:hint="default" w:ascii="Times New Roman" w:hAnsi="Times New Roman" w:cs="Times New Roman"/>
                      <w:color w:val="auto"/>
                      <w:szCs w:val="21"/>
                      <w:lang w:val="en-US" w:eastAsia="zh-CN"/>
                    </w:rPr>
                    <w:t>外排</w:t>
                  </w:r>
                  <w:r>
                    <w:rPr>
                      <w:rFonts w:hint="default" w:ascii="Times New Roman" w:hAnsi="Times New Roman" w:cs="Times New Roman"/>
                      <w:color w:val="auto"/>
                      <w:szCs w:val="21"/>
                      <w:lang w:eastAsia="zh-CN"/>
                    </w:rPr>
                    <w:t>；</w:t>
                  </w:r>
                </w:p>
                <w:p w14:paraId="6C0AC227">
                  <w:pPr>
                    <w:adjustRightInd w:val="0"/>
                    <w:snapToGrid w:val="0"/>
                    <w:ind w:firstLine="450" w:firstLineChars="200"/>
                    <w:rPr>
                      <w:rFonts w:hint="default" w:ascii="Times New Roman" w:hAnsi="Times New Roman" w:eastAsia="宋体" w:cs="Times New Roman"/>
                      <w:color w:val="auto"/>
                    </w:rPr>
                  </w:pPr>
                  <w:r>
                    <w:rPr>
                      <w:rFonts w:hint="default" w:ascii="Times New Roman" w:hAnsi="Times New Roman" w:cs="Times New Roman"/>
                      <w:color w:val="auto"/>
                      <w:sz w:val="21"/>
                      <w:szCs w:val="21"/>
                      <w:highlight w:val="none"/>
                      <w:lang w:val="en-US" w:eastAsia="zh-CN"/>
                    </w:rPr>
                    <w:t>本项目运营期无废水产生</w:t>
                  </w:r>
                  <w:r>
                    <w:rPr>
                      <w:rFonts w:hint="default" w:ascii="Times New Roman" w:hAnsi="Times New Roman" w:eastAsia="宋体" w:cs="Times New Roman"/>
                      <w:color w:val="auto"/>
                    </w:rPr>
                    <w:t>。</w:t>
                  </w:r>
                </w:p>
              </w:tc>
            </w:tr>
            <w:tr w14:paraId="0FC12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3721768B">
                  <w:pPr>
                    <w:adjustRightInd w:val="0"/>
                    <w:snapToGrid w:val="0"/>
                    <w:jc w:val="center"/>
                    <w:rPr>
                      <w:rFonts w:hint="default" w:ascii="Times New Roman" w:hAnsi="Times New Roman" w:eastAsia="宋体" w:cs="Times New Roman"/>
                      <w:b/>
                      <w:bCs/>
                      <w:color w:val="auto"/>
                    </w:rPr>
                  </w:pPr>
                </w:p>
              </w:tc>
              <w:tc>
                <w:tcPr>
                  <w:tcW w:w="591" w:type="pct"/>
                  <w:noWrap w:val="0"/>
                  <w:vAlign w:val="center"/>
                </w:tcPr>
                <w:p w14:paraId="698BC817">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供电</w:t>
                  </w:r>
                </w:p>
              </w:tc>
              <w:tc>
                <w:tcPr>
                  <w:tcW w:w="3910" w:type="pct"/>
                  <w:gridSpan w:val="2"/>
                  <w:noWrap w:val="0"/>
                  <w:vAlign w:val="center"/>
                </w:tcPr>
                <w:p w14:paraId="460630E6">
                  <w:pPr>
                    <w:adjustRightInd w:val="0"/>
                    <w:snapToGrid w:val="0"/>
                    <w:ind w:firstLine="45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sz w:val="21"/>
                      <w:szCs w:val="21"/>
                      <w:highlight w:val="none"/>
                      <w:lang w:val="en-US" w:eastAsia="zh-CN"/>
                    </w:rPr>
                    <w:t>由周边村镇供给。</w:t>
                  </w:r>
                </w:p>
              </w:tc>
            </w:tr>
            <w:tr w14:paraId="68691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noWrap w:val="0"/>
                  <w:vAlign w:val="center"/>
                </w:tcPr>
                <w:p w14:paraId="767B9271">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环保工程</w:t>
                  </w:r>
                </w:p>
              </w:tc>
              <w:tc>
                <w:tcPr>
                  <w:tcW w:w="591" w:type="pct"/>
                  <w:vMerge w:val="restart"/>
                  <w:noWrap w:val="0"/>
                  <w:vAlign w:val="center"/>
                </w:tcPr>
                <w:p w14:paraId="431DFD33">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废气</w:t>
                  </w:r>
                </w:p>
                <w:p w14:paraId="4E6EA065">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治理</w:t>
                  </w:r>
                </w:p>
              </w:tc>
              <w:tc>
                <w:tcPr>
                  <w:tcW w:w="3910" w:type="pct"/>
                  <w:gridSpan w:val="2"/>
                  <w:noWrap w:val="0"/>
                  <w:vAlign w:val="center"/>
                </w:tcPr>
                <w:p w14:paraId="6842233C">
                  <w:pPr>
                    <w:pStyle w:val="21"/>
                    <w:adjustRightInd w:val="0"/>
                    <w:snapToGrid w:val="0"/>
                    <w:spacing w:after="0" w:line="240" w:lineRule="auto"/>
                    <w:ind w:firstLine="45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施工期：</w:t>
                  </w:r>
                  <w:r>
                    <w:rPr>
                      <w:rFonts w:hint="default" w:ascii="Times New Roman" w:hAnsi="Times New Roman" w:eastAsia="宋体" w:cs="Times New Roman"/>
                      <w:color w:val="auto"/>
                    </w:rPr>
                    <w:t>采取车辆盖篷布、施工场地洒水</w:t>
                  </w:r>
                  <w:r>
                    <w:rPr>
                      <w:rFonts w:hint="default" w:ascii="Times New Roman" w:hAnsi="Times New Roman" w:cs="Times New Roman"/>
                      <w:color w:val="auto"/>
                      <w:lang w:val="en-US" w:eastAsia="zh-CN"/>
                    </w:rPr>
                    <w:t>抑尘</w:t>
                  </w:r>
                  <w:r>
                    <w:rPr>
                      <w:rFonts w:hint="default" w:ascii="Times New Roman" w:hAnsi="Times New Roman" w:eastAsia="宋体" w:cs="Times New Roman"/>
                      <w:color w:val="auto"/>
                    </w:rPr>
                    <w:t>、围挡封闭、物料苫盖等措施以减少扬尘。</w:t>
                  </w:r>
                </w:p>
              </w:tc>
            </w:tr>
            <w:tr w14:paraId="2CDA9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531F5AAA">
                  <w:pPr>
                    <w:adjustRightInd w:val="0"/>
                    <w:snapToGrid w:val="0"/>
                    <w:jc w:val="center"/>
                    <w:rPr>
                      <w:rFonts w:hint="default" w:ascii="Times New Roman" w:hAnsi="Times New Roman" w:eastAsia="宋体" w:cs="Times New Roman"/>
                      <w:b/>
                      <w:bCs/>
                      <w:color w:val="auto"/>
                    </w:rPr>
                  </w:pPr>
                </w:p>
              </w:tc>
              <w:tc>
                <w:tcPr>
                  <w:tcW w:w="591" w:type="pct"/>
                  <w:vMerge w:val="continue"/>
                  <w:noWrap w:val="0"/>
                  <w:vAlign w:val="center"/>
                </w:tcPr>
                <w:p w14:paraId="3AED8673">
                  <w:pPr>
                    <w:adjustRightInd w:val="0"/>
                    <w:snapToGrid w:val="0"/>
                    <w:jc w:val="center"/>
                    <w:rPr>
                      <w:rFonts w:hint="default" w:ascii="Times New Roman" w:hAnsi="Times New Roman" w:eastAsia="宋体" w:cs="Times New Roman"/>
                      <w:color w:val="auto"/>
                    </w:rPr>
                  </w:pPr>
                </w:p>
              </w:tc>
              <w:tc>
                <w:tcPr>
                  <w:tcW w:w="3910" w:type="pct"/>
                  <w:gridSpan w:val="2"/>
                  <w:noWrap w:val="0"/>
                  <w:vAlign w:val="center"/>
                </w:tcPr>
                <w:p w14:paraId="6D630C58">
                  <w:pPr>
                    <w:pStyle w:val="21"/>
                    <w:adjustRightInd w:val="0"/>
                    <w:snapToGrid w:val="0"/>
                    <w:spacing w:after="0" w:line="240" w:lineRule="auto"/>
                    <w:ind w:firstLine="45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运营期：无废气产生。</w:t>
                  </w:r>
                </w:p>
              </w:tc>
            </w:tr>
            <w:tr w14:paraId="57FB1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3AA0DF33">
                  <w:pPr>
                    <w:adjustRightInd w:val="0"/>
                    <w:snapToGrid w:val="0"/>
                    <w:jc w:val="center"/>
                    <w:rPr>
                      <w:rFonts w:hint="default" w:ascii="Times New Roman" w:hAnsi="Times New Roman" w:eastAsia="宋体" w:cs="Times New Roman"/>
                      <w:color w:val="auto"/>
                    </w:rPr>
                  </w:pPr>
                </w:p>
              </w:tc>
              <w:tc>
                <w:tcPr>
                  <w:tcW w:w="591" w:type="pct"/>
                  <w:vMerge w:val="restart"/>
                  <w:noWrap w:val="0"/>
                  <w:vAlign w:val="center"/>
                </w:tcPr>
                <w:p w14:paraId="4B84FEEC">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废水</w:t>
                  </w:r>
                </w:p>
                <w:p w14:paraId="54BA6A15">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治理</w:t>
                  </w:r>
                </w:p>
              </w:tc>
              <w:tc>
                <w:tcPr>
                  <w:tcW w:w="3910" w:type="pct"/>
                  <w:gridSpan w:val="2"/>
                  <w:noWrap w:val="0"/>
                  <w:vAlign w:val="center"/>
                </w:tcPr>
                <w:p w14:paraId="1502C528">
                  <w:pPr>
                    <w:adjustRightInd w:val="0"/>
                    <w:snapToGrid w:val="0"/>
                    <w:ind w:firstLine="45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施工期：</w:t>
                  </w:r>
                </w:p>
                <w:p w14:paraId="5281616C">
                  <w:pPr>
                    <w:adjustRightInd w:val="0"/>
                    <w:snapToGrid w:val="0"/>
                    <w:ind w:firstLine="45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施工人员的洗漱废水回用于洒水抑尘，生活污水依托当地居民区旱厕处理后定期由吸污车清掏外运。</w:t>
                  </w:r>
                </w:p>
                <w:p w14:paraId="5059A2F4">
                  <w:pPr>
                    <w:adjustRightInd w:val="0"/>
                    <w:snapToGrid w:val="0"/>
                    <w:ind w:firstLine="45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在项目区东侧道路附近</w:t>
                  </w:r>
                  <w:r>
                    <w:rPr>
                      <w:rFonts w:hint="default" w:ascii="Times New Roman" w:hAnsi="Times New Roman" w:cs="Times New Roman"/>
                      <w:color w:val="auto"/>
                    </w:rPr>
                    <w:t>新建</w:t>
                  </w:r>
                  <w:r>
                    <w:rPr>
                      <w:rFonts w:hint="default" w:ascii="Times New Roman" w:hAnsi="Times New Roman" w:cs="Times New Roman"/>
                      <w:color w:val="auto"/>
                      <w:lang w:val="en-US" w:eastAsia="zh-CN"/>
                    </w:rPr>
                    <w:t>1</w:t>
                  </w:r>
                  <w:r>
                    <w:rPr>
                      <w:rFonts w:hint="default" w:ascii="Times New Roman" w:hAnsi="Times New Roman" w:cs="Times New Roman"/>
                      <w:color w:val="auto"/>
                    </w:rPr>
                    <w:t>个</w:t>
                  </w:r>
                  <w:r>
                    <w:rPr>
                      <w:rFonts w:hint="default" w:ascii="Times New Roman" w:hAnsi="Times New Roman" w:cs="Times New Roman"/>
                      <w:color w:val="auto"/>
                      <w:lang w:val="en-US" w:eastAsia="zh-CN"/>
                    </w:rPr>
                    <w:t>10m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w:t>
                  </w:r>
                  <w:r>
                    <w:rPr>
                      <w:rFonts w:hint="default" w:ascii="Times New Roman" w:hAnsi="Times New Roman" w:cs="Times New Roman"/>
                      <w:color w:val="auto"/>
                    </w:rPr>
                    <w:t>沉淀池，施工</w:t>
                  </w:r>
                  <w:r>
                    <w:rPr>
                      <w:rFonts w:hint="default" w:ascii="Times New Roman" w:hAnsi="Times New Roman" w:cs="Times New Roman"/>
                      <w:color w:val="auto"/>
                      <w:lang w:val="en-US" w:eastAsia="zh-CN"/>
                    </w:rPr>
                    <w:t>中</w:t>
                  </w:r>
                  <w:r>
                    <w:rPr>
                      <w:rFonts w:hint="default" w:ascii="Times New Roman" w:hAnsi="Times New Roman" w:cs="Times New Roman"/>
                      <w:color w:val="auto"/>
                    </w:rPr>
                    <w:t>冲洗砂砾石的含泥沙废水经沉淀池处理回用于项目区洒水抑尘，不外排。</w:t>
                  </w:r>
                </w:p>
              </w:tc>
            </w:tr>
            <w:tr w14:paraId="1DF61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0AD65C44">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p>
              </w:tc>
              <w:tc>
                <w:tcPr>
                  <w:tcW w:w="591" w:type="pct"/>
                  <w:vMerge w:val="continue"/>
                  <w:noWrap w:val="0"/>
                  <w:vAlign w:val="center"/>
                </w:tcPr>
                <w:p w14:paraId="4AAE99B5">
                  <w:pPr>
                    <w:adjustRightInd w:val="0"/>
                    <w:snapToGrid w:val="0"/>
                    <w:jc w:val="center"/>
                    <w:rPr>
                      <w:rFonts w:hint="default" w:ascii="Times New Roman" w:hAnsi="Times New Roman" w:eastAsia="宋体" w:cs="Times New Roman"/>
                      <w:color w:val="auto"/>
                    </w:rPr>
                  </w:pPr>
                </w:p>
              </w:tc>
              <w:tc>
                <w:tcPr>
                  <w:tcW w:w="3910" w:type="pct"/>
                  <w:gridSpan w:val="2"/>
                  <w:noWrap w:val="0"/>
                  <w:vAlign w:val="center"/>
                </w:tcPr>
                <w:p w14:paraId="5AB27166">
                  <w:pPr>
                    <w:adjustRightInd w:val="0"/>
                    <w:snapToGrid w:val="0"/>
                    <w:ind w:firstLine="45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运营期：无废水产生。</w:t>
                  </w:r>
                </w:p>
              </w:tc>
            </w:tr>
            <w:tr w14:paraId="507B0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6FB885C3">
                  <w:pPr>
                    <w:adjustRightInd w:val="0"/>
                    <w:snapToGrid w:val="0"/>
                    <w:jc w:val="center"/>
                    <w:rPr>
                      <w:rFonts w:hint="default" w:ascii="Times New Roman" w:hAnsi="Times New Roman" w:eastAsia="宋体" w:cs="Times New Roman"/>
                      <w:color w:val="auto"/>
                    </w:rPr>
                  </w:pPr>
                </w:p>
              </w:tc>
              <w:tc>
                <w:tcPr>
                  <w:tcW w:w="591" w:type="pct"/>
                  <w:noWrap w:val="0"/>
                  <w:vAlign w:val="center"/>
                </w:tcPr>
                <w:p w14:paraId="7904E91A">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噪声</w:t>
                  </w:r>
                </w:p>
                <w:p w14:paraId="064FDF02">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治理</w:t>
                  </w:r>
                </w:p>
              </w:tc>
              <w:tc>
                <w:tcPr>
                  <w:tcW w:w="3910" w:type="pct"/>
                  <w:gridSpan w:val="2"/>
                  <w:noWrap w:val="0"/>
                  <w:vAlign w:val="center"/>
                </w:tcPr>
                <w:p w14:paraId="5ECC82EB">
                  <w:pPr>
                    <w:adjustRightInd w:val="0"/>
                    <w:snapToGrid w:val="0"/>
                    <w:ind w:firstLine="450" w:firstLineChars="200"/>
                    <w:rPr>
                      <w:rFonts w:hint="default" w:ascii="Times New Roman" w:hAnsi="Times New Roman" w:eastAsia="宋体" w:cs="Times New Roman"/>
                      <w:color w:val="auto"/>
                    </w:rPr>
                  </w:pPr>
                  <w:r>
                    <w:rPr>
                      <w:rFonts w:hint="default" w:ascii="Times New Roman" w:hAnsi="Times New Roman" w:cs="Times New Roman"/>
                      <w:color w:val="auto"/>
                      <w:lang w:val="en-US" w:eastAsia="zh-CN"/>
                    </w:rPr>
                    <w:t>施工期：</w:t>
                  </w:r>
                  <w:r>
                    <w:rPr>
                      <w:rFonts w:hint="default" w:ascii="Times New Roman" w:hAnsi="Times New Roman" w:eastAsia="宋体" w:cs="Times New Roman"/>
                      <w:color w:val="auto"/>
                    </w:rPr>
                    <w:t>选用低噪声设备、控制施工时间</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禁止夜间22:00~次日6:00施工</w:t>
                  </w:r>
                  <w:r>
                    <w:rPr>
                      <w:rFonts w:hint="default" w:ascii="Times New Roman" w:hAnsi="Times New Roman" w:cs="Times New Roman"/>
                      <w:color w:val="auto"/>
                      <w:lang w:eastAsia="zh-CN"/>
                    </w:rPr>
                    <w:t>）</w:t>
                  </w:r>
                  <w:r>
                    <w:rPr>
                      <w:rFonts w:hint="default" w:ascii="Times New Roman" w:hAnsi="Times New Roman" w:eastAsia="宋体" w:cs="Times New Roman"/>
                      <w:color w:val="auto"/>
                    </w:rPr>
                    <w:t>、设置</w:t>
                  </w:r>
                  <w:r>
                    <w:rPr>
                      <w:rFonts w:hint="default" w:ascii="Times New Roman" w:hAnsi="Times New Roman" w:cs="Times New Roman"/>
                      <w:color w:val="auto"/>
                      <w:lang w:val="en-US" w:eastAsia="zh-CN"/>
                    </w:rPr>
                    <w:t>施工围挡</w:t>
                  </w:r>
                  <w:r>
                    <w:rPr>
                      <w:rFonts w:hint="default" w:ascii="Times New Roman" w:hAnsi="Times New Roman" w:eastAsia="宋体" w:cs="Times New Roman"/>
                      <w:color w:val="auto"/>
                    </w:rPr>
                    <w:t>等措施。</w:t>
                  </w:r>
                </w:p>
              </w:tc>
            </w:tr>
            <w:tr w14:paraId="16EEA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4F97CB54">
                  <w:pPr>
                    <w:adjustRightInd w:val="0"/>
                    <w:snapToGrid w:val="0"/>
                    <w:jc w:val="center"/>
                    <w:rPr>
                      <w:rFonts w:hint="default" w:ascii="Times New Roman" w:hAnsi="Times New Roman" w:eastAsia="宋体" w:cs="Times New Roman"/>
                      <w:color w:val="auto"/>
                    </w:rPr>
                  </w:pPr>
                </w:p>
              </w:tc>
              <w:tc>
                <w:tcPr>
                  <w:tcW w:w="591" w:type="pct"/>
                  <w:vMerge w:val="restart"/>
                  <w:noWrap w:val="0"/>
                  <w:vAlign w:val="center"/>
                </w:tcPr>
                <w:p w14:paraId="52BAAB7E">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固废</w:t>
                  </w:r>
                </w:p>
                <w:p w14:paraId="54903828">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治理</w:t>
                  </w:r>
                </w:p>
              </w:tc>
              <w:tc>
                <w:tcPr>
                  <w:tcW w:w="3910" w:type="pct"/>
                  <w:gridSpan w:val="2"/>
                  <w:noWrap w:val="0"/>
                  <w:vAlign w:val="center"/>
                </w:tcPr>
                <w:p w14:paraId="4ECBFE2B">
                  <w:pPr>
                    <w:widowControl/>
                    <w:adjustRightInd w:val="0"/>
                    <w:snapToGrid w:val="0"/>
                    <w:ind w:firstLine="45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施工期：</w:t>
                  </w:r>
                </w:p>
                <w:p w14:paraId="57F1416D">
                  <w:pPr>
                    <w:widowControl/>
                    <w:adjustRightInd w:val="0"/>
                    <w:snapToGrid w:val="0"/>
                    <w:ind w:firstLine="45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建筑废物</w:t>
                  </w:r>
                  <w:r>
                    <w:rPr>
                      <w:rFonts w:hint="default" w:ascii="Times New Roman" w:hAnsi="Times New Roman" w:cs="Times New Roman"/>
                      <w:color w:val="auto"/>
                      <w:lang w:val="en-US" w:eastAsia="zh-CN"/>
                    </w:rPr>
                    <w:t>如</w:t>
                  </w:r>
                  <w:r>
                    <w:rPr>
                      <w:rFonts w:hint="default" w:ascii="Times New Roman" w:hAnsi="Times New Roman" w:eastAsia="宋体" w:cs="Times New Roman"/>
                      <w:color w:val="auto"/>
                    </w:rPr>
                    <w:t>不可利用的废弃构筑物</w:t>
                  </w:r>
                  <w:r>
                    <w:rPr>
                      <w:rFonts w:hint="eastAsia" w:ascii="Times New Roman" w:hAnsi="Times New Roman" w:cs="Times New Roman"/>
                      <w:color w:val="auto"/>
                      <w:lang w:val="en-US" w:eastAsia="zh-CN"/>
                    </w:rPr>
                    <w:t>等</w:t>
                  </w:r>
                  <w:r>
                    <w:rPr>
                      <w:rFonts w:hint="default" w:ascii="Times New Roman" w:hAnsi="Times New Roman" w:eastAsia="宋体" w:cs="Times New Roman"/>
                      <w:color w:val="auto"/>
                    </w:rPr>
                    <w:t>运往</w:t>
                  </w:r>
                  <w:r>
                    <w:rPr>
                      <w:rFonts w:hint="default" w:ascii="Times New Roman" w:hAnsi="Times New Roman" w:cs="Times New Roman"/>
                      <w:color w:val="auto"/>
                      <w:lang w:val="en-US" w:eastAsia="zh-CN"/>
                    </w:rPr>
                    <w:t>政府指定的建筑垃圾</w:t>
                  </w:r>
                  <w:r>
                    <w:rPr>
                      <w:rFonts w:hint="default" w:ascii="Times New Roman" w:hAnsi="Times New Roman" w:eastAsia="宋体" w:cs="Times New Roman"/>
                      <w:color w:val="auto"/>
                    </w:rPr>
                    <w:t>填埋场填埋。</w:t>
                  </w:r>
                </w:p>
                <w:p w14:paraId="21EA964B">
                  <w:pPr>
                    <w:widowControl/>
                    <w:adjustRightInd w:val="0"/>
                    <w:snapToGrid w:val="0"/>
                    <w:ind w:firstLine="45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施工人员的生活垃圾统一收集，统一由环卫部门清运。</w:t>
                  </w:r>
                </w:p>
                <w:p w14:paraId="23555598">
                  <w:pPr>
                    <w:widowControl/>
                    <w:adjustRightInd w:val="0"/>
                    <w:snapToGrid w:val="0"/>
                    <w:ind w:firstLine="45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土方开挖10.2851万m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，全部用于场地平整回填，不外运</w:t>
                  </w:r>
                  <w:r>
                    <w:rPr>
                      <w:rFonts w:hint="default" w:ascii="Times New Roman" w:hAnsi="Times New Roman" w:cs="Times New Roman"/>
                      <w:color w:val="auto"/>
                      <w:lang w:eastAsia="zh-CN"/>
                    </w:rPr>
                    <w:t>。</w:t>
                  </w:r>
                </w:p>
                <w:p w14:paraId="5552A5FE">
                  <w:pPr>
                    <w:widowControl/>
                    <w:adjustRightInd w:val="0"/>
                    <w:snapToGrid w:val="0"/>
                    <w:ind w:firstLine="45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施工废包装材料（主要来自于种子包装袋等）及时收集到指定的垃圾箱（桶）内，定期集中收集外运至附近的垃圾转运站，统一由环卫部门清运。</w:t>
                  </w:r>
                </w:p>
              </w:tc>
            </w:tr>
            <w:tr w14:paraId="61A39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7536E708">
                  <w:pPr>
                    <w:adjustRightInd w:val="0"/>
                    <w:snapToGrid w:val="0"/>
                    <w:jc w:val="center"/>
                    <w:rPr>
                      <w:rFonts w:hint="default" w:ascii="Times New Roman" w:hAnsi="Times New Roman" w:eastAsia="宋体" w:cs="Times New Roman"/>
                      <w:color w:val="auto"/>
                    </w:rPr>
                  </w:pPr>
                </w:p>
              </w:tc>
              <w:tc>
                <w:tcPr>
                  <w:tcW w:w="591" w:type="pct"/>
                  <w:vMerge w:val="continue"/>
                  <w:noWrap w:val="0"/>
                  <w:vAlign w:val="center"/>
                </w:tcPr>
                <w:p w14:paraId="5C63D952">
                  <w:pPr>
                    <w:adjustRightInd w:val="0"/>
                    <w:snapToGrid w:val="0"/>
                    <w:jc w:val="center"/>
                    <w:rPr>
                      <w:rFonts w:hint="default" w:ascii="Times New Roman" w:hAnsi="Times New Roman" w:eastAsia="宋体" w:cs="Times New Roman"/>
                      <w:color w:val="auto"/>
                    </w:rPr>
                  </w:pPr>
                </w:p>
              </w:tc>
              <w:tc>
                <w:tcPr>
                  <w:tcW w:w="3910" w:type="pct"/>
                  <w:gridSpan w:val="2"/>
                  <w:noWrap w:val="0"/>
                  <w:vAlign w:val="center"/>
                </w:tcPr>
                <w:p w14:paraId="3C1427A0">
                  <w:pPr>
                    <w:widowControl/>
                    <w:adjustRightInd w:val="0"/>
                    <w:snapToGrid w:val="0"/>
                    <w:ind w:firstLine="45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运营期：无固废产生。</w:t>
                  </w:r>
                </w:p>
              </w:tc>
            </w:tr>
            <w:tr w14:paraId="3571C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614F0B2C">
                  <w:pPr>
                    <w:adjustRightInd w:val="0"/>
                    <w:snapToGrid w:val="0"/>
                    <w:jc w:val="center"/>
                    <w:rPr>
                      <w:rFonts w:hint="default" w:ascii="Times New Roman" w:hAnsi="Times New Roman" w:eastAsia="宋体" w:cs="Times New Roman"/>
                      <w:color w:val="auto"/>
                    </w:rPr>
                  </w:pPr>
                </w:p>
              </w:tc>
              <w:tc>
                <w:tcPr>
                  <w:tcW w:w="591" w:type="pct"/>
                  <w:noWrap w:val="0"/>
                  <w:vAlign w:val="center"/>
                </w:tcPr>
                <w:p w14:paraId="25B007AF">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w:t>
                  </w:r>
                </w:p>
                <w:p w14:paraId="18BB5A9E">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保护</w:t>
                  </w:r>
                </w:p>
              </w:tc>
              <w:tc>
                <w:tcPr>
                  <w:tcW w:w="3910" w:type="pct"/>
                  <w:gridSpan w:val="2"/>
                  <w:noWrap w:val="0"/>
                  <w:vAlign w:val="center"/>
                </w:tcPr>
                <w:p w14:paraId="57717FD6">
                  <w:pPr>
                    <w:widowControl/>
                    <w:adjustRightInd w:val="0"/>
                    <w:snapToGrid w:val="0"/>
                    <w:ind w:firstLine="450" w:firstLineChars="200"/>
                    <w:rPr>
                      <w:rFonts w:hint="default" w:ascii="Times New Roman" w:hAnsi="Times New Roman" w:eastAsia="宋体" w:cs="Times New Roman"/>
                      <w:color w:val="auto"/>
                      <w:lang w:val="en-US" w:eastAsia="zh-CN"/>
                    </w:rPr>
                  </w:pPr>
                  <w:r>
                    <w:rPr>
                      <w:rFonts w:hint="default" w:ascii="Times New Roman" w:hAnsi="Times New Roman" w:cs="Times New Roman"/>
                      <w:bCs/>
                      <w:color w:val="auto"/>
                      <w:sz w:val="21"/>
                      <w:szCs w:val="21"/>
                      <w:highlight w:val="none"/>
                    </w:rPr>
                    <w:t>本项目为对废弃矿山生态环境的综合治理，项目实施后</w:t>
                  </w:r>
                  <w:r>
                    <w:rPr>
                      <w:rFonts w:hint="default" w:ascii="Times New Roman" w:hAnsi="Times New Roman" w:cs="Times New Roman"/>
                      <w:bCs/>
                      <w:color w:val="auto"/>
                      <w:sz w:val="21"/>
                      <w:szCs w:val="21"/>
                      <w:highlight w:val="none"/>
                      <w:lang w:val="en-US" w:eastAsia="zh-CN"/>
                    </w:rPr>
                    <w:t>平整土地后全部绿化。运营期</w:t>
                  </w:r>
                  <w:r>
                    <w:rPr>
                      <w:rFonts w:hint="default" w:ascii="Times New Roman" w:hAnsi="Times New Roman" w:cs="Times New Roman"/>
                      <w:bCs/>
                      <w:color w:val="auto"/>
                      <w:sz w:val="21"/>
                      <w:szCs w:val="21"/>
                      <w:highlight w:val="none"/>
                    </w:rPr>
                    <w:t>无</w:t>
                  </w:r>
                  <w:r>
                    <w:rPr>
                      <w:rFonts w:hint="default" w:ascii="Times New Roman" w:hAnsi="Times New Roman" w:cs="Times New Roman"/>
                      <w:bCs/>
                      <w:color w:val="auto"/>
                      <w:sz w:val="21"/>
                      <w:szCs w:val="21"/>
                      <w:highlight w:val="none"/>
                      <w:lang w:val="en-US" w:eastAsia="zh-CN"/>
                    </w:rPr>
                    <w:t>污染物产生</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对周边环境不产生影响。</w:t>
                  </w:r>
                </w:p>
              </w:tc>
            </w:tr>
            <w:tr w14:paraId="21410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32829A50">
                  <w:pPr>
                    <w:adjustRightInd w:val="0"/>
                    <w:snapToGrid w:val="0"/>
                    <w:jc w:val="center"/>
                    <w:rPr>
                      <w:rFonts w:hint="default" w:ascii="Times New Roman" w:hAnsi="Times New Roman" w:eastAsia="宋体" w:cs="Times New Roman"/>
                      <w:color w:val="auto"/>
                    </w:rPr>
                  </w:pPr>
                </w:p>
              </w:tc>
              <w:tc>
                <w:tcPr>
                  <w:tcW w:w="591" w:type="pct"/>
                  <w:vMerge w:val="restart"/>
                  <w:noWrap w:val="0"/>
                  <w:vAlign w:val="center"/>
                </w:tcPr>
                <w:p w14:paraId="54A92BA4">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水土</w:t>
                  </w:r>
                </w:p>
                <w:p w14:paraId="7A651E06">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保持</w:t>
                  </w:r>
                </w:p>
              </w:tc>
              <w:tc>
                <w:tcPr>
                  <w:tcW w:w="3910" w:type="pct"/>
                  <w:gridSpan w:val="2"/>
                  <w:noWrap w:val="0"/>
                  <w:vAlign w:val="center"/>
                </w:tcPr>
                <w:p w14:paraId="475D4B00">
                  <w:pPr>
                    <w:widowControl/>
                    <w:adjustRightInd w:val="0"/>
                    <w:snapToGrid w:val="0"/>
                    <w:ind w:firstLine="45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施工期：</w:t>
                  </w:r>
                </w:p>
                <w:p w14:paraId="6ECD9C5C">
                  <w:pPr>
                    <w:widowControl/>
                    <w:adjustRightInd w:val="0"/>
                    <w:snapToGrid w:val="0"/>
                    <w:ind w:firstLine="45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工程措施：</w:t>
                  </w:r>
                  <w:r>
                    <w:rPr>
                      <w:rFonts w:hint="default" w:ascii="Times New Roman" w:hAnsi="Times New Roman" w:cs="Times New Roman"/>
                      <w:color w:val="auto"/>
                      <w:lang w:val="en-US" w:eastAsia="zh-CN"/>
                    </w:rPr>
                    <w:t>盗采洞穴及井筒回填、场地平整</w:t>
                  </w:r>
                  <w:r>
                    <w:rPr>
                      <w:rFonts w:hint="default" w:ascii="Times New Roman" w:hAnsi="Times New Roman" w:eastAsia="宋体" w:cs="Times New Roman"/>
                      <w:color w:val="auto"/>
                      <w:lang w:val="en-US" w:eastAsia="zh-CN"/>
                    </w:rPr>
                    <w:t>、撒播草籽、草地养护、种植草覆土工程等生态修复措施。</w:t>
                  </w:r>
                </w:p>
                <w:p w14:paraId="125C73BA">
                  <w:pPr>
                    <w:widowControl/>
                    <w:adjustRightInd w:val="0"/>
                    <w:snapToGrid w:val="0"/>
                    <w:ind w:firstLine="45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植物措施：工程结束后立即对临时施工场地占地区域进行土地绿化，逐步恢复其原有的水土保持功能，有效改善区域生态环境。植被恢复以种草为主，草籽选择冰草与沙蒿混播，采用撒播种草方式，将冰草与沙蒿按1：1 等比例混合撒播，播种量为36kg/hm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tc>
            </w:tr>
            <w:tr w14:paraId="3BA19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noWrap w:val="0"/>
                  <w:vAlign w:val="center"/>
                </w:tcPr>
                <w:p w14:paraId="4881DB00">
                  <w:pPr>
                    <w:adjustRightInd w:val="0"/>
                    <w:snapToGrid w:val="0"/>
                    <w:jc w:val="center"/>
                    <w:rPr>
                      <w:rFonts w:hint="default" w:ascii="Times New Roman" w:hAnsi="Times New Roman" w:eastAsia="宋体" w:cs="Times New Roman"/>
                      <w:color w:val="auto"/>
                    </w:rPr>
                  </w:pPr>
                  <w:bookmarkStart w:id="6" w:name="_Toc8014"/>
                </w:p>
              </w:tc>
              <w:tc>
                <w:tcPr>
                  <w:tcW w:w="591" w:type="pct"/>
                  <w:vMerge w:val="continue"/>
                  <w:noWrap w:val="0"/>
                  <w:vAlign w:val="center"/>
                </w:tcPr>
                <w:p w14:paraId="3DA33C4F">
                  <w:pPr>
                    <w:adjustRightInd w:val="0"/>
                    <w:snapToGrid w:val="0"/>
                    <w:jc w:val="center"/>
                    <w:rPr>
                      <w:rFonts w:hint="default" w:ascii="Times New Roman" w:hAnsi="Times New Roman" w:eastAsia="宋体" w:cs="Times New Roman"/>
                      <w:color w:val="auto"/>
                    </w:rPr>
                  </w:pPr>
                </w:p>
              </w:tc>
              <w:tc>
                <w:tcPr>
                  <w:tcW w:w="3910" w:type="pct"/>
                  <w:gridSpan w:val="2"/>
                  <w:noWrap w:val="0"/>
                  <w:vAlign w:val="center"/>
                </w:tcPr>
                <w:p w14:paraId="7C6CFD82">
                  <w:pPr>
                    <w:widowControl/>
                    <w:adjustRightInd w:val="0"/>
                    <w:snapToGrid w:val="0"/>
                    <w:ind w:firstLine="45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运营期：</w:t>
                  </w:r>
                  <w:r>
                    <w:rPr>
                      <w:rFonts w:hint="default" w:ascii="Times New Roman" w:hAnsi="Times New Roman" w:eastAsia="宋体" w:cs="Times New Roman"/>
                      <w:color w:val="auto"/>
                      <w:lang w:val="en-US" w:eastAsia="zh-CN"/>
                    </w:rPr>
                    <w:t>施工结束后对种植的</w:t>
                  </w:r>
                  <w:r>
                    <w:rPr>
                      <w:rFonts w:hint="default" w:ascii="Times New Roman" w:hAnsi="Times New Roman" w:cs="Times New Roman"/>
                      <w:color w:val="auto"/>
                      <w:lang w:val="en-US" w:eastAsia="zh-CN"/>
                    </w:rPr>
                    <w:t>植被</w:t>
                  </w:r>
                  <w:r>
                    <w:rPr>
                      <w:rFonts w:hint="default" w:ascii="Times New Roman" w:hAnsi="Times New Roman" w:eastAsia="宋体" w:cs="Times New Roman"/>
                      <w:color w:val="auto"/>
                      <w:lang w:val="en-US" w:eastAsia="zh-CN"/>
                    </w:rPr>
                    <w:t>进行</w:t>
                  </w:r>
                  <w:r>
                    <w:rPr>
                      <w:rFonts w:hint="default" w:ascii="Times New Roman" w:hAnsi="Times New Roman" w:cs="Times New Roman"/>
                      <w:color w:val="auto"/>
                      <w:lang w:val="en-US" w:eastAsia="zh-CN"/>
                    </w:rPr>
                    <w:t>定期</w:t>
                  </w:r>
                  <w:r>
                    <w:rPr>
                      <w:rFonts w:hint="default" w:ascii="Times New Roman" w:hAnsi="Times New Roman" w:eastAsia="宋体" w:cs="Times New Roman"/>
                      <w:color w:val="auto"/>
                      <w:lang w:val="en-US" w:eastAsia="zh-CN"/>
                    </w:rPr>
                    <w:t>养护，可减轻开采区水土流失情况。</w:t>
                  </w:r>
                </w:p>
              </w:tc>
            </w:tr>
          </w:tbl>
          <w:p w14:paraId="323471B1">
            <w:pPr>
              <w:pStyle w:val="38"/>
              <w:numPr>
                <w:ilvl w:val="0"/>
                <w:numId w:val="0"/>
              </w:numPr>
              <w:ind w:leftChars="-200"/>
              <w:jc w:val="both"/>
              <w:rPr>
                <w:rFonts w:hint="default" w:ascii="Times New Roman" w:hAnsi="Times New Roman" w:cs="Times New Roman"/>
                <w:color w:val="auto"/>
                <w:lang w:val="en-US" w:eastAsia="zh-CN"/>
              </w:rPr>
            </w:pPr>
          </w:p>
          <w:bookmarkEnd w:id="6"/>
          <w:p w14:paraId="4C26A495">
            <w:pPr>
              <w:numPr>
                <w:ilvl w:val="0"/>
                <w:numId w:val="5"/>
              </w:numPr>
              <w:autoSpaceDE w:val="0"/>
              <w:autoSpaceDN w:val="0"/>
              <w:spacing w:before="60" w:after="6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color w:val="auto"/>
                <w:kern w:val="0"/>
                <w:sz w:val="24"/>
                <w:highlight w:val="none"/>
              </w:rPr>
              <w:t>项目工程量汇总</w:t>
            </w:r>
          </w:p>
          <w:p w14:paraId="3FF7463E">
            <w:pPr>
              <w:numPr>
                <w:ilvl w:val="0"/>
                <w:numId w:val="0"/>
              </w:numPr>
              <w:ind w:firstLine="51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治理区面积</w:t>
            </w:r>
            <w:r>
              <w:rPr>
                <w:rFonts w:hint="default" w:ascii="Times New Roman" w:hAnsi="Times New Roman" w:cs="Times New Roman"/>
                <w:color w:val="auto"/>
                <w:kern w:val="0"/>
                <w:sz w:val="24"/>
                <w:szCs w:val="24"/>
                <w:vertAlign w:val="baseline"/>
                <w:lang w:val="en-US" w:eastAsia="zh-CN" w:bidi="ar"/>
              </w:rPr>
              <w:t>60980.94m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rPr>
              <w:t>本项目工程量表详见表2-2。</w:t>
            </w:r>
          </w:p>
          <w:p w14:paraId="1CBABD2F">
            <w:pPr>
              <w:kinsoku w:val="0"/>
              <w:adjustRightInd w:val="0"/>
              <w:snapToGrid w:val="0"/>
              <w:jc w:val="center"/>
              <w:rPr>
                <w:rFonts w:hint="default" w:ascii="Times New Roman" w:hAnsi="Times New Roman" w:eastAsia="黑体" w:cs="Times New Roman"/>
                <w:color w:val="auto"/>
                <w:kern w:val="0"/>
                <w:sz w:val="24"/>
                <w:lang w:bidi="ar"/>
              </w:rPr>
            </w:pPr>
            <w:r>
              <w:rPr>
                <w:rFonts w:hint="default" w:ascii="Times New Roman" w:hAnsi="Times New Roman" w:eastAsia="黑体" w:cs="Times New Roman"/>
                <w:color w:val="auto"/>
                <w:kern w:val="0"/>
                <w:sz w:val="24"/>
                <w:lang w:bidi="ar"/>
              </w:rPr>
              <w:t>表2-</w:t>
            </w:r>
            <w:r>
              <w:rPr>
                <w:rFonts w:hint="default" w:ascii="Times New Roman" w:hAnsi="Times New Roman" w:eastAsia="黑体" w:cs="Times New Roman"/>
                <w:color w:val="auto"/>
                <w:kern w:val="0"/>
                <w:sz w:val="24"/>
                <w:lang w:val="en-US" w:eastAsia="zh-CN" w:bidi="ar"/>
              </w:rPr>
              <w:t>2</w:t>
            </w:r>
            <w:r>
              <w:rPr>
                <w:rFonts w:hint="default" w:ascii="Times New Roman" w:hAnsi="Times New Roman" w:eastAsia="黑体" w:cs="Times New Roman"/>
                <w:color w:val="auto"/>
                <w:kern w:val="0"/>
                <w:sz w:val="24"/>
                <w:lang w:bidi="ar"/>
              </w:rPr>
              <w:t xml:space="preserve">  生态修复工程量汇总表</w:t>
            </w:r>
          </w:p>
          <w:tbl>
            <w:tblPr>
              <w:tblStyle w:val="26"/>
              <w:tblW w:w="5000"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155"/>
              <w:gridCol w:w="2175"/>
              <w:gridCol w:w="1590"/>
              <w:gridCol w:w="2906"/>
            </w:tblGrid>
            <w:tr w14:paraId="78BD6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vAlign w:val="center"/>
                </w:tcPr>
                <w:p w14:paraId="435CA9B2">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b/>
                      <w:bCs/>
                      <w:color w:val="auto"/>
                      <w:kern w:val="0"/>
                      <w:sz w:val="21"/>
                      <w:szCs w:val="21"/>
                      <w:vertAlign w:val="baseline"/>
                      <w:lang w:val="en-US" w:eastAsia="zh-CN" w:bidi="ar"/>
                    </w:rPr>
                    <w:t>序号</w:t>
                  </w:r>
                </w:p>
              </w:tc>
              <w:tc>
                <w:tcPr>
                  <w:tcW w:w="1155" w:type="dxa"/>
                  <w:tcBorders>
                    <w:tl2br w:val="nil"/>
                    <w:tr2bl w:val="nil"/>
                  </w:tcBorders>
                  <w:shd w:val="clear" w:color="auto" w:fill="auto"/>
                  <w:vAlign w:val="center"/>
                </w:tcPr>
                <w:p w14:paraId="3B7662AD">
                  <w:pPr>
                    <w:pStyle w:val="4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lang w:val="zh-CN" w:eastAsia="zh-CN" w:bidi="zh-CN"/>
                    </w:rPr>
                  </w:pPr>
                  <w:r>
                    <w:rPr>
                      <w:rFonts w:hint="default" w:ascii="Times New Roman" w:hAnsi="Times New Roman" w:eastAsia="宋体" w:cs="Times New Roman"/>
                      <w:b/>
                      <w:bCs/>
                      <w:color w:val="auto"/>
                      <w:szCs w:val="21"/>
                    </w:rPr>
                    <w:t>工程名称</w:t>
                  </w:r>
                </w:p>
              </w:tc>
              <w:tc>
                <w:tcPr>
                  <w:tcW w:w="2175" w:type="dxa"/>
                  <w:tcBorders>
                    <w:tl2br w:val="nil"/>
                    <w:tr2bl w:val="nil"/>
                  </w:tcBorders>
                  <w:shd w:val="clear" w:color="auto" w:fill="auto"/>
                  <w:vAlign w:val="center"/>
                </w:tcPr>
                <w:p w14:paraId="52AB5ED0">
                  <w:pPr>
                    <w:pStyle w:val="4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lang w:val="zh-CN" w:eastAsia="zh-CN" w:bidi="zh-CN"/>
                    </w:rPr>
                  </w:pPr>
                  <w:r>
                    <w:rPr>
                      <w:rFonts w:hint="default" w:ascii="Times New Roman" w:hAnsi="Times New Roman" w:eastAsia="宋体" w:cs="Times New Roman"/>
                      <w:b/>
                      <w:bCs/>
                      <w:color w:val="auto"/>
                      <w:szCs w:val="21"/>
                    </w:rPr>
                    <w:t>内容</w:t>
                  </w:r>
                </w:p>
              </w:tc>
              <w:tc>
                <w:tcPr>
                  <w:tcW w:w="1590" w:type="dxa"/>
                  <w:tcBorders>
                    <w:tl2br w:val="nil"/>
                    <w:tr2bl w:val="nil"/>
                  </w:tcBorders>
                  <w:shd w:val="clear" w:color="auto" w:fill="auto"/>
                  <w:vAlign w:val="center"/>
                </w:tcPr>
                <w:p w14:paraId="74975650">
                  <w:pPr>
                    <w:pStyle w:val="4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lang w:val="zh-CN" w:eastAsia="zh-CN" w:bidi="zh-CN"/>
                    </w:rPr>
                  </w:pPr>
                  <w:r>
                    <w:rPr>
                      <w:rFonts w:hint="default" w:ascii="Times New Roman" w:hAnsi="Times New Roman" w:eastAsia="宋体" w:cs="Times New Roman"/>
                      <w:b/>
                      <w:bCs/>
                      <w:color w:val="auto"/>
                      <w:szCs w:val="21"/>
                    </w:rPr>
                    <w:t>工程量</w:t>
                  </w:r>
                </w:p>
              </w:tc>
              <w:tc>
                <w:tcPr>
                  <w:tcW w:w="2906" w:type="dxa"/>
                  <w:tcBorders>
                    <w:tl2br w:val="nil"/>
                    <w:tr2bl w:val="nil"/>
                  </w:tcBorders>
                  <w:shd w:val="clear" w:color="auto" w:fill="auto"/>
                  <w:vAlign w:val="center"/>
                </w:tcPr>
                <w:p w14:paraId="29188541">
                  <w:pPr>
                    <w:pStyle w:val="45"/>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21"/>
                      <w:szCs w:val="21"/>
                      <w:lang w:val="zh-CN" w:eastAsia="zh-CN" w:bidi="zh-CN"/>
                    </w:rPr>
                  </w:pPr>
                  <w:r>
                    <w:rPr>
                      <w:rFonts w:hint="default" w:ascii="Times New Roman" w:hAnsi="Times New Roman" w:eastAsia="宋体" w:cs="Times New Roman"/>
                      <w:b/>
                      <w:bCs/>
                      <w:color w:val="auto"/>
                      <w:szCs w:val="21"/>
                    </w:rPr>
                    <w:t>备注</w:t>
                  </w:r>
                </w:p>
              </w:tc>
            </w:tr>
            <w:tr w14:paraId="386BE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vAlign w:val="center"/>
                </w:tcPr>
                <w:p w14:paraId="07087C5B">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1</w:t>
                  </w:r>
                </w:p>
              </w:tc>
              <w:tc>
                <w:tcPr>
                  <w:tcW w:w="1155" w:type="dxa"/>
                  <w:vMerge w:val="restart"/>
                  <w:tcBorders>
                    <w:tl2br w:val="nil"/>
                    <w:tr2bl w:val="nil"/>
                  </w:tcBorders>
                  <w:vAlign w:val="center"/>
                </w:tcPr>
                <w:p w14:paraId="2E370E24">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地形地貌治理恢复工程</w:t>
                  </w:r>
                </w:p>
              </w:tc>
              <w:tc>
                <w:tcPr>
                  <w:tcW w:w="2175" w:type="dxa"/>
                  <w:tcBorders>
                    <w:tl2br w:val="nil"/>
                    <w:tr2bl w:val="nil"/>
                  </w:tcBorders>
                  <w:vAlign w:val="center"/>
                </w:tcPr>
                <w:p w14:paraId="5793754D">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构筑物拆除及清运</w:t>
                  </w:r>
                </w:p>
              </w:tc>
              <w:tc>
                <w:tcPr>
                  <w:tcW w:w="1590" w:type="dxa"/>
                  <w:tcBorders>
                    <w:tl2br w:val="nil"/>
                    <w:tr2bl w:val="nil"/>
                  </w:tcBorders>
                  <w:vAlign w:val="center"/>
                </w:tcPr>
                <w:p w14:paraId="1AC0E401">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212.56m</w:t>
                  </w:r>
                  <w:r>
                    <w:rPr>
                      <w:rFonts w:hint="default" w:ascii="Times New Roman" w:hAnsi="Times New Roman" w:cs="Times New Roman"/>
                      <w:color w:val="auto"/>
                      <w:kern w:val="0"/>
                      <w:sz w:val="21"/>
                      <w:szCs w:val="21"/>
                      <w:vertAlign w:val="superscript"/>
                      <w:lang w:val="en-US" w:eastAsia="zh-CN" w:bidi="ar"/>
                    </w:rPr>
                    <w:t>3</w:t>
                  </w:r>
                </w:p>
              </w:tc>
              <w:tc>
                <w:tcPr>
                  <w:tcW w:w="2906" w:type="dxa"/>
                  <w:tcBorders>
                    <w:tl2br w:val="nil"/>
                    <w:tr2bl w:val="nil"/>
                  </w:tcBorders>
                  <w:vAlign w:val="center"/>
                </w:tcPr>
                <w:p w14:paraId="1A5C1038">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szCs w:val="21"/>
                    </w:rPr>
                    <w:t>采用机械开挖</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运输</w:t>
                  </w:r>
                </w:p>
              </w:tc>
            </w:tr>
            <w:tr w14:paraId="691AA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vAlign w:val="center"/>
                </w:tcPr>
                <w:p w14:paraId="1120932C">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2</w:t>
                  </w:r>
                </w:p>
              </w:tc>
              <w:tc>
                <w:tcPr>
                  <w:tcW w:w="1155" w:type="dxa"/>
                  <w:vMerge w:val="continue"/>
                  <w:tcBorders>
                    <w:tl2br w:val="nil"/>
                    <w:tr2bl w:val="nil"/>
                  </w:tcBorders>
                  <w:vAlign w:val="center"/>
                </w:tcPr>
                <w:p w14:paraId="4E91CD16">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vertAlign w:val="baseline"/>
                      <w:lang w:bidi="ar"/>
                    </w:rPr>
                  </w:pPr>
                </w:p>
              </w:tc>
              <w:tc>
                <w:tcPr>
                  <w:tcW w:w="2175" w:type="dxa"/>
                  <w:tcBorders>
                    <w:tl2br w:val="nil"/>
                    <w:tr2bl w:val="nil"/>
                  </w:tcBorders>
                  <w:vAlign w:val="center"/>
                </w:tcPr>
                <w:p w14:paraId="0AB7A9F9">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盗采洞穴回填</w:t>
                  </w:r>
                </w:p>
              </w:tc>
              <w:tc>
                <w:tcPr>
                  <w:tcW w:w="1590" w:type="dxa"/>
                  <w:tcBorders>
                    <w:tl2br w:val="nil"/>
                    <w:tr2bl w:val="nil"/>
                  </w:tcBorders>
                  <w:vAlign w:val="center"/>
                </w:tcPr>
                <w:p w14:paraId="6FCFE324">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53503.20m</w:t>
                  </w:r>
                  <w:r>
                    <w:rPr>
                      <w:rFonts w:hint="default" w:ascii="Times New Roman" w:hAnsi="Times New Roman" w:cs="Times New Roman"/>
                      <w:color w:val="auto"/>
                      <w:kern w:val="0"/>
                      <w:sz w:val="21"/>
                      <w:szCs w:val="21"/>
                      <w:vertAlign w:val="superscript"/>
                      <w:lang w:val="en-US" w:eastAsia="zh-CN" w:bidi="ar"/>
                    </w:rPr>
                    <w:t>3</w:t>
                  </w:r>
                </w:p>
              </w:tc>
              <w:tc>
                <w:tcPr>
                  <w:tcW w:w="2906" w:type="dxa"/>
                  <w:tcBorders>
                    <w:tl2br w:val="nil"/>
                    <w:tr2bl w:val="nil"/>
                  </w:tcBorders>
                  <w:vAlign w:val="center"/>
                </w:tcPr>
                <w:p w14:paraId="07564561">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w:t>
                  </w:r>
                </w:p>
              </w:tc>
            </w:tr>
            <w:tr w14:paraId="23103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vAlign w:val="center"/>
                </w:tcPr>
                <w:p w14:paraId="63AC72A6">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3</w:t>
                  </w:r>
                </w:p>
              </w:tc>
              <w:tc>
                <w:tcPr>
                  <w:tcW w:w="1155" w:type="dxa"/>
                  <w:vMerge w:val="continue"/>
                  <w:tcBorders>
                    <w:tl2br w:val="nil"/>
                    <w:tr2bl w:val="nil"/>
                  </w:tcBorders>
                  <w:vAlign w:val="center"/>
                </w:tcPr>
                <w:p w14:paraId="6D896689">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vertAlign w:val="baseline"/>
                      <w:lang w:bidi="ar"/>
                    </w:rPr>
                  </w:pPr>
                </w:p>
              </w:tc>
              <w:tc>
                <w:tcPr>
                  <w:tcW w:w="2175" w:type="dxa"/>
                  <w:tcBorders>
                    <w:tl2br w:val="nil"/>
                    <w:tr2bl w:val="nil"/>
                  </w:tcBorders>
                  <w:vAlign w:val="center"/>
                </w:tcPr>
                <w:p w14:paraId="60B897E1">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井筒填封</w:t>
                  </w:r>
                </w:p>
              </w:tc>
              <w:tc>
                <w:tcPr>
                  <w:tcW w:w="1590" w:type="dxa"/>
                  <w:tcBorders>
                    <w:tl2br w:val="nil"/>
                    <w:tr2bl w:val="nil"/>
                  </w:tcBorders>
                  <w:vAlign w:val="center"/>
                </w:tcPr>
                <w:p w14:paraId="6E8F8BB5">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1512.00m</w:t>
                  </w:r>
                  <w:r>
                    <w:rPr>
                      <w:rFonts w:hint="default" w:ascii="Times New Roman" w:hAnsi="Times New Roman" w:cs="Times New Roman"/>
                      <w:color w:val="auto"/>
                      <w:kern w:val="0"/>
                      <w:sz w:val="21"/>
                      <w:szCs w:val="21"/>
                      <w:vertAlign w:val="superscript"/>
                      <w:lang w:val="en-US" w:eastAsia="zh-CN" w:bidi="ar"/>
                    </w:rPr>
                    <w:t>3</w:t>
                  </w:r>
                </w:p>
              </w:tc>
              <w:tc>
                <w:tcPr>
                  <w:tcW w:w="2906" w:type="dxa"/>
                  <w:tcBorders>
                    <w:tl2br w:val="nil"/>
                    <w:tr2bl w:val="nil"/>
                  </w:tcBorders>
                  <w:vAlign w:val="center"/>
                </w:tcPr>
                <w:p w14:paraId="456E4317">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w:t>
                  </w:r>
                </w:p>
              </w:tc>
            </w:tr>
            <w:tr w14:paraId="3F469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vAlign w:val="center"/>
                </w:tcPr>
                <w:p w14:paraId="0965C40B">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4</w:t>
                  </w:r>
                </w:p>
              </w:tc>
              <w:tc>
                <w:tcPr>
                  <w:tcW w:w="1155" w:type="dxa"/>
                  <w:vMerge w:val="continue"/>
                  <w:tcBorders>
                    <w:tl2br w:val="nil"/>
                    <w:tr2bl w:val="nil"/>
                  </w:tcBorders>
                  <w:vAlign w:val="center"/>
                </w:tcPr>
                <w:p w14:paraId="31520B4F">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vertAlign w:val="baseline"/>
                      <w:lang w:bidi="ar"/>
                    </w:rPr>
                  </w:pPr>
                </w:p>
              </w:tc>
              <w:tc>
                <w:tcPr>
                  <w:tcW w:w="2175" w:type="dxa"/>
                  <w:tcBorders>
                    <w:tl2br w:val="nil"/>
                    <w:tr2bl w:val="nil"/>
                  </w:tcBorders>
                  <w:vAlign w:val="center"/>
                </w:tcPr>
                <w:p w14:paraId="442E539E">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浆砌石封墙砌筑</w:t>
                  </w:r>
                </w:p>
              </w:tc>
              <w:tc>
                <w:tcPr>
                  <w:tcW w:w="1590" w:type="dxa"/>
                  <w:tcBorders>
                    <w:tl2br w:val="nil"/>
                    <w:tr2bl w:val="nil"/>
                  </w:tcBorders>
                  <w:vAlign w:val="center"/>
                </w:tcPr>
                <w:p w14:paraId="09FC723B">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453.60m</w:t>
                  </w:r>
                  <w:r>
                    <w:rPr>
                      <w:rFonts w:hint="default" w:ascii="Times New Roman" w:hAnsi="Times New Roman" w:cs="Times New Roman"/>
                      <w:color w:val="auto"/>
                      <w:kern w:val="0"/>
                      <w:sz w:val="21"/>
                      <w:szCs w:val="21"/>
                      <w:vertAlign w:val="superscript"/>
                      <w:lang w:val="en-US" w:eastAsia="zh-CN" w:bidi="ar"/>
                    </w:rPr>
                    <w:t>3</w:t>
                  </w:r>
                </w:p>
              </w:tc>
              <w:tc>
                <w:tcPr>
                  <w:tcW w:w="2906" w:type="dxa"/>
                  <w:tcBorders>
                    <w:tl2br w:val="nil"/>
                    <w:tr2bl w:val="nil"/>
                  </w:tcBorders>
                  <w:vAlign w:val="center"/>
                </w:tcPr>
                <w:p w14:paraId="17DED92A">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w:t>
                  </w:r>
                </w:p>
              </w:tc>
            </w:tr>
            <w:tr w14:paraId="7CDD8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vAlign w:val="center"/>
                </w:tcPr>
                <w:p w14:paraId="029845BF">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5</w:t>
                  </w:r>
                </w:p>
              </w:tc>
              <w:tc>
                <w:tcPr>
                  <w:tcW w:w="1155" w:type="dxa"/>
                  <w:vMerge w:val="continue"/>
                  <w:tcBorders>
                    <w:tl2br w:val="nil"/>
                    <w:tr2bl w:val="nil"/>
                  </w:tcBorders>
                  <w:vAlign w:val="center"/>
                </w:tcPr>
                <w:p w14:paraId="2048AD4D">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vertAlign w:val="baseline"/>
                      <w:lang w:bidi="ar"/>
                    </w:rPr>
                  </w:pPr>
                </w:p>
              </w:tc>
              <w:tc>
                <w:tcPr>
                  <w:tcW w:w="2175" w:type="dxa"/>
                  <w:tcBorders>
                    <w:tl2br w:val="nil"/>
                    <w:tr2bl w:val="nil"/>
                  </w:tcBorders>
                  <w:vAlign w:val="center"/>
                </w:tcPr>
                <w:p w14:paraId="4AEAE33A">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平整土方</w:t>
                  </w:r>
                </w:p>
              </w:tc>
              <w:tc>
                <w:tcPr>
                  <w:tcW w:w="1590" w:type="dxa"/>
                  <w:tcBorders>
                    <w:tl2br w:val="nil"/>
                    <w:tr2bl w:val="nil"/>
                  </w:tcBorders>
                  <w:vAlign w:val="center"/>
                </w:tcPr>
                <w:p w14:paraId="064D5BEA">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92051.55m</w:t>
                  </w:r>
                  <w:r>
                    <w:rPr>
                      <w:rFonts w:hint="default" w:ascii="Times New Roman" w:hAnsi="Times New Roman" w:cs="Times New Roman"/>
                      <w:color w:val="auto"/>
                      <w:kern w:val="0"/>
                      <w:sz w:val="21"/>
                      <w:szCs w:val="21"/>
                      <w:vertAlign w:val="superscript"/>
                      <w:lang w:val="en-US" w:eastAsia="zh-CN" w:bidi="ar"/>
                    </w:rPr>
                    <w:t>3</w:t>
                  </w:r>
                </w:p>
              </w:tc>
              <w:tc>
                <w:tcPr>
                  <w:tcW w:w="2906" w:type="dxa"/>
                  <w:tcBorders>
                    <w:tl2br w:val="nil"/>
                    <w:tr2bl w:val="nil"/>
                  </w:tcBorders>
                  <w:vAlign w:val="center"/>
                </w:tcPr>
                <w:p w14:paraId="05AF4383">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w:t>
                  </w:r>
                </w:p>
              </w:tc>
            </w:tr>
            <w:tr w14:paraId="1D6F6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vAlign w:val="center"/>
                </w:tcPr>
                <w:p w14:paraId="0064B224">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6</w:t>
                  </w:r>
                </w:p>
              </w:tc>
              <w:tc>
                <w:tcPr>
                  <w:tcW w:w="1155" w:type="dxa"/>
                  <w:vMerge w:val="continue"/>
                  <w:tcBorders>
                    <w:tl2br w:val="nil"/>
                    <w:tr2bl w:val="nil"/>
                  </w:tcBorders>
                  <w:vAlign w:val="center"/>
                </w:tcPr>
                <w:p w14:paraId="3596CAA7">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vertAlign w:val="baseline"/>
                      <w:lang w:bidi="ar"/>
                    </w:rPr>
                  </w:pPr>
                </w:p>
              </w:tc>
              <w:tc>
                <w:tcPr>
                  <w:tcW w:w="2175" w:type="dxa"/>
                  <w:tcBorders>
                    <w:tl2br w:val="nil"/>
                    <w:tr2bl w:val="nil"/>
                  </w:tcBorders>
                  <w:vAlign w:val="center"/>
                </w:tcPr>
                <w:p w14:paraId="309CC680">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围栏安装</w:t>
                  </w:r>
                </w:p>
              </w:tc>
              <w:tc>
                <w:tcPr>
                  <w:tcW w:w="1590" w:type="dxa"/>
                  <w:tcBorders>
                    <w:tl2br w:val="nil"/>
                    <w:tr2bl w:val="nil"/>
                  </w:tcBorders>
                  <w:vAlign w:val="center"/>
                </w:tcPr>
                <w:p w14:paraId="7D7019A1">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810.00m</w:t>
                  </w:r>
                </w:p>
              </w:tc>
              <w:tc>
                <w:tcPr>
                  <w:tcW w:w="2906" w:type="dxa"/>
                  <w:tcBorders>
                    <w:tl2br w:val="nil"/>
                    <w:tr2bl w:val="nil"/>
                  </w:tcBorders>
                  <w:vAlign w:val="center"/>
                </w:tcPr>
                <w:p w14:paraId="68F457B4">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w:t>
                  </w:r>
                </w:p>
              </w:tc>
            </w:tr>
            <w:tr w14:paraId="149A9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vAlign w:val="center"/>
                </w:tcPr>
                <w:p w14:paraId="7A81A358">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7</w:t>
                  </w:r>
                </w:p>
              </w:tc>
              <w:tc>
                <w:tcPr>
                  <w:tcW w:w="1155" w:type="dxa"/>
                  <w:tcBorders>
                    <w:tl2br w:val="nil"/>
                    <w:tr2bl w:val="nil"/>
                  </w:tcBorders>
                  <w:vAlign w:val="center"/>
                </w:tcPr>
                <w:p w14:paraId="3A6392FE">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覆土工程</w:t>
                  </w:r>
                </w:p>
              </w:tc>
              <w:tc>
                <w:tcPr>
                  <w:tcW w:w="2175" w:type="dxa"/>
                  <w:tcBorders>
                    <w:tl2br w:val="nil"/>
                    <w:tr2bl w:val="nil"/>
                  </w:tcBorders>
                  <w:vAlign w:val="center"/>
                </w:tcPr>
                <w:p w14:paraId="33F09102">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覆土工程</w:t>
                  </w:r>
                </w:p>
              </w:tc>
              <w:tc>
                <w:tcPr>
                  <w:tcW w:w="1590" w:type="dxa"/>
                  <w:tcBorders>
                    <w:tl2br w:val="nil"/>
                    <w:tr2bl w:val="nil"/>
                  </w:tcBorders>
                  <w:vAlign w:val="center"/>
                </w:tcPr>
                <w:p w14:paraId="1F220458">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10800.00m</w:t>
                  </w:r>
                  <w:r>
                    <w:rPr>
                      <w:rFonts w:hint="default" w:ascii="Times New Roman" w:hAnsi="Times New Roman" w:cs="Times New Roman"/>
                      <w:color w:val="auto"/>
                      <w:kern w:val="0"/>
                      <w:sz w:val="21"/>
                      <w:szCs w:val="21"/>
                      <w:vertAlign w:val="superscript"/>
                      <w:lang w:val="en-US" w:eastAsia="zh-CN" w:bidi="ar"/>
                    </w:rPr>
                    <w:t>3</w:t>
                  </w:r>
                </w:p>
              </w:tc>
              <w:tc>
                <w:tcPr>
                  <w:tcW w:w="2906" w:type="dxa"/>
                  <w:tcBorders>
                    <w:tl2br w:val="nil"/>
                    <w:tr2bl w:val="nil"/>
                  </w:tcBorders>
                  <w:vAlign w:val="center"/>
                </w:tcPr>
                <w:p w14:paraId="626EFBB6">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土源运输距离控制在500米以内</w:t>
                  </w:r>
                </w:p>
              </w:tc>
            </w:tr>
            <w:tr w14:paraId="65B9E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2" w:type="dxa"/>
                  <w:tcBorders>
                    <w:tl2br w:val="nil"/>
                    <w:tr2bl w:val="nil"/>
                  </w:tcBorders>
                  <w:vAlign w:val="center"/>
                </w:tcPr>
                <w:p w14:paraId="534EDC00">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8</w:t>
                  </w:r>
                </w:p>
              </w:tc>
              <w:tc>
                <w:tcPr>
                  <w:tcW w:w="1155" w:type="dxa"/>
                  <w:tcBorders>
                    <w:tl2br w:val="nil"/>
                    <w:tr2bl w:val="nil"/>
                  </w:tcBorders>
                  <w:vAlign w:val="center"/>
                </w:tcPr>
                <w:p w14:paraId="00343674">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植被恢复</w:t>
                  </w:r>
                </w:p>
              </w:tc>
              <w:tc>
                <w:tcPr>
                  <w:tcW w:w="2175" w:type="dxa"/>
                  <w:tcBorders>
                    <w:tl2br w:val="nil"/>
                    <w:tr2bl w:val="nil"/>
                  </w:tcBorders>
                  <w:vAlign w:val="center"/>
                </w:tcPr>
                <w:p w14:paraId="7A38661A">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播撒草种</w:t>
                  </w:r>
                </w:p>
              </w:tc>
              <w:tc>
                <w:tcPr>
                  <w:tcW w:w="1590" w:type="dxa"/>
                  <w:tcBorders>
                    <w:tl2br w:val="nil"/>
                    <w:tr2bl w:val="nil"/>
                  </w:tcBorders>
                  <w:vAlign w:val="center"/>
                </w:tcPr>
                <w:p w14:paraId="5F9E6F69">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vertAlign w:val="baseline"/>
                      <w:lang w:val="en-US" w:eastAsia="zh-CN" w:bidi="ar"/>
                    </w:rPr>
                    <w:t>60980.94m</w:t>
                  </w:r>
                  <w:r>
                    <w:rPr>
                      <w:rFonts w:hint="default" w:ascii="Times New Roman" w:hAnsi="Times New Roman" w:cs="Times New Roman"/>
                      <w:color w:val="auto"/>
                      <w:kern w:val="0"/>
                      <w:sz w:val="21"/>
                      <w:szCs w:val="21"/>
                      <w:vertAlign w:val="superscript"/>
                      <w:lang w:val="en-US" w:eastAsia="zh-CN" w:bidi="ar"/>
                    </w:rPr>
                    <w:t>2</w:t>
                  </w:r>
                </w:p>
              </w:tc>
              <w:tc>
                <w:tcPr>
                  <w:tcW w:w="2906" w:type="dxa"/>
                  <w:tcBorders>
                    <w:tl2br w:val="nil"/>
                    <w:tr2bl w:val="nil"/>
                  </w:tcBorders>
                  <w:vAlign w:val="center"/>
                </w:tcPr>
                <w:p w14:paraId="6FB4A4D0">
                  <w:pPr>
                    <w:keepNext w:val="0"/>
                    <w:keepLines w:val="0"/>
                    <w:pageBreakBefore w:val="0"/>
                    <w:widowControl w:val="0"/>
                    <w:tabs>
                      <w:tab w:val="left" w:pos="861"/>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vertAlign w:val="baseline"/>
                      <w:lang w:bidi="ar"/>
                    </w:rPr>
                  </w:pPr>
                  <w:r>
                    <w:rPr>
                      <w:rFonts w:hint="default" w:ascii="Times New Roman" w:hAnsi="Times New Roman" w:cs="Times New Roman"/>
                      <w:color w:val="auto"/>
                      <w:sz w:val="21"/>
                      <w:szCs w:val="21"/>
                      <w:lang w:val="en-US" w:eastAsia="zh-CN"/>
                    </w:rPr>
                    <w:t>采用冰草与沙蒿混播，比例为1:1。播种量36kg/hm²，播深3-5cm。</w:t>
                  </w:r>
                </w:p>
              </w:tc>
            </w:tr>
          </w:tbl>
          <w:p w14:paraId="5E8F1574">
            <w:pPr>
              <w:numPr>
                <w:ilvl w:val="0"/>
                <w:numId w:val="5"/>
              </w:numPr>
              <w:autoSpaceDE w:val="0"/>
              <w:autoSpaceDN w:val="0"/>
              <w:spacing w:before="60" w:after="6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取</w:t>
            </w:r>
            <w:r>
              <w:rPr>
                <w:rFonts w:hint="default" w:ascii="Times New Roman" w:hAnsi="Times New Roman" w:eastAsia="黑体" w:cs="Times New Roman"/>
                <w:b w:val="0"/>
                <w:bCs w:val="0"/>
                <w:color w:val="auto"/>
                <w:kern w:val="0"/>
                <w:sz w:val="24"/>
                <w:highlight w:val="none"/>
                <w:lang w:eastAsia="zh-CN"/>
              </w:rPr>
              <w:t>、</w:t>
            </w:r>
            <w:r>
              <w:rPr>
                <w:rFonts w:hint="default" w:ascii="Times New Roman" w:hAnsi="Times New Roman" w:eastAsia="黑体" w:cs="Times New Roman"/>
                <w:b w:val="0"/>
                <w:bCs w:val="0"/>
                <w:color w:val="auto"/>
                <w:kern w:val="0"/>
                <w:sz w:val="24"/>
                <w:highlight w:val="none"/>
                <w:lang w:val="en-US" w:eastAsia="zh-CN"/>
              </w:rPr>
              <w:t>弃</w:t>
            </w:r>
            <w:r>
              <w:rPr>
                <w:rFonts w:hint="default" w:ascii="Times New Roman" w:hAnsi="Times New Roman" w:eastAsia="黑体" w:cs="Times New Roman"/>
                <w:b w:val="0"/>
                <w:bCs w:val="0"/>
                <w:color w:val="auto"/>
                <w:kern w:val="0"/>
                <w:sz w:val="24"/>
                <w:highlight w:val="none"/>
              </w:rPr>
              <w:t>土场</w:t>
            </w:r>
          </w:p>
          <w:p w14:paraId="36084B43">
            <w:pPr>
              <w:numPr>
                <w:ilvl w:val="0"/>
                <w:numId w:val="0"/>
              </w:numPr>
              <w:ind w:firstLine="51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w:t>
            </w:r>
            <w:r>
              <w:rPr>
                <w:rFonts w:hint="default" w:ascii="Times New Roman" w:hAnsi="Times New Roman" w:cs="Times New Roman"/>
                <w:b w:val="0"/>
                <w:bCs w:val="0"/>
                <w:color w:val="auto"/>
                <w:kern w:val="0"/>
                <w:sz w:val="24"/>
                <w:szCs w:val="24"/>
                <w:highlight w:val="none"/>
                <w:lang w:val="en-US" w:eastAsia="zh-CN"/>
              </w:rPr>
              <w:t>土石方均外购，</w:t>
            </w:r>
            <w:r>
              <w:rPr>
                <w:rFonts w:hint="default" w:ascii="Times New Roman" w:hAnsi="Times New Roman" w:eastAsia="宋体" w:cs="Times New Roman"/>
                <w:b w:val="0"/>
                <w:bCs w:val="0"/>
                <w:color w:val="auto"/>
                <w:kern w:val="0"/>
                <w:sz w:val="24"/>
                <w:szCs w:val="24"/>
                <w:highlight w:val="none"/>
                <w:lang w:val="en-US" w:eastAsia="zh-CN"/>
              </w:rPr>
              <w:t>不设取土场</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不设弃土场，挖填平衡。</w:t>
            </w:r>
          </w:p>
          <w:p w14:paraId="7D6CE444">
            <w:pPr>
              <w:numPr>
                <w:ilvl w:val="0"/>
                <w:numId w:val="5"/>
              </w:numPr>
              <w:autoSpaceDE w:val="0"/>
              <w:autoSpaceDN w:val="0"/>
              <w:spacing w:before="240" w:after="60"/>
              <w:jc w:val="left"/>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土石方平衡</w:t>
            </w:r>
          </w:p>
          <w:p w14:paraId="025FCED3">
            <w:pPr>
              <w:ind w:firstLine="510" w:firstLineChars="200"/>
              <w:rPr>
                <w:rFonts w:hint="default" w:ascii="Times New Roman" w:hAnsi="Times New Roman" w:cs="Times New Roman"/>
                <w:color w:val="auto"/>
                <w:sz w:val="24"/>
                <w:vertAlign w:val="baseline"/>
                <w:lang w:val="en-US" w:eastAsia="zh-CN"/>
              </w:rPr>
            </w:pPr>
            <w:r>
              <w:rPr>
                <w:rFonts w:hint="default" w:ascii="Times New Roman" w:hAnsi="Times New Roman" w:eastAsia="宋体" w:cs="Times New Roman"/>
                <w:color w:val="auto"/>
                <w:sz w:val="24"/>
              </w:rPr>
              <w:t>根据项目设计资料，本项目建设期开挖土石方</w:t>
            </w:r>
            <w:r>
              <w:rPr>
                <w:rFonts w:hint="default" w:ascii="Times New Roman" w:hAnsi="Times New Roman" w:cs="Times New Roman"/>
                <w:color w:val="auto"/>
                <w:sz w:val="24"/>
                <w:lang w:val="en-US" w:eastAsia="zh-CN"/>
              </w:rPr>
              <w:t>10.2851</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，回填土石方</w:t>
            </w:r>
            <w:r>
              <w:rPr>
                <w:rFonts w:hint="default" w:ascii="Times New Roman" w:hAnsi="Times New Roman" w:cs="Times New Roman"/>
                <w:color w:val="auto"/>
                <w:sz w:val="24"/>
                <w:lang w:val="en-US" w:eastAsia="zh-CN"/>
              </w:rPr>
              <w:t>15.8316</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弃土0m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w:t>
            </w:r>
          </w:p>
          <w:p w14:paraId="6B106B69">
            <w:pPr>
              <w:ind w:firstLine="510" w:firstLineChars="200"/>
              <w:jc w:val="center"/>
              <w:rPr>
                <w:rFonts w:hint="default" w:ascii="Times New Roman" w:hAnsi="Times New Roman" w:eastAsia="黑体" w:cs="Times New Roman"/>
                <w:color w:val="auto"/>
                <w:sz w:val="24"/>
              </w:rPr>
            </w:pPr>
          </w:p>
          <w:p w14:paraId="758C86AD">
            <w:pPr>
              <w:ind w:firstLine="510" w:firstLineChars="200"/>
              <w:jc w:val="center"/>
              <w:rPr>
                <w:rFonts w:hint="default" w:ascii="Times New Roman" w:hAnsi="Times New Roman" w:eastAsia="黑体" w:cs="Times New Roman"/>
                <w:color w:val="auto"/>
                <w:sz w:val="24"/>
              </w:rPr>
            </w:pPr>
          </w:p>
          <w:p w14:paraId="063477D8">
            <w:pPr>
              <w:ind w:firstLine="510" w:firstLineChars="200"/>
              <w:jc w:val="center"/>
              <w:rPr>
                <w:rFonts w:hint="default" w:ascii="Times New Roman" w:hAnsi="Times New Roman" w:cs="Times New Roman"/>
                <w:color w:val="auto"/>
                <w:lang w:val="en-US" w:eastAsia="zh-CN"/>
              </w:rPr>
            </w:pPr>
            <w:r>
              <w:rPr>
                <w:rFonts w:hint="default" w:ascii="Times New Roman" w:hAnsi="Times New Roman" w:eastAsia="黑体" w:cs="Times New Roman"/>
                <w:color w:val="auto"/>
                <w:sz w:val="24"/>
              </w:rPr>
              <w:t>表2-</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 xml:space="preserve">  土石方平衡表  单位：万m</w:t>
            </w:r>
            <w:r>
              <w:rPr>
                <w:rFonts w:hint="default" w:ascii="Times New Roman" w:hAnsi="Times New Roman" w:eastAsia="黑体" w:cs="Times New Roman"/>
                <w:color w:val="auto"/>
                <w:sz w:val="24"/>
                <w:vertAlign w:val="superscript"/>
              </w:rPr>
              <w:t>3</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010"/>
              <w:gridCol w:w="1036"/>
              <w:gridCol w:w="1159"/>
              <w:gridCol w:w="627"/>
              <w:gridCol w:w="479"/>
              <w:gridCol w:w="544"/>
              <w:gridCol w:w="736"/>
              <w:gridCol w:w="914"/>
              <w:gridCol w:w="908"/>
              <w:gridCol w:w="3"/>
            </w:tblGrid>
            <w:tr w14:paraId="63A10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tblHeader/>
                <w:jc w:val="center"/>
              </w:trPr>
              <w:tc>
                <w:tcPr>
                  <w:tcW w:w="677" w:type="pct"/>
                  <w:vMerge w:val="restart"/>
                  <w:tcBorders>
                    <w:tl2br w:val="nil"/>
                    <w:tr2bl w:val="nil"/>
                  </w:tcBorders>
                  <w:noWrap w:val="0"/>
                  <w:vAlign w:val="center"/>
                </w:tcPr>
                <w:p w14:paraId="2A7672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项目分区</w:t>
                  </w:r>
                </w:p>
              </w:tc>
              <w:tc>
                <w:tcPr>
                  <w:tcW w:w="588" w:type="pct"/>
                  <w:tcBorders>
                    <w:tl2br w:val="nil"/>
                    <w:tr2bl w:val="nil"/>
                  </w:tcBorders>
                  <w:noWrap w:val="0"/>
                  <w:vAlign w:val="center"/>
                </w:tcPr>
                <w:p w14:paraId="2BF498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挖方</w:t>
                  </w:r>
                </w:p>
              </w:tc>
              <w:tc>
                <w:tcPr>
                  <w:tcW w:w="603" w:type="pct"/>
                  <w:tcBorders>
                    <w:tl2br w:val="nil"/>
                    <w:tr2bl w:val="nil"/>
                  </w:tcBorders>
                  <w:noWrap w:val="0"/>
                  <w:vAlign w:val="center"/>
                </w:tcPr>
                <w:p w14:paraId="487410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填方</w:t>
                  </w:r>
                </w:p>
              </w:tc>
              <w:tc>
                <w:tcPr>
                  <w:tcW w:w="2066" w:type="pct"/>
                  <w:gridSpan w:val="5"/>
                  <w:tcBorders>
                    <w:tl2br w:val="nil"/>
                    <w:tr2bl w:val="nil"/>
                  </w:tcBorders>
                  <w:noWrap w:val="0"/>
                  <w:vAlign w:val="center"/>
                </w:tcPr>
                <w:p w14:paraId="7E6802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综合利用</w:t>
                  </w:r>
                </w:p>
              </w:tc>
              <w:tc>
                <w:tcPr>
                  <w:tcW w:w="532" w:type="pct"/>
                  <w:tcBorders>
                    <w:tl2br w:val="nil"/>
                    <w:tr2bl w:val="nil"/>
                  </w:tcBorders>
                  <w:noWrap w:val="0"/>
                  <w:vAlign w:val="center"/>
                </w:tcPr>
                <w:p w14:paraId="46B35C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借方</w:t>
                  </w:r>
                </w:p>
              </w:tc>
              <w:tc>
                <w:tcPr>
                  <w:tcW w:w="529" w:type="pct"/>
                  <w:tcBorders>
                    <w:tl2br w:val="nil"/>
                    <w:tr2bl w:val="nil"/>
                  </w:tcBorders>
                  <w:noWrap w:val="0"/>
                  <w:vAlign w:val="center"/>
                </w:tcPr>
                <w:p w14:paraId="212155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余方</w:t>
                  </w:r>
                </w:p>
              </w:tc>
            </w:tr>
            <w:tr w14:paraId="2A40E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7" w:type="pct"/>
                  <w:vMerge w:val="continue"/>
                  <w:tcBorders>
                    <w:tl2br w:val="nil"/>
                    <w:tr2bl w:val="nil"/>
                  </w:tcBorders>
                  <w:noWrap w:val="0"/>
                  <w:vAlign w:val="center"/>
                </w:tcPr>
                <w:p w14:paraId="7B26EF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highlight w:val="none"/>
                      <w:lang w:val="en-US" w:eastAsia="zh-CN"/>
                    </w:rPr>
                  </w:pPr>
                </w:p>
              </w:tc>
              <w:tc>
                <w:tcPr>
                  <w:tcW w:w="588" w:type="pct"/>
                  <w:vMerge w:val="restart"/>
                  <w:tcBorders>
                    <w:tl2br w:val="nil"/>
                    <w:tr2bl w:val="nil"/>
                  </w:tcBorders>
                  <w:noWrap w:val="0"/>
                  <w:vAlign w:val="center"/>
                </w:tcPr>
                <w:p w14:paraId="2E0A1B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数量</w:t>
                  </w:r>
                </w:p>
              </w:tc>
              <w:tc>
                <w:tcPr>
                  <w:tcW w:w="603" w:type="pct"/>
                  <w:vMerge w:val="restart"/>
                  <w:tcBorders>
                    <w:tl2br w:val="nil"/>
                    <w:tr2bl w:val="nil"/>
                  </w:tcBorders>
                  <w:noWrap w:val="0"/>
                  <w:vAlign w:val="center"/>
                </w:tcPr>
                <w:p w14:paraId="1C511B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数量</w:t>
                  </w:r>
                </w:p>
              </w:tc>
              <w:tc>
                <w:tcPr>
                  <w:tcW w:w="675" w:type="pct"/>
                  <w:tcBorders>
                    <w:tl2br w:val="nil"/>
                    <w:tr2bl w:val="nil"/>
                  </w:tcBorders>
                  <w:shd w:val="clear" w:color="auto" w:fill="auto"/>
                  <w:noWrap w:val="0"/>
                  <w:vAlign w:val="center"/>
                </w:tcPr>
                <w:p w14:paraId="0410EC50">
                  <w:pPr>
                    <w:widowControl/>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自身利用</w:t>
                  </w:r>
                </w:p>
              </w:tc>
              <w:tc>
                <w:tcPr>
                  <w:tcW w:w="644" w:type="pct"/>
                  <w:gridSpan w:val="2"/>
                  <w:tcBorders>
                    <w:tl2br w:val="nil"/>
                    <w:tr2bl w:val="nil"/>
                  </w:tcBorders>
                  <w:shd w:val="clear" w:color="auto" w:fill="auto"/>
                  <w:noWrap w:val="0"/>
                  <w:vAlign w:val="center"/>
                </w:tcPr>
                <w:p w14:paraId="105B8894">
                  <w:pPr>
                    <w:widowControl/>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调入</w:t>
                  </w:r>
                </w:p>
              </w:tc>
              <w:tc>
                <w:tcPr>
                  <w:tcW w:w="746" w:type="pct"/>
                  <w:gridSpan w:val="2"/>
                  <w:tcBorders>
                    <w:tl2br w:val="nil"/>
                    <w:tr2bl w:val="nil"/>
                  </w:tcBorders>
                  <w:shd w:val="clear" w:color="auto" w:fill="auto"/>
                  <w:noWrap w:val="0"/>
                  <w:vAlign w:val="center"/>
                </w:tcPr>
                <w:p w14:paraId="51C41667">
                  <w:pPr>
                    <w:widowControl/>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调出</w:t>
                  </w:r>
                </w:p>
              </w:tc>
              <w:tc>
                <w:tcPr>
                  <w:tcW w:w="532" w:type="pct"/>
                  <w:vMerge w:val="restart"/>
                  <w:tcBorders>
                    <w:tl2br w:val="nil"/>
                    <w:tr2bl w:val="nil"/>
                  </w:tcBorders>
                  <w:noWrap w:val="0"/>
                  <w:vAlign w:val="center"/>
                </w:tcPr>
                <w:p w14:paraId="4C5AAF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数量</w:t>
                  </w:r>
                </w:p>
              </w:tc>
              <w:tc>
                <w:tcPr>
                  <w:tcW w:w="531" w:type="pct"/>
                  <w:gridSpan w:val="2"/>
                  <w:vMerge w:val="restart"/>
                  <w:tcBorders>
                    <w:tl2br w:val="nil"/>
                    <w:tr2bl w:val="nil"/>
                  </w:tcBorders>
                  <w:noWrap w:val="0"/>
                  <w:vAlign w:val="center"/>
                </w:tcPr>
                <w:p w14:paraId="4D3FAC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数量</w:t>
                  </w:r>
                </w:p>
              </w:tc>
            </w:tr>
            <w:tr w14:paraId="00EF7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7" w:type="pct"/>
                  <w:vMerge w:val="continue"/>
                  <w:tcBorders>
                    <w:tl2br w:val="nil"/>
                    <w:tr2bl w:val="nil"/>
                  </w:tcBorders>
                  <w:noWrap w:val="0"/>
                  <w:vAlign w:val="center"/>
                </w:tcPr>
                <w:p w14:paraId="6C8B14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p>
              </w:tc>
              <w:tc>
                <w:tcPr>
                  <w:tcW w:w="588" w:type="pct"/>
                  <w:vMerge w:val="continue"/>
                  <w:tcBorders>
                    <w:tl2br w:val="nil"/>
                    <w:tr2bl w:val="nil"/>
                  </w:tcBorders>
                  <w:noWrap w:val="0"/>
                  <w:vAlign w:val="center"/>
                </w:tcPr>
                <w:p w14:paraId="415B61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p>
              </w:tc>
              <w:tc>
                <w:tcPr>
                  <w:tcW w:w="603" w:type="pct"/>
                  <w:vMerge w:val="continue"/>
                  <w:tcBorders>
                    <w:tl2br w:val="nil"/>
                    <w:tr2bl w:val="nil"/>
                  </w:tcBorders>
                  <w:noWrap w:val="0"/>
                  <w:vAlign w:val="center"/>
                </w:tcPr>
                <w:p w14:paraId="5D494D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p>
              </w:tc>
              <w:tc>
                <w:tcPr>
                  <w:tcW w:w="675" w:type="pct"/>
                  <w:tcBorders>
                    <w:tl2br w:val="nil"/>
                    <w:tr2bl w:val="nil"/>
                  </w:tcBorders>
                  <w:shd w:val="clear" w:color="auto" w:fill="auto"/>
                  <w:noWrap w:val="0"/>
                  <w:vAlign w:val="center"/>
                </w:tcPr>
                <w:p w14:paraId="5557204B">
                  <w:pPr>
                    <w:widowControl/>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数量</w:t>
                  </w:r>
                </w:p>
              </w:tc>
              <w:tc>
                <w:tcPr>
                  <w:tcW w:w="365" w:type="pct"/>
                  <w:tcBorders>
                    <w:tl2br w:val="nil"/>
                    <w:tr2bl w:val="nil"/>
                  </w:tcBorders>
                  <w:shd w:val="clear" w:color="auto" w:fill="auto"/>
                  <w:noWrap w:val="0"/>
                  <w:vAlign w:val="center"/>
                </w:tcPr>
                <w:p w14:paraId="6EA9E8CE">
                  <w:pPr>
                    <w:widowControl/>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数量</w:t>
                  </w:r>
                </w:p>
              </w:tc>
              <w:tc>
                <w:tcPr>
                  <w:tcW w:w="279" w:type="pct"/>
                  <w:tcBorders>
                    <w:tl2br w:val="nil"/>
                    <w:tr2bl w:val="nil"/>
                  </w:tcBorders>
                  <w:shd w:val="clear" w:color="auto" w:fill="auto"/>
                  <w:noWrap w:val="0"/>
                  <w:vAlign w:val="center"/>
                </w:tcPr>
                <w:p w14:paraId="1DEC37CB">
                  <w:pPr>
                    <w:widowControl/>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来源</w:t>
                  </w:r>
                </w:p>
              </w:tc>
              <w:tc>
                <w:tcPr>
                  <w:tcW w:w="317" w:type="pct"/>
                  <w:tcBorders>
                    <w:tl2br w:val="nil"/>
                    <w:tr2bl w:val="nil"/>
                  </w:tcBorders>
                  <w:shd w:val="clear" w:color="auto" w:fill="auto"/>
                  <w:noWrap w:val="0"/>
                  <w:vAlign w:val="center"/>
                </w:tcPr>
                <w:p w14:paraId="5C0DFB42">
                  <w:pPr>
                    <w:widowControl/>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数量</w:t>
                  </w:r>
                </w:p>
              </w:tc>
              <w:tc>
                <w:tcPr>
                  <w:tcW w:w="429" w:type="pct"/>
                  <w:tcBorders>
                    <w:tl2br w:val="nil"/>
                    <w:tr2bl w:val="nil"/>
                  </w:tcBorders>
                  <w:shd w:val="clear" w:color="auto" w:fill="auto"/>
                  <w:noWrap w:val="0"/>
                  <w:vAlign w:val="center"/>
                </w:tcPr>
                <w:p w14:paraId="2CAEB415">
                  <w:pPr>
                    <w:widowControl/>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去向</w:t>
                  </w:r>
                </w:p>
              </w:tc>
              <w:tc>
                <w:tcPr>
                  <w:tcW w:w="532" w:type="pct"/>
                  <w:vMerge w:val="continue"/>
                  <w:tcBorders>
                    <w:tl2br w:val="nil"/>
                    <w:tr2bl w:val="nil"/>
                  </w:tcBorders>
                  <w:noWrap w:val="0"/>
                  <w:vAlign w:val="center"/>
                </w:tcPr>
                <w:p w14:paraId="5952E4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p>
              </w:tc>
              <w:tc>
                <w:tcPr>
                  <w:tcW w:w="531" w:type="pct"/>
                  <w:gridSpan w:val="2"/>
                  <w:vMerge w:val="continue"/>
                  <w:tcBorders>
                    <w:tl2br w:val="nil"/>
                    <w:tr2bl w:val="nil"/>
                  </w:tcBorders>
                  <w:noWrap w:val="0"/>
                  <w:vAlign w:val="center"/>
                </w:tcPr>
                <w:p w14:paraId="571A2E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p>
              </w:tc>
            </w:tr>
            <w:tr w14:paraId="374A1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7" w:type="pct"/>
                  <w:tcBorders>
                    <w:tl2br w:val="nil"/>
                    <w:tr2bl w:val="nil"/>
                  </w:tcBorders>
                  <w:noWrap w:val="0"/>
                  <w:vAlign w:val="center"/>
                </w:tcPr>
                <w:p w14:paraId="4A9FE3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石方工程</w:t>
                  </w:r>
                </w:p>
              </w:tc>
              <w:tc>
                <w:tcPr>
                  <w:tcW w:w="588" w:type="pct"/>
                  <w:tcBorders>
                    <w:tl2br w:val="nil"/>
                    <w:tr2bl w:val="nil"/>
                  </w:tcBorders>
                  <w:noWrap w:val="0"/>
                  <w:vAlign w:val="center"/>
                </w:tcPr>
                <w:p w14:paraId="4040DD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c>
                <w:tcPr>
                  <w:tcW w:w="603" w:type="pct"/>
                  <w:tcBorders>
                    <w:tl2br w:val="nil"/>
                    <w:tr2bl w:val="nil"/>
                  </w:tcBorders>
                  <w:noWrap w:val="0"/>
                  <w:vAlign w:val="center"/>
                </w:tcPr>
                <w:p w14:paraId="693D14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0.1965</w:t>
                  </w:r>
                </w:p>
              </w:tc>
              <w:tc>
                <w:tcPr>
                  <w:tcW w:w="675" w:type="pct"/>
                  <w:tcBorders>
                    <w:tl2br w:val="nil"/>
                    <w:tr2bl w:val="nil"/>
                  </w:tcBorders>
                  <w:noWrap w:val="0"/>
                  <w:vAlign w:val="center"/>
                </w:tcPr>
                <w:p w14:paraId="28A793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c>
                <w:tcPr>
                  <w:tcW w:w="365" w:type="pct"/>
                  <w:tcBorders>
                    <w:tl2br w:val="nil"/>
                    <w:tr2bl w:val="nil"/>
                  </w:tcBorders>
                  <w:noWrap w:val="0"/>
                  <w:vAlign w:val="center"/>
                </w:tcPr>
                <w:p w14:paraId="04924F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c>
                <w:tcPr>
                  <w:tcW w:w="279" w:type="pct"/>
                  <w:tcBorders>
                    <w:tl2br w:val="nil"/>
                    <w:tr2bl w:val="nil"/>
                  </w:tcBorders>
                  <w:noWrap w:val="0"/>
                  <w:vAlign w:val="center"/>
                </w:tcPr>
                <w:p w14:paraId="4F5BCE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317" w:type="pct"/>
                  <w:tcBorders>
                    <w:tl2br w:val="nil"/>
                    <w:tr2bl w:val="nil"/>
                  </w:tcBorders>
                  <w:noWrap w:val="0"/>
                  <w:vAlign w:val="center"/>
                </w:tcPr>
                <w:p w14:paraId="585F0F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c>
                <w:tcPr>
                  <w:tcW w:w="429" w:type="pct"/>
                  <w:tcBorders>
                    <w:tl2br w:val="nil"/>
                    <w:tr2bl w:val="nil"/>
                  </w:tcBorders>
                  <w:noWrap w:val="0"/>
                  <w:vAlign w:val="center"/>
                </w:tcPr>
                <w:p w14:paraId="482C9B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532" w:type="pct"/>
                  <w:tcBorders>
                    <w:tl2br w:val="nil"/>
                    <w:tr2bl w:val="nil"/>
                  </w:tcBorders>
                  <w:noWrap w:val="0"/>
                  <w:vAlign w:val="center"/>
                </w:tcPr>
                <w:p w14:paraId="6EF4E2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default" w:ascii="Times New Roman" w:hAnsi="Times New Roman" w:cs="Times New Roman"/>
                      <w:b w:val="0"/>
                      <w:bCs w:val="0"/>
                      <w:color w:val="auto"/>
                      <w:sz w:val="21"/>
                      <w:szCs w:val="21"/>
                      <w:highlight w:val="none"/>
                      <w:lang w:val="en-US" w:eastAsia="zh-CN"/>
                    </w:rPr>
                    <w:t>.1965</w:t>
                  </w:r>
                </w:p>
              </w:tc>
              <w:tc>
                <w:tcPr>
                  <w:tcW w:w="531" w:type="pct"/>
                  <w:gridSpan w:val="2"/>
                  <w:tcBorders>
                    <w:tl2br w:val="nil"/>
                    <w:tr2bl w:val="nil"/>
                  </w:tcBorders>
                  <w:noWrap w:val="0"/>
                  <w:vAlign w:val="center"/>
                </w:tcPr>
                <w:p w14:paraId="3EB862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r>
            <w:tr w14:paraId="3F4A3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7" w:type="pct"/>
                  <w:tcBorders>
                    <w:tl2br w:val="nil"/>
                    <w:tr2bl w:val="nil"/>
                  </w:tcBorders>
                  <w:noWrap w:val="0"/>
                  <w:vAlign w:val="center"/>
                </w:tcPr>
                <w:p w14:paraId="55A0C4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开挖回填土方</w:t>
                  </w:r>
                </w:p>
              </w:tc>
              <w:tc>
                <w:tcPr>
                  <w:tcW w:w="588" w:type="pct"/>
                  <w:tcBorders>
                    <w:tl2br w:val="nil"/>
                    <w:tr2bl w:val="nil"/>
                  </w:tcBorders>
                  <w:noWrap w:val="0"/>
                  <w:vAlign w:val="center"/>
                </w:tcPr>
                <w:p w14:paraId="78058C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9.2051</w:t>
                  </w:r>
                  <w:r>
                    <w:rPr>
                      <w:rFonts w:hint="default" w:ascii="Times New Roman" w:hAnsi="Times New Roman" w:eastAsia="宋体" w:cs="Times New Roman"/>
                      <w:b w:val="0"/>
                      <w:bCs w:val="0"/>
                      <w:color w:val="auto"/>
                      <w:sz w:val="21"/>
                      <w:szCs w:val="21"/>
                      <w:highlight w:val="none"/>
                      <w:lang w:val="en-US" w:eastAsia="zh-CN"/>
                    </w:rPr>
                    <w:t>‬</w:t>
                  </w:r>
                </w:p>
              </w:tc>
              <w:tc>
                <w:tcPr>
                  <w:tcW w:w="603" w:type="pct"/>
                  <w:tcBorders>
                    <w:tl2br w:val="nil"/>
                    <w:tr2bl w:val="nil"/>
                  </w:tcBorders>
                  <w:noWrap w:val="0"/>
                  <w:vAlign w:val="center"/>
                </w:tcPr>
                <w:p w14:paraId="200169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14.5554</w:t>
                  </w:r>
                  <w:r>
                    <w:rPr>
                      <w:rFonts w:hint="default" w:ascii="Times New Roman" w:hAnsi="Times New Roman" w:eastAsia="宋体" w:cs="Times New Roman"/>
                      <w:b w:val="0"/>
                      <w:bCs w:val="0"/>
                      <w:color w:val="auto"/>
                      <w:sz w:val="21"/>
                      <w:szCs w:val="21"/>
                      <w:highlight w:val="none"/>
                      <w:lang w:val="en-US" w:eastAsia="zh-CN"/>
                    </w:rPr>
                    <w:t>‬</w:t>
                  </w:r>
                </w:p>
              </w:tc>
              <w:tc>
                <w:tcPr>
                  <w:tcW w:w="675" w:type="pct"/>
                  <w:tcBorders>
                    <w:tl2br w:val="nil"/>
                    <w:tr2bl w:val="nil"/>
                  </w:tcBorders>
                  <w:noWrap w:val="0"/>
                  <w:vAlign w:val="center"/>
                </w:tcPr>
                <w:p w14:paraId="113908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9.2051</w:t>
                  </w:r>
                </w:p>
              </w:tc>
              <w:tc>
                <w:tcPr>
                  <w:tcW w:w="365" w:type="pct"/>
                  <w:tcBorders>
                    <w:tl2br w:val="nil"/>
                    <w:tr2bl w:val="nil"/>
                  </w:tcBorders>
                  <w:noWrap w:val="0"/>
                  <w:vAlign w:val="center"/>
                </w:tcPr>
                <w:p w14:paraId="658E93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c>
                <w:tcPr>
                  <w:tcW w:w="279" w:type="pct"/>
                  <w:tcBorders>
                    <w:tl2br w:val="nil"/>
                    <w:tr2bl w:val="nil"/>
                  </w:tcBorders>
                  <w:noWrap w:val="0"/>
                  <w:vAlign w:val="center"/>
                </w:tcPr>
                <w:p w14:paraId="5965D1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317" w:type="pct"/>
                  <w:tcBorders>
                    <w:tl2br w:val="nil"/>
                    <w:tr2bl w:val="nil"/>
                  </w:tcBorders>
                  <w:noWrap w:val="0"/>
                  <w:vAlign w:val="center"/>
                </w:tcPr>
                <w:p w14:paraId="255902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c>
                <w:tcPr>
                  <w:tcW w:w="429" w:type="pct"/>
                  <w:tcBorders>
                    <w:tl2br w:val="nil"/>
                    <w:tr2bl w:val="nil"/>
                  </w:tcBorders>
                  <w:noWrap w:val="0"/>
                  <w:vAlign w:val="center"/>
                </w:tcPr>
                <w:p w14:paraId="13D9A9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532" w:type="pct"/>
                  <w:tcBorders>
                    <w:tl2br w:val="nil"/>
                    <w:tr2bl w:val="nil"/>
                  </w:tcBorders>
                  <w:noWrap w:val="0"/>
                  <w:vAlign w:val="center"/>
                </w:tcPr>
                <w:p w14:paraId="3E1F24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5.3503</w:t>
                  </w:r>
                </w:p>
              </w:tc>
              <w:tc>
                <w:tcPr>
                  <w:tcW w:w="531" w:type="pct"/>
                  <w:gridSpan w:val="2"/>
                  <w:tcBorders>
                    <w:tl2br w:val="nil"/>
                    <w:tr2bl w:val="nil"/>
                  </w:tcBorders>
                  <w:noWrap w:val="0"/>
                  <w:vAlign w:val="center"/>
                </w:tcPr>
                <w:p w14:paraId="6067A1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w:t>
                  </w:r>
                </w:p>
              </w:tc>
            </w:tr>
            <w:tr w14:paraId="37891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7" w:type="pct"/>
                  <w:tcBorders>
                    <w:tl2br w:val="nil"/>
                    <w:tr2bl w:val="nil"/>
                  </w:tcBorders>
                  <w:noWrap w:val="0"/>
                  <w:vAlign w:val="center"/>
                </w:tcPr>
                <w:p w14:paraId="2299E5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种植草覆土工程</w:t>
                  </w:r>
                </w:p>
              </w:tc>
              <w:tc>
                <w:tcPr>
                  <w:tcW w:w="588" w:type="pct"/>
                  <w:tcBorders>
                    <w:tl2br w:val="nil"/>
                    <w:tr2bl w:val="nil"/>
                  </w:tcBorders>
                  <w:noWrap w:val="0"/>
                  <w:vAlign w:val="center"/>
                </w:tcPr>
                <w:p w14:paraId="37B7BC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w:t>
                  </w:r>
                </w:p>
              </w:tc>
              <w:tc>
                <w:tcPr>
                  <w:tcW w:w="603" w:type="pct"/>
                  <w:tcBorders>
                    <w:tl2br w:val="nil"/>
                    <w:tr2bl w:val="nil"/>
                  </w:tcBorders>
                  <w:noWrap w:val="0"/>
                  <w:vAlign w:val="center"/>
                </w:tcPr>
                <w:p w14:paraId="2EA3B6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w:t>
                  </w:r>
                </w:p>
              </w:tc>
              <w:tc>
                <w:tcPr>
                  <w:tcW w:w="675" w:type="pct"/>
                  <w:tcBorders>
                    <w:tl2br w:val="nil"/>
                    <w:tr2bl w:val="nil"/>
                  </w:tcBorders>
                  <w:noWrap w:val="0"/>
                  <w:vAlign w:val="center"/>
                </w:tcPr>
                <w:p w14:paraId="43EB34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w:t>
                  </w:r>
                </w:p>
              </w:tc>
              <w:tc>
                <w:tcPr>
                  <w:tcW w:w="365" w:type="pct"/>
                  <w:tcBorders>
                    <w:tl2br w:val="nil"/>
                    <w:tr2bl w:val="nil"/>
                  </w:tcBorders>
                  <w:noWrap w:val="0"/>
                  <w:vAlign w:val="center"/>
                </w:tcPr>
                <w:p w14:paraId="4A29AE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279" w:type="pct"/>
                  <w:tcBorders>
                    <w:tl2br w:val="nil"/>
                    <w:tr2bl w:val="nil"/>
                  </w:tcBorders>
                  <w:noWrap w:val="0"/>
                  <w:vAlign w:val="center"/>
                </w:tcPr>
                <w:p w14:paraId="42A198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7" w:type="pct"/>
                  <w:tcBorders>
                    <w:tl2br w:val="nil"/>
                    <w:tr2bl w:val="nil"/>
                  </w:tcBorders>
                  <w:noWrap w:val="0"/>
                  <w:vAlign w:val="center"/>
                </w:tcPr>
                <w:p w14:paraId="203AA5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429" w:type="pct"/>
                  <w:tcBorders>
                    <w:tl2br w:val="nil"/>
                    <w:tr2bl w:val="nil"/>
                  </w:tcBorders>
                  <w:noWrap w:val="0"/>
                  <w:vAlign w:val="center"/>
                </w:tcPr>
                <w:p w14:paraId="66D00D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32" w:type="pct"/>
                  <w:tcBorders>
                    <w:tl2br w:val="nil"/>
                    <w:tr2bl w:val="nil"/>
                  </w:tcBorders>
                  <w:noWrap w:val="0"/>
                  <w:vAlign w:val="center"/>
                </w:tcPr>
                <w:p w14:paraId="2E47F9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531" w:type="pct"/>
                  <w:gridSpan w:val="2"/>
                  <w:tcBorders>
                    <w:tl2br w:val="nil"/>
                    <w:tr2bl w:val="nil"/>
                  </w:tcBorders>
                  <w:noWrap w:val="0"/>
                  <w:vAlign w:val="center"/>
                </w:tcPr>
                <w:p w14:paraId="3A2172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4AAE1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7" w:type="pct"/>
                  <w:tcBorders>
                    <w:tl2br w:val="nil"/>
                    <w:tr2bl w:val="nil"/>
                  </w:tcBorders>
                  <w:noWrap w:val="0"/>
                  <w:vAlign w:val="center"/>
                </w:tcPr>
                <w:p w14:paraId="0DE845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588" w:type="pct"/>
                  <w:tcBorders>
                    <w:tl2br w:val="nil"/>
                    <w:tr2bl w:val="nil"/>
                  </w:tcBorders>
                  <w:noWrap w:val="0"/>
                  <w:vAlign w:val="center"/>
                </w:tcPr>
                <w:p w14:paraId="43737C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10.2851</w:t>
                  </w:r>
                </w:p>
              </w:tc>
              <w:tc>
                <w:tcPr>
                  <w:tcW w:w="603" w:type="pct"/>
                  <w:tcBorders>
                    <w:tl2br w:val="nil"/>
                    <w:tr2bl w:val="nil"/>
                  </w:tcBorders>
                  <w:noWrap w:val="0"/>
                  <w:vAlign w:val="center"/>
                </w:tcPr>
                <w:p w14:paraId="08D5F7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15.8319</w:t>
                  </w:r>
                </w:p>
              </w:tc>
              <w:tc>
                <w:tcPr>
                  <w:tcW w:w="675" w:type="pct"/>
                  <w:tcBorders>
                    <w:tl2br w:val="nil"/>
                    <w:tr2bl w:val="nil"/>
                  </w:tcBorders>
                  <w:noWrap w:val="0"/>
                  <w:vAlign w:val="center"/>
                </w:tcPr>
                <w:p w14:paraId="3BCF4F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10.2851</w:t>
                  </w:r>
                </w:p>
              </w:tc>
              <w:tc>
                <w:tcPr>
                  <w:tcW w:w="365" w:type="pct"/>
                  <w:tcBorders>
                    <w:tl2br w:val="nil"/>
                    <w:tr2bl w:val="nil"/>
                  </w:tcBorders>
                  <w:noWrap w:val="0"/>
                  <w:vAlign w:val="center"/>
                </w:tcPr>
                <w:p w14:paraId="67E401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279" w:type="pct"/>
                  <w:tcBorders>
                    <w:tl2br w:val="nil"/>
                    <w:tr2bl w:val="nil"/>
                  </w:tcBorders>
                  <w:noWrap w:val="0"/>
                  <w:vAlign w:val="center"/>
                </w:tcPr>
                <w:p w14:paraId="7653BA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7" w:type="pct"/>
                  <w:tcBorders>
                    <w:tl2br w:val="nil"/>
                    <w:tr2bl w:val="nil"/>
                  </w:tcBorders>
                  <w:noWrap w:val="0"/>
                  <w:vAlign w:val="center"/>
                </w:tcPr>
                <w:p w14:paraId="4F75F5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429" w:type="pct"/>
                  <w:tcBorders>
                    <w:tl2br w:val="nil"/>
                    <w:tr2bl w:val="nil"/>
                  </w:tcBorders>
                  <w:noWrap w:val="0"/>
                  <w:vAlign w:val="center"/>
                </w:tcPr>
                <w:p w14:paraId="5807F3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32" w:type="pct"/>
                  <w:tcBorders>
                    <w:tl2br w:val="nil"/>
                    <w:tr2bl w:val="nil"/>
                  </w:tcBorders>
                  <w:noWrap w:val="0"/>
                  <w:vAlign w:val="center"/>
                </w:tcPr>
                <w:p w14:paraId="31638E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5.5468</w:t>
                  </w:r>
                </w:p>
              </w:tc>
              <w:tc>
                <w:tcPr>
                  <w:tcW w:w="531" w:type="pct"/>
                  <w:gridSpan w:val="2"/>
                  <w:tcBorders>
                    <w:tl2br w:val="nil"/>
                    <w:tr2bl w:val="nil"/>
                  </w:tcBorders>
                  <w:noWrap w:val="0"/>
                  <w:vAlign w:val="center"/>
                </w:tcPr>
                <w:p w14:paraId="0C3DC2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bl>
          <w:p w14:paraId="5BE9AF76">
            <w:pPr>
              <w:pStyle w:val="3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458460" cy="2964815"/>
                  <wp:effectExtent l="0" t="0" r="0" b="0"/>
                  <wp:docPr id="8"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wps"/>
                          <pic:cNvPicPr>
                            <a:picLocks noChangeAspect="1"/>
                          </pic:cNvPicPr>
                        </pic:nvPicPr>
                        <pic:blipFill>
                          <a:blip r:embed="rId12"/>
                          <a:stretch>
                            <a:fillRect/>
                          </a:stretch>
                        </pic:blipFill>
                        <pic:spPr>
                          <a:xfrm>
                            <a:off x="0" y="0"/>
                            <a:ext cx="5458460" cy="2964815"/>
                          </a:xfrm>
                          <a:prstGeom prst="rect">
                            <a:avLst/>
                          </a:prstGeom>
                        </pic:spPr>
                      </pic:pic>
                    </a:graphicData>
                  </a:graphic>
                </wp:inline>
              </w:drawing>
            </w:r>
          </w:p>
          <w:p w14:paraId="4DDE3BF0">
            <w:pPr>
              <w:pStyle w:val="37"/>
              <w:jc w:val="center"/>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sz w:val="24"/>
                <w:szCs w:val="24"/>
              </w:rPr>
              <w:t>图2-1  土石方平衡流向图（单位：万m</w:t>
            </w:r>
            <w:r>
              <w:rPr>
                <w:rFonts w:hint="default" w:ascii="Times New Roman" w:hAnsi="Times New Roman" w:eastAsia="黑体" w:cs="Times New Roman"/>
                <w:b w:val="0"/>
                <w:bCs/>
                <w:color w:val="auto"/>
                <w:sz w:val="24"/>
                <w:szCs w:val="24"/>
                <w:vertAlign w:val="superscript"/>
              </w:rPr>
              <w:t>3</w:t>
            </w:r>
            <w:r>
              <w:rPr>
                <w:rFonts w:hint="default" w:ascii="Times New Roman" w:hAnsi="Times New Roman" w:eastAsia="黑体" w:cs="Times New Roman"/>
                <w:b w:val="0"/>
                <w:bCs/>
                <w:color w:val="auto"/>
              </w:rPr>
              <w:t>）</w:t>
            </w:r>
          </w:p>
          <w:p w14:paraId="3D2E8F42">
            <w:pPr>
              <w:pStyle w:val="37"/>
              <w:jc w:val="center"/>
              <w:rPr>
                <w:rFonts w:hint="default" w:ascii="Times New Roman" w:hAnsi="Times New Roman" w:eastAsia="黑体" w:cs="Times New Roman"/>
                <w:b w:val="0"/>
                <w:bCs/>
                <w:color w:val="auto"/>
              </w:rPr>
            </w:pPr>
          </w:p>
        </w:tc>
      </w:tr>
      <w:tr w14:paraId="4CD3D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0"/>
            <w:vAlign w:val="center"/>
          </w:tcPr>
          <w:p w14:paraId="673324B5">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总平面及现场布置</w:t>
            </w:r>
          </w:p>
        </w:tc>
        <w:tc>
          <w:tcPr>
            <w:tcW w:w="8824" w:type="dxa"/>
            <w:noWrap w:val="0"/>
            <w:vAlign w:val="center"/>
          </w:tcPr>
          <w:p w14:paraId="0B30852B">
            <w:pPr>
              <w:numPr>
                <w:ilvl w:val="0"/>
                <w:numId w:val="6"/>
              </w:numPr>
              <w:autoSpaceDE w:val="0"/>
              <w:autoSpaceDN w:val="0"/>
              <w:spacing w:before="240" w:after="60"/>
              <w:rPr>
                <w:rFonts w:hint="default" w:ascii="Times New Roman" w:hAnsi="Times New Roman" w:eastAsia="黑体" w:cs="Times New Roman"/>
                <w:color w:val="auto"/>
                <w:kern w:val="0"/>
                <w:sz w:val="24"/>
                <w:szCs w:val="24"/>
                <w:highlight w:val="none"/>
                <w:lang w:val="en-US" w:eastAsia="zh-CN"/>
              </w:rPr>
            </w:pPr>
            <w:r>
              <w:rPr>
                <w:rFonts w:hint="default" w:ascii="Times New Roman" w:hAnsi="Times New Roman" w:eastAsia="黑体" w:cs="Times New Roman"/>
                <w:b w:val="0"/>
                <w:bCs w:val="0"/>
                <w:color w:val="auto"/>
                <w:kern w:val="0"/>
                <w:sz w:val="24"/>
                <w:szCs w:val="24"/>
                <w:highlight w:val="none"/>
                <w:lang w:val="en-US" w:eastAsia="zh-CN" w:bidi="ar"/>
              </w:rPr>
              <w:t xml:space="preserve">施工可行性分析 </w:t>
            </w:r>
          </w:p>
          <w:p w14:paraId="60954247">
            <w:pPr>
              <w:pStyle w:val="9"/>
              <w:ind w:firstLine="51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修复区位于沙坡头区，现状全部为采矿采砂废弃地，修复区内除存在有少量采矿废弃设施外，不存在其他构筑物及建筑物，其修复区土地权属于国有土地或规划园区土地，矿区不存在征地拆迁问题，项目</w:t>
            </w:r>
            <w:r>
              <w:rPr>
                <w:rFonts w:hint="default" w:ascii="Times New Roman" w:hAnsi="Times New Roman" w:eastAsia="宋体" w:cs="Times New Roman"/>
                <w:color w:val="auto"/>
                <w:kern w:val="2"/>
                <w:sz w:val="24"/>
                <w:szCs w:val="24"/>
                <w:highlight w:val="none"/>
                <w:lang w:val="en-US" w:eastAsia="zh-CN" w:bidi="ar-SA"/>
              </w:rPr>
              <w:t>不涉及新增建设用地</w:t>
            </w:r>
            <w:r>
              <w:rPr>
                <w:rFonts w:hint="default" w:ascii="Times New Roman" w:hAnsi="Times New Roman" w:eastAsia="宋体" w:cs="Times New Roman"/>
                <w:color w:val="auto"/>
                <w:kern w:val="2"/>
                <w:sz w:val="24"/>
                <w:szCs w:val="24"/>
                <w:lang w:val="en-US" w:eastAsia="zh-CN" w:bidi="ar-SA"/>
              </w:rPr>
              <w:t>。</w:t>
            </w:r>
          </w:p>
          <w:p w14:paraId="11D57EC9">
            <w:pPr>
              <w:numPr>
                <w:ilvl w:val="0"/>
                <w:numId w:val="6"/>
              </w:numPr>
              <w:autoSpaceDE w:val="0"/>
              <w:autoSpaceDN w:val="0"/>
              <w:spacing w:before="240" w:after="60"/>
              <w:rPr>
                <w:rFonts w:hint="default" w:ascii="Times New Roman" w:hAnsi="Times New Roman" w:eastAsia="黑体" w:cs="Times New Roman"/>
                <w:color w:val="auto"/>
                <w:kern w:val="0"/>
                <w:sz w:val="24"/>
                <w:szCs w:val="24"/>
                <w:highlight w:val="none"/>
                <w:lang w:val="en-US" w:eastAsia="zh-CN"/>
              </w:rPr>
            </w:pPr>
            <w:r>
              <w:rPr>
                <w:rFonts w:hint="default" w:ascii="Times New Roman" w:hAnsi="Times New Roman" w:eastAsia="黑体" w:cs="Times New Roman"/>
                <w:b w:val="0"/>
                <w:bCs w:val="0"/>
                <w:color w:val="auto"/>
                <w:kern w:val="0"/>
                <w:sz w:val="24"/>
                <w:szCs w:val="24"/>
                <w:highlight w:val="none"/>
                <w:lang w:val="en-US" w:eastAsia="zh-CN" w:bidi="ar"/>
              </w:rPr>
              <w:t>施工布置原则</w:t>
            </w:r>
          </w:p>
          <w:p w14:paraId="6EF94CC1">
            <w:pPr>
              <w:pStyle w:val="9"/>
              <w:ind w:firstLine="51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总的布置原则应遵循因地制宜、利于施工、易于管理、方便生活、安全经济的原则。施工时应结合以下几点考虑施工布置：</w:t>
            </w:r>
          </w:p>
          <w:p w14:paraId="6EC82AF8">
            <w:pPr>
              <w:pStyle w:val="9"/>
              <w:ind w:firstLine="51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项目</w:t>
            </w:r>
            <w:r>
              <w:rPr>
                <w:rFonts w:hint="default" w:ascii="Times New Roman" w:hAnsi="Times New Roman" w:eastAsia="宋体" w:cs="Times New Roman"/>
                <w:color w:val="auto"/>
                <w:kern w:val="2"/>
                <w:sz w:val="24"/>
                <w:szCs w:val="24"/>
                <w:highlight w:val="none"/>
                <w:lang w:val="en-US" w:eastAsia="zh-CN" w:bidi="ar-SA"/>
              </w:rPr>
              <w:t>不涉及新增建设用地</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可</w:t>
            </w:r>
            <w:r>
              <w:rPr>
                <w:rFonts w:hint="default" w:ascii="Times New Roman" w:hAnsi="Times New Roman" w:eastAsia="宋体" w:cs="Times New Roman"/>
                <w:color w:val="auto"/>
                <w:sz w:val="24"/>
                <w:szCs w:val="24"/>
              </w:rPr>
              <w:t>减少对附近居民的生产、生活影响；合理利用有利地形，尽量减少临时建筑工程量；采用分段就近集中布置。在大型设备进场前，先让大部分涉及到安装的各个其他小型施工机械设备进场，并且在大型机械设备进场之前施工单位需要与</w:t>
            </w:r>
            <w:r>
              <w:rPr>
                <w:rFonts w:hint="default" w:ascii="Times New Roman" w:hAnsi="Times New Roman" w:eastAsia="宋体" w:cs="Times New Roman"/>
                <w:color w:val="auto"/>
                <w:sz w:val="24"/>
                <w:szCs w:val="24"/>
                <w:lang w:val="en-US" w:eastAsia="zh-CN"/>
              </w:rPr>
              <w:t>自然资源局</w:t>
            </w:r>
            <w:r>
              <w:rPr>
                <w:rFonts w:hint="default" w:ascii="Times New Roman" w:hAnsi="Times New Roman" w:eastAsia="宋体" w:cs="Times New Roman"/>
                <w:color w:val="auto"/>
                <w:sz w:val="24"/>
                <w:szCs w:val="24"/>
              </w:rPr>
              <w:t>做好协商，提前解决好设备摆放问题。修复区域内设置1处临时堆放区，临时堆放区随</w:t>
            </w:r>
            <w:r>
              <w:rPr>
                <w:rFonts w:hint="default" w:ascii="Times New Roman" w:hAnsi="Times New Roman" w:eastAsia="宋体" w:cs="Times New Roman"/>
                <w:color w:val="auto"/>
                <w:sz w:val="24"/>
                <w:szCs w:val="24"/>
                <w:lang w:val="en-US" w:eastAsia="zh-CN"/>
              </w:rPr>
              <w:t>着</w:t>
            </w:r>
            <w:r>
              <w:rPr>
                <w:rFonts w:hint="default" w:ascii="Times New Roman" w:hAnsi="Times New Roman" w:eastAsia="宋体" w:cs="Times New Roman"/>
                <w:color w:val="auto"/>
                <w:sz w:val="24"/>
                <w:szCs w:val="24"/>
              </w:rPr>
              <w:t>施工范围及进度变化。进场道路利用矿区内已有道路，最大限度减少运输距离及其运输过程对土地和植被造成的扰动。</w:t>
            </w:r>
          </w:p>
          <w:p w14:paraId="793119DC">
            <w:pPr>
              <w:numPr>
                <w:ilvl w:val="0"/>
                <w:numId w:val="6"/>
              </w:numPr>
              <w:autoSpaceDE w:val="0"/>
              <w:autoSpaceDN w:val="0"/>
              <w:spacing w:before="240" w:after="60"/>
              <w:rPr>
                <w:rFonts w:hint="default" w:ascii="Times New Roman" w:hAnsi="Times New Roman" w:eastAsia="黑体" w:cs="Times New Roman"/>
                <w:color w:val="auto"/>
                <w:kern w:val="0"/>
                <w:sz w:val="24"/>
                <w:szCs w:val="24"/>
                <w:highlight w:val="none"/>
                <w:lang w:val="en-US" w:eastAsia="zh-CN"/>
              </w:rPr>
            </w:pPr>
            <w:r>
              <w:rPr>
                <w:rFonts w:hint="default" w:ascii="Times New Roman" w:hAnsi="Times New Roman" w:eastAsia="黑体" w:cs="Times New Roman"/>
                <w:b w:val="0"/>
                <w:bCs w:val="0"/>
                <w:color w:val="auto"/>
                <w:kern w:val="0"/>
                <w:sz w:val="24"/>
                <w:szCs w:val="24"/>
                <w:highlight w:val="none"/>
                <w:lang w:val="en-US" w:eastAsia="zh-CN" w:bidi="ar"/>
              </w:rPr>
              <w:t>工程平面布局</w:t>
            </w:r>
          </w:p>
          <w:p w14:paraId="5FF41C6F">
            <w:pPr>
              <w:ind w:firstLine="51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本项目治理区面积为</w:t>
            </w:r>
            <w:r>
              <w:rPr>
                <w:rFonts w:hint="default" w:ascii="Times New Roman" w:hAnsi="Times New Roman" w:cs="Times New Roman"/>
                <w:color w:val="auto"/>
                <w:kern w:val="0"/>
                <w:sz w:val="24"/>
                <w:szCs w:val="24"/>
                <w:vertAlign w:val="baseline"/>
                <w:lang w:val="en-US" w:eastAsia="zh-CN" w:bidi="ar"/>
              </w:rPr>
              <w:t>60980.94m</w:t>
            </w:r>
            <w:r>
              <w:rPr>
                <w:rFonts w:hint="default" w:ascii="Times New Roman" w:hAnsi="Times New Roman" w:cs="Times New Roman"/>
                <w:color w:val="auto"/>
                <w:kern w:val="0"/>
                <w:sz w:val="24"/>
                <w:szCs w:val="24"/>
                <w:vertAlign w:val="superscript"/>
                <w:lang w:val="en-US" w:eastAsia="zh-CN" w:bidi="ar"/>
              </w:rPr>
              <w:t>2</w:t>
            </w:r>
            <w:r>
              <w:rPr>
                <w:rFonts w:hint="default" w:ascii="Times New Roman" w:hAnsi="Times New Roman" w:cs="Times New Roman"/>
                <w:color w:val="auto"/>
                <w:sz w:val="24"/>
                <w:lang w:val="en-US" w:eastAsia="zh-CN"/>
              </w:rPr>
              <w:t>。拆除废弃构筑物212.56m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；对遗留的13个盗采洞进行渣土回填，</w:t>
            </w:r>
            <w:r>
              <w:rPr>
                <w:rFonts w:hint="default" w:ascii="Times New Roman" w:hAnsi="Times New Roman" w:cs="Times New Roman"/>
                <w:color w:val="auto"/>
                <w:sz w:val="24"/>
                <w:lang w:val="en-US" w:eastAsia="zh-CN"/>
              </w:rPr>
              <w:t>清理回填浮渣53503.2m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；粘土封填12个遗留的井筒1512m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，砌筑浆砌石453.6m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；对10个渣堆区域进行平整、覆土，</w:t>
            </w:r>
            <w:r>
              <w:rPr>
                <w:rFonts w:hint="default" w:ascii="Times New Roman" w:hAnsi="Times New Roman" w:cs="Times New Roman"/>
                <w:color w:val="auto"/>
                <w:sz w:val="24"/>
                <w:lang w:val="en-US" w:eastAsia="zh-CN"/>
              </w:rPr>
              <w:t>平整土方92051.55m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；对治理区地质灾害严重的区域，安装围栏，</w:t>
            </w:r>
            <w:r>
              <w:rPr>
                <w:rFonts w:hint="default" w:ascii="Times New Roman" w:hAnsi="Times New Roman" w:cs="Times New Roman"/>
                <w:color w:val="auto"/>
                <w:sz w:val="24"/>
                <w:lang w:val="en-US" w:eastAsia="zh-CN"/>
              </w:rPr>
              <w:t>共810m；治理区地貌修复后，根据治理区现状条件，进行覆土，覆土厚度0.3m，覆土量10800m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w:t>
            </w:r>
            <w:r>
              <w:rPr>
                <w:rFonts w:hint="default" w:ascii="Times New Roman" w:hAnsi="Times New Roman" w:cs="Times New Roman"/>
                <w:color w:val="auto"/>
                <w:sz w:val="24"/>
                <w:lang w:val="en-US" w:eastAsia="zh-CN"/>
              </w:rPr>
              <w:t>治理区范围内全部播撒草籽，共计60980.94m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w:t>
            </w:r>
          </w:p>
          <w:p w14:paraId="75D03457">
            <w:pPr>
              <w:keepNext w:val="0"/>
              <w:keepLines w:val="0"/>
              <w:widowControl/>
              <w:suppressLineNumbers w:val="0"/>
              <w:ind w:firstLine="510" w:firstLineChars="200"/>
              <w:jc w:val="left"/>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kern w:val="0"/>
                <w:sz w:val="24"/>
                <w:szCs w:val="24"/>
                <w:highlight w:val="none"/>
                <w:lang w:val="en-US" w:eastAsia="zh-CN" w:bidi="ar"/>
              </w:rPr>
              <w:t>项目施工总平面图见附图</w:t>
            </w:r>
            <w:r>
              <w:rPr>
                <w:rFonts w:hint="default" w:ascii="Times New Roman" w:hAnsi="Times New Roman"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w:t>
            </w:r>
          </w:p>
        </w:tc>
      </w:tr>
      <w:tr w14:paraId="33A3A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0"/>
            <w:vAlign w:val="center"/>
          </w:tcPr>
          <w:p w14:paraId="7D134548">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施工方案</w:t>
            </w:r>
          </w:p>
        </w:tc>
        <w:tc>
          <w:tcPr>
            <w:tcW w:w="8824" w:type="dxa"/>
            <w:noWrap w:val="0"/>
            <w:vAlign w:val="center"/>
          </w:tcPr>
          <w:p w14:paraId="206E9FEC">
            <w:pPr>
              <w:numPr>
                <w:ilvl w:val="0"/>
                <w:numId w:val="7"/>
              </w:numPr>
              <w:autoSpaceDE w:val="0"/>
              <w:autoSpaceDN w:val="0"/>
              <w:spacing w:before="240" w:after="60"/>
              <w:jc w:val="left"/>
              <w:rPr>
                <w:rFonts w:hint="default" w:ascii="Times New Roman" w:hAnsi="Times New Roman" w:eastAsia="黑体" w:cs="Times New Roman"/>
                <w:b w:val="0"/>
                <w:bCs w:val="0"/>
                <w:color w:val="auto"/>
                <w:kern w:val="0"/>
                <w:sz w:val="24"/>
                <w:highlight w:val="none"/>
                <w:lang w:val="en-US" w:eastAsia="zh-CN"/>
              </w:rPr>
            </w:pPr>
            <w:r>
              <w:rPr>
                <w:rFonts w:hint="default" w:ascii="Times New Roman" w:hAnsi="Times New Roman" w:eastAsia="黑体" w:cs="Times New Roman"/>
                <w:b w:val="0"/>
                <w:bCs w:val="0"/>
                <w:color w:val="auto"/>
                <w:kern w:val="0"/>
                <w:sz w:val="24"/>
                <w:highlight w:val="none"/>
              </w:rPr>
              <w:t>施工</w:t>
            </w:r>
            <w:r>
              <w:rPr>
                <w:rFonts w:hint="default" w:ascii="Times New Roman" w:hAnsi="Times New Roman" w:eastAsia="黑体" w:cs="Times New Roman"/>
                <w:b w:val="0"/>
                <w:bCs w:val="0"/>
                <w:color w:val="auto"/>
                <w:kern w:val="0"/>
                <w:sz w:val="24"/>
                <w:highlight w:val="none"/>
                <w:lang w:val="en-US" w:eastAsia="zh-CN"/>
              </w:rPr>
              <w:t>周期</w:t>
            </w:r>
          </w:p>
          <w:p w14:paraId="7E03F469">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本项目主体工程施工工期</w:t>
            </w:r>
            <w:r>
              <w:rPr>
                <w:rFonts w:hint="default" w:ascii="Times New Roman" w:hAnsi="Times New Roman" w:cs="Times New Roman"/>
                <w:color w:val="auto"/>
                <w:sz w:val="24"/>
                <w:lang w:val="en-US" w:eastAsia="zh-CN"/>
              </w:rPr>
              <w:t>为2024年6月~2025年6月，共计</w:t>
            </w:r>
            <w:r>
              <w:rPr>
                <w:rFonts w:hint="default" w:ascii="Times New Roman" w:hAnsi="Times New Roman" w:eastAsia="宋体" w:cs="Times New Roman"/>
                <w:color w:val="auto"/>
                <w:sz w:val="24"/>
                <w:lang w:val="en-US" w:eastAsia="zh-CN"/>
              </w:rPr>
              <w:t>1</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个月</w:t>
            </w:r>
            <w:r>
              <w:rPr>
                <w:rFonts w:hint="default" w:ascii="Times New Roman" w:hAnsi="Times New Roman" w:cs="Times New Roman"/>
                <w:color w:val="auto"/>
                <w:sz w:val="24"/>
                <w:lang w:val="en-US" w:eastAsia="zh-CN"/>
              </w:rPr>
              <w:t>。</w:t>
            </w:r>
          </w:p>
          <w:p w14:paraId="62B014F3">
            <w:pPr>
              <w:numPr>
                <w:ilvl w:val="0"/>
                <w:numId w:val="7"/>
              </w:numPr>
              <w:autoSpaceDE w:val="0"/>
              <w:autoSpaceDN w:val="0"/>
              <w:spacing w:before="240" w:after="60"/>
              <w:jc w:val="left"/>
              <w:rPr>
                <w:rFonts w:hint="default" w:ascii="Times New Roman" w:hAnsi="Times New Roman" w:eastAsia="黑体" w:cs="Times New Roman"/>
                <w:b w:val="0"/>
                <w:bCs w:val="0"/>
                <w:color w:val="auto"/>
                <w:kern w:val="0"/>
                <w:sz w:val="24"/>
                <w:highlight w:val="none"/>
                <w:lang w:val="en-US" w:eastAsia="zh-CN"/>
              </w:rPr>
            </w:pPr>
            <w:r>
              <w:rPr>
                <w:rFonts w:hint="default" w:ascii="Times New Roman" w:hAnsi="Times New Roman" w:eastAsia="黑体" w:cs="Times New Roman"/>
                <w:b w:val="0"/>
                <w:bCs w:val="0"/>
                <w:color w:val="auto"/>
                <w:kern w:val="0"/>
                <w:sz w:val="24"/>
                <w:highlight w:val="none"/>
              </w:rPr>
              <w:t>施工</w:t>
            </w:r>
            <w:r>
              <w:rPr>
                <w:rFonts w:hint="default" w:ascii="Times New Roman" w:hAnsi="Times New Roman" w:eastAsia="黑体" w:cs="Times New Roman"/>
                <w:b w:val="0"/>
                <w:bCs w:val="0"/>
                <w:color w:val="auto"/>
                <w:kern w:val="0"/>
                <w:sz w:val="24"/>
                <w:highlight w:val="none"/>
                <w:lang w:val="en-US" w:eastAsia="zh-CN"/>
              </w:rPr>
              <w:t>时序</w:t>
            </w:r>
          </w:p>
          <w:p w14:paraId="1561E4BB">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（1）施工阶段：202</w:t>
            </w:r>
            <w:r>
              <w:rPr>
                <w:rFonts w:hint="default" w:ascii="Times New Roman" w:hAnsi="Times New Roman" w:cs="Times New Roman"/>
                <w:color w:val="auto"/>
                <w:sz w:val="24"/>
                <w:lang w:val="en-US"/>
              </w:rPr>
              <w:t>4</w:t>
            </w:r>
            <w:r>
              <w:rPr>
                <w:rFonts w:hint="default" w:ascii="Times New Roman" w:hAnsi="Times New Roman" w:cs="Times New Roman"/>
                <w:color w:val="auto"/>
                <w:sz w:val="24"/>
              </w:rPr>
              <w:t>年</w:t>
            </w:r>
            <w:r>
              <w:rPr>
                <w:rFonts w:hint="default" w:ascii="Times New Roman" w:hAnsi="Times New Roman" w:cs="Times New Roman"/>
                <w:color w:val="auto"/>
                <w:sz w:val="24"/>
                <w:lang w:val="en-US"/>
              </w:rPr>
              <w:t>6</w:t>
            </w:r>
            <w:r>
              <w:rPr>
                <w:rFonts w:hint="default" w:ascii="Times New Roman" w:hAnsi="Times New Roman" w:cs="Times New Roman"/>
                <w:color w:val="auto"/>
                <w:sz w:val="24"/>
              </w:rPr>
              <w:t>月～202</w:t>
            </w:r>
            <w:r>
              <w:rPr>
                <w:rFonts w:hint="default" w:ascii="Times New Roman" w:hAnsi="Times New Roman" w:cs="Times New Roman"/>
                <w:color w:val="auto"/>
                <w:sz w:val="24"/>
                <w:lang w:val="en-US"/>
              </w:rPr>
              <w:t>5</w:t>
            </w:r>
            <w:r>
              <w:rPr>
                <w:rFonts w:hint="default" w:ascii="Times New Roman" w:hAnsi="Times New Roman" w:cs="Times New Roman"/>
                <w:color w:val="auto"/>
                <w:sz w:val="24"/>
              </w:rPr>
              <w:t>年</w:t>
            </w:r>
            <w:r>
              <w:rPr>
                <w:rFonts w:hint="default" w:ascii="Times New Roman" w:hAnsi="Times New Roman" w:cs="Times New Roman"/>
                <w:color w:val="auto"/>
                <w:sz w:val="24"/>
                <w:lang w:val="en-US"/>
              </w:rPr>
              <w:t>6</w:t>
            </w:r>
            <w:r>
              <w:rPr>
                <w:rFonts w:hint="default" w:ascii="Times New Roman" w:hAnsi="Times New Roman" w:cs="Times New Roman"/>
                <w:color w:val="auto"/>
                <w:sz w:val="24"/>
              </w:rPr>
              <w:t>月，完成全部施工工作；包括</w:t>
            </w:r>
            <w:r>
              <w:rPr>
                <w:rFonts w:hint="default" w:ascii="Times New Roman" w:hAnsi="Times New Roman" w:cs="Times New Roman"/>
                <w:color w:val="auto"/>
                <w:sz w:val="24"/>
                <w:lang w:val="en-US" w:eastAsia="zh-CN"/>
              </w:rPr>
              <w:t>拆除废弃构筑物、</w:t>
            </w:r>
            <w:r>
              <w:rPr>
                <w:rFonts w:hint="default" w:ascii="Times New Roman" w:hAnsi="Times New Roman" w:cs="Times New Roman"/>
                <w:color w:val="auto"/>
                <w:sz w:val="24"/>
                <w:vertAlign w:val="baseline"/>
                <w:lang w:val="en-US" w:eastAsia="zh-CN"/>
              </w:rPr>
              <w:t>盗采洞回填、</w:t>
            </w:r>
            <w:r>
              <w:rPr>
                <w:rFonts w:hint="default" w:ascii="Times New Roman" w:hAnsi="Times New Roman" w:cs="Times New Roman"/>
                <w:color w:val="auto"/>
                <w:sz w:val="24"/>
                <w:lang w:val="en-US" w:eastAsia="zh-CN"/>
              </w:rPr>
              <w:t>井筒封填、</w:t>
            </w:r>
            <w:r>
              <w:rPr>
                <w:rFonts w:hint="default" w:ascii="Times New Roman" w:hAnsi="Times New Roman" w:cs="Times New Roman"/>
                <w:color w:val="auto"/>
                <w:sz w:val="24"/>
                <w:vertAlign w:val="baseline"/>
                <w:lang w:val="en-US" w:eastAsia="zh-CN"/>
              </w:rPr>
              <w:t>渣堆区域平整覆土</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vertAlign w:val="baseline"/>
                <w:lang w:val="en-US" w:eastAsia="zh-CN"/>
              </w:rPr>
              <w:t>安装围栏</w:t>
            </w:r>
            <w:r>
              <w:rPr>
                <w:rFonts w:hint="default" w:ascii="Times New Roman" w:hAnsi="Times New Roman" w:cs="Times New Roman"/>
                <w:color w:val="auto"/>
                <w:sz w:val="24"/>
                <w:lang w:val="en-US" w:eastAsia="zh-CN"/>
              </w:rPr>
              <w:t>、覆土、播撒草籽。</w:t>
            </w:r>
          </w:p>
          <w:p w14:paraId="0494CF36">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（2）养护阶段：自项目不同治理区施工期结束起3年，对人工种植的草地进行及时浇水、施肥、补植等养护和管理等工作。</w:t>
            </w:r>
          </w:p>
          <w:p w14:paraId="4BB4341C">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（3）验收工作阶段：202</w:t>
            </w:r>
            <w:r>
              <w:rPr>
                <w:rFonts w:hint="default" w:ascii="Times New Roman" w:hAnsi="Times New Roman" w:cs="Times New Roman"/>
                <w:color w:val="auto"/>
                <w:sz w:val="24"/>
                <w:lang w:val="en-US"/>
              </w:rPr>
              <w:t>5</w:t>
            </w:r>
            <w:r>
              <w:rPr>
                <w:rFonts w:hint="default" w:ascii="Times New Roman" w:hAnsi="Times New Roman" w:cs="Times New Roman"/>
                <w:color w:val="auto"/>
                <w:sz w:val="24"/>
              </w:rPr>
              <w:t>年</w:t>
            </w:r>
            <w:r>
              <w:rPr>
                <w:rFonts w:hint="default" w:ascii="Times New Roman" w:hAnsi="Times New Roman" w:cs="Times New Roman"/>
                <w:color w:val="auto"/>
                <w:sz w:val="24"/>
                <w:lang w:val="en-US"/>
              </w:rPr>
              <w:t>7</w:t>
            </w:r>
            <w:r>
              <w:rPr>
                <w:rFonts w:hint="default" w:ascii="Times New Roman" w:hAnsi="Times New Roman" w:cs="Times New Roman"/>
                <w:color w:val="auto"/>
                <w:sz w:val="24"/>
              </w:rPr>
              <w:t>月～202</w:t>
            </w:r>
            <w:r>
              <w:rPr>
                <w:rFonts w:hint="default" w:ascii="Times New Roman" w:hAnsi="Times New Roman" w:cs="Times New Roman"/>
                <w:color w:val="auto"/>
                <w:sz w:val="24"/>
                <w:lang w:val="en-US"/>
              </w:rPr>
              <w:t>5</w:t>
            </w:r>
            <w:r>
              <w:rPr>
                <w:rFonts w:hint="default" w:ascii="Times New Roman" w:hAnsi="Times New Roman" w:cs="Times New Roman"/>
                <w:color w:val="auto"/>
                <w:sz w:val="24"/>
              </w:rPr>
              <w:t>年</w:t>
            </w:r>
            <w:r>
              <w:rPr>
                <w:rFonts w:hint="default" w:ascii="Times New Roman" w:hAnsi="Times New Roman" w:cs="Times New Roman"/>
                <w:color w:val="auto"/>
                <w:sz w:val="24"/>
                <w:lang w:val="en-US"/>
              </w:rPr>
              <w:t>9</w:t>
            </w:r>
            <w:r>
              <w:rPr>
                <w:rFonts w:hint="default" w:ascii="Times New Roman" w:hAnsi="Times New Roman" w:cs="Times New Roman"/>
                <w:color w:val="auto"/>
                <w:sz w:val="24"/>
              </w:rPr>
              <w:t>月完成竣工验收。</w:t>
            </w:r>
          </w:p>
          <w:p w14:paraId="0AE89538">
            <w:pPr>
              <w:numPr>
                <w:ilvl w:val="0"/>
                <w:numId w:val="7"/>
              </w:numPr>
              <w:autoSpaceDE w:val="0"/>
              <w:autoSpaceDN w:val="0"/>
              <w:spacing w:before="240" w:after="60"/>
              <w:jc w:val="left"/>
              <w:rPr>
                <w:rFonts w:hint="default" w:ascii="Times New Roman" w:hAnsi="Times New Roman" w:eastAsia="黑体" w:cs="Times New Roman"/>
                <w:b w:val="0"/>
                <w:bCs w:val="0"/>
                <w:color w:val="auto"/>
                <w:kern w:val="0"/>
                <w:sz w:val="24"/>
                <w:highlight w:val="none"/>
              </w:rPr>
            </w:pPr>
            <w:bookmarkStart w:id="7" w:name="_Toc20724"/>
            <w:r>
              <w:rPr>
                <w:rFonts w:hint="default" w:ascii="Times New Roman" w:hAnsi="Times New Roman" w:eastAsia="黑体" w:cs="Times New Roman"/>
                <w:b w:val="0"/>
                <w:bCs w:val="0"/>
                <w:color w:val="auto"/>
                <w:kern w:val="0"/>
                <w:sz w:val="24"/>
                <w:highlight w:val="none"/>
              </w:rPr>
              <w:t>施工</w:t>
            </w:r>
            <w:r>
              <w:rPr>
                <w:rFonts w:hint="default" w:ascii="Times New Roman" w:hAnsi="Times New Roman" w:eastAsia="黑体" w:cs="Times New Roman"/>
                <w:b w:val="0"/>
                <w:bCs w:val="0"/>
                <w:color w:val="auto"/>
                <w:kern w:val="0"/>
                <w:sz w:val="24"/>
                <w:highlight w:val="none"/>
                <w:lang w:val="en-US" w:eastAsia="zh-CN"/>
              </w:rPr>
              <w:t>方案</w:t>
            </w:r>
          </w:p>
          <w:p w14:paraId="0743D97D">
            <w:pPr>
              <w:ind w:firstLine="51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①地形地貌恢复治理工程</w:t>
            </w:r>
          </w:p>
          <w:p w14:paraId="5B1B1875">
            <w:pPr>
              <w:ind w:firstLine="51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对采矿后遗留的采坑进行地形地貌整治。</w:t>
            </w:r>
          </w:p>
          <w:p w14:paraId="4B5611CC">
            <w:pPr>
              <w:ind w:firstLine="51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对遗留的13个盗采洞进行渣土回填，恢复破坏的地形地貌景观，与周边地形地貌相协调；</w:t>
            </w:r>
          </w:p>
          <w:p w14:paraId="4C388BDE">
            <w:pPr>
              <w:ind w:firstLine="51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对遗留的废弃构筑进行拆除，拆除的构筑物</w:t>
            </w:r>
            <w:r>
              <w:rPr>
                <w:rFonts w:hint="eastAsia" w:ascii="Times New Roman" w:hAnsi="Times New Roman" w:cs="Times New Roman"/>
                <w:color w:val="auto"/>
                <w:sz w:val="24"/>
                <w:lang w:val="en-US" w:eastAsia="zh-CN"/>
              </w:rPr>
              <w:t>中可利用的部分</w:t>
            </w:r>
            <w:r>
              <w:rPr>
                <w:rFonts w:hint="default" w:ascii="Times New Roman" w:hAnsi="Times New Roman" w:cs="Times New Roman"/>
                <w:color w:val="auto"/>
                <w:sz w:val="24"/>
                <w:lang w:val="en-US" w:eastAsia="zh-CN"/>
              </w:rPr>
              <w:t>回填附近的盗采洞</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不可利用的废弃构筑物运往政府指定的建筑垃圾填埋场填埋。</w:t>
            </w:r>
          </w:p>
          <w:p w14:paraId="3F5754F4">
            <w:pPr>
              <w:ind w:firstLine="51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井筒填封：对遗留的12个井筒采用粘土进行封填，并在井口采用浆砌石进行封堵，封堵时，必须从洞口向里用粘土（充填过程中掺入适量石灰粉），填实至少20m，确保满足防水要求，再在井口处修建1.0m的浆砌石封墙。</w:t>
            </w:r>
          </w:p>
          <w:p w14:paraId="4E7F74F6">
            <w:pPr>
              <w:ind w:firstLine="51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渣堆平整：根据现状调查，治理区分布着大小不一的小渣堆，高低起伏不平，本次设计结合采坑回填，对小渣堆根据附近地形变化情况，同时根据依坡就势原则，挖高填低，整体挖填整平。</w:t>
            </w:r>
          </w:p>
          <w:p w14:paraId="15947A23">
            <w:pPr>
              <w:ind w:firstLine="51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②覆土工程</w:t>
            </w:r>
          </w:p>
          <w:p w14:paraId="4F2E059B">
            <w:pPr>
              <w:ind w:firstLine="51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部分治理区场地内土壤条件较差，不满足植被生长条件，为保证植被修复效果，需要对地表进行覆土。</w:t>
            </w:r>
            <w:r>
              <w:rPr>
                <w:rFonts w:hint="default" w:ascii="Times New Roman" w:hAnsi="Times New Roman" w:cs="Times New Roman"/>
                <w:color w:val="auto"/>
                <w:sz w:val="24"/>
                <w:lang w:val="en-US" w:eastAsia="zh-CN"/>
              </w:rPr>
              <w:t>本次撒播草籽选用的草籽为冰草、蓬草和沙蒿等，其根群深度多为20～30cm，所以，覆土厚度可选择20cm。</w:t>
            </w:r>
          </w:p>
          <w:p w14:paraId="2AC85F3F">
            <w:pPr>
              <w:ind w:firstLine="51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覆土来源主要为治理区内遗留渣堆中的细颗粒物或者沟道中的细沙土，不再运送外部“客土”，土源运输距离控制在500米以内。人工细致平整后即可进行种草。</w:t>
            </w:r>
          </w:p>
          <w:p w14:paraId="313B8FDB">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val="0"/>
                <w:bCs w:val="0"/>
                <w:color w:val="auto"/>
                <w:sz w:val="24"/>
                <w:lang w:val="en-US" w:eastAsia="zh-CN"/>
              </w:rPr>
              <w:t>③</w:t>
            </w:r>
            <w:r>
              <w:rPr>
                <w:rFonts w:hint="default" w:ascii="Times New Roman" w:hAnsi="Times New Roman" w:cs="Times New Roman"/>
                <w:color w:val="auto"/>
                <w:sz w:val="24"/>
              </w:rPr>
              <w:t>植被恢复工程</w:t>
            </w:r>
          </w:p>
          <w:p w14:paraId="68174CC6">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治理工程植被恢复以种草为主，草籽选择冰草与沙蒿混播，采用撒播种草方式，将冰草与沙蒿按1：1等比例混合撒播，播种量为36kg/hm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。播种前草籽需进行处理，一般采用晒种、浸泡、破壳，以促进发芽。草籽撒播面积为</w:t>
            </w:r>
            <w:r>
              <w:rPr>
                <w:rFonts w:hint="default" w:ascii="Times New Roman" w:hAnsi="Times New Roman" w:cs="Times New Roman"/>
                <w:color w:val="auto"/>
                <w:sz w:val="24"/>
                <w:lang w:val="en-US" w:eastAsia="zh-CN"/>
              </w:rPr>
              <w:t>60980.94</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w:t>
            </w:r>
          </w:p>
          <w:bookmarkEnd w:id="7"/>
          <w:p w14:paraId="673E8BE5">
            <w:pPr>
              <w:numPr>
                <w:ilvl w:val="0"/>
                <w:numId w:val="7"/>
              </w:numPr>
              <w:autoSpaceDE w:val="0"/>
              <w:autoSpaceDN w:val="0"/>
              <w:spacing w:before="240" w:after="60"/>
              <w:rPr>
                <w:rFonts w:hint="default" w:ascii="Times New Roman" w:hAnsi="Times New Roman" w:eastAsia="黑体" w:cs="Times New Roman"/>
                <w:b w:val="0"/>
                <w:bCs w:val="0"/>
                <w:color w:val="auto"/>
                <w:kern w:val="0"/>
                <w:sz w:val="24"/>
                <w:szCs w:val="24"/>
                <w:highlight w:val="none"/>
              </w:rPr>
            </w:pPr>
            <w:r>
              <w:rPr>
                <w:rFonts w:hint="default" w:ascii="Times New Roman" w:hAnsi="Times New Roman" w:eastAsia="黑体" w:cs="Times New Roman"/>
                <w:b w:val="0"/>
                <w:bCs w:val="0"/>
                <w:color w:val="auto"/>
                <w:kern w:val="0"/>
                <w:sz w:val="24"/>
                <w:szCs w:val="24"/>
                <w:highlight w:val="none"/>
              </w:rPr>
              <w:t>施工</w:t>
            </w:r>
            <w:r>
              <w:rPr>
                <w:rFonts w:hint="default" w:ascii="Times New Roman" w:hAnsi="Times New Roman" w:eastAsia="黑体" w:cs="Times New Roman"/>
                <w:b w:val="0"/>
                <w:bCs w:val="0"/>
                <w:color w:val="auto"/>
                <w:kern w:val="0"/>
                <w:sz w:val="24"/>
                <w:szCs w:val="24"/>
                <w:highlight w:val="none"/>
                <w:lang w:val="en-US" w:eastAsia="zh-CN"/>
              </w:rPr>
              <w:t>工艺</w:t>
            </w:r>
          </w:p>
          <w:p w14:paraId="330BA5A6">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施工内容主要包括：</w:t>
            </w:r>
            <w:r>
              <w:rPr>
                <w:rFonts w:hint="default" w:ascii="Times New Roman" w:hAnsi="Times New Roman" w:cs="Times New Roman"/>
                <w:color w:val="auto"/>
                <w:sz w:val="24"/>
                <w:lang w:val="en-US" w:eastAsia="zh-CN"/>
              </w:rPr>
              <w:t>地形地貌恢复工程、覆土工程和植被恢复工程</w:t>
            </w:r>
            <w:r>
              <w:rPr>
                <w:rFonts w:hint="default" w:ascii="Times New Roman" w:hAnsi="Times New Roman" w:eastAsia="宋体" w:cs="Times New Roman"/>
                <w:color w:val="auto"/>
                <w:sz w:val="24"/>
                <w:lang w:val="en-US" w:eastAsia="zh-CN"/>
              </w:rPr>
              <w:t>。具体</w:t>
            </w:r>
            <w:r>
              <w:rPr>
                <w:rFonts w:hint="default" w:ascii="Times New Roman" w:hAnsi="Times New Roman" w:cs="Times New Roman"/>
                <w:color w:val="auto"/>
                <w:sz w:val="24"/>
                <w:lang w:val="en-US" w:eastAsia="zh-CN"/>
              </w:rPr>
              <w:t>施工流程</w:t>
            </w:r>
            <w:r>
              <w:rPr>
                <w:rFonts w:hint="default" w:ascii="Times New Roman" w:hAnsi="Times New Roman" w:eastAsia="宋体" w:cs="Times New Roman"/>
                <w:color w:val="auto"/>
                <w:sz w:val="24"/>
                <w:lang w:val="en-US" w:eastAsia="zh-CN"/>
              </w:rPr>
              <w:t>见图2-</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w:t>
            </w:r>
          </w:p>
          <w:p w14:paraId="34EAD7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object>
                <v:shape id="_x0000_i1025" o:spt="75" type="#_x0000_t75" style="height:177.45pt;width:407.45pt;" o:ole="t" filled="f" o:preferrelative="t" stroked="f" coordsize="21600,21600">
                  <v:path/>
                  <v:fill on="f" focussize="0,0"/>
                  <v:stroke on="f"/>
                  <v:imagedata r:id="rId14" cropright="4014f" cropbottom="7218f" o:title=""/>
                  <o:lock v:ext="edit" aspectratio="f"/>
                  <w10:wrap type="none"/>
                  <w10:anchorlock/>
                </v:shape>
                <o:OLEObject Type="Embed" ProgID="Visio.Drawing.11" ShapeID="_x0000_i1025" DrawAspect="Content" ObjectID="_1468075725" r:id="rId13">
                  <o:LockedField>false</o:LockedField>
                </o:OLEObject>
              </w:object>
            </w:r>
          </w:p>
          <w:p w14:paraId="0D1C4DF7">
            <w:pPr>
              <w:ind w:firstLine="0" w:firstLineChars="0"/>
              <w:jc w:val="center"/>
              <w:rPr>
                <w:rFonts w:hint="default" w:ascii="Times New Roman" w:hAnsi="Times New Roman" w:eastAsia="宋体" w:cs="Times New Roman"/>
                <w:color w:val="auto"/>
                <w:sz w:val="24"/>
                <w:lang w:val="en-US" w:eastAsia="zh-CN"/>
              </w:rPr>
            </w:pPr>
            <w:r>
              <w:rPr>
                <w:rFonts w:hint="default" w:ascii="Times New Roman" w:hAnsi="Times New Roman" w:eastAsia="黑体" w:cs="Times New Roman"/>
                <w:b w:val="0"/>
                <w:bCs w:val="0"/>
                <w:color w:val="auto"/>
                <w:sz w:val="24"/>
                <w:szCs w:val="32"/>
              </w:rPr>
              <w:t>图</w:t>
            </w:r>
            <w:r>
              <w:rPr>
                <w:rFonts w:hint="default" w:ascii="Times New Roman" w:hAnsi="Times New Roman" w:eastAsia="黑体" w:cs="Times New Roman"/>
                <w:b w:val="0"/>
                <w:bCs w:val="0"/>
                <w:color w:val="auto"/>
                <w:sz w:val="24"/>
                <w:szCs w:val="32"/>
                <w:lang w:val="en-US" w:eastAsia="zh-CN"/>
              </w:rPr>
              <w:t>2-2</w:t>
            </w:r>
            <w:r>
              <w:rPr>
                <w:rFonts w:hint="default" w:ascii="Times New Roman" w:hAnsi="Times New Roman" w:eastAsia="黑体" w:cs="Times New Roman"/>
                <w:b w:val="0"/>
                <w:bCs w:val="0"/>
                <w:color w:val="auto"/>
                <w:sz w:val="24"/>
                <w:szCs w:val="32"/>
              </w:rPr>
              <w:t xml:space="preserve">  施工期工艺流程图</w:t>
            </w:r>
          </w:p>
          <w:p w14:paraId="640DBD78">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1、</w:t>
            </w:r>
            <w:r>
              <w:rPr>
                <w:rFonts w:hint="default" w:ascii="Times New Roman" w:hAnsi="Times New Roman" w:cs="Times New Roman"/>
                <w:color w:val="auto"/>
                <w:sz w:val="24"/>
              </w:rPr>
              <w:t>挖方施工技术要求</w:t>
            </w:r>
          </w:p>
          <w:p w14:paraId="048F67D2">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土方明挖从上到下分层依次进行，严禁自下而上或采取倒悬掏底的开挖方法，开挖过程中，保持相对位置的坡面，以利排水，开挖过程中避免边坡稳定范围内形成积水。易风化崩解的土层，开挖后不能及时回填的，保留保护层。</w:t>
            </w:r>
          </w:p>
          <w:p w14:paraId="44F232F3">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一般情况下，开挖采取纵向分段、分层（初拟按每层3m厚），考虑到具体情况，开挖应根据地质条件进行，根据其厚度进行开挖；横向根据具体情况采用全宽开挖，或分台阶开挖：先沿纵向挖掘一通道，然后向两侧拓宽。</w:t>
            </w:r>
          </w:p>
          <w:p w14:paraId="730A673D">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填方施工技术要求</w:t>
            </w:r>
          </w:p>
          <w:p w14:paraId="03C08B56">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①填方工程主要位于拟设回填区，回填前应对填方区进行压实，施工方应将压实后新测绘的填方工程断面提交监理工程师核准。</w:t>
            </w:r>
          </w:p>
          <w:p w14:paraId="02D41EC6">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②填方作业不得对开采面产生损坏及干扰，施工期间应保持排水畅通，如因排水不当造成工程损坏，应及时进行修补。</w:t>
            </w:r>
          </w:p>
          <w:p w14:paraId="442A3A2E">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③填方不得采用倾填法施工，应进行分层填筑，分层压实每层摊铺厚度应根据压实机械类型和规格确定，不得超过40cm，如靠压实设备无法压碎的大块硬质材料，应予以清除或破碎，破碎后的硬质材料最大尺寸不超过压实厚度的2/3，并应均匀分布，压实度不小于0.60。</w:t>
            </w:r>
          </w:p>
          <w:p w14:paraId="59D05261">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④填方完成后应在填方材料顶部恢复原有沟道做好截排水措施，根据设计填方量基本与挖方量平衡。</w:t>
            </w:r>
          </w:p>
          <w:p w14:paraId="7FCEF09F">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3、</w:t>
            </w:r>
            <w:r>
              <w:rPr>
                <w:rFonts w:hint="default" w:ascii="Times New Roman" w:hAnsi="Times New Roman" w:cs="Times New Roman"/>
                <w:color w:val="auto"/>
                <w:sz w:val="24"/>
              </w:rPr>
              <w:t>土方拉运</w:t>
            </w:r>
          </w:p>
          <w:p w14:paraId="2AA9385E">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主要工艺为单斗-自卸汽车，主采用运输设备为自卸汽车。经过分析、比较、论证，选择土方主要运输设备为自卸汽车，采装选用液压挖掘机。将土方拉至指定的弃土场，在土方施工过程中为防止扬尘污染，需定时洒水降尘。</w:t>
            </w:r>
          </w:p>
          <w:p w14:paraId="2A789180">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rPr>
              <w:t>4</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削高填低</w:t>
            </w:r>
          </w:p>
          <w:p w14:paraId="5EBC259F">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采用推土机及挖掘机作业，削至一定坡度，将削方以直接推运到预定地点。多台机械同时作业时，前后距离应大于8m。</w:t>
            </w:r>
          </w:p>
          <w:p w14:paraId="3F07551C">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rPr>
              <w:t>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回填续坡</w:t>
            </w:r>
          </w:p>
          <w:p w14:paraId="3BB0A3BF">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①对于不适宜放坡的高陡边坡，遵循就近回填原则，实施坡角垫方进行续坡。填土前，应对填方基底和已完隐蔽工程进行检查和中间验收，并作出记录。</w:t>
            </w:r>
          </w:p>
          <w:p w14:paraId="50E482A8">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②回填土石方压实：碾压时，轮（夯）迹应相互搭接，防止漏压或漏夯。长宽比较大时，填土应分段进行。每层接缝处应作成斜坡形，碾迹重叠0.5～1.0m左右，上下层错缝距离不应小于1m。</w:t>
            </w:r>
          </w:p>
          <w:p w14:paraId="7831CDF5">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③回填时，相邻工段应尽量平衡上料，两工段接头处要逐层交错压实，不准留有界沟。如进度不一，铺筑相差两层以上时，接头处按不陡于30°的坡度进行搭接。</w:t>
            </w:r>
          </w:p>
          <w:p w14:paraId="4E68F5EC">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④分段填筑时各段设立标志，以防漏压、欠压和过压。上下层的分段接缝位置应错开。</w:t>
            </w:r>
          </w:p>
          <w:p w14:paraId="2F488D2E">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⑤机械碾压不到的填土部位，应配合人工推土填充，用蛙式或柴油打夯机分层夯打密实。</w:t>
            </w:r>
          </w:p>
          <w:p w14:paraId="69A8EED4">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⑥雨期施工的填方工程，应连续进行尽快完成；工作面不宜过大，应分层分段逐片进行。重要或特殊的土方回填，应尽量在雨期前完成。防止地面水流入，以免边坡塌方或基土遭到破坏。</w:t>
            </w:r>
          </w:p>
          <w:p w14:paraId="32D98254">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rPr>
              <w:t>6</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削坡放坡</w:t>
            </w:r>
          </w:p>
          <w:p w14:paraId="4647C5D7">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边坡清理采用机械开挖的方式，在边坡顶部用挖掘机挖开挖，顺坡堆放在边坡下部，用于垫建平台，部分开挖较宽地段，可采用二次堆积的方式；土石方开挖多余的土石方量，就地平整。</w:t>
            </w:r>
          </w:p>
          <w:p w14:paraId="5335C5D8">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①施工过程中在底角下部50m外设立警告标志和防护网，禁止人员车辆进入，以免造成损伤。</w:t>
            </w:r>
          </w:p>
          <w:p w14:paraId="045E5D35">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②采用自上而下的方式，并在中间和两端开辟几条坡度较缓的挖运道路。</w:t>
            </w:r>
          </w:p>
          <w:p w14:paraId="5B45EDF9">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③在机械条件允许的情况下，优先使用大型挖掘机进行开挖，为缩短工期，可从两侧同时开始施工。</w:t>
            </w:r>
          </w:p>
          <w:p w14:paraId="78C1D4E1">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④清理时可先在外侧挖约出4m宽平台，然后再逐渐向内拓宽。</w:t>
            </w:r>
          </w:p>
          <w:p w14:paraId="1128E4D5">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⑤清理时采取分层清理，每2m一个清理层位，逐渐向下清理。</w:t>
            </w:r>
          </w:p>
          <w:p w14:paraId="6104049C">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⑥清理至内侧边界时，对新边坡进行清理，使边坡角度保持在30°以内。</w:t>
            </w:r>
          </w:p>
          <w:p w14:paraId="5AB7D399">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⑦清理过程中将砾径较大的块石和片石剔除，在砌筑截水沟和排水沟工程中加以综合利用。</w:t>
            </w:r>
          </w:p>
          <w:p w14:paraId="5298BB7F">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⑧运至沟谷北部分层堆积时，跟上部清理层位保持一致，每2m高进行一次压实。</w:t>
            </w:r>
          </w:p>
          <w:p w14:paraId="090A443A">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⑨底部分层压实的同时，保持底部新边坡的角度不大于30°，并使用履带拖拉机等机械对边坡也进行适当压实。</w:t>
            </w:r>
          </w:p>
          <w:p w14:paraId="2B980205">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⑩边坡和平台上覆土的工程在压实的时候同时进行。</w:t>
            </w:r>
          </w:p>
          <w:p w14:paraId="5EF5FC28">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rPr>
              <w:t>7</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废弃建筑物拆除</w:t>
            </w:r>
          </w:p>
          <w:p w14:paraId="7181A7EE">
            <w:pPr>
              <w:ind w:firstLine="51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4"/>
              </w:rPr>
              <w:t>采用机械作业拆除破砖木结构房屋，将产生的建筑垃圾进行分类处理，比如木质窗、梁、檩条等运送至木炭生产厂家；砖块、混凝土等垃圾运送至固废填埋场；产生碎玻璃等送相应厂家回收，并结合地貌恢复对拆除后的场地进行平整。</w:t>
            </w:r>
          </w:p>
        </w:tc>
      </w:tr>
      <w:tr w14:paraId="7DF80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2" w:hRule="atLeast"/>
          <w:jc w:val="center"/>
        </w:trPr>
        <w:tc>
          <w:tcPr>
            <w:tcW w:w="463" w:type="dxa"/>
            <w:noWrap w:val="0"/>
            <w:vAlign w:val="center"/>
          </w:tcPr>
          <w:p w14:paraId="62BA7E40">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其他</w:t>
            </w:r>
          </w:p>
        </w:tc>
        <w:tc>
          <w:tcPr>
            <w:tcW w:w="8824" w:type="dxa"/>
            <w:noWrap w:val="0"/>
            <w:vAlign w:val="center"/>
          </w:tcPr>
          <w:p w14:paraId="2231E880">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无</w:t>
            </w:r>
          </w:p>
        </w:tc>
      </w:tr>
    </w:tbl>
    <w:p w14:paraId="609C343D">
      <w:pPr>
        <w:pStyle w:val="22"/>
        <w:keepNext w:val="0"/>
        <w:keepLines w:val="0"/>
        <w:widowControl/>
        <w:numPr>
          <w:ilvl w:val="0"/>
          <w:numId w:val="2"/>
        </w:numPr>
        <w:spacing w:line="360" w:lineRule="auto"/>
        <w:jc w:val="center"/>
        <w:rPr>
          <w:rFonts w:hint="default" w:ascii="Times New Roman" w:hAnsi="Times New Roman" w:eastAsia="黑体" w:cs="Times New Roman"/>
          <w:b w:val="0"/>
          <w:bCs w:val="0"/>
          <w:snapToGrid w:val="0"/>
          <w:color w:val="auto"/>
          <w:kern w:val="0"/>
          <w:sz w:val="30"/>
          <w:szCs w:val="30"/>
          <w:lang w:val="en-US" w:eastAsia="zh-CN" w:bidi="ar-SA"/>
        </w:rPr>
      </w:pPr>
      <w:r>
        <w:rPr>
          <w:rFonts w:hint="default" w:ascii="Times New Roman" w:hAnsi="Times New Roman" w:eastAsia="仿宋_GB2312" w:cs="Times New Roman"/>
          <w:b/>
          <w:bCs/>
          <w:color w:val="auto"/>
        </w:rPr>
        <w:br w:type="page"/>
      </w:r>
      <w:bookmarkStart w:id="8" w:name="_Toc1707"/>
      <w:bookmarkStart w:id="9" w:name="_Toc11867"/>
      <w:r>
        <w:rPr>
          <w:rFonts w:hint="default" w:ascii="Times New Roman" w:hAnsi="Times New Roman" w:eastAsia="黑体" w:cs="Times New Roman"/>
          <w:b w:val="0"/>
          <w:bCs w:val="0"/>
          <w:snapToGrid w:val="0"/>
          <w:color w:val="auto"/>
          <w:kern w:val="0"/>
          <w:sz w:val="30"/>
          <w:szCs w:val="30"/>
          <w:lang w:val="en-US" w:eastAsia="zh-CN" w:bidi="ar-SA"/>
        </w:rPr>
        <w:t>生态环境现状、保护目标及评价标准</w:t>
      </w:r>
    </w:p>
    <w:bookmarkEnd w:id="8"/>
    <w:bookmarkEnd w:id="9"/>
    <w:tbl>
      <w:tblPr>
        <w:tblStyle w:val="25"/>
        <w:tblW w:w="92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561"/>
      </w:tblGrid>
      <w:tr w14:paraId="6D220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noWrap w:val="0"/>
            <w:vAlign w:val="center"/>
          </w:tcPr>
          <w:p w14:paraId="38BD109A">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 w:val="24"/>
              </w:rPr>
              <w:t>生态环境现状</w:t>
            </w:r>
          </w:p>
        </w:tc>
        <w:tc>
          <w:tcPr>
            <w:tcW w:w="8561" w:type="dxa"/>
            <w:noWrap w:val="0"/>
            <w:vAlign w:val="center"/>
          </w:tcPr>
          <w:p w14:paraId="11E84E30">
            <w:pPr>
              <w:numPr>
                <w:ilvl w:val="0"/>
                <w:numId w:val="8"/>
              </w:numPr>
              <w:autoSpaceDE w:val="0"/>
              <w:autoSpaceDN w:val="0"/>
              <w:spacing w:before="240" w:after="6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宁夏回族自治区主体功能区规划</w:t>
            </w:r>
          </w:p>
          <w:p w14:paraId="4560C63F">
            <w:pPr>
              <w:autoSpaceDE w:val="0"/>
              <w:autoSpaceDN w:val="0"/>
              <w:ind w:firstLine="510" w:firstLineChars="200"/>
              <w:rPr>
                <w:rFonts w:hint="default" w:ascii="Times New Roman" w:hAnsi="Times New Roman" w:eastAsia="宋体" w:cs="Times New Roman"/>
                <w:bCs/>
                <w:color w:val="auto"/>
                <w:kern w:val="16"/>
                <w:sz w:val="24"/>
                <w:szCs w:val="22"/>
                <w:lang w:bidi="zh-CN"/>
              </w:rPr>
            </w:pPr>
            <w:r>
              <w:rPr>
                <w:rFonts w:hint="default" w:ascii="Times New Roman" w:hAnsi="Times New Roman" w:eastAsia="宋体" w:cs="Times New Roman"/>
                <w:bCs/>
                <w:color w:val="auto"/>
                <w:kern w:val="16"/>
                <w:sz w:val="24"/>
                <w:szCs w:val="22"/>
                <w:lang w:bidi="zh-CN"/>
              </w:rPr>
              <w:t>宁夏回族自治区国土空间分为以下主体功能区：按开发方式，分为优先开发区域、重点开发区域、限制开发区域和禁止开发区域；按开发内容分为城市化地区、农产品主产区和重点生态功能区。</w:t>
            </w:r>
          </w:p>
          <w:p w14:paraId="0F81AAE1">
            <w:pPr>
              <w:autoSpaceDE w:val="0"/>
              <w:autoSpaceDN w:val="0"/>
              <w:ind w:firstLine="510" w:firstLineChars="200"/>
              <w:rPr>
                <w:rFonts w:hint="default" w:ascii="Times New Roman" w:hAnsi="Times New Roman" w:eastAsia="宋体" w:cs="Times New Roman"/>
                <w:bCs/>
                <w:color w:val="auto"/>
                <w:kern w:val="16"/>
                <w:sz w:val="24"/>
                <w:szCs w:val="22"/>
                <w:lang w:bidi="zh-CN"/>
              </w:rPr>
            </w:pPr>
            <w:r>
              <w:rPr>
                <w:rFonts w:hint="default" w:ascii="Times New Roman" w:hAnsi="Times New Roman" w:eastAsia="宋体" w:cs="Times New Roman"/>
                <w:bCs/>
                <w:color w:val="auto"/>
                <w:kern w:val="16"/>
                <w:sz w:val="24"/>
                <w:szCs w:val="22"/>
                <w:lang w:bidi="zh-CN"/>
              </w:rPr>
              <w:t>限制开发区域分为两类：一类是农产品主产区，即耕地较多、农业发展条件较好，尽管也适宜工业化、城镇化开发，但从保障国家农产品安全以及中华民族永续发展的需要出发，必须把增强农业综合生产能力作为发展的首要任务，从而应该限制进行大规模高强度工业化、城镇化发展的地区；一类是重点生态功能区即生态系统脆弱或生态功能重要资源环境承载能力较低不具备大规模高强度工业化城镇化开发的条件，必须把增强生态产品生产能力作为首要任务，应该限制进行大规模高强度工业化、城镇化开发的地区。</w:t>
            </w:r>
          </w:p>
          <w:p w14:paraId="57525DE2">
            <w:pPr>
              <w:autoSpaceDE w:val="0"/>
              <w:autoSpaceDN w:val="0"/>
              <w:ind w:firstLine="510" w:firstLineChars="200"/>
              <w:rPr>
                <w:rFonts w:hint="default" w:ascii="Times New Roman" w:hAnsi="Times New Roman" w:eastAsia="宋体" w:cs="Times New Roman"/>
                <w:bCs/>
                <w:color w:val="auto"/>
                <w:kern w:val="16"/>
                <w:sz w:val="24"/>
                <w:szCs w:val="22"/>
                <w:lang w:val="en-US" w:bidi="zh-CN"/>
              </w:rPr>
            </w:pPr>
            <w:r>
              <w:rPr>
                <w:rFonts w:hint="default" w:ascii="Times New Roman" w:hAnsi="Times New Roman" w:eastAsia="宋体" w:cs="Times New Roman"/>
                <w:bCs/>
                <w:color w:val="auto"/>
                <w:kern w:val="16"/>
                <w:sz w:val="24"/>
                <w:szCs w:val="22"/>
                <w:lang w:val="en-US" w:bidi="zh-CN"/>
              </w:rPr>
              <w:t>本项目位于</w:t>
            </w:r>
            <w:r>
              <w:rPr>
                <w:rFonts w:hint="default" w:ascii="Times New Roman" w:hAnsi="Times New Roman" w:cs="Times New Roman"/>
                <w:bCs/>
                <w:color w:val="auto"/>
                <w:kern w:val="16"/>
                <w:sz w:val="24"/>
                <w:szCs w:val="22"/>
                <w:lang w:val="en-US" w:bidi="zh-CN"/>
              </w:rPr>
              <w:t>中卫</w:t>
            </w:r>
            <w:r>
              <w:rPr>
                <w:rFonts w:hint="default" w:ascii="Times New Roman" w:hAnsi="Times New Roman" w:eastAsia="宋体" w:cs="Times New Roman"/>
                <w:bCs/>
                <w:color w:val="auto"/>
                <w:kern w:val="16"/>
                <w:sz w:val="24"/>
                <w:szCs w:val="22"/>
                <w:lang w:val="en-US" w:bidi="zh-CN"/>
              </w:rPr>
              <w:t>市</w:t>
            </w:r>
            <w:r>
              <w:rPr>
                <w:rFonts w:hint="default" w:ascii="Times New Roman" w:hAnsi="Times New Roman" w:cs="Times New Roman"/>
                <w:bCs/>
                <w:color w:val="auto"/>
                <w:kern w:val="16"/>
                <w:sz w:val="24"/>
                <w:szCs w:val="22"/>
                <w:lang w:val="en-US" w:bidi="zh-CN"/>
              </w:rPr>
              <w:t>沙坡头区</w:t>
            </w:r>
            <w:r>
              <w:rPr>
                <w:rFonts w:hint="default" w:ascii="Times New Roman" w:hAnsi="Times New Roman" w:eastAsia="宋体" w:cs="Times New Roman"/>
                <w:bCs/>
                <w:color w:val="auto"/>
                <w:kern w:val="16"/>
                <w:sz w:val="24"/>
                <w:szCs w:val="22"/>
                <w:lang w:val="en-US" w:bidi="zh-CN"/>
              </w:rPr>
              <w:t>，根据《宁夏回族自治区主体功能区规划》（宁政发[2014]53号），属于国家级限制开发区域（</w:t>
            </w:r>
            <w:r>
              <w:rPr>
                <w:rFonts w:hint="default" w:ascii="Times New Roman" w:hAnsi="Times New Roman" w:cs="Times New Roman"/>
                <w:bCs/>
                <w:color w:val="auto"/>
                <w:kern w:val="16"/>
                <w:sz w:val="24"/>
                <w:szCs w:val="22"/>
                <w:lang w:val="en-US" w:bidi="zh-CN"/>
              </w:rPr>
              <w:t>国家农产品主产</w:t>
            </w:r>
            <w:r>
              <w:rPr>
                <w:rFonts w:hint="default" w:ascii="Times New Roman" w:hAnsi="Times New Roman" w:eastAsia="宋体" w:cs="Times New Roman"/>
                <w:bCs/>
                <w:color w:val="auto"/>
                <w:kern w:val="16"/>
                <w:sz w:val="24"/>
                <w:szCs w:val="22"/>
                <w:lang w:val="en-US" w:bidi="zh-CN"/>
              </w:rPr>
              <w:t>区）。</w:t>
            </w:r>
          </w:p>
          <w:p w14:paraId="2FBED4C5">
            <w:pPr>
              <w:autoSpaceDE w:val="0"/>
              <w:autoSpaceDN w:val="0"/>
              <w:ind w:firstLine="510" w:firstLineChars="200"/>
              <w:rPr>
                <w:rFonts w:hint="default" w:ascii="Times New Roman" w:hAnsi="Times New Roman" w:eastAsia="宋体" w:cs="Times New Roman"/>
                <w:bCs/>
                <w:color w:val="auto"/>
                <w:kern w:val="16"/>
                <w:sz w:val="24"/>
                <w:szCs w:val="22"/>
                <w:lang w:val="en-US" w:bidi="zh-CN"/>
              </w:rPr>
            </w:pPr>
            <w:r>
              <w:rPr>
                <w:rFonts w:hint="default" w:ascii="Times New Roman" w:hAnsi="Times New Roman" w:eastAsia="宋体" w:cs="Times New Roman"/>
                <w:bCs/>
                <w:color w:val="auto"/>
                <w:kern w:val="16"/>
                <w:sz w:val="24"/>
                <w:szCs w:val="22"/>
                <w:lang w:val="en-US" w:bidi="zh-CN"/>
              </w:rPr>
              <w:t>功能定位：保障</w:t>
            </w:r>
            <w:r>
              <w:rPr>
                <w:rFonts w:hint="default" w:ascii="Times New Roman" w:hAnsi="Times New Roman" w:cs="Times New Roman"/>
                <w:bCs/>
                <w:color w:val="auto"/>
                <w:kern w:val="16"/>
                <w:sz w:val="24"/>
                <w:szCs w:val="22"/>
                <w:lang w:val="en-US" w:bidi="zh-CN"/>
              </w:rPr>
              <w:t>农产品供给安全的重要区域，农民安居乐业的美好家园，社会主义新农村建设的示范区</w:t>
            </w:r>
            <w:r>
              <w:rPr>
                <w:rFonts w:hint="default" w:ascii="Times New Roman" w:hAnsi="Times New Roman" w:eastAsia="宋体" w:cs="Times New Roman"/>
                <w:bCs/>
                <w:color w:val="auto"/>
                <w:kern w:val="16"/>
                <w:sz w:val="24"/>
                <w:szCs w:val="22"/>
                <w:lang w:val="en-US" w:bidi="zh-CN"/>
              </w:rPr>
              <w:t>。</w:t>
            </w:r>
          </w:p>
          <w:p w14:paraId="68548235">
            <w:pPr>
              <w:autoSpaceDE w:val="0"/>
              <w:autoSpaceDN w:val="0"/>
              <w:ind w:firstLine="510" w:firstLineChars="200"/>
              <w:rPr>
                <w:rFonts w:hint="default" w:ascii="Times New Roman" w:hAnsi="Times New Roman" w:eastAsia="宋体" w:cs="Times New Roman"/>
                <w:bCs/>
                <w:color w:val="auto"/>
                <w:kern w:val="16"/>
                <w:sz w:val="24"/>
                <w:szCs w:val="22"/>
                <w:lang w:val="en-US" w:bidi="zh-CN"/>
              </w:rPr>
            </w:pPr>
            <w:r>
              <w:rPr>
                <w:rFonts w:hint="default" w:ascii="Times New Roman" w:hAnsi="Times New Roman" w:eastAsia="宋体" w:cs="Times New Roman"/>
                <w:bCs/>
                <w:color w:val="auto"/>
                <w:kern w:val="16"/>
                <w:sz w:val="24"/>
                <w:szCs w:val="22"/>
                <w:lang w:val="en-US" w:bidi="zh-CN"/>
              </w:rPr>
              <w:t>本项目与宁夏回族自治区主体功能区规划的相对位置关系见附图</w:t>
            </w:r>
            <w:r>
              <w:rPr>
                <w:rFonts w:hint="default" w:ascii="Times New Roman" w:hAnsi="Times New Roman" w:cs="Times New Roman"/>
                <w:bCs/>
                <w:color w:val="auto"/>
                <w:kern w:val="16"/>
                <w:sz w:val="24"/>
                <w:szCs w:val="22"/>
                <w:lang w:val="en-US" w:bidi="zh-CN"/>
              </w:rPr>
              <w:t>7</w:t>
            </w:r>
            <w:r>
              <w:rPr>
                <w:rFonts w:hint="default" w:ascii="Times New Roman" w:hAnsi="Times New Roman" w:eastAsia="宋体" w:cs="Times New Roman"/>
                <w:bCs/>
                <w:color w:val="auto"/>
                <w:kern w:val="16"/>
                <w:sz w:val="24"/>
                <w:szCs w:val="22"/>
                <w:lang w:val="en-US" w:bidi="zh-CN"/>
              </w:rPr>
              <w:t>。</w:t>
            </w:r>
          </w:p>
          <w:p w14:paraId="4A7341C9">
            <w:pPr>
              <w:autoSpaceDE w:val="0"/>
              <w:autoSpaceDN w:val="0"/>
              <w:ind w:firstLine="510" w:firstLineChars="200"/>
              <w:rPr>
                <w:rFonts w:hint="default" w:ascii="Times New Roman" w:hAnsi="Times New Roman" w:eastAsia="宋体" w:cs="Times New Roman"/>
                <w:bCs/>
                <w:color w:val="auto"/>
                <w:kern w:val="16"/>
                <w:sz w:val="24"/>
                <w:szCs w:val="22"/>
                <w:lang w:val="en-US" w:bidi="zh-CN"/>
              </w:rPr>
            </w:pPr>
            <w:r>
              <w:rPr>
                <w:rFonts w:hint="default" w:ascii="Times New Roman" w:hAnsi="Times New Roman" w:eastAsia="宋体" w:cs="Times New Roman"/>
                <w:bCs/>
                <w:color w:val="auto"/>
                <w:kern w:val="16"/>
                <w:sz w:val="24"/>
                <w:szCs w:val="22"/>
                <w:lang w:val="en-US" w:bidi="zh-CN"/>
              </w:rPr>
              <w:t>本项目为</w:t>
            </w:r>
            <w:r>
              <w:rPr>
                <w:rFonts w:hint="default" w:ascii="Times New Roman" w:hAnsi="Times New Roman" w:cs="Times New Roman"/>
                <w:bCs/>
                <w:color w:val="auto"/>
                <w:kern w:val="16"/>
                <w:sz w:val="24"/>
                <w:szCs w:val="22"/>
                <w:lang w:val="en-US" w:bidi="zh-CN"/>
              </w:rPr>
              <w:t>矿山生态环境恢复项目</w:t>
            </w:r>
            <w:r>
              <w:rPr>
                <w:rFonts w:hint="default" w:ascii="Times New Roman" w:hAnsi="Times New Roman" w:eastAsia="宋体" w:cs="Times New Roman"/>
                <w:bCs/>
                <w:color w:val="auto"/>
                <w:kern w:val="16"/>
                <w:sz w:val="24"/>
                <w:szCs w:val="22"/>
                <w:lang w:val="en-US" w:bidi="zh-CN"/>
              </w:rPr>
              <w:t>，项目通过地形地貌整治工程、覆土工程、植被恢复工程</w:t>
            </w:r>
            <w:r>
              <w:rPr>
                <w:rFonts w:hint="default" w:ascii="Times New Roman" w:hAnsi="Times New Roman" w:cs="Times New Roman"/>
                <w:bCs/>
                <w:color w:val="auto"/>
                <w:kern w:val="16"/>
                <w:sz w:val="24"/>
                <w:szCs w:val="22"/>
                <w:lang w:val="en-US" w:bidi="zh-CN"/>
              </w:rPr>
              <w:t>等</w:t>
            </w:r>
            <w:r>
              <w:rPr>
                <w:rFonts w:hint="default" w:ascii="Times New Roman" w:hAnsi="Times New Roman" w:eastAsia="宋体" w:cs="Times New Roman"/>
                <w:bCs/>
                <w:color w:val="auto"/>
                <w:kern w:val="16"/>
                <w:sz w:val="24"/>
                <w:szCs w:val="22"/>
                <w:lang w:val="en-US" w:bidi="zh-CN"/>
              </w:rPr>
              <w:t>，恢复区域内的植被和被破坏的地形地貌，保护中卫市沙坡头区生态环境，提高中卫市沙坡头区环境质量。因此项目的功能定位符合</w:t>
            </w:r>
            <w:r>
              <w:rPr>
                <w:rFonts w:hint="default" w:ascii="Times New Roman" w:hAnsi="Times New Roman" w:cs="Times New Roman"/>
                <w:bCs/>
                <w:color w:val="auto"/>
                <w:kern w:val="16"/>
                <w:sz w:val="24"/>
                <w:szCs w:val="22"/>
                <w:lang w:val="en-US" w:bidi="zh-CN"/>
              </w:rPr>
              <w:t>国家级限制开发</w:t>
            </w:r>
            <w:r>
              <w:rPr>
                <w:rFonts w:hint="default" w:ascii="Times New Roman" w:hAnsi="Times New Roman" w:eastAsia="宋体" w:cs="Times New Roman"/>
                <w:bCs/>
                <w:color w:val="auto"/>
                <w:kern w:val="16"/>
                <w:sz w:val="24"/>
                <w:szCs w:val="22"/>
                <w:lang w:val="en-US" w:bidi="zh-CN"/>
              </w:rPr>
              <w:t>区域要求，符合《宁夏回族自治区主体功能区规划》中相关要求。</w:t>
            </w:r>
          </w:p>
          <w:p w14:paraId="43AAB68D">
            <w:pPr>
              <w:numPr>
                <w:ilvl w:val="0"/>
                <w:numId w:val="8"/>
              </w:numPr>
              <w:autoSpaceDE w:val="0"/>
              <w:autoSpaceDN w:val="0"/>
              <w:spacing w:before="240" w:after="60"/>
              <w:jc w:val="left"/>
              <w:rPr>
                <w:rFonts w:hint="default" w:ascii="Times New Roman" w:hAnsi="Times New Roman" w:eastAsia="黑体" w:cs="Times New Roman"/>
                <w:color w:val="auto"/>
                <w:kern w:val="0"/>
                <w:sz w:val="24"/>
                <w:highlight w:val="none"/>
                <w:lang w:val="en-US" w:eastAsia="zh-CN"/>
              </w:rPr>
            </w:pPr>
            <w:r>
              <w:rPr>
                <w:rFonts w:hint="default" w:ascii="Times New Roman" w:hAnsi="Times New Roman" w:eastAsia="黑体" w:cs="Times New Roman"/>
                <w:b w:val="0"/>
                <w:bCs w:val="0"/>
                <w:color w:val="auto"/>
                <w:kern w:val="0"/>
                <w:sz w:val="24"/>
                <w:highlight w:val="none"/>
              </w:rPr>
              <w:t>生态功能区划</w:t>
            </w:r>
          </w:p>
          <w:p w14:paraId="421B206A">
            <w:pPr>
              <w:keepNext w:val="0"/>
              <w:keepLines w:val="0"/>
              <w:pageBreakBefore w:val="0"/>
              <w:widowControl w:val="0"/>
              <w:kinsoku/>
              <w:wordWrap/>
              <w:overflowPunct/>
              <w:topLinePunct w:val="0"/>
              <w:autoSpaceDE/>
              <w:autoSpaceDN/>
              <w:bidi w:val="0"/>
              <w:adjustRightInd/>
              <w:snapToGrid/>
              <w:spacing w:line="240" w:lineRule="auto"/>
              <w:ind w:firstLine="51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本项目属于</w:t>
            </w:r>
            <w:r>
              <w:rPr>
                <w:rFonts w:hint="default" w:ascii="Times New Roman" w:hAnsi="Times New Roman" w:cs="Times New Roman"/>
                <w:color w:val="auto"/>
                <w:sz w:val="24"/>
                <w:lang w:val="en-US" w:eastAsia="zh-CN"/>
              </w:rPr>
              <w:t>香山低山丘陵荒漠草原保护、中卫山羊保种</w:t>
            </w:r>
            <w:r>
              <w:rPr>
                <w:rFonts w:hint="default" w:ascii="Times New Roman" w:hAnsi="Times New Roman" w:eastAsia="宋体" w:cs="Times New Roman"/>
                <w:color w:val="auto"/>
                <w:sz w:val="24"/>
                <w:lang w:val="en-US" w:eastAsia="zh-CN"/>
              </w:rPr>
              <w:t>生态功能区。</w:t>
            </w:r>
            <w:r>
              <w:rPr>
                <w:rFonts w:hint="default" w:ascii="Times New Roman" w:hAnsi="Times New Roman" w:cs="Times New Roman"/>
                <w:color w:val="auto"/>
                <w:sz w:val="24"/>
                <w:lang w:val="en-US" w:eastAsia="zh-CN"/>
              </w:rPr>
              <w:t>本功能区</w:t>
            </w:r>
            <w:r>
              <w:rPr>
                <w:rFonts w:hint="default" w:ascii="Times New Roman" w:hAnsi="Times New Roman" w:eastAsia="宋体" w:cs="Times New Roman"/>
                <w:color w:val="auto"/>
                <w:sz w:val="24"/>
                <w:lang w:val="en-US" w:eastAsia="zh-CN"/>
              </w:rPr>
              <w:t>植被为荒漠草原类型，以猫头刺、短花针茅等早生植物为主，植被覆盖度低。土壤为粗骨土和灰钙土。本区主要生态服务功能是保护好荒漠草原和中卫山羊物种资源。本区的生态敏感性问题是草场退化</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kern w:val="0"/>
                <w:sz w:val="24"/>
                <w:szCs w:val="24"/>
                <w:lang w:val="en-US" w:eastAsia="zh-CN" w:bidi="ar"/>
              </w:rPr>
              <w:t>根据《宁夏生态功能区划》，宁夏生态功能区划共划分为3个一级区，10个二级区，37个三级区。项目与宁夏</w:t>
            </w:r>
            <w:r>
              <w:rPr>
                <w:rFonts w:hint="default" w:ascii="Times New Roman" w:hAnsi="Times New Roman" w:eastAsia="宋体" w:cs="Times New Roman"/>
                <w:color w:val="auto"/>
                <w:sz w:val="24"/>
                <w:lang w:val="en-US" w:eastAsia="zh-CN"/>
              </w:rPr>
              <w:t>生态功能</w:t>
            </w:r>
            <w:r>
              <w:rPr>
                <w:rFonts w:hint="default" w:ascii="Times New Roman" w:hAnsi="Times New Roman" w:cs="Times New Roman"/>
                <w:color w:val="auto"/>
                <w:sz w:val="24"/>
                <w:lang w:val="en-US" w:eastAsia="zh-CN"/>
              </w:rPr>
              <w:t>区划位置关系</w:t>
            </w:r>
            <w:r>
              <w:rPr>
                <w:rFonts w:hint="default" w:ascii="Times New Roman" w:hAnsi="Times New Roman" w:eastAsia="宋体" w:cs="Times New Roman"/>
                <w:color w:val="auto"/>
                <w:sz w:val="24"/>
                <w:lang w:val="en-US" w:eastAsia="zh-CN"/>
              </w:rPr>
              <w:t>见附图</w:t>
            </w:r>
            <w:r>
              <w:rPr>
                <w:rFonts w:hint="default" w:ascii="Times New Roman" w:hAnsi="Times New Roman" w:cs="Times New Roman"/>
                <w:color w:val="auto"/>
                <w:sz w:val="24"/>
                <w:lang w:val="en-US" w:eastAsia="zh-CN"/>
              </w:rPr>
              <w:t>8</w:t>
            </w:r>
            <w:r>
              <w:rPr>
                <w:rFonts w:hint="default" w:ascii="Times New Roman" w:hAnsi="Times New Roman" w:eastAsia="宋体" w:cs="Times New Roman"/>
                <w:color w:val="auto"/>
                <w:sz w:val="24"/>
                <w:lang w:val="en-US" w:eastAsia="zh-CN"/>
              </w:rPr>
              <w:t>。</w:t>
            </w:r>
          </w:p>
          <w:p w14:paraId="103FD183">
            <w:pPr>
              <w:keepNext w:val="0"/>
              <w:keepLines w:val="0"/>
              <w:pageBreakBefore w:val="0"/>
              <w:widowControl w:val="0"/>
              <w:kinsoku/>
              <w:wordWrap/>
              <w:overflowPunct/>
              <w:topLinePunct w:val="0"/>
              <w:autoSpaceDE/>
              <w:autoSpaceDN/>
              <w:bidi w:val="0"/>
              <w:adjustRightInd/>
              <w:snapToGrid/>
              <w:spacing w:line="240" w:lineRule="auto"/>
              <w:ind w:firstLine="51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根据《自治区人民政府关于印发宁夏回族自治区主体功能区规划的通知》（宁政发〔20</w:t>
            </w:r>
            <w:r>
              <w:rPr>
                <w:rFonts w:hint="default"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rPr>
              <w:t>〕53号）</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保护和扩大绿色生态空间，有效利用现有土地空间</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做好生态环境、基本农田等保护规划，减少工业化、城镇化对生态环境的影响，避免出现土地过多占用、水资源过度开发和生态环境压力过大等问题，努力提高环境质量，加大防沙治沙力度，着力构建防风固沙生态屏障。</w:t>
            </w:r>
          </w:p>
          <w:p w14:paraId="63CFB9FA">
            <w:pPr>
              <w:ind w:firstLine="510" w:firstLineChars="200"/>
              <w:rPr>
                <w:rFonts w:hint="default" w:ascii="Times New Roman" w:hAnsi="Times New Roman" w:cs="Times New Roman"/>
                <w:color w:val="auto"/>
                <w:lang w:val="en-US"/>
              </w:rPr>
            </w:pPr>
            <w:r>
              <w:rPr>
                <w:rFonts w:hint="default" w:ascii="Times New Roman" w:hAnsi="Times New Roman" w:eastAsia="宋体" w:cs="Times New Roman"/>
                <w:color w:val="auto"/>
                <w:sz w:val="24"/>
                <w:szCs w:val="24"/>
              </w:rPr>
              <w:t>本项目为沙坡头区</w:t>
            </w:r>
            <w:r>
              <w:rPr>
                <w:rFonts w:hint="default" w:ascii="Times New Roman" w:hAnsi="Times New Roman" w:cs="Times New Roman"/>
                <w:color w:val="auto"/>
                <w:sz w:val="24"/>
                <w:szCs w:val="24"/>
                <w:lang w:val="en-US" w:eastAsia="zh-CN"/>
              </w:rPr>
              <w:t>寺口子地区</w:t>
            </w:r>
            <w:r>
              <w:rPr>
                <w:rFonts w:hint="default" w:ascii="Times New Roman" w:hAnsi="Times New Roman" w:eastAsia="宋体" w:cs="Times New Roman"/>
                <w:color w:val="auto"/>
                <w:sz w:val="24"/>
                <w:szCs w:val="24"/>
              </w:rPr>
              <w:t>矿山生态修复项目，通过本项目的实施可消除因不合法采矿活动引发的地质灾害隐患，修复治理区地形地貌景观，提升生态环境质量和水土保持能力，增强生态系统服务功能，全面恢复治理历史遗留废弃矿山地质环境，矿山生态环境明显好转</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其建设符合“宁夏回族自治区主体功能区规划”的要求。</w:t>
            </w:r>
          </w:p>
          <w:p w14:paraId="0AE3EA1B">
            <w:pPr>
              <w:numPr>
                <w:ilvl w:val="0"/>
                <w:numId w:val="8"/>
              </w:numPr>
              <w:autoSpaceDE w:val="0"/>
              <w:autoSpaceDN w:val="0"/>
              <w:spacing w:before="240" w:after="60"/>
              <w:jc w:val="left"/>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生态环境现状</w:t>
            </w:r>
          </w:p>
          <w:p w14:paraId="017BD78A">
            <w:pPr>
              <w:ind w:firstLine="510" w:firstLineChars="200"/>
              <w:rPr>
                <w:rFonts w:hint="default" w:ascii="Times New Roman" w:hAnsi="Times New Roman" w:eastAsia="宋体" w:cs="Times New Roman"/>
                <w:color w:val="auto"/>
                <w:kern w:val="0"/>
                <w:sz w:val="24"/>
                <w:lang w:val="zh-CN"/>
              </w:rPr>
            </w:pPr>
            <w:r>
              <w:rPr>
                <w:rFonts w:hint="default" w:ascii="Times New Roman" w:hAnsi="Times New Roman" w:eastAsia="宋体" w:cs="Times New Roman"/>
                <w:color w:val="auto"/>
                <w:kern w:val="0"/>
                <w:sz w:val="24"/>
                <w:lang w:val="zh-CN"/>
              </w:rPr>
              <w:t>（</w:t>
            </w:r>
            <w:r>
              <w:rPr>
                <w:rFonts w:hint="default" w:ascii="Times New Roman" w:hAnsi="Times New Roman" w:eastAsia="宋体" w:cs="Times New Roman"/>
                <w:color w:val="auto"/>
                <w:kern w:val="0"/>
                <w:sz w:val="24"/>
              </w:rPr>
              <w:t>1</w:t>
            </w:r>
            <w:r>
              <w:rPr>
                <w:rFonts w:hint="default" w:ascii="Times New Roman" w:hAnsi="Times New Roman" w:eastAsia="宋体" w:cs="Times New Roman"/>
                <w:color w:val="auto"/>
                <w:kern w:val="0"/>
                <w:sz w:val="24"/>
                <w:lang w:val="zh-CN"/>
              </w:rPr>
              <w:t>）土地利用现状</w:t>
            </w:r>
          </w:p>
          <w:p w14:paraId="3B80FD73">
            <w:pPr>
              <w:ind w:firstLine="510" w:firstLineChars="200"/>
              <w:rPr>
                <w:rFonts w:hint="default" w:ascii="Times New Roman" w:hAnsi="Times New Roman" w:eastAsia="宋体" w:cs="Times New Roman"/>
                <w:color w:val="auto"/>
                <w:kern w:val="0"/>
                <w:sz w:val="24"/>
                <w:lang w:val="zh-CN"/>
              </w:rPr>
            </w:pPr>
            <w:r>
              <w:rPr>
                <w:rFonts w:hint="default" w:ascii="Times New Roman" w:hAnsi="Times New Roman" w:eastAsia="宋体" w:cs="Times New Roman"/>
                <w:color w:val="auto"/>
                <w:kern w:val="0"/>
                <w:sz w:val="24"/>
                <w:lang w:val="zh-CN"/>
              </w:rPr>
              <w:t>根据《土地利用现状分类》（GB/T21010-20</w:t>
            </w:r>
            <w:r>
              <w:rPr>
                <w:rFonts w:hint="default" w:ascii="Times New Roman" w:hAnsi="Times New Roman" w:eastAsia="宋体" w:cs="Times New Roman"/>
                <w:color w:val="auto"/>
                <w:kern w:val="0"/>
                <w:sz w:val="24"/>
              </w:rPr>
              <w:t>17</w:t>
            </w:r>
            <w:r>
              <w:rPr>
                <w:rFonts w:hint="default" w:ascii="Times New Roman" w:hAnsi="Times New Roman" w:eastAsia="宋体" w:cs="Times New Roman"/>
                <w:color w:val="auto"/>
                <w:kern w:val="0"/>
                <w:sz w:val="24"/>
                <w:lang w:val="zh-CN"/>
              </w:rPr>
              <w:t>），项目所在区域土地利用现状以</w:t>
            </w:r>
            <w:r>
              <w:rPr>
                <w:rFonts w:hint="default" w:ascii="Times New Roman" w:hAnsi="Times New Roman" w:eastAsia="宋体" w:cs="Times New Roman"/>
                <w:b w:val="0"/>
                <w:bCs w:val="0"/>
                <w:color w:val="auto"/>
                <w:kern w:val="0"/>
                <w:sz w:val="24"/>
                <w:szCs w:val="24"/>
                <w:highlight w:val="none"/>
                <w:lang w:val="en-US" w:eastAsia="zh-CN"/>
              </w:rPr>
              <w:t>工矿用地、</w:t>
            </w:r>
            <w:r>
              <w:rPr>
                <w:rFonts w:hint="default" w:ascii="Times New Roman" w:hAnsi="Times New Roman" w:cs="Times New Roman"/>
                <w:b w:val="0"/>
                <w:bCs w:val="0"/>
                <w:color w:val="auto"/>
                <w:kern w:val="0"/>
                <w:sz w:val="24"/>
                <w:szCs w:val="24"/>
                <w:highlight w:val="none"/>
                <w:lang w:val="en-US" w:eastAsia="zh-CN"/>
              </w:rPr>
              <w:t>天然牧</w:t>
            </w:r>
            <w:r>
              <w:rPr>
                <w:rFonts w:hint="default" w:ascii="Times New Roman" w:hAnsi="Times New Roman" w:eastAsia="宋体" w:cs="Times New Roman"/>
                <w:b w:val="0"/>
                <w:bCs w:val="0"/>
                <w:color w:val="auto"/>
                <w:kern w:val="0"/>
                <w:sz w:val="24"/>
                <w:szCs w:val="24"/>
                <w:highlight w:val="none"/>
                <w:lang w:val="en-US" w:eastAsia="zh-CN"/>
              </w:rPr>
              <w:t>草地</w:t>
            </w:r>
            <w:r>
              <w:rPr>
                <w:rFonts w:hint="default" w:ascii="Times New Roman" w:hAnsi="Times New Roman" w:eastAsia="宋体" w:cs="Times New Roman"/>
                <w:color w:val="auto"/>
                <w:kern w:val="0"/>
                <w:sz w:val="24"/>
                <w:lang w:val="zh-CN"/>
              </w:rPr>
              <w:t>为主。</w:t>
            </w:r>
            <w:r>
              <w:rPr>
                <w:rFonts w:hint="default" w:ascii="Times New Roman" w:hAnsi="Times New Roman" w:eastAsia="宋体" w:cs="Times New Roman"/>
                <w:color w:val="auto"/>
                <w:kern w:val="0"/>
                <w:sz w:val="24"/>
              </w:rPr>
              <w:t>现状如下图所示</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zh-CN" w:eastAsia="zh-CN"/>
              </w:rPr>
              <w:t>项目所在区域现状见</w:t>
            </w:r>
            <w:r>
              <w:rPr>
                <w:rFonts w:hint="default" w:ascii="Times New Roman" w:hAnsi="Times New Roman" w:eastAsia="宋体" w:cs="Times New Roman"/>
                <w:color w:val="auto"/>
                <w:kern w:val="0"/>
                <w:sz w:val="24"/>
                <w:lang w:eastAsia="zh-CN"/>
              </w:rPr>
              <w:t>图</w:t>
            </w:r>
            <w:r>
              <w:rPr>
                <w:rFonts w:hint="default" w:ascii="Times New Roman" w:hAnsi="Times New Roman" w:cs="Times New Roman"/>
                <w:color w:val="auto"/>
                <w:kern w:val="0"/>
                <w:sz w:val="24"/>
                <w:lang w:val="en-US" w:eastAsia="zh-CN"/>
              </w:rPr>
              <w:t>3-1，土地利用现状图见附图9，土壤类型图见附图10</w:t>
            </w:r>
            <w:r>
              <w:rPr>
                <w:rFonts w:hint="default" w:ascii="Times New Roman" w:hAnsi="Times New Roman" w:eastAsia="宋体" w:cs="Times New Roman"/>
                <w:color w:val="auto"/>
                <w:kern w:val="0"/>
                <w:sz w:val="24"/>
                <w:lang w:val="zh-CN"/>
              </w:rPr>
              <w:t>。</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4"/>
              <w:gridCol w:w="4135"/>
            </w:tblGrid>
            <w:tr w14:paraId="2173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34" w:type="dxa"/>
                  <w:tcBorders>
                    <w:top w:val="nil"/>
                    <w:left w:val="nil"/>
                    <w:bottom w:val="nil"/>
                    <w:right w:val="nil"/>
                    <w:tl2br w:val="nil"/>
                  </w:tcBorders>
                  <w:shd w:val="clear" w:color="auto" w:fill="auto"/>
                  <w:noWrap w:val="0"/>
                  <w:vAlign w:val="center"/>
                </w:tcPr>
                <w:p w14:paraId="08B85E85">
                  <w:pPr>
                    <w:adjustRightInd w:val="0"/>
                    <w:snapToGrid w:val="0"/>
                    <w:jc w:val="center"/>
                    <w:rPr>
                      <w:rFonts w:hint="default" w:ascii="Times New Roman" w:hAnsi="Times New Roman" w:eastAsia="宋体" w:cs="Times New Roman"/>
                      <w:color w:val="auto"/>
                      <w:szCs w:val="21"/>
                      <w:lang w:val="zh-CN" w:eastAsia="zh-CN"/>
                    </w:rPr>
                  </w:pPr>
                  <w:r>
                    <w:rPr>
                      <w:rFonts w:hint="default" w:ascii="Times New Roman" w:hAnsi="Times New Roman" w:cs="Times New Roman"/>
                      <w:color w:val="auto"/>
                    </w:rPr>
                    <w:drawing>
                      <wp:inline distT="0" distB="0" distL="114300" distR="114300">
                        <wp:extent cx="2362200" cy="13271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2362200" cy="1327150"/>
                                </a:xfrm>
                                <a:prstGeom prst="rect">
                                  <a:avLst/>
                                </a:prstGeom>
                                <a:noFill/>
                                <a:ln>
                                  <a:noFill/>
                                </a:ln>
                              </pic:spPr>
                            </pic:pic>
                          </a:graphicData>
                        </a:graphic>
                      </wp:inline>
                    </w:drawing>
                  </w:r>
                </w:p>
              </w:tc>
              <w:tc>
                <w:tcPr>
                  <w:tcW w:w="4135" w:type="dxa"/>
                  <w:tcBorders>
                    <w:top w:val="nil"/>
                    <w:left w:val="nil"/>
                    <w:bottom w:val="nil"/>
                    <w:right w:val="nil"/>
                  </w:tcBorders>
                  <w:shd w:val="clear" w:color="auto" w:fill="auto"/>
                  <w:noWrap w:val="0"/>
                  <w:vAlign w:val="center"/>
                </w:tcPr>
                <w:p w14:paraId="09FA85E0">
                  <w:pPr>
                    <w:adjustRightInd w:val="0"/>
                    <w:snapToGrid w:val="0"/>
                    <w:jc w:val="center"/>
                    <w:rPr>
                      <w:rFonts w:hint="default" w:ascii="Times New Roman" w:hAnsi="Times New Roman" w:eastAsia="宋体" w:cs="Times New Roman"/>
                      <w:color w:val="auto"/>
                      <w:szCs w:val="21"/>
                      <w:lang w:val="zh-CN" w:eastAsia="zh-CN"/>
                    </w:rPr>
                  </w:pPr>
                  <w:r>
                    <w:rPr>
                      <w:rFonts w:hint="default" w:ascii="Times New Roman" w:hAnsi="Times New Roman" w:cs="Times New Roman"/>
                      <w:color w:val="auto"/>
                    </w:rPr>
                    <w:drawing>
                      <wp:inline distT="0" distB="0" distL="114300" distR="114300">
                        <wp:extent cx="2399665" cy="1352550"/>
                        <wp:effectExtent l="0" t="0" r="635"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6"/>
                                <a:stretch>
                                  <a:fillRect/>
                                </a:stretch>
                              </pic:blipFill>
                              <pic:spPr>
                                <a:xfrm>
                                  <a:off x="0" y="0"/>
                                  <a:ext cx="2399665" cy="1352550"/>
                                </a:xfrm>
                                <a:prstGeom prst="rect">
                                  <a:avLst/>
                                </a:prstGeom>
                                <a:noFill/>
                                <a:ln>
                                  <a:noFill/>
                                </a:ln>
                              </pic:spPr>
                            </pic:pic>
                          </a:graphicData>
                        </a:graphic>
                      </wp:inline>
                    </w:drawing>
                  </w:r>
                </w:p>
              </w:tc>
            </w:tr>
            <w:tr w14:paraId="34A3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4" w:type="dxa"/>
                  <w:tcBorders>
                    <w:top w:val="nil"/>
                    <w:left w:val="nil"/>
                    <w:bottom w:val="nil"/>
                    <w:right w:val="nil"/>
                  </w:tcBorders>
                  <w:shd w:val="clear" w:color="auto" w:fill="auto"/>
                  <w:noWrap w:val="0"/>
                  <w:vAlign w:val="center"/>
                </w:tcPr>
                <w:p w14:paraId="6D925D21">
                  <w:pPr>
                    <w:adjustRightInd w:val="0"/>
                    <w:snapToGrid w:val="0"/>
                    <w:jc w:val="center"/>
                    <w:rPr>
                      <w:rFonts w:hint="default" w:ascii="Times New Roman" w:hAnsi="Times New Roman" w:eastAsia="宋体" w:cs="Times New Roman"/>
                      <w:color w:val="auto"/>
                      <w:szCs w:val="21"/>
                      <w:lang w:val="zh-CN" w:eastAsia="zh-CN"/>
                    </w:rPr>
                  </w:pPr>
                  <w:r>
                    <w:rPr>
                      <w:rFonts w:hint="default" w:ascii="Times New Roman" w:hAnsi="Times New Roman" w:cs="Times New Roman"/>
                      <w:color w:val="auto"/>
                    </w:rPr>
                    <w:drawing>
                      <wp:inline distT="0" distB="0" distL="114300" distR="114300">
                        <wp:extent cx="2385695" cy="1327785"/>
                        <wp:effectExtent l="0" t="0" r="1460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2385695" cy="1327785"/>
                                </a:xfrm>
                                <a:prstGeom prst="rect">
                                  <a:avLst/>
                                </a:prstGeom>
                                <a:noFill/>
                                <a:ln>
                                  <a:noFill/>
                                </a:ln>
                              </pic:spPr>
                            </pic:pic>
                          </a:graphicData>
                        </a:graphic>
                      </wp:inline>
                    </w:drawing>
                  </w:r>
                </w:p>
              </w:tc>
              <w:tc>
                <w:tcPr>
                  <w:tcW w:w="4135" w:type="dxa"/>
                  <w:tcBorders>
                    <w:top w:val="nil"/>
                    <w:left w:val="nil"/>
                    <w:bottom w:val="nil"/>
                    <w:right w:val="nil"/>
                  </w:tcBorders>
                  <w:shd w:val="clear" w:color="auto" w:fill="auto"/>
                  <w:noWrap w:val="0"/>
                  <w:vAlign w:val="center"/>
                </w:tcPr>
                <w:p w14:paraId="4C73AFA6">
                  <w:pPr>
                    <w:adjustRightInd w:val="0"/>
                    <w:snapToGrid w:val="0"/>
                    <w:jc w:val="center"/>
                    <w:rPr>
                      <w:rFonts w:hint="default" w:ascii="Times New Roman" w:hAnsi="Times New Roman" w:eastAsia="宋体" w:cs="Times New Roman"/>
                      <w:color w:val="auto"/>
                      <w:szCs w:val="21"/>
                      <w:lang w:val="zh-CN" w:eastAsia="zh-CN"/>
                    </w:rPr>
                  </w:pPr>
                  <w:r>
                    <w:rPr>
                      <w:rFonts w:hint="default" w:ascii="Times New Roman" w:hAnsi="Times New Roman" w:cs="Times New Roman"/>
                      <w:color w:val="auto"/>
                    </w:rPr>
                    <w:drawing>
                      <wp:inline distT="0" distB="0" distL="114300" distR="114300">
                        <wp:extent cx="2360295" cy="1330325"/>
                        <wp:effectExtent l="0" t="0" r="1905" b="317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8"/>
                                <a:stretch>
                                  <a:fillRect/>
                                </a:stretch>
                              </pic:blipFill>
                              <pic:spPr>
                                <a:xfrm>
                                  <a:off x="0" y="0"/>
                                  <a:ext cx="2360295" cy="1330325"/>
                                </a:xfrm>
                                <a:prstGeom prst="rect">
                                  <a:avLst/>
                                </a:prstGeom>
                                <a:noFill/>
                                <a:ln>
                                  <a:noFill/>
                                </a:ln>
                              </pic:spPr>
                            </pic:pic>
                          </a:graphicData>
                        </a:graphic>
                      </wp:inline>
                    </w:drawing>
                  </w:r>
                </w:p>
              </w:tc>
            </w:tr>
          </w:tbl>
          <w:p w14:paraId="3842F4F1">
            <w:pPr>
              <w:jc w:val="center"/>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图3-1  项目现状照片</w:t>
            </w:r>
          </w:p>
          <w:p w14:paraId="650C8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kern w:val="0"/>
                <w:sz w:val="24"/>
                <w:lang w:bidi="ar"/>
              </w:rPr>
            </w:pPr>
            <w:r>
              <w:rPr>
                <w:rFonts w:hint="default" w:ascii="Times New Roman" w:hAnsi="Times New Roman" w:eastAsia="黑体" w:cs="Times New Roman"/>
                <w:color w:val="auto"/>
                <w:kern w:val="0"/>
                <w:sz w:val="24"/>
                <w:lang w:val="en-US" w:eastAsia="zh-CN" w:bidi="ar"/>
              </w:rPr>
              <w:t>表3-1  本项目土地利用现状表</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8"/>
              <w:gridCol w:w="2286"/>
              <w:gridCol w:w="2405"/>
              <w:gridCol w:w="3176"/>
            </w:tblGrid>
            <w:tr w14:paraId="6314FD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734" w:type="dxa"/>
                  <w:gridSpan w:val="2"/>
                  <w:vMerge w:val="restart"/>
                  <w:tcBorders>
                    <w:tl2br w:val="nil"/>
                    <w:tr2bl w:val="nil"/>
                  </w:tcBorders>
                  <w:noWrap w:val="0"/>
                  <w:vAlign w:val="center"/>
                </w:tcPr>
                <w:p w14:paraId="175733E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一级地类</w:t>
                  </w:r>
                </w:p>
              </w:tc>
              <w:tc>
                <w:tcPr>
                  <w:tcW w:w="2405" w:type="dxa"/>
                  <w:vMerge w:val="restart"/>
                  <w:tcBorders>
                    <w:tl2br w:val="nil"/>
                    <w:tr2bl w:val="nil"/>
                  </w:tcBorders>
                  <w:noWrap w:val="0"/>
                  <w:vAlign w:val="center"/>
                </w:tcPr>
                <w:p w14:paraId="4014FA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二级地类</w:t>
                  </w:r>
                </w:p>
              </w:tc>
              <w:tc>
                <w:tcPr>
                  <w:tcW w:w="3176" w:type="dxa"/>
                  <w:tcBorders>
                    <w:tl2br w:val="nil"/>
                    <w:tr2bl w:val="nil"/>
                  </w:tcBorders>
                  <w:noWrap w:val="0"/>
                  <w:vAlign w:val="center"/>
                </w:tcPr>
                <w:p w14:paraId="1A4E4D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cs="Times New Roman"/>
                      <w:b/>
                      <w:bCs/>
                      <w:i w:val="0"/>
                      <w:iCs w:val="0"/>
                      <w:color w:val="auto"/>
                      <w:kern w:val="0"/>
                      <w:sz w:val="21"/>
                      <w:szCs w:val="21"/>
                      <w:u w:val="none"/>
                      <w:lang w:val="en-US" w:eastAsia="zh-CN" w:bidi="ar"/>
                    </w:rPr>
                    <w:t>寺口子</w:t>
                  </w:r>
                  <w:r>
                    <w:rPr>
                      <w:rFonts w:hint="default" w:ascii="Times New Roman" w:hAnsi="Times New Roman" w:eastAsia="宋体" w:cs="Times New Roman"/>
                      <w:b/>
                      <w:bCs/>
                      <w:i w:val="0"/>
                      <w:iCs w:val="0"/>
                      <w:color w:val="auto"/>
                      <w:kern w:val="0"/>
                      <w:sz w:val="21"/>
                      <w:szCs w:val="21"/>
                      <w:u w:val="none"/>
                      <w:lang w:val="en-US" w:eastAsia="zh-CN" w:bidi="ar"/>
                    </w:rPr>
                    <w:t>治理区</w:t>
                  </w:r>
                </w:p>
              </w:tc>
            </w:tr>
            <w:tr w14:paraId="6495BB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734" w:type="dxa"/>
                  <w:gridSpan w:val="2"/>
                  <w:vMerge w:val="continue"/>
                  <w:tcBorders>
                    <w:tl2br w:val="nil"/>
                    <w:tr2bl w:val="nil"/>
                  </w:tcBorders>
                  <w:noWrap w:val="0"/>
                  <w:vAlign w:val="center"/>
                </w:tcPr>
                <w:p w14:paraId="36C1ECB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rPr>
                  </w:pPr>
                </w:p>
              </w:tc>
              <w:tc>
                <w:tcPr>
                  <w:tcW w:w="2405" w:type="dxa"/>
                  <w:vMerge w:val="continue"/>
                  <w:tcBorders>
                    <w:tl2br w:val="nil"/>
                    <w:tr2bl w:val="nil"/>
                  </w:tcBorders>
                  <w:noWrap w:val="0"/>
                  <w:vAlign w:val="center"/>
                </w:tcPr>
                <w:p w14:paraId="49028A2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i w:val="0"/>
                      <w:iCs w:val="0"/>
                      <w:color w:val="auto"/>
                      <w:sz w:val="21"/>
                      <w:szCs w:val="21"/>
                      <w:u w:val="none"/>
                    </w:rPr>
                  </w:pPr>
                </w:p>
              </w:tc>
              <w:tc>
                <w:tcPr>
                  <w:tcW w:w="3176" w:type="dxa"/>
                  <w:tcBorders>
                    <w:tl2br w:val="nil"/>
                    <w:tr2bl w:val="nil"/>
                  </w:tcBorders>
                  <w:noWrap w:val="0"/>
                  <w:vAlign w:val="center"/>
                </w:tcPr>
                <w:p w14:paraId="73394D36">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治理点面积(hm²)</w:t>
                  </w:r>
                </w:p>
              </w:tc>
            </w:tr>
            <w:tr w14:paraId="57D4AA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8" w:type="dxa"/>
                  <w:vMerge w:val="restart"/>
                  <w:tcBorders>
                    <w:tl2br w:val="nil"/>
                    <w:tr2bl w:val="nil"/>
                  </w:tcBorders>
                  <w:noWrap w:val="0"/>
                  <w:vAlign w:val="center"/>
                </w:tcPr>
                <w:p w14:paraId="757AE5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2286" w:type="dxa"/>
                  <w:vMerge w:val="restart"/>
                  <w:tcBorders>
                    <w:tl2br w:val="nil"/>
                    <w:tr2bl w:val="nil"/>
                  </w:tcBorders>
                  <w:noWrap w:val="0"/>
                  <w:vAlign w:val="center"/>
                </w:tcPr>
                <w:p w14:paraId="6D155B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草地</w:t>
                  </w:r>
                </w:p>
              </w:tc>
              <w:tc>
                <w:tcPr>
                  <w:tcW w:w="2405" w:type="dxa"/>
                  <w:tcBorders>
                    <w:tl2br w:val="nil"/>
                    <w:tr2bl w:val="nil"/>
                  </w:tcBorders>
                  <w:noWrap w:val="0"/>
                  <w:vAlign w:val="center"/>
                </w:tcPr>
                <w:p w14:paraId="39E4FC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天然牧草地(0401)</w:t>
                  </w:r>
                </w:p>
              </w:tc>
              <w:tc>
                <w:tcPr>
                  <w:tcW w:w="3176" w:type="dxa"/>
                  <w:tcBorders>
                    <w:tl2br w:val="nil"/>
                    <w:tr2bl w:val="nil"/>
                  </w:tcBorders>
                  <w:noWrap w:val="0"/>
                  <w:vAlign w:val="center"/>
                </w:tcPr>
                <w:p w14:paraId="61024E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cs="Times New Roman"/>
                      <w:i w:val="0"/>
                      <w:iCs w:val="0"/>
                      <w:color w:val="auto"/>
                      <w:kern w:val="0"/>
                      <w:sz w:val="21"/>
                      <w:szCs w:val="21"/>
                      <w:u w:val="none"/>
                      <w:lang w:val="en-US" w:eastAsia="zh-CN" w:bidi="ar"/>
                    </w:rPr>
                    <w:t>11</w:t>
                  </w:r>
                </w:p>
              </w:tc>
            </w:tr>
            <w:tr w14:paraId="7C2F06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8" w:type="dxa"/>
                  <w:vMerge w:val="continue"/>
                  <w:tcBorders>
                    <w:tl2br w:val="nil"/>
                    <w:tr2bl w:val="nil"/>
                  </w:tcBorders>
                  <w:noWrap w:val="0"/>
                  <w:vAlign w:val="center"/>
                </w:tcPr>
                <w:p w14:paraId="52DA452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2286" w:type="dxa"/>
                  <w:vMerge w:val="continue"/>
                  <w:tcBorders>
                    <w:tl2br w:val="nil"/>
                    <w:tr2bl w:val="nil"/>
                  </w:tcBorders>
                  <w:noWrap w:val="0"/>
                  <w:vAlign w:val="center"/>
                </w:tcPr>
                <w:p w14:paraId="6BFEB7A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2405" w:type="dxa"/>
                  <w:tcBorders>
                    <w:tl2br w:val="nil"/>
                    <w:tr2bl w:val="nil"/>
                  </w:tcBorders>
                  <w:noWrap w:val="0"/>
                  <w:vAlign w:val="center"/>
                </w:tcPr>
                <w:p w14:paraId="53A9AD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3176" w:type="dxa"/>
                  <w:tcBorders>
                    <w:tl2br w:val="nil"/>
                    <w:tr2bl w:val="nil"/>
                  </w:tcBorders>
                  <w:noWrap w:val="0"/>
                  <w:vAlign w:val="center"/>
                </w:tcPr>
                <w:p w14:paraId="66BA2D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cs="Times New Roman"/>
                      <w:i w:val="0"/>
                      <w:iCs w:val="0"/>
                      <w:color w:val="auto"/>
                      <w:kern w:val="0"/>
                      <w:sz w:val="21"/>
                      <w:szCs w:val="21"/>
                      <w:u w:val="none"/>
                      <w:lang w:val="en-US" w:eastAsia="zh-CN" w:bidi="ar"/>
                    </w:rPr>
                    <w:t>11</w:t>
                  </w:r>
                </w:p>
              </w:tc>
            </w:tr>
            <w:tr w14:paraId="1C9A7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8" w:type="dxa"/>
                  <w:vMerge w:val="restart"/>
                  <w:tcBorders>
                    <w:tl2br w:val="nil"/>
                    <w:tr2bl w:val="nil"/>
                  </w:tcBorders>
                  <w:noWrap w:val="0"/>
                  <w:vAlign w:val="center"/>
                </w:tcPr>
                <w:p w14:paraId="10CF8D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2286" w:type="dxa"/>
                  <w:vMerge w:val="restart"/>
                  <w:tcBorders>
                    <w:tl2br w:val="nil"/>
                    <w:tr2bl w:val="nil"/>
                  </w:tcBorders>
                  <w:noWrap w:val="0"/>
                  <w:vAlign w:val="center"/>
                </w:tcPr>
                <w:p w14:paraId="043266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工矿仓储用地</w:t>
                  </w:r>
                </w:p>
              </w:tc>
              <w:tc>
                <w:tcPr>
                  <w:tcW w:w="2405" w:type="dxa"/>
                  <w:tcBorders>
                    <w:tl2br w:val="nil"/>
                    <w:tr2bl w:val="nil"/>
                  </w:tcBorders>
                  <w:noWrap w:val="0"/>
                  <w:vAlign w:val="center"/>
                </w:tcPr>
                <w:p w14:paraId="2652B4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采矿用地(0602)</w:t>
                  </w:r>
                </w:p>
              </w:tc>
              <w:tc>
                <w:tcPr>
                  <w:tcW w:w="3176" w:type="dxa"/>
                  <w:tcBorders>
                    <w:tl2br w:val="nil"/>
                    <w:tr2bl w:val="nil"/>
                  </w:tcBorders>
                  <w:noWrap w:val="0"/>
                  <w:vAlign w:val="center"/>
                </w:tcPr>
                <w:p w14:paraId="2BCDBD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5.99</w:t>
                  </w:r>
                </w:p>
              </w:tc>
            </w:tr>
            <w:tr w14:paraId="2E647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48" w:type="dxa"/>
                  <w:vMerge w:val="continue"/>
                  <w:tcBorders>
                    <w:tl2br w:val="nil"/>
                    <w:tr2bl w:val="nil"/>
                  </w:tcBorders>
                  <w:noWrap w:val="0"/>
                  <w:vAlign w:val="center"/>
                </w:tcPr>
                <w:p w14:paraId="1F68A55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2286" w:type="dxa"/>
                  <w:vMerge w:val="continue"/>
                  <w:tcBorders>
                    <w:tl2br w:val="nil"/>
                    <w:tr2bl w:val="nil"/>
                  </w:tcBorders>
                  <w:noWrap w:val="0"/>
                  <w:vAlign w:val="center"/>
                </w:tcPr>
                <w:p w14:paraId="260227F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2405" w:type="dxa"/>
                  <w:tcBorders>
                    <w:tl2br w:val="nil"/>
                    <w:tr2bl w:val="nil"/>
                  </w:tcBorders>
                  <w:noWrap w:val="0"/>
                  <w:vAlign w:val="center"/>
                </w:tcPr>
                <w:p w14:paraId="6A6987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3176" w:type="dxa"/>
                  <w:tcBorders>
                    <w:tl2br w:val="nil"/>
                    <w:tr2bl w:val="nil"/>
                  </w:tcBorders>
                  <w:noWrap w:val="0"/>
                  <w:vAlign w:val="center"/>
                </w:tcPr>
                <w:p w14:paraId="14A2A7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5.99</w:t>
                  </w:r>
                </w:p>
              </w:tc>
            </w:tr>
            <w:tr w14:paraId="610F97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139" w:type="dxa"/>
                  <w:gridSpan w:val="3"/>
                  <w:tcBorders>
                    <w:tl2br w:val="nil"/>
                    <w:tr2bl w:val="nil"/>
                  </w:tcBorders>
                  <w:noWrap w:val="0"/>
                  <w:vAlign w:val="center"/>
                </w:tcPr>
                <w:p w14:paraId="24940C62">
                  <w:pPr>
                    <w:keepNext w:val="0"/>
                    <w:keepLines w:val="0"/>
                    <w:pageBreakBefore w:val="0"/>
                    <w:widowControl/>
                    <w:suppressLineNumbers w:val="0"/>
                    <w:kinsoku/>
                    <w:wordWrap/>
                    <w:overflowPunct/>
                    <w:topLinePunct w:val="0"/>
                    <w:autoSpaceDE/>
                    <w:autoSpaceDN/>
                    <w:bidi w:val="0"/>
                    <w:adjustRightInd w:val="0"/>
                    <w:snapToGrid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3176" w:type="dxa"/>
                  <w:tcBorders>
                    <w:tl2br w:val="nil"/>
                    <w:tr2bl w:val="nil"/>
                  </w:tcBorders>
                  <w:noWrap w:val="0"/>
                  <w:vAlign w:val="center"/>
                </w:tcPr>
                <w:p w14:paraId="6B6A15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6.10</w:t>
                  </w:r>
                </w:p>
              </w:tc>
            </w:tr>
          </w:tbl>
          <w:p w14:paraId="2B8772B1">
            <w:pPr>
              <w:keepNext w:val="0"/>
              <w:keepLines w:val="0"/>
              <w:pageBreakBefore w:val="0"/>
              <w:widowControl w:val="0"/>
              <w:kinsoku/>
              <w:wordWrap/>
              <w:overflowPunct/>
              <w:topLinePunct w:val="0"/>
              <w:autoSpaceDE/>
              <w:autoSpaceDN/>
              <w:bidi w:val="0"/>
              <w:adjustRightInd/>
              <w:snapToGrid/>
              <w:spacing w:line="240" w:lineRule="auto"/>
              <w:ind w:firstLine="510" w:firstLineChars="200"/>
              <w:textAlignment w:val="auto"/>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lang w:val="en-US" w:eastAsia="zh-CN"/>
              </w:rPr>
              <w:t>2</w:t>
            </w:r>
            <w:r>
              <w:rPr>
                <w:rFonts w:hint="default" w:ascii="Times New Roman" w:hAnsi="Times New Roman" w:cs="Times New Roman"/>
                <w:b w:val="0"/>
                <w:bCs w:val="0"/>
                <w:color w:val="auto"/>
                <w:kern w:val="0"/>
                <w:sz w:val="24"/>
                <w:szCs w:val="24"/>
                <w:lang w:eastAsia="zh-CN"/>
              </w:rPr>
              <w:t>）</w:t>
            </w:r>
            <w:r>
              <w:rPr>
                <w:rFonts w:hint="default" w:ascii="Times New Roman" w:hAnsi="Times New Roman" w:cs="Times New Roman"/>
                <w:b w:val="0"/>
                <w:bCs w:val="0"/>
                <w:color w:val="auto"/>
                <w:kern w:val="0"/>
                <w:sz w:val="24"/>
                <w:szCs w:val="24"/>
              </w:rPr>
              <w:t>侵蚀类型现状调查</w:t>
            </w:r>
          </w:p>
          <w:p w14:paraId="4C647F3A">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b w:val="0"/>
                <w:bCs w:val="0"/>
                <w:color w:val="auto"/>
                <w:sz w:val="24"/>
                <w:lang w:eastAsia="zh-CN" w:bidi="ar"/>
              </w:rPr>
            </w:pPr>
            <w:r>
              <w:rPr>
                <w:rFonts w:hint="default" w:ascii="Times New Roman" w:hAnsi="Times New Roman" w:cs="Times New Roman"/>
                <w:b w:val="0"/>
                <w:bCs w:val="0"/>
                <w:color w:val="auto"/>
                <w:kern w:val="0"/>
                <w:sz w:val="24"/>
              </w:rPr>
              <w:t>根据宁夏第二次土壤侵蚀遥感调查结果，通过对项目所在区域的土壤侵蚀面积及强度加权平均，并查阅宁夏土壤侵蚀图和《土壤侵蚀分类分级标准》（SL190-2007），并结合本项目区地形、地貌、土壤及植被覆盖度等情况综合分析，确定本项目区的土壤侵蚀属</w:t>
            </w:r>
            <w:r>
              <w:rPr>
                <w:rFonts w:hint="default" w:ascii="Times New Roman" w:hAnsi="Times New Roman" w:cs="Times New Roman"/>
                <w:b w:val="0"/>
                <w:bCs w:val="0"/>
                <w:color w:val="auto"/>
                <w:kern w:val="0"/>
                <w:sz w:val="24"/>
                <w:lang w:val="en-US" w:eastAsia="zh-CN"/>
              </w:rPr>
              <w:t>轻</w:t>
            </w:r>
            <w:r>
              <w:rPr>
                <w:rFonts w:hint="default" w:ascii="Times New Roman" w:hAnsi="Times New Roman" w:cs="Times New Roman"/>
                <w:b w:val="0"/>
                <w:bCs w:val="0"/>
                <w:color w:val="auto"/>
                <w:kern w:val="0"/>
                <w:sz w:val="24"/>
              </w:rPr>
              <w:t>度侵蚀。项目区土壤侵蚀图</w:t>
            </w:r>
            <w:r>
              <w:rPr>
                <w:rFonts w:hint="default" w:ascii="Times New Roman" w:hAnsi="Times New Roman" w:cs="Times New Roman"/>
                <w:b w:val="0"/>
                <w:bCs w:val="0"/>
                <w:color w:val="auto"/>
                <w:kern w:val="0"/>
                <w:sz w:val="24"/>
                <w:lang w:val="en-US" w:eastAsia="zh-CN"/>
              </w:rPr>
              <w:t>见附图11</w:t>
            </w:r>
            <w:r>
              <w:rPr>
                <w:rFonts w:hint="default" w:ascii="Times New Roman" w:hAnsi="Times New Roman" w:cs="Times New Roman"/>
                <w:b w:val="0"/>
                <w:bCs w:val="0"/>
                <w:color w:val="auto"/>
                <w:kern w:val="0"/>
                <w:sz w:val="24"/>
                <w:lang w:eastAsia="zh-CN"/>
              </w:rPr>
              <w:t>。</w:t>
            </w:r>
          </w:p>
          <w:p w14:paraId="18D02818">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eastAsia="zh-CN" w:bidi="ar"/>
              </w:rPr>
              <w:t>（</w:t>
            </w:r>
            <w:r>
              <w:rPr>
                <w:rFonts w:hint="default" w:ascii="Times New Roman" w:hAnsi="Times New Roman" w:cs="Times New Roman"/>
                <w:b w:val="0"/>
                <w:bCs w:val="0"/>
                <w:color w:val="auto"/>
                <w:sz w:val="24"/>
                <w:lang w:val="en-US" w:eastAsia="zh-CN" w:bidi="ar"/>
              </w:rPr>
              <w:t>3</w:t>
            </w:r>
            <w:r>
              <w:rPr>
                <w:rFonts w:hint="default" w:ascii="Times New Roman" w:hAnsi="Times New Roman" w:cs="Times New Roman"/>
                <w:b w:val="0"/>
                <w:bCs w:val="0"/>
                <w:color w:val="auto"/>
                <w:sz w:val="24"/>
                <w:lang w:eastAsia="zh-CN" w:bidi="ar"/>
              </w:rPr>
              <w:t>）</w:t>
            </w:r>
            <w:r>
              <w:rPr>
                <w:rFonts w:hint="default" w:ascii="Times New Roman" w:hAnsi="Times New Roman" w:cs="Times New Roman"/>
                <w:b w:val="0"/>
                <w:bCs w:val="0"/>
                <w:color w:val="auto"/>
                <w:sz w:val="24"/>
                <w:lang w:bidi="ar"/>
              </w:rPr>
              <w:t>植被类型</w:t>
            </w:r>
          </w:p>
          <w:p w14:paraId="5FCA9A4B">
            <w:pPr>
              <w:keepNext w:val="0"/>
              <w:keepLines w:val="0"/>
              <w:pageBreakBefore w:val="0"/>
              <w:widowControl w:val="0"/>
              <w:kinsoku/>
              <w:wordWrap/>
              <w:overflowPunct/>
              <w:topLinePunct w:val="0"/>
              <w:autoSpaceDE/>
              <w:autoSpaceDN/>
              <w:bidi w:val="0"/>
              <w:adjustRightInd/>
              <w:snapToGrid/>
              <w:ind w:firstLine="510" w:firstLineChars="200"/>
              <w:textAlignment w:val="auto"/>
              <w:rPr>
                <w:rStyle w:val="31"/>
                <w:rFonts w:hint="default" w:ascii="Times New Roman" w:hAnsi="Times New Roman" w:cs="Times New Roman"/>
                <w:color w:val="auto"/>
                <w:kern w:val="0"/>
                <w:sz w:val="24"/>
                <w:lang w:val="en-US"/>
              </w:rPr>
            </w:pPr>
            <w:r>
              <w:rPr>
                <w:rFonts w:hint="default" w:ascii="Times New Roman" w:hAnsi="Times New Roman" w:cs="Times New Roman"/>
                <w:color w:val="auto"/>
                <w:sz w:val="24"/>
                <w:lang w:val="en-US" w:eastAsia="zh-CN" w:bidi="ar"/>
              </w:rPr>
              <w:t>根据现场调查，修复区表面零星生长极少量植被，项目区植被主要有沙打旺、短花针茅、蓍状亚菊杂类草群落、沙蓬群落等荒漠草原植被。沙打旺、柠条、沙柳、油蒿、短花针茅、荒漠锦鸡儿等是本区代表性的植物。</w:t>
            </w:r>
            <w:r>
              <w:rPr>
                <w:rFonts w:hint="default" w:ascii="Times New Roman" w:hAnsi="Times New Roman" w:cs="Times New Roman"/>
                <w:color w:val="auto"/>
                <w:kern w:val="0"/>
                <w:sz w:val="24"/>
                <w:lang w:bidi="ar"/>
              </w:rPr>
              <w:t>项目</w:t>
            </w:r>
            <w:r>
              <w:rPr>
                <w:rFonts w:hint="default" w:ascii="Times New Roman" w:hAnsi="Times New Roman" w:cs="Times New Roman"/>
                <w:color w:val="auto"/>
                <w:kern w:val="0"/>
                <w:sz w:val="24"/>
                <w:lang w:val="en-US" w:eastAsia="zh-CN" w:bidi="ar"/>
              </w:rPr>
              <w:t>所在区域</w:t>
            </w:r>
            <w:r>
              <w:rPr>
                <w:rFonts w:hint="default" w:ascii="Times New Roman" w:hAnsi="Times New Roman" w:cs="Times New Roman"/>
                <w:color w:val="auto"/>
                <w:kern w:val="0"/>
                <w:sz w:val="24"/>
                <w:lang w:bidi="ar"/>
              </w:rPr>
              <w:t>植被类型见附图</w:t>
            </w:r>
            <w:r>
              <w:rPr>
                <w:rFonts w:hint="default" w:ascii="Times New Roman" w:hAnsi="Times New Roman" w:cs="Times New Roman"/>
                <w:color w:val="auto"/>
                <w:kern w:val="0"/>
                <w:sz w:val="24"/>
                <w:lang w:val="en-US" w:eastAsia="zh-CN" w:bidi="ar"/>
              </w:rPr>
              <w:t>12</w:t>
            </w:r>
            <w:r>
              <w:rPr>
                <w:rFonts w:hint="default" w:ascii="Times New Roman" w:hAnsi="Times New Roman" w:cs="Times New Roman"/>
                <w:color w:val="auto"/>
                <w:sz w:val="24"/>
                <w:szCs w:val="32"/>
              </w:rPr>
              <w:t>。</w:t>
            </w:r>
          </w:p>
          <w:tbl>
            <w:tblPr>
              <w:tblStyle w:val="25"/>
              <w:tblW w:w="499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150"/>
              <w:gridCol w:w="4150"/>
            </w:tblGrid>
            <w:tr w14:paraId="50CD0A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01" w:type="dxa"/>
                  <w:tcBorders>
                    <w:top w:val="nil"/>
                    <w:left w:val="nil"/>
                    <w:bottom w:val="nil"/>
                    <w:right w:val="nil"/>
                  </w:tcBorders>
                  <w:noWrap w:val="0"/>
                  <w:vAlign w:val="center"/>
                </w:tcPr>
                <w:p w14:paraId="7E663F2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color w:val="auto"/>
                      <w:sz w:val="21"/>
                      <w:szCs w:val="21"/>
                      <w:lang w:val="en-US" w:eastAsia="zh-CN"/>
                    </w:rPr>
                    <w:drawing>
                      <wp:inline distT="0" distB="0" distL="114300" distR="114300">
                        <wp:extent cx="2545080" cy="1774825"/>
                        <wp:effectExtent l="0" t="0" r="7620" b="15875"/>
                        <wp:docPr id="12" name="图片 1"/>
                        <wp:cNvGraphicFramePr/>
                        <a:graphic xmlns:a="http://schemas.openxmlformats.org/drawingml/2006/main">
                          <a:graphicData uri="http://schemas.openxmlformats.org/drawingml/2006/picture">
                            <pic:pic xmlns:pic="http://schemas.openxmlformats.org/drawingml/2006/picture">
                              <pic:nvPicPr>
                                <pic:cNvPr id="12" name="图片 1"/>
                                <pic:cNvPicPr preferRelativeResize="0"/>
                              </pic:nvPicPr>
                              <pic:blipFill>
                                <a:blip r:embed="rId19"/>
                                <a:stretch>
                                  <a:fillRect/>
                                </a:stretch>
                              </pic:blipFill>
                              <pic:spPr>
                                <a:xfrm>
                                  <a:off x="0" y="0"/>
                                  <a:ext cx="2545080" cy="1774825"/>
                                </a:xfrm>
                                <a:prstGeom prst="rect">
                                  <a:avLst/>
                                </a:prstGeom>
                                <a:noFill/>
                                <a:ln>
                                  <a:noFill/>
                                </a:ln>
                              </pic:spPr>
                            </pic:pic>
                          </a:graphicData>
                        </a:graphic>
                      </wp:inline>
                    </w:drawing>
                  </w:r>
                </w:p>
              </w:tc>
              <w:tc>
                <w:tcPr>
                  <w:tcW w:w="4202" w:type="dxa"/>
                  <w:tcBorders>
                    <w:top w:val="nil"/>
                    <w:left w:val="nil"/>
                    <w:bottom w:val="nil"/>
                    <w:right w:val="nil"/>
                  </w:tcBorders>
                  <w:noWrap w:val="0"/>
                  <w:vAlign w:val="center"/>
                </w:tcPr>
                <w:p w14:paraId="7BCF2D1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cs="Times New Roman"/>
                      <w:color w:val="auto"/>
                      <w:sz w:val="21"/>
                      <w:szCs w:val="21"/>
                    </w:rPr>
                    <w:drawing>
                      <wp:inline distT="0" distB="0" distL="114300" distR="114300">
                        <wp:extent cx="2545080" cy="1774825"/>
                        <wp:effectExtent l="0" t="0" r="7620" b="15875"/>
                        <wp:docPr id="13" name="图片 2"/>
                        <wp:cNvGraphicFramePr/>
                        <a:graphic xmlns:a="http://schemas.openxmlformats.org/drawingml/2006/main">
                          <a:graphicData uri="http://schemas.openxmlformats.org/drawingml/2006/picture">
                            <pic:pic xmlns:pic="http://schemas.openxmlformats.org/drawingml/2006/picture">
                              <pic:nvPicPr>
                                <pic:cNvPr id="13" name="图片 2"/>
                                <pic:cNvPicPr preferRelativeResize="0"/>
                              </pic:nvPicPr>
                              <pic:blipFill>
                                <a:blip r:embed="rId20"/>
                                <a:stretch>
                                  <a:fillRect/>
                                </a:stretch>
                              </pic:blipFill>
                              <pic:spPr>
                                <a:xfrm>
                                  <a:off x="0" y="0"/>
                                  <a:ext cx="2545080" cy="1774825"/>
                                </a:xfrm>
                                <a:prstGeom prst="rect">
                                  <a:avLst/>
                                </a:prstGeom>
                                <a:noFill/>
                                <a:ln>
                                  <a:noFill/>
                                </a:ln>
                              </pic:spPr>
                            </pic:pic>
                          </a:graphicData>
                        </a:graphic>
                      </wp:inline>
                    </w:drawing>
                  </w:r>
                </w:p>
              </w:tc>
            </w:tr>
            <w:tr w14:paraId="7CF6EF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01" w:type="dxa"/>
                  <w:tcBorders>
                    <w:top w:val="nil"/>
                    <w:left w:val="nil"/>
                    <w:bottom w:val="nil"/>
                    <w:right w:val="nil"/>
                  </w:tcBorders>
                  <w:noWrap w:val="0"/>
                  <w:vAlign w:val="center"/>
                </w:tcPr>
                <w:p w14:paraId="536166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柠条</w:t>
                  </w:r>
                </w:p>
              </w:tc>
              <w:tc>
                <w:tcPr>
                  <w:tcW w:w="4202" w:type="dxa"/>
                  <w:tcBorders>
                    <w:top w:val="nil"/>
                    <w:left w:val="nil"/>
                    <w:bottom w:val="nil"/>
                    <w:right w:val="nil"/>
                  </w:tcBorders>
                  <w:noWrap w:val="0"/>
                  <w:vAlign w:val="center"/>
                </w:tcPr>
                <w:p w14:paraId="7D70E48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沙蓬</w:t>
                  </w:r>
                </w:p>
              </w:tc>
            </w:tr>
            <w:tr w14:paraId="26D650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01" w:type="dxa"/>
                  <w:tcBorders>
                    <w:top w:val="nil"/>
                    <w:left w:val="nil"/>
                    <w:bottom w:val="nil"/>
                    <w:right w:val="nil"/>
                  </w:tcBorders>
                  <w:noWrap w:val="0"/>
                  <w:vAlign w:val="center"/>
                </w:tcPr>
                <w:p w14:paraId="5579DBF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cs="Times New Roman"/>
                      <w:color w:val="auto"/>
                      <w:sz w:val="21"/>
                      <w:szCs w:val="21"/>
                    </w:rPr>
                    <w:drawing>
                      <wp:inline distT="0" distB="0" distL="114300" distR="114300">
                        <wp:extent cx="2545080" cy="1774825"/>
                        <wp:effectExtent l="0" t="0" r="7620" b="15875"/>
                        <wp:docPr id="18" name="图片 3"/>
                        <wp:cNvGraphicFramePr/>
                        <a:graphic xmlns:a="http://schemas.openxmlformats.org/drawingml/2006/main">
                          <a:graphicData uri="http://schemas.openxmlformats.org/drawingml/2006/picture">
                            <pic:pic xmlns:pic="http://schemas.openxmlformats.org/drawingml/2006/picture">
                              <pic:nvPicPr>
                                <pic:cNvPr id="18" name="图片 3"/>
                                <pic:cNvPicPr preferRelativeResize="0"/>
                              </pic:nvPicPr>
                              <pic:blipFill>
                                <a:blip r:embed="rId21"/>
                                <a:srcRect l="15552" r="3680" b="5426"/>
                                <a:stretch>
                                  <a:fillRect/>
                                </a:stretch>
                              </pic:blipFill>
                              <pic:spPr>
                                <a:xfrm>
                                  <a:off x="0" y="0"/>
                                  <a:ext cx="2545080" cy="1774825"/>
                                </a:xfrm>
                                <a:prstGeom prst="rect">
                                  <a:avLst/>
                                </a:prstGeom>
                                <a:noFill/>
                                <a:ln>
                                  <a:noFill/>
                                </a:ln>
                              </pic:spPr>
                            </pic:pic>
                          </a:graphicData>
                        </a:graphic>
                      </wp:inline>
                    </w:drawing>
                  </w:r>
                </w:p>
              </w:tc>
              <w:tc>
                <w:tcPr>
                  <w:tcW w:w="4202" w:type="dxa"/>
                  <w:tcBorders>
                    <w:top w:val="nil"/>
                    <w:left w:val="nil"/>
                    <w:bottom w:val="nil"/>
                    <w:right w:val="nil"/>
                  </w:tcBorders>
                  <w:noWrap w:val="0"/>
                  <w:vAlign w:val="center"/>
                </w:tcPr>
                <w:p w14:paraId="2A7AE01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cs="Times New Roman"/>
                      <w:color w:val="auto"/>
                      <w:sz w:val="21"/>
                      <w:szCs w:val="21"/>
                    </w:rPr>
                    <w:drawing>
                      <wp:inline distT="0" distB="0" distL="114300" distR="114300">
                        <wp:extent cx="2545080" cy="1774825"/>
                        <wp:effectExtent l="0" t="0" r="7620" b="15875"/>
                        <wp:docPr id="14" name="图片 4"/>
                        <wp:cNvGraphicFramePr/>
                        <a:graphic xmlns:a="http://schemas.openxmlformats.org/drawingml/2006/main">
                          <a:graphicData uri="http://schemas.openxmlformats.org/drawingml/2006/picture">
                            <pic:pic xmlns:pic="http://schemas.openxmlformats.org/drawingml/2006/picture">
                              <pic:nvPicPr>
                                <pic:cNvPr id="14" name="图片 4"/>
                                <pic:cNvPicPr preferRelativeResize="0"/>
                              </pic:nvPicPr>
                              <pic:blipFill>
                                <a:blip r:embed="rId22"/>
                                <a:srcRect t="9363" b="3140"/>
                                <a:stretch>
                                  <a:fillRect/>
                                </a:stretch>
                              </pic:blipFill>
                              <pic:spPr>
                                <a:xfrm>
                                  <a:off x="0" y="0"/>
                                  <a:ext cx="2545080" cy="1774825"/>
                                </a:xfrm>
                                <a:prstGeom prst="rect">
                                  <a:avLst/>
                                </a:prstGeom>
                                <a:noFill/>
                                <a:ln>
                                  <a:noFill/>
                                </a:ln>
                              </pic:spPr>
                            </pic:pic>
                          </a:graphicData>
                        </a:graphic>
                      </wp:inline>
                    </w:drawing>
                  </w:r>
                </w:p>
              </w:tc>
            </w:tr>
            <w:tr w14:paraId="264FCE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01" w:type="dxa"/>
                  <w:tcBorders>
                    <w:top w:val="nil"/>
                    <w:left w:val="nil"/>
                    <w:bottom w:val="nil"/>
                    <w:right w:val="nil"/>
                  </w:tcBorders>
                  <w:noWrap w:val="0"/>
                  <w:vAlign w:val="center"/>
                </w:tcPr>
                <w:p w14:paraId="7A64F66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val="0"/>
                      <w:bCs w:val="0"/>
                      <w:color w:val="auto"/>
                      <w:kern w:val="0"/>
                      <w:sz w:val="21"/>
                      <w:szCs w:val="21"/>
                      <w:lang w:bidi="ar"/>
                    </w:rPr>
                    <w:t>沙打旺</w:t>
                  </w:r>
                </w:p>
              </w:tc>
              <w:tc>
                <w:tcPr>
                  <w:tcW w:w="4202" w:type="dxa"/>
                  <w:tcBorders>
                    <w:top w:val="nil"/>
                    <w:left w:val="nil"/>
                    <w:bottom w:val="nil"/>
                    <w:right w:val="nil"/>
                  </w:tcBorders>
                  <w:noWrap w:val="0"/>
                  <w:vAlign w:val="center"/>
                </w:tcPr>
                <w:p w14:paraId="69CF3BB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val="0"/>
                      <w:bCs w:val="0"/>
                      <w:color w:val="auto"/>
                      <w:kern w:val="0"/>
                      <w:sz w:val="21"/>
                      <w:szCs w:val="21"/>
                      <w:lang w:bidi="ar"/>
                    </w:rPr>
                    <w:t>沙柳</w:t>
                  </w:r>
                </w:p>
              </w:tc>
            </w:tr>
            <w:tr w14:paraId="6C086B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01" w:type="dxa"/>
                  <w:tcBorders>
                    <w:top w:val="nil"/>
                    <w:left w:val="nil"/>
                    <w:bottom w:val="nil"/>
                    <w:right w:val="nil"/>
                  </w:tcBorders>
                  <w:noWrap w:val="0"/>
                  <w:vAlign w:val="center"/>
                </w:tcPr>
                <w:p w14:paraId="365D1F6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cs="Times New Roman"/>
                      <w:color w:val="auto"/>
                      <w:sz w:val="21"/>
                      <w:szCs w:val="21"/>
                    </w:rPr>
                    <w:drawing>
                      <wp:inline distT="0" distB="0" distL="114300" distR="114300">
                        <wp:extent cx="2545080" cy="1774825"/>
                        <wp:effectExtent l="0" t="0" r="7620" b="15875"/>
                        <wp:docPr id="20" name="图片 5"/>
                        <wp:cNvGraphicFramePr/>
                        <a:graphic xmlns:a="http://schemas.openxmlformats.org/drawingml/2006/main">
                          <a:graphicData uri="http://schemas.openxmlformats.org/drawingml/2006/picture">
                            <pic:pic xmlns:pic="http://schemas.openxmlformats.org/drawingml/2006/picture">
                              <pic:nvPicPr>
                                <pic:cNvPr id="20" name="图片 5"/>
                                <pic:cNvPicPr preferRelativeResize="0"/>
                              </pic:nvPicPr>
                              <pic:blipFill>
                                <a:blip r:embed="rId23"/>
                                <a:stretch>
                                  <a:fillRect/>
                                </a:stretch>
                              </pic:blipFill>
                              <pic:spPr>
                                <a:xfrm>
                                  <a:off x="0" y="0"/>
                                  <a:ext cx="2545080" cy="1774825"/>
                                </a:xfrm>
                                <a:prstGeom prst="rect">
                                  <a:avLst/>
                                </a:prstGeom>
                                <a:noFill/>
                                <a:ln>
                                  <a:noFill/>
                                </a:ln>
                              </pic:spPr>
                            </pic:pic>
                          </a:graphicData>
                        </a:graphic>
                      </wp:inline>
                    </w:drawing>
                  </w:r>
                </w:p>
              </w:tc>
              <w:tc>
                <w:tcPr>
                  <w:tcW w:w="4202" w:type="dxa"/>
                  <w:tcBorders>
                    <w:top w:val="nil"/>
                    <w:left w:val="nil"/>
                    <w:bottom w:val="nil"/>
                    <w:right w:val="nil"/>
                  </w:tcBorders>
                  <w:noWrap w:val="0"/>
                  <w:vAlign w:val="center"/>
                </w:tcPr>
                <w:p w14:paraId="7C2B57A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cs="Times New Roman"/>
                      <w:color w:val="auto"/>
                      <w:sz w:val="21"/>
                      <w:szCs w:val="21"/>
                    </w:rPr>
                    <w:drawing>
                      <wp:inline distT="0" distB="0" distL="114300" distR="114300">
                        <wp:extent cx="2545080" cy="1774825"/>
                        <wp:effectExtent l="0" t="0" r="7620" b="15875"/>
                        <wp:docPr id="21" name="图片 6"/>
                        <wp:cNvGraphicFramePr/>
                        <a:graphic xmlns:a="http://schemas.openxmlformats.org/drawingml/2006/main">
                          <a:graphicData uri="http://schemas.openxmlformats.org/drawingml/2006/picture">
                            <pic:pic xmlns:pic="http://schemas.openxmlformats.org/drawingml/2006/picture">
                              <pic:nvPicPr>
                                <pic:cNvPr id="21" name="图片 6"/>
                                <pic:cNvPicPr preferRelativeResize="0"/>
                              </pic:nvPicPr>
                              <pic:blipFill>
                                <a:blip r:embed="rId24"/>
                                <a:srcRect t="32603" r="-119" b="2850"/>
                                <a:stretch>
                                  <a:fillRect/>
                                </a:stretch>
                              </pic:blipFill>
                              <pic:spPr>
                                <a:xfrm>
                                  <a:off x="0" y="0"/>
                                  <a:ext cx="2545080" cy="1774825"/>
                                </a:xfrm>
                                <a:prstGeom prst="rect">
                                  <a:avLst/>
                                </a:prstGeom>
                                <a:noFill/>
                                <a:ln>
                                  <a:noFill/>
                                </a:ln>
                              </pic:spPr>
                            </pic:pic>
                          </a:graphicData>
                        </a:graphic>
                      </wp:inline>
                    </w:drawing>
                  </w:r>
                </w:p>
              </w:tc>
            </w:tr>
            <w:tr w14:paraId="5AD22D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01" w:type="dxa"/>
                  <w:tcBorders>
                    <w:top w:val="nil"/>
                    <w:left w:val="nil"/>
                    <w:bottom w:val="nil"/>
                    <w:right w:val="nil"/>
                  </w:tcBorders>
                  <w:noWrap w:val="0"/>
                  <w:vAlign w:val="center"/>
                </w:tcPr>
                <w:p w14:paraId="03822C8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cs="Times New Roman"/>
                      <w:color w:val="auto"/>
                      <w:sz w:val="21"/>
                      <w:szCs w:val="21"/>
                      <w:lang w:val="en-US" w:eastAsia="zh-CN"/>
                    </w:rPr>
                    <w:t>油蒿</w:t>
                  </w:r>
                </w:p>
              </w:tc>
              <w:tc>
                <w:tcPr>
                  <w:tcW w:w="4202" w:type="dxa"/>
                  <w:tcBorders>
                    <w:top w:val="nil"/>
                    <w:left w:val="nil"/>
                    <w:bottom w:val="nil"/>
                    <w:right w:val="nil"/>
                  </w:tcBorders>
                  <w:noWrap w:val="0"/>
                  <w:vAlign w:val="center"/>
                </w:tcPr>
                <w:p w14:paraId="3F5A38C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val="0"/>
                      <w:bCs w:val="0"/>
                      <w:color w:val="auto"/>
                      <w:kern w:val="0"/>
                      <w:sz w:val="21"/>
                      <w:szCs w:val="21"/>
                      <w:lang w:bidi="ar"/>
                    </w:rPr>
                    <w:t>短花针茅</w:t>
                  </w:r>
                </w:p>
              </w:tc>
            </w:tr>
          </w:tbl>
          <w:p w14:paraId="2F89924F">
            <w:pPr>
              <w:adjustRightInd w:val="0"/>
              <w:snapToGrid w:val="0"/>
              <w:spacing w:before="46" w:beforeLines="10" w:after="46" w:afterLines="10" w:line="259" w:lineRule="auto"/>
              <w:ind w:firstLine="420"/>
              <w:jc w:val="center"/>
              <w:rPr>
                <w:rFonts w:hint="default" w:ascii="Times New Roman" w:hAnsi="Times New Roman" w:eastAsia="黑体" w:cs="Times New Roman"/>
                <w:color w:val="auto"/>
                <w:kern w:val="0"/>
                <w:sz w:val="24"/>
                <w:szCs w:val="20"/>
              </w:rPr>
            </w:pPr>
            <w:r>
              <w:rPr>
                <w:rFonts w:hint="default" w:ascii="Times New Roman" w:hAnsi="Times New Roman" w:eastAsia="黑体" w:cs="Times New Roman"/>
                <w:color w:val="auto"/>
                <w:kern w:val="0"/>
                <w:sz w:val="24"/>
                <w:szCs w:val="20"/>
              </w:rPr>
              <w:t>图3-</w:t>
            </w:r>
            <w:r>
              <w:rPr>
                <w:rFonts w:hint="default" w:ascii="Times New Roman" w:hAnsi="Times New Roman" w:eastAsia="黑体" w:cs="Times New Roman"/>
                <w:color w:val="auto"/>
                <w:kern w:val="0"/>
                <w:sz w:val="24"/>
                <w:szCs w:val="20"/>
                <w:lang w:val="en-US" w:eastAsia="zh-CN"/>
              </w:rPr>
              <w:t>2</w:t>
            </w:r>
            <w:r>
              <w:rPr>
                <w:rFonts w:hint="default" w:ascii="Times New Roman" w:hAnsi="Times New Roman" w:eastAsia="黑体" w:cs="Times New Roman"/>
                <w:color w:val="auto"/>
                <w:kern w:val="0"/>
                <w:sz w:val="24"/>
                <w:szCs w:val="20"/>
              </w:rPr>
              <w:t xml:space="preserve">  矿区周边植被</w:t>
            </w:r>
          </w:p>
          <w:p w14:paraId="3C0A0146">
            <w:pPr>
              <w:ind w:firstLine="510" w:firstLineChars="200"/>
              <w:rPr>
                <w:rFonts w:hint="default" w:ascii="Times New Roman" w:hAnsi="Times New Roman" w:eastAsia="宋体" w:cs="Times New Roman"/>
                <w:color w:val="auto"/>
                <w:kern w:val="0"/>
                <w:sz w:val="24"/>
                <w:lang w:val="zh-CN"/>
              </w:rPr>
            </w:pPr>
            <w:r>
              <w:rPr>
                <w:rFonts w:hint="default" w:ascii="Times New Roman" w:hAnsi="Times New Roman" w:eastAsia="宋体" w:cs="Times New Roman"/>
                <w:color w:val="auto"/>
                <w:kern w:val="0"/>
                <w:sz w:val="24"/>
                <w:lang w:val="zh-CN"/>
              </w:rPr>
              <w:t>（</w:t>
            </w:r>
            <w:r>
              <w:rPr>
                <w:rFonts w:hint="default" w:ascii="Times New Roman" w:hAnsi="Times New Roman" w:cs="Times New Roman"/>
                <w:color w:val="auto"/>
                <w:kern w:val="0"/>
                <w:sz w:val="24"/>
                <w:lang w:val="en-US" w:eastAsia="zh-CN"/>
              </w:rPr>
              <w:t>4</w:t>
            </w:r>
            <w:r>
              <w:rPr>
                <w:rFonts w:hint="default" w:ascii="Times New Roman" w:hAnsi="Times New Roman" w:eastAsia="宋体" w:cs="Times New Roman"/>
                <w:color w:val="auto"/>
                <w:kern w:val="0"/>
                <w:sz w:val="24"/>
                <w:lang w:val="zh-CN"/>
              </w:rPr>
              <w:t>）动物分布情况</w:t>
            </w:r>
          </w:p>
          <w:p w14:paraId="5DD9B9D1">
            <w:pPr>
              <w:keepNext w:val="0"/>
              <w:keepLines w:val="0"/>
              <w:pageBreakBefore w:val="0"/>
              <w:widowControl/>
              <w:kinsoku/>
              <w:wordWrap/>
              <w:overflowPunct/>
              <w:topLinePunct w:val="0"/>
              <w:autoSpaceDE/>
              <w:autoSpaceDN/>
              <w:bidi w:val="0"/>
              <w:adjustRightInd/>
              <w:snapToGrid/>
              <w:ind w:left="0" w:firstLine="510" w:firstLineChars="200"/>
              <w:jc w:val="both"/>
              <w:textAlignment w:val="auto"/>
              <w:rPr>
                <w:rFonts w:hint="default" w:ascii="Times New Roman" w:hAnsi="Times New Roman" w:eastAsia="宋体" w:cs="Times New Roman"/>
                <w:b/>
                <w:bCs/>
                <w:color w:val="auto"/>
                <w:kern w:val="0"/>
                <w:sz w:val="24"/>
              </w:rPr>
            </w:pPr>
            <w:r>
              <w:rPr>
                <w:rFonts w:hint="default" w:ascii="Times New Roman" w:hAnsi="Times New Roman" w:cs="Times New Roman"/>
                <w:color w:val="auto"/>
                <w:kern w:val="0"/>
                <w:sz w:val="24"/>
              </w:rPr>
              <w:t>本项目所在区域为中卫市沙坡头区</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野生动物主要为田鼠、黄鼠、长爪沙鼠等，无重点保护动物种分布。该区域内鸟类主要为麻雀等，无珍惜濒危鸟类分布。根据现场勘察，整个评价区内没有发现珍稀、濒危动物物种的栖息地和繁殖地。</w:t>
            </w:r>
          </w:p>
          <w:p w14:paraId="579611E2">
            <w:pPr>
              <w:numPr>
                <w:ilvl w:val="0"/>
                <w:numId w:val="8"/>
              </w:numPr>
              <w:autoSpaceDE w:val="0"/>
              <w:autoSpaceDN w:val="0"/>
              <w:spacing w:before="240" w:after="60"/>
              <w:jc w:val="left"/>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环境空气质量现状</w:t>
            </w:r>
          </w:p>
          <w:p w14:paraId="08367D1D">
            <w:pPr>
              <w:ind w:firstLine="51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本项目位于</w:t>
            </w:r>
            <w:r>
              <w:rPr>
                <w:rFonts w:hint="default" w:ascii="Times New Roman" w:hAnsi="Times New Roman" w:cs="Times New Roman"/>
                <w:color w:val="auto"/>
                <w:kern w:val="0"/>
                <w:sz w:val="24"/>
                <w:lang w:eastAsia="zh-CN"/>
              </w:rPr>
              <w:t>中卫</w:t>
            </w:r>
            <w:r>
              <w:rPr>
                <w:rFonts w:hint="default" w:ascii="Times New Roman" w:hAnsi="Times New Roman" w:eastAsia="宋体" w:cs="Times New Roman"/>
                <w:color w:val="auto"/>
                <w:kern w:val="0"/>
                <w:sz w:val="24"/>
              </w:rPr>
              <w:t>市</w:t>
            </w:r>
            <w:r>
              <w:rPr>
                <w:rFonts w:hint="default" w:ascii="Times New Roman" w:hAnsi="Times New Roman" w:cs="Times New Roman"/>
                <w:color w:val="auto"/>
                <w:kern w:val="0"/>
                <w:sz w:val="24"/>
                <w:lang w:eastAsia="zh-CN"/>
              </w:rPr>
              <w:t>沙坡头区</w:t>
            </w:r>
            <w:r>
              <w:rPr>
                <w:rFonts w:hint="default" w:ascii="Times New Roman" w:hAnsi="Times New Roman" w:eastAsia="宋体" w:cs="Times New Roman"/>
                <w:color w:val="auto"/>
                <w:kern w:val="0"/>
                <w:sz w:val="24"/>
              </w:rPr>
              <w:t>，所在环境空气质量执行《环境空气质量标准》</w:t>
            </w:r>
            <w:r>
              <w:rPr>
                <w:rFonts w:hint="default" w:ascii="Times New Roman" w:hAnsi="Times New Roman" w:eastAsia="宋体" w:cs="Times New Roman"/>
                <w:color w:val="auto"/>
                <w:kern w:val="0"/>
                <w:sz w:val="24"/>
                <w:lang w:eastAsia="zh-CN"/>
              </w:rPr>
              <w:t>（GB3095-2012）</w:t>
            </w:r>
            <w:r>
              <w:rPr>
                <w:rFonts w:hint="default" w:ascii="Times New Roman" w:hAnsi="Times New Roman" w:eastAsia="宋体" w:cs="Times New Roman"/>
                <w:color w:val="auto"/>
                <w:kern w:val="0"/>
                <w:sz w:val="24"/>
              </w:rPr>
              <w:t>及其修改单中二级标准，本次环境空气质量现状中六项基本大气污染因子SO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、NO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2.5</w:t>
            </w:r>
            <w:r>
              <w:rPr>
                <w:rFonts w:hint="default" w:ascii="Times New Roman" w:hAnsi="Times New Roman" w:eastAsia="宋体" w:cs="Times New Roman"/>
                <w:color w:val="auto"/>
                <w:kern w:val="0"/>
                <w:sz w:val="24"/>
              </w:rPr>
              <w:t>、O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、CO引用</w:t>
            </w:r>
            <w:r>
              <w:rPr>
                <w:rFonts w:hint="default" w:ascii="Times New Roman" w:hAnsi="Times New Roman" w:eastAsia="宋体" w:cs="Times New Roman"/>
                <w:color w:val="auto"/>
                <w:sz w:val="24"/>
              </w:rPr>
              <w:t>《202</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年宁夏生态环境质量报告》中</w:t>
            </w:r>
            <w:r>
              <w:rPr>
                <w:rFonts w:hint="default" w:ascii="Times New Roman" w:hAnsi="Times New Roman" w:cs="Times New Roman"/>
                <w:color w:val="auto"/>
                <w:sz w:val="24"/>
                <w:lang w:eastAsia="zh-CN"/>
              </w:rPr>
              <w:t>沙坡头区</w:t>
            </w:r>
            <w:r>
              <w:rPr>
                <w:rFonts w:hint="default" w:ascii="Times New Roman" w:hAnsi="Times New Roman" w:eastAsia="宋体" w:cs="Times New Roman"/>
                <w:color w:val="auto"/>
                <w:kern w:val="0"/>
                <w:sz w:val="24"/>
              </w:rPr>
              <w:t>的监测数据，作为本次区域达标判定依据，评价基准年为202</w:t>
            </w:r>
            <w:r>
              <w:rPr>
                <w:rFonts w:hint="default" w:ascii="Times New Roman" w:hAnsi="Times New Roman" w:cs="Times New Roman"/>
                <w:color w:val="auto"/>
                <w:kern w:val="0"/>
                <w:sz w:val="24"/>
                <w:lang w:val="en-US" w:eastAsia="zh-CN"/>
              </w:rPr>
              <w:t>3</w:t>
            </w:r>
            <w:r>
              <w:rPr>
                <w:rFonts w:hint="default" w:ascii="Times New Roman" w:hAnsi="Times New Roman" w:eastAsia="宋体" w:cs="Times New Roman"/>
                <w:color w:val="auto"/>
                <w:kern w:val="0"/>
                <w:sz w:val="24"/>
              </w:rPr>
              <w:t>年，具体区域环境空气质量见表</w:t>
            </w:r>
            <w:r>
              <w:rPr>
                <w:rFonts w:hint="default" w:ascii="Times New Roman" w:hAnsi="Times New Roman" w:cs="Times New Roman"/>
                <w:color w:val="auto"/>
                <w:kern w:val="0"/>
                <w:sz w:val="24"/>
                <w:lang w:val="en-US" w:eastAsia="zh-CN"/>
              </w:rPr>
              <w:t>3-2</w:t>
            </w:r>
            <w:r>
              <w:rPr>
                <w:rFonts w:hint="default" w:ascii="Times New Roman" w:hAnsi="Times New Roman" w:eastAsia="宋体" w:cs="Times New Roman"/>
                <w:color w:val="auto"/>
                <w:kern w:val="0"/>
                <w:sz w:val="24"/>
              </w:rPr>
              <w:t>。</w:t>
            </w:r>
          </w:p>
          <w:p w14:paraId="4559B3FA">
            <w:pPr>
              <w:jc w:val="center"/>
              <w:rPr>
                <w:rFonts w:hint="default" w:ascii="Times New Roman" w:hAnsi="Times New Roman" w:eastAsia="黑体" w:cs="Times New Roman"/>
                <w:color w:val="auto"/>
                <w:sz w:val="24"/>
              </w:rPr>
            </w:pPr>
          </w:p>
          <w:p w14:paraId="119C6E31">
            <w:pPr>
              <w:jc w:val="center"/>
              <w:rPr>
                <w:rFonts w:hint="default" w:ascii="Times New Roman" w:hAnsi="Times New Roman" w:eastAsia="黑体" w:cs="Times New Roman"/>
                <w:color w:val="auto"/>
                <w:sz w:val="24"/>
              </w:rPr>
            </w:pPr>
          </w:p>
          <w:p w14:paraId="39651928">
            <w:pPr>
              <w:jc w:val="center"/>
              <w:rPr>
                <w:rFonts w:hint="default" w:ascii="Times New Roman" w:hAnsi="Times New Roman" w:eastAsia="黑体" w:cs="Times New Roman"/>
                <w:color w:val="auto"/>
                <w:sz w:val="24"/>
              </w:rPr>
            </w:pPr>
          </w:p>
          <w:p w14:paraId="42DA56F2">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w:t>
            </w:r>
            <w:r>
              <w:rPr>
                <w:rFonts w:hint="default" w:ascii="Times New Roman" w:hAnsi="Times New Roman" w:eastAsia="黑体" w:cs="Times New Roman"/>
                <w:color w:val="auto"/>
                <w:sz w:val="24"/>
                <w:lang w:val="en-US" w:eastAsia="zh-CN"/>
              </w:rPr>
              <w:t>2</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eastAsia="zh-CN"/>
              </w:rPr>
              <w:t>沙坡头区</w:t>
            </w:r>
            <w:r>
              <w:rPr>
                <w:rFonts w:hint="default" w:ascii="Times New Roman" w:hAnsi="Times New Roman" w:eastAsia="黑体" w:cs="Times New Roman"/>
                <w:color w:val="auto"/>
                <w:sz w:val="24"/>
              </w:rPr>
              <w:t>空气质量现状评价表（202</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年）</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462"/>
              <w:gridCol w:w="1230"/>
              <w:gridCol w:w="1124"/>
              <w:gridCol w:w="989"/>
              <w:gridCol w:w="1089"/>
            </w:tblGrid>
            <w:tr w14:paraId="6F510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ign w:val="center"/>
                </w:tcPr>
                <w:p w14:paraId="3D165A4E">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480" w:type="pct"/>
                  <w:noWrap/>
                  <w:vAlign w:val="center"/>
                </w:tcPr>
                <w:p w14:paraId="666DCF01">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年评价指标</w:t>
                  </w:r>
                </w:p>
              </w:tc>
              <w:tc>
                <w:tcPr>
                  <w:tcW w:w="739" w:type="pct"/>
                  <w:noWrap/>
                  <w:vAlign w:val="center"/>
                </w:tcPr>
                <w:p w14:paraId="12A42FD9">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现状浓度μg/m</w:t>
                  </w:r>
                  <w:r>
                    <w:rPr>
                      <w:rFonts w:hint="default" w:ascii="Times New Roman" w:hAnsi="Times New Roman" w:eastAsia="宋体" w:cs="Times New Roman"/>
                      <w:b/>
                      <w:color w:val="auto"/>
                      <w:sz w:val="21"/>
                      <w:szCs w:val="21"/>
                      <w:vertAlign w:val="superscript"/>
                    </w:rPr>
                    <w:t>3</w:t>
                  </w:r>
                </w:p>
              </w:tc>
              <w:tc>
                <w:tcPr>
                  <w:tcW w:w="675" w:type="pct"/>
                  <w:noWrap/>
                  <w:vAlign w:val="center"/>
                </w:tcPr>
                <w:p w14:paraId="51827791">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标准值μg/m</w:t>
                  </w:r>
                  <w:r>
                    <w:rPr>
                      <w:rFonts w:hint="default" w:ascii="Times New Roman" w:hAnsi="Times New Roman" w:eastAsia="宋体" w:cs="Times New Roman"/>
                      <w:b/>
                      <w:color w:val="auto"/>
                      <w:sz w:val="21"/>
                      <w:szCs w:val="21"/>
                      <w:vertAlign w:val="superscript"/>
                    </w:rPr>
                    <w:t>3</w:t>
                  </w:r>
                </w:p>
              </w:tc>
              <w:tc>
                <w:tcPr>
                  <w:tcW w:w="594" w:type="pct"/>
                  <w:noWrap/>
                  <w:vAlign w:val="center"/>
                </w:tcPr>
                <w:p w14:paraId="77CAD147">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占标率%</w:t>
                  </w:r>
                </w:p>
              </w:tc>
              <w:tc>
                <w:tcPr>
                  <w:tcW w:w="654" w:type="pct"/>
                  <w:noWrap/>
                  <w:vAlign w:val="center"/>
                </w:tcPr>
                <w:p w14:paraId="6D7FB07F">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w:t>
                  </w:r>
                </w:p>
                <w:p w14:paraId="543CAB27">
                  <w:pPr>
                    <w:widowControl/>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情况</w:t>
                  </w:r>
                </w:p>
              </w:tc>
            </w:tr>
            <w:tr w14:paraId="499DC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ign w:val="center"/>
                </w:tcPr>
                <w:p w14:paraId="140084EF">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480" w:type="pct"/>
                  <w:noWrap/>
                  <w:vAlign w:val="center"/>
                </w:tcPr>
                <w:p w14:paraId="276C1C91">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739" w:type="pct"/>
                  <w:noWrap/>
                  <w:vAlign w:val="center"/>
                </w:tcPr>
                <w:p w14:paraId="0B20D241">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675" w:type="pct"/>
                  <w:noWrap/>
                  <w:vAlign w:val="center"/>
                </w:tcPr>
                <w:p w14:paraId="6E23244F">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594" w:type="pct"/>
                  <w:noWrap/>
                  <w:vAlign w:val="center"/>
                </w:tcPr>
                <w:p w14:paraId="378F3895">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16.7</w:t>
                  </w:r>
                </w:p>
              </w:tc>
              <w:tc>
                <w:tcPr>
                  <w:tcW w:w="654" w:type="pct"/>
                  <w:noWrap/>
                  <w:vAlign w:val="center"/>
                </w:tcPr>
                <w:p w14:paraId="2DD2501E">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D20D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ign w:val="center"/>
                </w:tcPr>
                <w:p w14:paraId="1892F9A2">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480" w:type="pct"/>
                  <w:noWrap/>
                  <w:vAlign w:val="center"/>
                </w:tcPr>
                <w:p w14:paraId="6AB1A92B">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739" w:type="pct"/>
                  <w:noWrap/>
                  <w:vAlign w:val="center"/>
                </w:tcPr>
                <w:p w14:paraId="2D1764A5">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675" w:type="pct"/>
                  <w:noWrap/>
                  <w:vAlign w:val="center"/>
                </w:tcPr>
                <w:p w14:paraId="56C41598">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594" w:type="pct"/>
                  <w:noWrap/>
                  <w:vAlign w:val="center"/>
                </w:tcPr>
                <w:p w14:paraId="5FE005F8">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57.5</w:t>
                  </w:r>
                </w:p>
              </w:tc>
              <w:tc>
                <w:tcPr>
                  <w:tcW w:w="654" w:type="pct"/>
                  <w:noWrap/>
                  <w:vAlign w:val="center"/>
                </w:tcPr>
                <w:p w14:paraId="15ACE740">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2B7D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ign w:val="center"/>
                </w:tcPr>
                <w:p w14:paraId="06ED21F6">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480" w:type="pct"/>
                  <w:noWrap/>
                  <w:vAlign w:val="center"/>
                </w:tcPr>
                <w:p w14:paraId="759072FC">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39" w:type="pct"/>
                  <w:noWrap/>
                  <w:vAlign w:val="center"/>
                </w:tcPr>
                <w:p w14:paraId="182D0E2B">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cs="Times New Roman"/>
                      <w:color w:val="auto"/>
                      <w:sz w:val="21"/>
                      <w:szCs w:val="21"/>
                      <w:lang w:val="en-US" w:eastAsia="zh-CN"/>
                    </w:rPr>
                    <w:t>.7</w:t>
                  </w:r>
                </w:p>
              </w:tc>
              <w:tc>
                <w:tcPr>
                  <w:tcW w:w="675" w:type="pct"/>
                  <w:noWrap/>
                  <w:vAlign w:val="center"/>
                </w:tcPr>
                <w:p w14:paraId="4B63360A">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94" w:type="pct"/>
                  <w:noWrap/>
                  <w:vAlign w:val="center"/>
                </w:tcPr>
                <w:p w14:paraId="44B75AFD">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17.5</w:t>
                  </w:r>
                </w:p>
              </w:tc>
              <w:tc>
                <w:tcPr>
                  <w:tcW w:w="654" w:type="pct"/>
                  <w:noWrap/>
                  <w:vAlign w:val="center"/>
                </w:tcPr>
                <w:p w14:paraId="3EC419C6">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CF43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ign w:val="center"/>
                </w:tcPr>
                <w:p w14:paraId="01AD55E4">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480" w:type="pct"/>
                  <w:noWrap/>
                  <w:vAlign w:val="center"/>
                </w:tcPr>
                <w:p w14:paraId="1D9A33C2">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日最大8h滑动平均值的第90百分位数</w:t>
                  </w:r>
                </w:p>
              </w:tc>
              <w:tc>
                <w:tcPr>
                  <w:tcW w:w="739" w:type="pct"/>
                  <w:noWrap/>
                  <w:vAlign w:val="center"/>
                </w:tcPr>
                <w:p w14:paraId="21B909F7">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lang w:val="en-US" w:eastAsia="zh-CN"/>
                    </w:rPr>
                    <w:t>40</w:t>
                  </w:r>
                </w:p>
              </w:tc>
              <w:tc>
                <w:tcPr>
                  <w:tcW w:w="675" w:type="pct"/>
                  <w:noWrap/>
                  <w:vAlign w:val="center"/>
                </w:tcPr>
                <w:p w14:paraId="38710FBD">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594" w:type="pct"/>
                  <w:noWrap/>
                  <w:vAlign w:val="center"/>
                </w:tcPr>
                <w:p w14:paraId="7C1D7D52">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87.5</w:t>
                  </w:r>
                </w:p>
              </w:tc>
              <w:tc>
                <w:tcPr>
                  <w:tcW w:w="654" w:type="pct"/>
                  <w:noWrap/>
                  <w:vAlign w:val="center"/>
                </w:tcPr>
                <w:p w14:paraId="2FFD669D">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75D6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ign w:val="center"/>
                </w:tcPr>
                <w:p w14:paraId="354B03DF">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480" w:type="pct"/>
                  <w:noWrap/>
                  <w:vAlign w:val="center"/>
                </w:tcPr>
                <w:p w14:paraId="666F8283">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739" w:type="pct"/>
                  <w:noWrap/>
                  <w:vAlign w:val="center"/>
                </w:tcPr>
                <w:p w14:paraId="3BFB4E18">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66</w:t>
                  </w:r>
                </w:p>
              </w:tc>
              <w:tc>
                <w:tcPr>
                  <w:tcW w:w="675" w:type="pct"/>
                  <w:noWrap/>
                  <w:vAlign w:val="center"/>
                </w:tcPr>
                <w:p w14:paraId="0CDD0CF4">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594" w:type="pct"/>
                  <w:noWrap/>
                  <w:vAlign w:val="center"/>
                </w:tcPr>
                <w:p w14:paraId="23771FB3">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94.3</w:t>
                  </w:r>
                </w:p>
              </w:tc>
              <w:tc>
                <w:tcPr>
                  <w:tcW w:w="654" w:type="pct"/>
                  <w:noWrap/>
                  <w:vAlign w:val="center"/>
                </w:tcPr>
                <w:p w14:paraId="6AD07626">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D1D8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ign w:val="center"/>
                </w:tcPr>
                <w:p w14:paraId="7C0113DB">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480" w:type="pct"/>
                  <w:noWrap/>
                  <w:vAlign w:val="center"/>
                </w:tcPr>
                <w:p w14:paraId="24D8FBB0">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739" w:type="pct"/>
                  <w:noWrap/>
                  <w:vAlign w:val="center"/>
                </w:tcPr>
                <w:p w14:paraId="5ABEE83B">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default" w:ascii="Times New Roman" w:hAnsi="Times New Roman" w:cs="Times New Roman"/>
                      <w:color w:val="auto"/>
                      <w:sz w:val="21"/>
                      <w:szCs w:val="21"/>
                      <w:lang w:val="en-US" w:eastAsia="zh-CN"/>
                    </w:rPr>
                    <w:t>8</w:t>
                  </w:r>
                </w:p>
              </w:tc>
              <w:tc>
                <w:tcPr>
                  <w:tcW w:w="675" w:type="pct"/>
                  <w:noWrap/>
                  <w:vAlign w:val="center"/>
                </w:tcPr>
                <w:p w14:paraId="6A8A9F23">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94" w:type="pct"/>
                  <w:noWrap/>
                  <w:vAlign w:val="center"/>
                </w:tcPr>
                <w:p w14:paraId="25093D0F">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654" w:type="pct"/>
                  <w:noWrap/>
                  <w:vAlign w:val="center"/>
                </w:tcPr>
                <w:p w14:paraId="25D5C77F">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F6D4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ign w:val="center"/>
                </w:tcPr>
                <w:p w14:paraId="09D4F53C">
                  <w:pPr>
                    <w:widowControl/>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注：1、CO现状浓度和标准值单位均为mg/m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3EF2E5FD">
                  <w:pPr>
                    <w:widowControl/>
                    <w:adjustRightInd w:val="0"/>
                    <w:snapToGrid w:val="0"/>
                    <w:ind w:firstLine="45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2、现状浓度中PM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为剔除沙尘天气后的数值。</w:t>
                  </w:r>
                </w:p>
              </w:tc>
            </w:tr>
          </w:tbl>
          <w:p w14:paraId="366EECB7">
            <w:pPr>
              <w:ind w:firstLine="51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根据《202</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年宁夏生态环境质量报告》，</w:t>
            </w:r>
            <w:r>
              <w:rPr>
                <w:rFonts w:hint="default" w:ascii="Times New Roman" w:hAnsi="Times New Roman" w:eastAsia="宋体" w:cs="Times New Roman"/>
                <w:color w:val="auto"/>
                <w:sz w:val="24"/>
                <w:lang w:val="en-US" w:eastAsia="zh-CN"/>
              </w:rPr>
              <w:t>剔除沙尘天气影响后，</w:t>
            </w:r>
            <w:r>
              <w:rPr>
                <w:rFonts w:hint="default" w:ascii="Times New Roman" w:hAnsi="Times New Roman" w:cs="Times New Roman"/>
                <w:color w:val="auto"/>
                <w:sz w:val="24"/>
                <w:lang w:eastAsia="zh-CN"/>
              </w:rPr>
              <w:t>沙坡头区</w:t>
            </w:r>
            <w:r>
              <w:rPr>
                <w:rFonts w:hint="default" w:ascii="Times New Roman" w:hAnsi="Times New Roman" w:eastAsia="宋体" w:cs="Times New Roman"/>
                <w:color w:val="auto"/>
                <w:sz w:val="24"/>
              </w:rPr>
              <w:t>202</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年度SO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年均浓度、CO24h平均第95百分位数浓度、O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日最大8h滑动平均值第90百分位数浓度均达到《环境空气质量标准》（GB3095-2012）及修改单中二级标准，项目所处区域属于达标区。</w:t>
            </w:r>
          </w:p>
          <w:p w14:paraId="417947CF">
            <w:pPr>
              <w:numPr>
                <w:ilvl w:val="0"/>
                <w:numId w:val="8"/>
              </w:numPr>
              <w:autoSpaceDE w:val="0"/>
              <w:autoSpaceDN w:val="0"/>
              <w:spacing w:before="240" w:after="60"/>
              <w:jc w:val="left"/>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地表水环境质量现状</w:t>
            </w:r>
          </w:p>
          <w:p w14:paraId="4D20213B">
            <w:pPr>
              <w:ind w:firstLine="51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本项目处于中卫市沙坡头区</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最近河流为项目区东侧19km的清水河，属</w:t>
            </w:r>
            <w:r>
              <w:rPr>
                <w:rFonts w:hint="default" w:ascii="Times New Roman" w:hAnsi="Times New Roman" w:eastAsia="宋体" w:cs="Times New Roman"/>
                <w:color w:val="auto"/>
                <w:sz w:val="24"/>
              </w:rPr>
              <w:t>于</w:t>
            </w:r>
            <w:r>
              <w:rPr>
                <w:rFonts w:hint="default" w:ascii="Times New Roman" w:hAnsi="Times New Roman" w:cs="Times New Roman"/>
                <w:color w:val="auto"/>
                <w:sz w:val="24"/>
                <w:lang w:val="en-US" w:eastAsia="zh-CN"/>
              </w:rPr>
              <w:t>黄河</w:t>
            </w:r>
            <w:r>
              <w:rPr>
                <w:rFonts w:hint="default" w:ascii="Times New Roman" w:hAnsi="Times New Roman" w:eastAsia="宋体" w:cs="Times New Roman"/>
                <w:color w:val="auto"/>
                <w:sz w:val="24"/>
              </w:rPr>
              <w:t>一级支流，采用《202</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年宁夏生态环境质量报告》中</w:t>
            </w:r>
            <w:r>
              <w:rPr>
                <w:rFonts w:hint="default" w:ascii="Times New Roman" w:hAnsi="Times New Roman" w:cs="Times New Roman"/>
                <w:color w:val="auto"/>
                <w:sz w:val="24"/>
                <w:lang w:val="en-US" w:eastAsia="zh-CN"/>
              </w:rPr>
              <w:t>石炭沟桥</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吴忠（同心县）</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中卫市（中宁县）市界</w:t>
            </w:r>
            <w:r>
              <w:rPr>
                <w:rFonts w:hint="default" w:ascii="Times New Roman" w:hAnsi="Times New Roman" w:eastAsia="宋体" w:cs="Times New Roman"/>
                <w:color w:val="auto"/>
                <w:sz w:val="24"/>
              </w:rPr>
              <w:t>断面）处的监测数据，24项监测因子中，全部满足《地表水环境质量标准》（GB3838-2002）中</w:t>
            </w:r>
            <w:r>
              <w:rPr>
                <w:rFonts w:hint="default" w:ascii="Times New Roman" w:hAnsi="Times New Roman" w:cs="Times New Roman"/>
                <w:color w:val="auto"/>
                <w:sz w:val="24"/>
                <w:lang w:val="en-US" w:eastAsia="zh-CN"/>
              </w:rPr>
              <w:t>IV</w:t>
            </w:r>
            <w:r>
              <w:rPr>
                <w:rFonts w:hint="default" w:ascii="Times New Roman" w:hAnsi="Times New Roman" w:eastAsia="宋体" w:cs="Times New Roman"/>
                <w:color w:val="auto"/>
                <w:sz w:val="24"/>
                <w:lang w:eastAsia="zh-CN"/>
              </w:rPr>
              <w:t>类</w:t>
            </w:r>
            <w:r>
              <w:rPr>
                <w:rFonts w:hint="default" w:ascii="Times New Roman" w:hAnsi="Times New Roman" w:eastAsia="宋体" w:cs="Times New Roman"/>
                <w:color w:val="auto"/>
                <w:sz w:val="24"/>
              </w:rPr>
              <w:t>标准要求。满足2025、2035年（</w:t>
            </w:r>
            <w:r>
              <w:rPr>
                <w:rFonts w:hint="default" w:ascii="Times New Roman" w:hAnsi="Times New Roman" w:cs="Times New Roman"/>
                <w:color w:val="auto"/>
                <w:sz w:val="24"/>
                <w:lang w:val="en-US" w:eastAsia="zh-CN"/>
              </w:rPr>
              <w:t>清水</w:t>
            </w:r>
            <w:r>
              <w:rPr>
                <w:rFonts w:hint="default" w:ascii="Times New Roman" w:hAnsi="Times New Roman" w:eastAsia="宋体" w:cs="Times New Roman"/>
                <w:color w:val="auto"/>
                <w:sz w:val="24"/>
              </w:rPr>
              <w:t>河水质考核目标为</w:t>
            </w:r>
            <w:r>
              <w:rPr>
                <w:rFonts w:hint="default" w:ascii="Times New Roman" w:hAnsi="Times New Roman" w:cs="Times New Roman"/>
                <w:color w:val="auto"/>
                <w:sz w:val="24"/>
                <w:lang w:val="en-US" w:eastAsia="zh-CN"/>
              </w:rPr>
              <w:t>IV</w:t>
            </w:r>
            <w:r>
              <w:rPr>
                <w:rFonts w:hint="default" w:ascii="Times New Roman" w:hAnsi="Times New Roman" w:eastAsia="宋体" w:cs="Times New Roman"/>
                <w:color w:val="auto"/>
                <w:sz w:val="24"/>
              </w:rPr>
              <w:t>类）的水环境质量底线目标。</w:t>
            </w:r>
          </w:p>
          <w:p w14:paraId="431739A3">
            <w:pPr>
              <w:numPr>
                <w:ilvl w:val="0"/>
                <w:numId w:val="8"/>
              </w:numPr>
              <w:autoSpaceDE w:val="0"/>
              <w:autoSpaceDN w:val="0"/>
              <w:spacing w:before="240" w:after="60"/>
              <w:jc w:val="left"/>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声环境质量现状</w:t>
            </w:r>
          </w:p>
          <w:p w14:paraId="3FD7D35E">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根据《建设项目环境影响报告表编制技术指南（生态影响类）（试行）》中有关规定，声环境质量现状监测参照《建设项目环境影响报告表编制技术指南（污染影响类）（试行）》相关规定开展补充监测。</w:t>
            </w:r>
          </w:p>
          <w:p w14:paraId="3CAD33A2">
            <w:pPr>
              <w:ind w:firstLine="510" w:firstLineChars="200"/>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rPr>
              <w:t>本项目50m范围内</w:t>
            </w:r>
            <w:r>
              <w:rPr>
                <w:rFonts w:hint="default" w:ascii="Times New Roman" w:hAnsi="Times New Roman" w:cs="Times New Roman"/>
                <w:color w:val="auto"/>
                <w:sz w:val="24"/>
                <w:lang w:val="en-US" w:eastAsia="zh-CN"/>
              </w:rPr>
              <w:t>无</w:t>
            </w:r>
            <w:r>
              <w:rPr>
                <w:rFonts w:hint="default" w:ascii="Times New Roman" w:hAnsi="Times New Roman" w:eastAsia="宋体" w:cs="Times New Roman"/>
                <w:color w:val="auto"/>
                <w:sz w:val="24"/>
              </w:rPr>
              <w:t>声环境保护目标，</w:t>
            </w:r>
            <w:r>
              <w:rPr>
                <w:rFonts w:hint="default" w:ascii="Times New Roman" w:hAnsi="Times New Roman" w:cs="Times New Roman"/>
                <w:color w:val="auto"/>
                <w:sz w:val="24"/>
                <w:lang w:val="en-US" w:eastAsia="zh-CN"/>
              </w:rPr>
              <w:t>因此，不再开展声环境质量现状调查。</w:t>
            </w:r>
          </w:p>
          <w:p w14:paraId="51F68B3C">
            <w:pPr>
              <w:pStyle w:val="2"/>
              <w:outlineLvl w:val="9"/>
              <w:rPr>
                <w:rFonts w:hint="default" w:ascii="Times New Roman" w:hAnsi="Times New Roman" w:cs="Times New Roman"/>
                <w:color w:val="auto"/>
                <w:lang w:val="en-US" w:eastAsia="zh-CN"/>
              </w:rPr>
            </w:pPr>
          </w:p>
          <w:p w14:paraId="7BB9891D">
            <w:pPr>
              <w:numPr>
                <w:ilvl w:val="0"/>
                <w:numId w:val="8"/>
              </w:numPr>
              <w:autoSpaceDE w:val="0"/>
              <w:autoSpaceDN w:val="0"/>
              <w:spacing w:before="240" w:after="60"/>
              <w:jc w:val="left"/>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lang w:val="en-US" w:eastAsia="zh-CN"/>
              </w:rPr>
              <w:t>地下水、</w:t>
            </w:r>
            <w:r>
              <w:rPr>
                <w:rFonts w:hint="default" w:ascii="Times New Roman" w:hAnsi="Times New Roman" w:eastAsia="黑体" w:cs="Times New Roman"/>
                <w:b w:val="0"/>
                <w:bCs w:val="0"/>
                <w:color w:val="auto"/>
                <w:kern w:val="0"/>
                <w:sz w:val="24"/>
                <w:highlight w:val="none"/>
              </w:rPr>
              <w:t>土壤环境质量现状</w:t>
            </w:r>
          </w:p>
          <w:p w14:paraId="4A1E381F">
            <w:pPr>
              <w:ind w:firstLine="510" w:firstLineChars="200"/>
              <w:rPr>
                <w:rFonts w:hint="default" w:ascii="Times New Roman" w:hAnsi="Times New Roman" w:eastAsia="宋体" w:cs="Times New Roman"/>
                <w:color w:val="auto"/>
                <w:kern w:val="0"/>
                <w:szCs w:val="21"/>
              </w:rPr>
            </w:pPr>
            <w:r>
              <w:rPr>
                <w:rFonts w:hint="default" w:ascii="Times New Roman" w:hAnsi="Times New Roman" w:cs="Times New Roman"/>
                <w:color w:val="auto"/>
                <w:sz w:val="24"/>
              </w:rPr>
              <w:t>根据《环境影响评价技术导则 地下水环境》(HJ610-2016)附录A，本项目类型属于“</w:t>
            </w:r>
            <w:r>
              <w:rPr>
                <w:rFonts w:hint="default" w:ascii="Times New Roman" w:hAnsi="Times New Roman" w:cs="Times New Roman"/>
                <w:color w:val="auto"/>
                <w:sz w:val="24"/>
                <w:lang w:val="en-US" w:eastAsia="zh-CN"/>
              </w:rPr>
              <w:t>J非金属矿采选及制品制造</w:t>
            </w:r>
            <w:r>
              <w:rPr>
                <w:rFonts w:hint="default" w:ascii="Times New Roman" w:hAnsi="Times New Roman" w:cs="Times New Roman"/>
                <w:color w:val="auto"/>
                <w:sz w:val="24"/>
              </w:rPr>
              <w:t>”中“5</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土砂石开采</w:t>
            </w:r>
            <w:r>
              <w:rPr>
                <w:rFonts w:hint="default" w:ascii="Times New Roman" w:hAnsi="Times New Roman" w:cs="Times New Roman"/>
                <w:color w:val="auto"/>
                <w:sz w:val="24"/>
              </w:rPr>
              <w:t>”中的其他类别，地下水环境影响评价类别为IV类，不开展地下水环境影响评价，因此不需要进行地下水环境质量现状监测。</w:t>
            </w:r>
          </w:p>
          <w:p w14:paraId="1ECA1F1B">
            <w:pPr>
              <w:pStyle w:val="6"/>
              <w:spacing w:line="240" w:lineRule="auto"/>
              <w:ind w:firstLine="512"/>
              <w:rPr>
                <w:rFonts w:hint="default" w:ascii="Times New Roman" w:hAnsi="Times New Roman" w:eastAsia="宋体" w:cs="Times New Roman"/>
                <w:color w:val="auto"/>
              </w:rPr>
            </w:pPr>
            <w:r>
              <w:rPr>
                <w:rFonts w:hint="default" w:ascii="Times New Roman" w:hAnsi="Times New Roman" w:cs="Times New Roman"/>
                <w:color w:val="auto"/>
                <w:sz w:val="24"/>
              </w:rPr>
              <w:t>据《环境影响评价技术导则 土壤环境（试行）》（HJ964-2018）附录A，</w:t>
            </w:r>
            <w:r>
              <w:rPr>
                <w:rFonts w:hint="default" w:ascii="Times New Roman" w:hAnsi="Times New Roman" w:eastAsia="宋体" w:cs="Times New Roman"/>
                <w:color w:val="auto"/>
                <w:kern w:val="0"/>
                <w:szCs w:val="21"/>
              </w:rPr>
              <w:t>本项目</w:t>
            </w:r>
            <w:r>
              <w:rPr>
                <w:rFonts w:hint="default" w:ascii="Times New Roman" w:hAnsi="Times New Roman" w:cs="Times New Roman"/>
                <w:color w:val="auto"/>
                <w:kern w:val="0"/>
                <w:szCs w:val="21"/>
                <w:lang w:val="en-US" w:eastAsia="zh-CN"/>
              </w:rPr>
              <w:t>属于采矿业中的其他类别，项目类别为III类，项目主要建设内容包括</w:t>
            </w:r>
            <w:r>
              <w:rPr>
                <w:rFonts w:hint="default" w:ascii="Times New Roman" w:hAnsi="Times New Roman" w:cs="Times New Roman"/>
                <w:color w:val="auto"/>
                <w:kern w:val="2"/>
                <w:sz w:val="24"/>
                <w:szCs w:val="24"/>
                <w:lang w:eastAsia="zh-CN"/>
              </w:rPr>
              <w:t>地形地貌整治工程、覆土工程、砌体工程、植被恢复工程</w:t>
            </w:r>
            <w:r>
              <w:rPr>
                <w:rFonts w:hint="default" w:ascii="Times New Roman" w:hAnsi="Times New Roman" w:cs="Times New Roman"/>
                <w:color w:val="auto"/>
                <w:kern w:val="2"/>
                <w:sz w:val="24"/>
                <w:szCs w:val="24"/>
                <w:lang w:val="en-US" w:eastAsia="zh-CN"/>
              </w:rPr>
              <w:t>以及其他工程</w:t>
            </w:r>
            <w:r>
              <w:rPr>
                <w:rFonts w:hint="default" w:ascii="Times New Roman" w:hAnsi="Times New Roman" w:cs="Times New Roman"/>
                <w:color w:val="auto"/>
                <w:kern w:val="2"/>
                <w:sz w:val="24"/>
                <w:szCs w:val="24"/>
              </w:rPr>
              <w:t>，施工期及运营期不存在土壤的</w:t>
            </w:r>
            <w:r>
              <w:rPr>
                <w:rFonts w:hint="default" w:ascii="Times New Roman" w:hAnsi="Times New Roman" w:cs="Times New Roman"/>
                <w:color w:val="auto"/>
                <w:kern w:val="2"/>
                <w:sz w:val="24"/>
                <w:szCs w:val="24"/>
                <w:lang w:val="en-US" w:eastAsia="zh-CN"/>
              </w:rPr>
              <w:t>盐化、酸化、碱化影响途径，且不存在垂直入渗、大气沉降、地面漫流等</w:t>
            </w:r>
            <w:r>
              <w:rPr>
                <w:rFonts w:hint="default" w:ascii="Times New Roman" w:hAnsi="Times New Roman" w:cs="Times New Roman"/>
                <w:color w:val="auto"/>
                <w:kern w:val="2"/>
                <w:sz w:val="24"/>
                <w:szCs w:val="24"/>
              </w:rPr>
              <w:t>污染途径，按照</w:t>
            </w:r>
            <w:r>
              <w:rPr>
                <w:rFonts w:hint="default" w:ascii="Times New Roman" w:hAnsi="Times New Roman" w:cs="Times New Roman"/>
                <w:color w:val="auto"/>
                <w:kern w:val="2"/>
                <w:sz w:val="24"/>
                <w:szCs w:val="24"/>
                <w:lang w:val="en-US" w:eastAsia="zh-CN"/>
              </w:rPr>
              <w:t>导则</w:t>
            </w:r>
            <w:r>
              <w:rPr>
                <w:rFonts w:hint="default" w:ascii="Times New Roman" w:hAnsi="Times New Roman" w:cs="Times New Roman"/>
                <w:color w:val="auto"/>
                <w:kern w:val="2"/>
                <w:sz w:val="24"/>
                <w:szCs w:val="24"/>
              </w:rPr>
              <w:t>要求，不进行土壤的现状调查。</w:t>
            </w:r>
          </w:p>
        </w:tc>
      </w:tr>
      <w:tr w14:paraId="1ED89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noWrap w:val="0"/>
            <w:vAlign w:val="center"/>
          </w:tcPr>
          <w:p w14:paraId="6263CA05">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color w:val="auto"/>
                <w:sz w:val="24"/>
              </w:rPr>
              <w:t>与项目有关的原有环境污染和生态破坏问题</w:t>
            </w:r>
          </w:p>
        </w:tc>
        <w:tc>
          <w:tcPr>
            <w:tcW w:w="8561" w:type="dxa"/>
            <w:noWrap w:val="0"/>
            <w:vAlign w:val="center"/>
          </w:tcPr>
          <w:p w14:paraId="4588F6C3">
            <w:pPr>
              <w:spacing w:before="240" w:after="60"/>
              <w:ind w:firstLine="51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szCs w:val="24"/>
                <w:lang w:eastAsia="zh-CN"/>
              </w:rPr>
              <w:t>治理区历史上所设置的采矿权，主要开采电石用灰岩。露天开采方式，不但严重破坏了矿区及外围一定范围内的原生地形地貌，也打破了处于稳定或准稳定状态的浅表岩土体平衡，由此引发了一些列矿山地质环境问题。目前，主要问题为：项目区遗留的部分建筑物未拆除，遗留的洞口没有回填和封堵等，影响地貌景观，制约生态自然修复。</w:t>
            </w:r>
          </w:p>
          <w:p w14:paraId="7CE4884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3995" cy="2983865"/>
                  <wp:effectExtent l="0" t="0" r="1905" b="698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5"/>
                          <a:stretch>
                            <a:fillRect/>
                          </a:stretch>
                        </pic:blipFill>
                        <pic:spPr>
                          <a:xfrm>
                            <a:off x="0" y="0"/>
                            <a:ext cx="5293995" cy="2983865"/>
                          </a:xfrm>
                          <a:prstGeom prst="rect">
                            <a:avLst/>
                          </a:prstGeom>
                          <a:noFill/>
                          <a:ln>
                            <a:noFill/>
                          </a:ln>
                        </pic:spPr>
                      </pic:pic>
                    </a:graphicData>
                  </a:graphic>
                </wp:inline>
              </w:drawing>
            </w:r>
          </w:p>
          <w:p w14:paraId="67101AFD">
            <w:pPr>
              <w:pStyle w:val="37"/>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9075" cy="2981960"/>
                  <wp:effectExtent l="0" t="0" r="15875" b="889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6"/>
                          <a:stretch>
                            <a:fillRect/>
                          </a:stretch>
                        </pic:blipFill>
                        <pic:spPr>
                          <a:xfrm>
                            <a:off x="0" y="0"/>
                            <a:ext cx="5299075" cy="2981960"/>
                          </a:xfrm>
                          <a:prstGeom prst="rect">
                            <a:avLst/>
                          </a:prstGeom>
                          <a:noFill/>
                          <a:ln>
                            <a:noFill/>
                          </a:ln>
                        </pic:spPr>
                      </pic:pic>
                    </a:graphicData>
                  </a:graphic>
                </wp:inline>
              </w:drawing>
            </w:r>
          </w:p>
        </w:tc>
      </w:tr>
      <w:tr w14:paraId="65940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noWrap w:val="0"/>
            <w:vAlign w:val="center"/>
          </w:tcPr>
          <w:p w14:paraId="7D7B186C">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生态环境保护目标</w:t>
            </w:r>
          </w:p>
        </w:tc>
        <w:tc>
          <w:tcPr>
            <w:tcW w:w="8561" w:type="dxa"/>
            <w:noWrap w:val="0"/>
            <w:vAlign w:val="center"/>
          </w:tcPr>
          <w:p w14:paraId="66DB4E65">
            <w:pPr>
              <w:numPr>
                <w:ilvl w:val="0"/>
                <w:numId w:val="9"/>
              </w:numPr>
              <w:autoSpaceDE w:val="0"/>
              <w:autoSpaceDN w:val="0"/>
              <w:spacing w:before="240" w:after="6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大气环境</w:t>
            </w:r>
          </w:p>
          <w:p w14:paraId="3B94E823">
            <w:pPr>
              <w:pStyle w:val="39"/>
              <w:adjustRightInd/>
              <w:snapToGrid/>
              <w:spacing w:beforeLines="0" w:afterLines="0" w:line="240" w:lineRule="auto"/>
              <w:ind w:firstLine="51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本项目位于</w:t>
            </w:r>
            <w:r>
              <w:rPr>
                <w:rFonts w:hint="default" w:ascii="Times New Roman" w:hAnsi="Times New Roman" w:cs="Times New Roman"/>
                <w:color w:val="auto"/>
                <w:sz w:val="24"/>
                <w:lang w:val="en-US" w:eastAsia="zh-CN"/>
              </w:rPr>
              <w:t>中卫市</w:t>
            </w:r>
            <w:r>
              <w:rPr>
                <w:rFonts w:hint="default" w:ascii="Times New Roman" w:hAnsi="Times New Roman" w:cs="Times New Roman"/>
                <w:color w:val="auto"/>
                <w:sz w:val="24"/>
                <w:lang w:eastAsia="zh-CN"/>
              </w:rPr>
              <w:t>沙坡头区</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rPr>
              <w:t>《环境影响评价技术导则</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大气环境》（HJ2.2-2018）</w:t>
            </w:r>
            <w:r>
              <w:rPr>
                <w:rFonts w:hint="default" w:ascii="Times New Roman" w:hAnsi="Times New Roman" w:cs="Times New Roman"/>
                <w:color w:val="auto"/>
                <w:sz w:val="24"/>
                <w:lang w:val="en-US" w:eastAsia="zh-CN"/>
              </w:rPr>
              <w:t>运营期无废气产生，因此不设置大气评价范围，</w:t>
            </w:r>
            <w:r>
              <w:rPr>
                <w:rFonts w:hint="default" w:ascii="Times New Roman" w:hAnsi="Times New Roman" w:eastAsia="宋体" w:cs="Times New Roman"/>
                <w:color w:val="auto"/>
                <w:sz w:val="24"/>
              </w:rPr>
              <w:t>根据现场调查，本项</w:t>
            </w:r>
            <w:r>
              <w:rPr>
                <w:rFonts w:hint="default" w:ascii="Times New Roman" w:hAnsi="Times New Roman" w:cs="Times New Roman"/>
                <w:color w:val="auto"/>
                <w:sz w:val="24"/>
                <w:lang w:val="en-US" w:eastAsia="zh-CN"/>
              </w:rPr>
              <w:t>目周边无</w:t>
            </w:r>
            <w:r>
              <w:rPr>
                <w:rFonts w:hint="default" w:ascii="Times New Roman" w:hAnsi="Times New Roman" w:cs="Times New Roman"/>
                <w:color w:val="auto"/>
                <w:sz w:val="24"/>
              </w:rPr>
              <w:t>自然保护区、风景名胜区、居住区、文化区和农村地区等</w:t>
            </w:r>
            <w:r>
              <w:rPr>
                <w:rFonts w:hint="default" w:ascii="Times New Roman" w:hAnsi="Times New Roman" w:eastAsia="宋体" w:cs="Times New Roman"/>
                <w:color w:val="auto"/>
                <w:sz w:val="24"/>
              </w:rPr>
              <w:t>大气环境保护目标</w:t>
            </w:r>
            <w:r>
              <w:rPr>
                <w:rFonts w:hint="default" w:ascii="Times New Roman" w:hAnsi="Times New Roman" w:cs="Times New Roman"/>
                <w:color w:val="auto"/>
                <w:sz w:val="24"/>
                <w:lang w:eastAsia="zh-CN"/>
              </w:rPr>
              <w:t>。</w:t>
            </w:r>
          </w:p>
          <w:p w14:paraId="0518B0AD">
            <w:pPr>
              <w:numPr>
                <w:ilvl w:val="0"/>
                <w:numId w:val="9"/>
              </w:numPr>
              <w:autoSpaceDE w:val="0"/>
              <w:autoSpaceDN w:val="0"/>
              <w:spacing w:before="240" w:after="6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地表水环境</w:t>
            </w:r>
          </w:p>
          <w:p w14:paraId="5002C25A">
            <w:pPr>
              <w:ind w:firstLine="51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szCs w:val="32"/>
              </w:rPr>
              <w:t>本项目位于</w:t>
            </w:r>
            <w:r>
              <w:rPr>
                <w:rFonts w:hint="default" w:ascii="Times New Roman" w:hAnsi="Times New Roman" w:cs="Times New Roman"/>
                <w:color w:val="auto"/>
                <w:sz w:val="24"/>
                <w:szCs w:val="32"/>
                <w:lang w:eastAsia="zh-CN"/>
              </w:rPr>
              <w:t>中卫</w:t>
            </w:r>
            <w:r>
              <w:rPr>
                <w:rFonts w:hint="default" w:ascii="Times New Roman" w:hAnsi="Times New Roman" w:cs="Times New Roman"/>
                <w:color w:val="auto"/>
                <w:sz w:val="24"/>
                <w:szCs w:val="32"/>
              </w:rPr>
              <w:t>市</w:t>
            </w:r>
            <w:r>
              <w:rPr>
                <w:rFonts w:hint="default" w:ascii="Times New Roman" w:hAnsi="Times New Roman" w:cs="Times New Roman"/>
                <w:color w:val="auto"/>
                <w:sz w:val="24"/>
                <w:szCs w:val="32"/>
                <w:lang w:eastAsia="zh-CN"/>
              </w:rPr>
              <w:t>沙坡头区</w:t>
            </w:r>
            <w:r>
              <w:rPr>
                <w:rFonts w:hint="default" w:ascii="Times New Roman" w:hAnsi="Times New Roman" w:cs="Times New Roman"/>
                <w:color w:val="auto"/>
                <w:sz w:val="24"/>
                <w:szCs w:val="32"/>
                <w:lang w:val="en-US" w:eastAsia="zh-CN"/>
              </w:rPr>
              <w:t>，项目运营期不会对地表水环境造成影响，本次项目不设评价范围，项目周边无地表水环境保护目标</w:t>
            </w:r>
            <w:r>
              <w:rPr>
                <w:rFonts w:hint="default" w:ascii="Times New Roman" w:hAnsi="Times New Roman" w:eastAsia="宋体" w:cs="Times New Roman"/>
                <w:color w:val="auto"/>
                <w:sz w:val="24"/>
              </w:rPr>
              <w:t>。</w:t>
            </w:r>
          </w:p>
          <w:p w14:paraId="5EE5EA70">
            <w:pPr>
              <w:numPr>
                <w:ilvl w:val="0"/>
                <w:numId w:val="9"/>
              </w:numPr>
              <w:autoSpaceDE w:val="0"/>
              <w:autoSpaceDN w:val="0"/>
              <w:spacing w:before="240" w:after="6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声环境</w:t>
            </w:r>
          </w:p>
          <w:p w14:paraId="41D22A4A">
            <w:pPr>
              <w:ind w:firstLine="51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声环境质量符合《声环境质量标准》（GB3096-2008）中的</w:t>
            </w:r>
            <w:r>
              <w:rPr>
                <w:rFonts w:hint="default" w:ascii="Times New Roman" w:hAnsi="Times New Roman" w:cs="Times New Roman"/>
                <w:color w:val="auto"/>
                <w:sz w:val="24"/>
                <w:lang w:eastAsia="zh-CN"/>
              </w:rPr>
              <w:t>2</w:t>
            </w:r>
            <w:r>
              <w:rPr>
                <w:rFonts w:hint="default" w:ascii="Times New Roman" w:hAnsi="Times New Roman" w:cs="Times New Roman"/>
                <w:color w:val="auto"/>
                <w:sz w:val="24"/>
              </w:rPr>
              <w:t>类区标准；</w:t>
            </w:r>
            <w:r>
              <w:rPr>
                <w:rFonts w:hint="default" w:ascii="Times New Roman" w:hAnsi="Times New Roman" w:eastAsia="宋体" w:cs="Times New Roman"/>
                <w:color w:val="auto"/>
                <w:sz w:val="24"/>
              </w:rPr>
              <w:t>项目占地</w:t>
            </w:r>
            <w:r>
              <w:rPr>
                <w:rFonts w:hint="default" w:ascii="Times New Roman" w:hAnsi="Times New Roman" w:cs="Times New Roman"/>
                <w:color w:val="auto"/>
                <w:sz w:val="24"/>
                <w:lang w:val="en-US" w:eastAsia="zh-CN"/>
              </w:rPr>
              <w:t>边界外200</w:t>
            </w:r>
            <w:r>
              <w:rPr>
                <w:rFonts w:hint="default" w:ascii="Times New Roman" w:hAnsi="Times New Roman" w:cs="Times New Roman"/>
                <w:color w:val="auto"/>
                <w:sz w:val="24"/>
              </w:rPr>
              <w:t>m范围内</w:t>
            </w:r>
            <w:r>
              <w:rPr>
                <w:rFonts w:hint="default" w:ascii="Times New Roman" w:hAnsi="Times New Roman" w:cs="Times New Roman"/>
                <w:color w:val="auto"/>
                <w:sz w:val="24"/>
                <w:lang w:val="en-US" w:eastAsia="zh-CN"/>
              </w:rPr>
              <w:t>无声环境保护目标</w:t>
            </w:r>
            <w:r>
              <w:rPr>
                <w:rFonts w:hint="default" w:ascii="Times New Roman" w:hAnsi="Times New Roman" w:eastAsia="宋体" w:cs="Times New Roman"/>
                <w:color w:val="auto"/>
                <w:sz w:val="24"/>
              </w:rPr>
              <w:t>。</w:t>
            </w:r>
          </w:p>
          <w:p w14:paraId="3B27AD04">
            <w:pPr>
              <w:numPr>
                <w:ilvl w:val="0"/>
                <w:numId w:val="9"/>
              </w:numPr>
              <w:autoSpaceDE w:val="0"/>
              <w:autoSpaceDN w:val="0"/>
              <w:spacing w:before="240" w:after="6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地下水</w:t>
            </w:r>
          </w:p>
          <w:p w14:paraId="0D5C04A0">
            <w:pPr>
              <w:widowControl/>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本项目运营期无废水产生，根据《环境影响评价技术导则 地下水环境》(HJ610-2016)附录A，本项目类型属于“</w:t>
            </w:r>
            <w:r>
              <w:rPr>
                <w:rFonts w:hint="default" w:ascii="Times New Roman" w:hAnsi="Times New Roman" w:cs="Times New Roman"/>
                <w:color w:val="auto"/>
                <w:sz w:val="24"/>
                <w:lang w:val="en-US" w:eastAsia="zh-CN"/>
              </w:rPr>
              <w:t>J非金属矿采选及制品制造</w:t>
            </w:r>
            <w:r>
              <w:rPr>
                <w:rFonts w:hint="default" w:ascii="Times New Roman" w:hAnsi="Times New Roman" w:cs="Times New Roman"/>
                <w:color w:val="auto"/>
                <w:sz w:val="24"/>
              </w:rPr>
              <w:t>”中“5</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土砂石开采</w:t>
            </w:r>
            <w:r>
              <w:rPr>
                <w:rFonts w:hint="default" w:ascii="Times New Roman" w:hAnsi="Times New Roman" w:cs="Times New Roman"/>
                <w:color w:val="auto"/>
                <w:sz w:val="24"/>
              </w:rPr>
              <w:t>”中的其他类别，地下水环境影响评价类别为IV类，不开展地下水环境影响评价</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不设置地下水评价范围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项目周边</w:t>
            </w:r>
            <w:r>
              <w:rPr>
                <w:rFonts w:hint="default" w:ascii="Times New Roman" w:hAnsi="Times New Roman" w:cs="Times New Roman"/>
                <w:color w:val="auto"/>
                <w:sz w:val="24"/>
              </w:rPr>
              <w:t>不存在地下水集中式饮用水水源和热水、矿泉水、温泉等特殊地下水资源</w:t>
            </w:r>
            <w:r>
              <w:rPr>
                <w:rFonts w:hint="default" w:ascii="Times New Roman" w:hAnsi="Times New Roman" w:cs="Times New Roman"/>
                <w:color w:val="auto"/>
                <w:kern w:val="0"/>
                <w:sz w:val="24"/>
                <w:lang w:bidi="ar"/>
              </w:rPr>
              <w:t>。</w:t>
            </w:r>
          </w:p>
          <w:p w14:paraId="348BAAB2">
            <w:pPr>
              <w:numPr>
                <w:ilvl w:val="0"/>
                <w:numId w:val="9"/>
              </w:numPr>
              <w:autoSpaceDE w:val="0"/>
              <w:autoSpaceDN w:val="0"/>
              <w:spacing w:before="240" w:after="6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生态环境保护目标</w:t>
            </w:r>
          </w:p>
          <w:p w14:paraId="4C1E2D19">
            <w:pPr>
              <w:ind w:firstLine="510" w:firstLineChars="200"/>
              <w:rPr>
                <w:rFonts w:hint="default" w:ascii="Times New Roman" w:hAnsi="Times New Roman" w:cs="Times New Roman"/>
                <w:color w:val="auto"/>
                <w:sz w:val="24"/>
                <w:lang w:eastAsia="zh-CN"/>
              </w:rPr>
            </w:pPr>
            <w:r>
              <w:rPr>
                <w:rFonts w:hint="default" w:ascii="Times New Roman" w:hAnsi="Times New Roman" w:eastAsia="宋体" w:cs="Times New Roman"/>
                <w:color w:val="auto"/>
                <w:sz w:val="24"/>
              </w:rPr>
              <w:t>本项目占地红线范围内不存在自然保护区、风景名胜区、世界文化和自然遗产地、饮用水水源保护区和野生动植物及其栖息地等重要保护目标</w:t>
            </w:r>
            <w:r>
              <w:rPr>
                <w:rFonts w:hint="default" w:ascii="Times New Roman" w:hAnsi="Times New Roman" w:cs="Times New Roman"/>
                <w:color w:val="auto"/>
                <w:sz w:val="24"/>
                <w:lang w:eastAsia="zh-CN"/>
              </w:rPr>
              <w:t>。</w:t>
            </w:r>
          </w:p>
          <w:p w14:paraId="194C7A6B">
            <w:pPr>
              <w:ind w:firstLine="510" w:firstLineChars="200"/>
              <w:rPr>
                <w:rFonts w:hint="default" w:ascii="Times New Roman" w:hAnsi="Times New Roman" w:cs="Times New Roman"/>
                <w:color w:val="auto"/>
              </w:rPr>
            </w:pPr>
            <w:r>
              <w:rPr>
                <w:rFonts w:hint="default" w:ascii="Times New Roman" w:hAnsi="Times New Roman" w:cs="Times New Roman"/>
                <w:color w:val="auto"/>
                <w:kern w:val="0"/>
                <w:sz w:val="24"/>
                <w:lang w:bidi="ar"/>
              </w:rPr>
              <w:t>根据现场调查，本项目生态评价范围内无受影响的重要物种、生态敏感区以及其他需要保护的物种、种群、生物群落及生态空间，项目无生态环境保护目标。</w:t>
            </w:r>
          </w:p>
        </w:tc>
      </w:tr>
      <w:tr w14:paraId="4A50C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noWrap w:val="0"/>
            <w:vAlign w:val="center"/>
          </w:tcPr>
          <w:p w14:paraId="6CD71968">
            <w:pPr>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评价</w:t>
            </w:r>
          </w:p>
          <w:p w14:paraId="26EBE33E">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标准</w:t>
            </w:r>
          </w:p>
        </w:tc>
        <w:tc>
          <w:tcPr>
            <w:tcW w:w="8561" w:type="dxa"/>
            <w:noWrap w:val="0"/>
            <w:vAlign w:val="center"/>
          </w:tcPr>
          <w:p w14:paraId="6633A8C8">
            <w:pPr>
              <w:numPr>
                <w:ilvl w:val="0"/>
                <w:numId w:val="10"/>
              </w:numPr>
              <w:kinsoku/>
              <w:wordWrap/>
              <w:topLinePunct w:val="0"/>
              <w:autoSpaceDE w:val="0"/>
              <w:autoSpaceDN w:val="0"/>
              <w:spacing w:before="240" w:after="60"/>
              <w:jc w:val="left"/>
              <w:rPr>
                <w:rFonts w:hint="default" w:ascii="Times New Roman" w:hAnsi="Times New Roman" w:eastAsia="黑体" w:cs="Times New Roman"/>
                <w:b w:val="0"/>
                <w:bCs w:val="0"/>
                <w:color w:val="auto"/>
                <w:kern w:val="0"/>
                <w:sz w:val="24"/>
                <w:highlight w:val="none"/>
              </w:rPr>
            </w:pPr>
            <w:r>
              <w:rPr>
                <w:rFonts w:hint="default" w:ascii="Times New Roman" w:hAnsi="Times New Roman" w:eastAsia="黑体" w:cs="Times New Roman"/>
                <w:b w:val="0"/>
                <w:bCs w:val="0"/>
                <w:color w:val="auto"/>
                <w:kern w:val="0"/>
                <w:sz w:val="24"/>
                <w:highlight w:val="none"/>
              </w:rPr>
              <w:t>环境质量标准</w:t>
            </w:r>
          </w:p>
          <w:p w14:paraId="2E09F252">
            <w:pPr>
              <w:kinsoku w:val="0"/>
              <w:wordWrap w:val="0"/>
              <w:topLinePunct/>
              <w:ind w:firstLine="51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（1）环境空气质量标准</w:t>
            </w:r>
          </w:p>
          <w:p w14:paraId="38859FA2">
            <w:pPr>
              <w:kinsoku w:val="0"/>
              <w:topLinePunct/>
              <w:ind w:firstLine="51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项目所在区域属于环境空气质量二类功能区，环境空气质量执行《环境空气质量标准》（GB3095-2012）及其修改单中</w:t>
            </w:r>
            <w:r>
              <w:rPr>
                <w:rFonts w:hint="default" w:ascii="Times New Roman" w:hAnsi="Times New Roman" w:eastAsia="宋体" w:cs="Times New Roman"/>
                <w:color w:val="auto"/>
                <w:kern w:val="0"/>
                <w:sz w:val="24"/>
                <w:lang w:eastAsia="zh-CN"/>
              </w:rPr>
              <w:t>的</w:t>
            </w:r>
            <w:r>
              <w:rPr>
                <w:rFonts w:hint="default" w:ascii="Times New Roman" w:hAnsi="Times New Roman" w:eastAsia="宋体" w:cs="Times New Roman"/>
                <w:color w:val="auto"/>
                <w:kern w:val="0"/>
                <w:sz w:val="24"/>
              </w:rPr>
              <w:t>二级标准，SO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、NO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2.5</w:t>
            </w:r>
            <w:r>
              <w:rPr>
                <w:rFonts w:hint="default" w:ascii="Times New Roman" w:hAnsi="Times New Roman" w:eastAsia="宋体" w:cs="Times New Roman"/>
                <w:color w:val="auto"/>
                <w:kern w:val="0"/>
                <w:sz w:val="24"/>
              </w:rPr>
              <w:t>、CO、O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执行《环境空气质量标准》（GB3095-2012）及其修改单中二级标准。</w:t>
            </w:r>
          </w:p>
          <w:p w14:paraId="452A32F4">
            <w:pPr>
              <w:kinsoku w:val="0"/>
              <w:wordWrap w:val="0"/>
              <w:topLinePunct/>
              <w:jc w:val="center"/>
              <w:rPr>
                <w:rFonts w:hint="default" w:ascii="Times New Roman" w:hAnsi="Times New Roman" w:eastAsia="黑体" w:cs="Times New Roman"/>
                <w:bCs/>
                <w:color w:val="auto"/>
                <w:kern w:val="0"/>
                <w:sz w:val="24"/>
              </w:rPr>
            </w:pPr>
            <w:r>
              <w:rPr>
                <w:rFonts w:hint="default" w:ascii="Times New Roman" w:hAnsi="Times New Roman" w:eastAsia="黑体" w:cs="Times New Roman"/>
                <w:bCs/>
                <w:color w:val="auto"/>
                <w:kern w:val="0"/>
                <w:sz w:val="24"/>
              </w:rPr>
              <w:t>表3-</w:t>
            </w:r>
            <w:r>
              <w:rPr>
                <w:rFonts w:hint="default" w:ascii="Times New Roman" w:hAnsi="Times New Roman" w:eastAsia="黑体" w:cs="Times New Roman"/>
                <w:bCs/>
                <w:color w:val="auto"/>
                <w:kern w:val="0"/>
                <w:sz w:val="24"/>
                <w:lang w:val="en-US" w:eastAsia="zh-CN"/>
              </w:rPr>
              <w:t>3</w:t>
            </w:r>
            <w:r>
              <w:rPr>
                <w:rFonts w:hint="default" w:ascii="Times New Roman" w:hAnsi="Times New Roman" w:eastAsia="黑体" w:cs="Times New Roman"/>
                <w:bCs/>
                <w:color w:val="auto"/>
                <w:kern w:val="0"/>
                <w:sz w:val="24"/>
              </w:rPr>
              <w:t xml:space="preserve">  环境空气质量评价执行标准</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3224"/>
              <w:gridCol w:w="3414"/>
            </w:tblGrid>
            <w:tr w14:paraId="52D01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677" w:type="dxa"/>
                  <w:noWrap w:val="0"/>
                  <w:vAlign w:val="center"/>
                </w:tcPr>
                <w:p w14:paraId="4B3EA45B">
                  <w:pPr>
                    <w:kinsoku w:val="0"/>
                    <w:wordWrap w:val="0"/>
                    <w:topLinePunct/>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3224" w:type="dxa"/>
                  <w:noWrap w:val="0"/>
                  <w:vAlign w:val="center"/>
                </w:tcPr>
                <w:p w14:paraId="0D9B1B07">
                  <w:pPr>
                    <w:kinsoku w:val="0"/>
                    <w:wordWrap w:val="0"/>
                    <w:topLinePunct/>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取值时间</w:t>
                  </w:r>
                </w:p>
              </w:tc>
              <w:tc>
                <w:tcPr>
                  <w:tcW w:w="3414" w:type="dxa"/>
                  <w:noWrap w:val="0"/>
                  <w:vAlign w:val="center"/>
                </w:tcPr>
                <w:p w14:paraId="666E09F6">
                  <w:pPr>
                    <w:kinsoku w:val="0"/>
                    <w:wordWrap w:val="0"/>
                    <w:topLinePunct/>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浓度限值</w:t>
                  </w:r>
                </w:p>
              </w:tc>
            </w:tr>
            <w:tr w14:paraId="0FF0B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restart"/>
                  <w:noWrap w:val="0"/>
                  <w:vAlign w:val="center"/>
                </w:tcPr>
                <w:p w14:paraId="4FE884AC">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SO</w:t>
                  </w:r>
                  <w:r>
                    <w:rPr>
                      <w:rFonts w:hint="default" w:ascii="Times New Roman" w:hAnsi="Times New Roman" w:eastAsia="宋体" w:cs="Times New Roman"/>
                      <w:bCs/>
                      <w:color w:val="auto"/>
                      <w:sz w:val="21"/>
                      <w:szCs w:val="21"/>
                      <w:vertAlign w:val="subscript"/>
                    </w:rPr>
                    <w:t>2</w:t>
                  </w:r>
                </w:p>
              </w:tc>
              <w:tc>
                <w:tcPr>
                  <w:tcW w:w="3224" w:type="dxa"/>
                  <w:noWrap w:val="0"/>
                  <w:vAlign w:val="center"/>
                </w:tcPr>
                <w:p w14:paraId="1BAD8A58">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3414" w:type="dxa"/>
                  <w:noWrap w:val="0"/>
                  <w:vAlign w:val="center"/>
                </w:tcPr>
                <w:p w14:paraId="15F1C301">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500μg/m</w:t>
                  </w:r>
                  <w:r>
                    <w:rPr>
                      <w:rFonts w:hint="default" w:ascii="Times New Roman" w:hAnsi="Times New Roman" w:eastAsia="宋体" w:cs="Times New Roman"/>
                      <w:bCs/>
                      <w:color w:val="auto"/>
                      <w:sz w:val="21"/>
                      <w:szCs w:val="21"/>
                      <w:vertAlign w:val="superscript"/>
                    </w:rPr>
                    <w:t>3</w:t>
                  </w:r>
                </w:p>
              </w:tc>
            </w:tr>
            <w:tr w14:paraId="2C71F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continue"/>
                  <w:noWrap w:val="0"/>
                  <w:vAlign w:val="center"/>
                </w:tcPr>
                <w:p w14:paraId="013E9C3B">
                  <w:pPr>
                    <w:kinsoku w:val="0"/>
                    <w:wordWrap w:val="0"/>
                    <w:topLinePunct/>
                    <w:adjustRightInd w:val="0"/>
                    <w:snapToGrid w:val="0"/>
                    <w:jc w:val="center"/>
                    <w:rPr>
                      <w:rFonts w:hint="default" w:ascii="Times New Roman" w:hAnsi="Times New Roman" w:eastAsia="宋体" w:cs="Times New Roman"/>
                      <w:bCs/>
                      <w:color w:val="auto"/>
                      <w:sz w:val="21"/>
                      <w:szCs w:val="21"/>
                    </w:rPr>
                  </w:pPr>
                </w:p>
              </w:tc>
              <w:tc>
                <w:tcPr>
                  <w:tcW w:w="3224" w:type="dxa"/>
                  <w:noWrap w:val="0"/>
                  <w:vAlign w:val="center"/>
                </w:tcPr>
                <w:p w14:paraId="63A985D5">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3414" w:type="dxa"/>
                  <w:noWrap w:val="0"/>
                  <w:vAlign w:val="center"/>
                </w:tcPr>
                <w:p w14:paraId="2E04DBDC">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150μg/m</w:t>
                  </w:r>
                  <w:r>
                    <w:rPr>
                      <w:rFonts w:hint="default" w:ascii="Times New Roman" w:hAnsi="Times New Roman" w:eastAsia="宋体" w:cs="Times New Roman"/>
                      <w:bCs/>
                      <w:color w:val="auto"/>
                      <w:sz w:val="21"/>
                      <w:szCs w:val="21"/>
                      <w:vertAlign w:val="superscript"/>
                    </w:rPr>
                    <w:t>3</w:t>
                  </w:r>
                </w:p>
              </w:tc>
            </w:tr>
            <w:tr w14:paraId="3E243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continue"/>
                  <w:noWrap w:val="0"/>
                  <w:vAlign w:val="center"/>
                </w:tcPr>
                <w:p w14:paraId="6D728162">
                  <w:pPr>
                    <w:kinsoku w:val="0"/>
                    <w:wordWrap w:val="0"/>
                    <w:topLinePunct/>
                    <w:adjustRightInd w:val="0"/>
                    <w:snapToGrid w:val="0"/>
                    <w:jc w:val="center"/>
                    <w:rPr>
                      <w:rFonts w:hint="default" w:ascii="Times New Roman" w:hAnsi="Times New Roman" w:eastAsia="宋体" w:cs="Times New Roman"/>
                      <w:bCs/>
                      <w:color w:val="auto"/>
                      <w:sz w:val="21"/>
                      <w:szCs w:val="21"/>
                    </w:rPr>
                  </w:pPr>
                </w:p>
              </w:tc>
              <w:tc>
                <w:tcPr>
                  <w:tcW w:w="3224" w:type="dxa"/>
                  <w:noWrap w:val="0"/>
                  <w:vAlign w:val="center"/>
                </w:tcPr>
                <w:p w14:paraId="0CB7C39D">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3414" w:type="dxa"/>
                  <w:noWrap w:val="0"/>
                  <w:vAlign w:val="center"/>
                </w:tcPr>
                <w:p w14:paraId="6ED155E3">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60μg/m</w:t>
                  </w:r>
                  <w:r>
                    <w:rPr>
                      <w:rFonts w:hint="default" w:ascii="Times New Roman" w:hAnsi="Times New Roman" w:eastAsia="宋体" w:cs="Times New Roman"/>
                      <w:bCs/>
                      <w:color w:val="auto"/>
                      <w:sz w:val="21"/>
                      <w:szCs w:val="21"/>
                      <w:vertAlign w:val="superscript"/>
                    </w:rPr>
                    <w:t>3</w:t>
                  </w:r>
                </w:p>
              </w:tc>
            </w:tr>
            <w:tr w14:paraId="71FDF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restart"/>
                  <w:noWrap w:val="0"/>
                  <w:vAlign w:val="center"/>
                </w:tcPr>
                <w:p w14:paraId="584D4E35">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rPr>
                    <w:t>2</w:t>
                  </w:r>
                </w:p>
              </w:tc>
              <w:tc>
                <w:tcPr>
                  <w:tcW w:w="3224" w:type="dxa"/>
                  <w:noWrap w:val="0"/>
                  <w:vAlign w:val="center"/>
                </w:tcPr>
                <w:p w14:paraId="3A94AAAD">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3414" w:type="dxa"/>
                  <w:noWrap w:val="0"/>
                  <w:vAlign w:val="center"/>
                </w:tcPr>
                <w:p w14:paraId="2FC160C7">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200μg/m</w:t>
                  </w:r>
                  <w:r>
                    <w:rPr>
                      <w:rFonts w:hint="default" w:ascii="Times New Roman" w:hAnsi="Times New Roman" w:eastAsia="宋体" w:cs="Times New Roman"/>
                      <w:bCs/>
                      <w:color w:val="auto"/>
                      <w:sz w:val="21"/>
                      <w:szCs w:val="21"/>
                      <w:vertAlign w:val="superscript"/>
                    </w:rPr>
                    <w:t>3</w:t>
                  </w:r>
                </w:p>
              </w:tc>
            </w:tr>
            <w:tr w14:paraId="6C428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continue"/>
                  <w:noWrap w:val="0"/>
                  <w:vAlign w:val="center"/>
                </w:tcPr>
                <w:p w14:paraId="667B4500">
                  <w:pPr>
                    <w:kinsoku w:val="0"/>
                    <w:wordWrap w:val="0"/>
                    <w:topLinePunct/>
                    <w:adjustRightInd w:val="0"/>
                    <w:snapToGrid w:val="0"/>
                    <w:jc w:val="center"/>
                    <w:rPr>
                      <w:rFonts w:hint="default" w:ascii="Times New Roman" w:hAnsi="Times New Roman" w:eastAsia="宋体" w:cs="Times New Roman"/>
                      <w:bCs/>
                      <w:color w:val="auto"/>
                      <w:sz w:val="21"/>
                      <w:szCs w:val="21"/>
                    </w:rPr>
                  </w:pPr>
                </w:p>
              </w:tc>
              <w:tc>
                <w:tcPr>
                  <w:tcW w:w="3224" w:type="dxa"/>
                  <w:noWrap w:val="0"/>
                  <w:vAlign w:val="center"/>
                </w:tcPr>
                <w:p w14:paraId="03238CAF">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3414" w:type="dxa"/>
                  <w:noWrap w:val="0"/>
                  <w:vAlign w:val="center"/>
                </w:tcPr>
                <w:p w14:paraId="5A84529A">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80μg/m</w:t>
                  </w:r>
                  <w:r>
                    <w:rPr>
                      <w:rFonts w:hint="default" w:ascii="Times New Roman" w:hAnsi="Times New Roman" w:eastAsia="宋体" w:cs="Times New Roman"/>
                      <w:bCs/>
                      <w:color w:val="auto"/>
                      <w:sz w:val="21"/>
                      <w:szCs w:val="21"/>
                      <w:vertAlign w:val="superscript"/>
                    </w:rPr>
                    <w:t>3</w:t>
                  </w:r>
                </w:p>
              </w:tc>
            </w:tr>
            <w:tr w14:paraId="5CBCE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continue"/>
                  <w:noWrap w:val="0"/>
                  <w:vAlign w:val="center"/>
                </w:tcPr>
                <w:p w14:paraId="188B77BF">
                  <w:pPr>
                    <w:kinsoku w:val="0"/>
                    <w:wordWrap w:val="0"/>
                    <w:topLinePunct/>
                    <w:adjustRightInd w:val="0"/>
                    <w:snapToGrid w:val="0"/>
                    <w:jc w:val="center"/>
                    <w:rPr>
                      <w:rFonts w:hint="default" w:ascii="Times New Roman" w:hAnsi="Times New Roman" w:eastAsia="宋体" w:cs="Times New Roman"/>
                      <w:bCs/>
                      <w:color w:val="auto"/>
                      <w:sz w:val="21"/>
                      <w:szCs w:val="21"/>
                    </w:rPr>
                  </w:pPr>
                </w:p>
              </w:tc>
              <w:tc>
                <w:tcPr>
                  <w:tcW w:w="3224" w:type="dxa"/>
                  <w:noWrap w:val="0"/>
                  <w:vAlign w:val="center"/>
                </w:tcPr>
                <w:p w14:paraId="3603E830">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3414" w:type="dxa"/>
                  <w:noWrap w:val="0"/>
                  <w:vAlign w:val="center"/>
                </w:tcPr>
                <w:p w14:paraId="2BDC30A2">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40μg/m</w:t>
                  </w:r>
                  <w:r>
                    <w:rPr>
                      <w:rFonts w:hint="default" w:ascii="Times New Roman" w:hAnsi="Times New Roman" w:eastAsia="宋体" w:cs="Times New Roman"/>
                      <w:bCs/>
                      <w:color w:val="auto"/>
                      <w:sz w:val="21"/>
                      <w:szCs w:val="21"/>
                      <w:vertAlign w:val="superscript"/>
                    </w:rPr>
                    <w:t>3</w:t>
                  </w:r>
                </w:p>
              </w:tc>
            </w:tr>
            <w:tr w14:paraId="621CE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restart"/>
                  <w:noWrap w:val="0"/>
                  <w:vAlign w:val="center"/>
                </w:tcPr>
                <w:p w14:paraId="2BFA2D04">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PM</w:t>
                  </w:r>
                  <w:r>
                    <w:rPr>
                      <w:rFonts w:hint="default" w:ascii="Times New Roman" w:hAnsi="Times New Roman" w:eastAsia="宋体" w:cs="Times New Roman"/>
                      <w:bCs/>
                      <w:color w:val="auto"/>
                      <w:sz w:val="21"/>
                      <w:szCs w:val="21"/>
                      <w:vertAlign w:val="subscript"/>
                    </w:rPr>
                    <w:t>10</w:t>
                  </w:r>
                </w:p>
              </w:tc>
              <w:tc>
                <w:tcPr>
                  <w:tcW w:w="3224" w:type="dxa"/>
                  <w:noWrap w:val="0"/>
                  <w:vAlign w:val="center"/>
                </w:tcPr>
                <w:p w14:paraId="0E723F96">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3414" w:type="dxa"/>
                  <w:noWrap w:val="0"/>
                  <w:vAlign w:val="center"/>
                </w:tcPr>
                <w:p w14:paraId="592DFB00">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150μg/m</w:t>
                  </w:r>
                  <w:r>
                    <w:rPr>
                      <w:rFonts w:hint="default" w:ascii="Times New Roman" w:hAnsi="Times New Roman" w:eastAsia="宋体" w:cs="Times New Roman"/>
                      <w:bCs/>
                      <w:color w:val="auto"/>
                      <w:sz w:val="21"/>
                      <w:szCs w:val="21"/>
                      <w:vertAlign w:val="superscript"/>
                    </w:rPr>
                    <w:t>3</w:t>
                  </w:r>
                </w:p>
              </w:tc>
            </w:tr>
            <w:tr w14:paraId="18F0D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continue"/>
                  <w:noWrap w:val="0"/>
                  <w:vAlign w:val="center"/>
                </w:tcPr>
                <w:p w14:paraId="0A735A8C">
                  <w:pPr>
                    <w:kinsoku w:val="0"/>
                    <w:wordWrap w:val="0"/>
                    <w:topLinePunct/>
                    <w:adjustRightInd w:val="0"/>
                    <w:snapToGrid w:val="0"/>
                    <w:jc w:val="center"/>
                    <w:rPr>
                      <w:rFonts w:hint="default" w:ascii="Times New Roman" w:hAnsi="Times New Roman" w:eastAsia="宋体" w:cs="Times New Roman"/>
                      <w:bCs/>
                      <w:color w:val="auto"/>
                      <w:sz w:val="21"/>
                      <w:szCs w:val="21"/>
                    </w:rPr>
                  </w:pPr>
                </w:p>
              </w:tc>
              <w:tc>
                <w:tcPr>
                  <w:tcW w:w="3224" w:type="dxa"/>
                  <w:noWrap w:val="0"/>
                  <w:vAlign w:val="center"/>
                </w:tcPr>
                <w:p w14:paraId="71B8620E">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3414" w:type="dxa"/>
                  <w:noWrap w:val="0"/>
                  <w:vAlign w:val="center"/>
                </w:tcPr>
                <w:p w14:paraId="7911475B">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70μg/m</w:t>
                  </w:r>
                  <w:r>
                    <w:rPr>
                      <w:rFonts w:hint="default" w:ascii="Times New Roman" w:hAnsi="Times New Roman" w:eastAsia="宋体" w:cs="Times New Roman"/>
                      <w:bCs/>
                      <w:color w:val="auto"/>
                      <w:sz w:val="21"/>
                      <w:szCs w:val="21"/>
                      <w:vertAlign w:val="superscript"/>
                    </w:rPr>
                    <w:t>3</w:t>
                  </w:r>
                </w:p>
              </w:tc>
            </w:tr>
            <w:tr w14:paraId="460C0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restart"/>
                  <w:noWrap w:val="0"/>
                  <w:vAlign w:val="center"/>
                </w:tcPr>
                <w:p w14:paraId="6A88E815">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PM</w:t>
                  </w:r>
                  <w:r>
                    <w:rPr>
                      <w:rFonts w:hint="default" w:ascii="Times New Roman" w:hAnsi="Times New Roman" w:eastAsia="宋体" w:cs="Times New Roman"/>
                      <w:bCs/>
                      <w:color w:val="auto"/>
                      <w:kern w:val="0"/>
                      <w:sz w:val="21"/>
                      <w:szCs w:val="21"/>
                      <w:vertAlign w:val="subscript"/>
                    </w:rPr>
                    <w:t>2.5</w:t>
                  </w:r>
                </w:p>
              </w:tc>
              <w:tc>
                <w:tcPr>
                  <w:tcW w:w="3224" w:type="dxa"/>
                  <w:noWrap w:val="0"/>
                  <w:vAlign w:val="center"/>
                </w:tcPr>
                <w:p w14:paraId="702ADE0C">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3414" w:type="dxa"/>
                  <w:noWrap w:val="0"/>
                  <w:vAlign w:val="center"/>
                </w:tcPr>
                <w:p w14:paraId="1E53DF93">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75μg/m</w:t>
                  </w:r>
                  <w:r>
                    <w:rPr>
                      <w:rFonts w:hint="default" w:ascii="Times New Roman" w:hAnsi="Times New Roman" w:eastAsia="宋体" w:cs="Times New Roman"/>
                      <w:bCs/>
                      <w:color w:val="auto"/>
                      <w:sz w:val="21"/>
                      <w:szCs w:val="21"/>
                      <w:vertAlign w:val="superscript"/>
                    </w:rPr>
                    <w:t>3</w:t>
                  </w:r>
                </w:p>
              </w:tc>
            </w:tr>
            <w:tr w14:paraId="6D47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continue"/>
                  <w:noWrap w:val="0"/>
                  <w:vAlign w:val="center"/>
                </w:tcPr>
                <w:p w14:paraId="08F4F063">
                  <w:pPr>
                    <w:kinsoku w:val="0"/>
                    <w:wordWrap w:val="0"/>
                    <w:topLinePunct/>
                    <w:adjustRightInd w:val="0"/>
                    <w:snapToGrid w:val="0"/>
                    <w:jc w:val="center"/>
                    <w:rPr>
                      <w:rFonts w:hint="default" w:ascii="Times New Roman" w:hAnsi="Times New Roman" w:eastAsia="宋体" w:cs="Times New Roman"/>
                      <w:bCs/>
                      <w:color w:val="auto"/>
                      <w:sz w:val="21"/>
                      <w:szCs w:val="21"/>
                    </w:rPr>
                  </w:pPr>
                </w:p>
              </w:tc>
              <w:tc>
                <w:tcPr>
                  <w:tcW w:w="3224" w:type="dxa"/>
                  <w:noWrap w:val="0"/>
                  <w:vAlign w:val="center"/>
                </w:tcPr>
                <w:p w14:paraId="41561343">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年平均</w:t>
                  </w:r>
                </w:p>
              </w:tc>
              <w:tc>
                <w:tcPr>
                  <w:tcW w:w="3414" w:type="dxa"/>
                  <w:noWrap w:val="0"/>
                  <w:vAlign w:val="center"/>
                </w:tcPr>
                <w:p w14:paraId="33200888">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35μg/m</w:t>
                  </w:r>
                  <w:r>
                    <w:rPr>
                      <w:rFonts w:hint="default" w:ascii="Times New Roman" w:hAnsi="Times New Roman" w:eastAsia="宋体" w:cs="Times New Roman"/>
                      <w:bCs/>
                      <w:color w:val="auto"/>
                      <w:sz w:val="21"/>
                      <w:szCs w:val="21"/>
                      <w:vertAlign w:val="superscript"/>
                    </w:rPr>
                    <w:t>3</w:t>
                  </w:r>
                </w:p>
              </w:tc>
            </w:tr>
            <w:tr w14:paraId="72449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restart"/>
                  <w:noWrap w:val="0"/>
                  <w:vAlign w:val="center"/>
                </w:tcPr>
                <w:p w14:paraId="10FFCDB1">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w:t>
                  </w:r>
                </w:p>
              </w:tc>
              <w:tc>
                <w:tcPr>
                  <w:tcW w:w="3224" w:type="dxa"/>
                  <w:noWrap w:val="0"/>
                  <w:vAlign w:val="center"/>
                </w:tcPr>
                <w:p w14:paraId="6042A508">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24小时平均</w:t>
                  </w:r>
                </w:p>
              </w:tc>
              <w:tc>
                <w:tcPr>
                  <w:tcW w:w="3414" w:type="dxa"/>
                  <w:noWrap w:val="0"/>
                  <w:vAlign w:val="center"/>
                </w:tcPr>
                <w:p w14:paraId="4A192426">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4mg/m</w:t>
                  </w:r>
                  <w:r>
                    <w:rPr>
                      <w:rFonts w:hint="default" w:ascii="Times New Roman" w:hAnsi="Times New Roman" w:eastAsia="宋体" w:cs="Times New Roman"/>
                      <w:bCs/>
                      <w:color w:val="auto"/>
                      <w:sz w:val="21"/>
                      <w:szCs w:val="21"/>
                      <w:vertAlign w:val="superscript"/>
                    </w:rPr>
                    <w:t>3</w:t>
                  </w:r>
                </w:p>
              </w:tc>
            </w:tr>
            <w:tr w14:paraId="18701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continue"/>
                  <w:noWrap w:val="0"/>
                  <w:vAlign w:val="center"/>
                </w:tcPr>
                <w:p w14:paraId="55DB31CC">
                  <w:pPr>
                    <w:kinsoku w:val="0"/>
                    <w:wordWrap w:val="0"/>
                    <w:topLinePunct/>
                    <w:adjustRightInd w:val="0"/>
                    <w:snapToGrid w:val="0"/>
                    <w:jc w:val="center"/>
                    <w:rPr>
                      <w:rFonts w:hint="default" w:ascii="Times New Roman" w:hAnsi="Times New Roman" w:eastAsia="宋体" w:cs="Times New Roman"/>
                      <w:bCs/>
                      <w:color w:val="auto"/>
                      <w:sz w:val="21"/>
                      <w:szCs w:val="21"/>
                    </w:rPr>
                  </w:pPr>
                </w:p>
              </w:tc>
              <w:tc>
                <w:tcPr>
                  <w:tcW w:w="3224" w:type="dxa"/>
                  <w:noWrap w:val="0"/>
                  <w:vAlign w:val="center"/>
                </w:tcPr>
                <w:p w14:paraId="54556E9D">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3414" w:type="dxa"/>
                  <w:noWrap w:val="0"/>
                  <w:vAlign w:val="center"/>
                </w:tcPr>
                <w:p w14:paraId="4460BDA0">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10mg/m</w:t>
                  </w:r>
                  <w:r>
                    <w:rPr>
                      <w:rFonts w:hint="default" w:ascii="Times New Roman" w:hAnsi="Times New Roman" w:eastAsia="宋体" w:cs="Times New Roman"/>
                      <w:bCs/>
                      <w:color w:val="auto"/>
                      <w:sz w:val="21"/>
                      <w:szCs w:val="21"/>
                      <w:vertAlign w:val="superscript"/>
                    </w:rPr>
                    <w:t>3</w:t>
                  </w:r>
                </w:p>
              </w:tc>
            </w:tr>
            <w:tr w14:paraId="751AC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restart"/>
                  <w:noWrap w:val="0"/>
                  <w:vAlign w:val="center"/>
                </w:tcPr>
                <w:p w14:paraId="654B77B6">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O</w:t>
                  </w:r>
                  <w:r>
                    <w:rPr>
                      <w:rFonts w:hint="default" w:ascii="Times New Roman" w:hAnsi="Times New Roman" w:eastAsia="宋体" w:cs="Times New Roman"/>
                      <w:bCs/>
                      <w:color w:val="auto"/>
                      <w:sz w:val="21"/>
                      <w:szCs w:val="21"/>
                      <w:vertAlign w:val="subscript"/>
                    </w:rPr>
                    <w:t>3</w:t>
                  </w:r>
                </w:p>
              </w:tc>
              <w:tc>
                <w:tcPr>
                  <w:tcW w:w="3224" w:type="dxa"/>
                  <w:noWrap w:val="0"/>
                  <w:vAlign w:val="center"/>
                </w:tcPr>
                <w:p w14:paraId="2222FE06">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日最大8小时平均</w:t>
                  </w:r>
                </w:p>
              </w:tc>
              <w:tc>
                <w:tcPr>
                  <w:tcW w:w="3414" w:type="dxa"/>
                  <w:noWrap w:val="0"/>
                  <w:vAlign w:val="center"/>
                </w:tcPr>
                <w:p w14:paraId="018CCA59">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160μg/m</w:t>
                  </w:r>
                  <w:r>
                    <w:rPr>
                      <w:rFonts w:hint="default" w:ascii="Times New Roman" w:hAnsi="Times New Roman" w:eastAsia="宋体" w:cs="Times New Roman"/>
                      <w:bCs/>
                      <w:color w:val="auto"/>
                      <w:sz w:val="21"/>
                      <w:szCs w:val="21"/>
                      <w:vertAlign w:val="superscript"/>
                    </w:rPr>
                    <w:t>3</w:t>
                  </w:r>
                </w:p>
              </w:tc>
            </w:tr>
            <w:tr w14:paraId="365BB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continue"/>
                  <w:noWrap w:val="0"/>
                  <w:vAlign w:val="center"/>
                </w:tcPr>
                <w:p w14:paraId="20A7C23A">
                  <w:pPr>
                    <w:kinsoku w:val="0"/>
                    <w:wordWrap w:val="0"/>
                    <w:topLinePunct/>
                    <w:adjustRightInd w:val="0"/>
                    <w:snapToGrid w:val="0"/>
                    <w:jc w:val="center"/>
                    <w:rPr>
                      <w:rFonts w:hint="default" w:ascii="Times New Roman" w:hAnsi="Times New Roman" w:eastAsia="宋体" w:cs="Times New Roman"/>
                      <w:bCs/>
                      <w:color w:val="auto"/>
                      <w:sz w:val="21"/>
                      <w:szCs w:val="21"/>
                    </w:rPr>
                  </w:pPr>
                </w:p>
              </w:tc>
              <w:tc>
                <w:tcPr>
                  <w:tcW w:w="3224" w:type="dxa"/>
                  <w:noWrap w:val="0"/>
                  <w:vAlign w:val="center"/>
                </w:tcPr>
                <w:p w14:paraId="6C5D498A">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1小时平均</w:t>
                  </w:r>
                </w:p>
              </w:tc>
              <w:tc>
                <w:tcPr>
                  <w:tcW w:w="3414" w:type="dxa"/>
                  <w:noWrap w:val="0"/>
                  <w:vAlign w:val="center"/>
                </w:tcPr>
                <w:p w14:paraId="6A9AB335">
                  <w:pPr>
                    <w:kinsoku w:val="0"/>
                    <w:wordWrap w:val="0"/>
                    <w:topLinePunct/>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200μg/m</w:t>
                  </w:r>
                  <w:r>
                    <w:rPr>
                      <w:rFonts w:hint="default" w:ascii="Times New Roman" w:hAnsi="Times New Roman" w:eastAsia="宋体" w:cs="Times New Roman"/>
                      <w:bCs/>
                      <w:color w:val="auto"/>
                      <w:sz w:val="21"/>
                      <w:szCs w:val="21"/>
                      <w:vertAlign w:val="superscript"/>
                    </w:rPr>
                    <w:t>3</w:t>
                  </w:r>
                </w:p>
              </w:tc>
            </w:tr>
            <w:tr w14:paraId="783EE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restart"/>
                  <w:noWrap w:val="0"/>
                  <w:vAlign w:val="center"/>
                </w:tcPr>
                <w:p w14:paraId="23D24E00">
                  <w:pPr>
                    <w:kinsoku w:val="0"/>
                    <w:wordWrap w:val="0"/>
                    <w:topLinePunct/>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TSP</w:t>
                  </w:r>
                </w:p>
              </w:tc>
              <w:tc>
                <w:tcPr>
                  <w:tcW w:w="3224" w:type="dxa"/>
                  <w:noWrap w:val="0"/>
                  <w:vAlign w:val="center"/>
                </w:tcPr>
                <w:p w14:paraId="197EF9B3">
                  <w:pPr>
                    <w:kinsoku w:val="0"/>
                    <w:wordWrap w:val="0"/>
                    <w:topLinePunct/>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24小时平均</w:t>
                  </w:r>
                </w:p>
              </w:tc>
              <w:tc>
                <w:tcPr>
                  <w:tcW w:w="3414" w:type="dxa"/>
                  <w:noWrap w:val="0"/>
                  <w:vAlign w:val="center"/>
                </w:tcPr>
                <w:p w14:paraId="6BCF6F0E">
                  <w:pPr>
                    <w:kinsoku w:val="0"/>
                    <w:wordWrap w:val="0"/>
                    <w:topLinePunct/>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300</w:t>
                  </w:r>
                  <w:r>
                    <w:rPr>
                      <w:rFonts w:hint="default" w:ascii="Times New Roman" w:hAnsi="Times New Roman" w:eastAsia="宋体" w:cs="Times New Roman"/>
                      <w:bCs/>
                      <w:color w:val="auto"/>
                      <w:sz w:val="21"/>
                      <w:szCs w:val="21"/>
                    </w:rPr>
                    <w:t>g/m</w:t>
                  </w:r>
                  <w:r>
                    <w:rPr>
                      <w:rFonts w:hint="default" w:ascii="Times New Roman" w:hAnsi="Times New Roman" w:eastAsia="宋体" w:cs="Times New Roman"/>
                      <w:bCs/>
                      <w:color w:val="auto"/>
                      <w:sz w:val="21"/>
                      <w:szCs w:val="21"/>
                      <w:vertAlign w:val="superscript"/>
                    </w:rPr>
                    <w:t>3</w:t>
                  </w:r>
                </w:p>
              </w:tc>
            </w:tr>
            <w:tr w14:paraId="4EF33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77" w:type="dxa"/>
                  <w:vMerge w:val="continue"/>
                  <w:noWrap w:val="0"/>
                  <w:vAlign w:val="center"/>
                </w:tcPr>
                <w:p w14:paraId="7D29595D">
                  <w:pPr>
                    <w:kinsoku w:val="0"/>
                    <w:wordWrap w:val="0"/>
                    <w:topLinePunct/>
                    <w:adjustRightInd w:val="0"/>
                    <w:snapToGrid w:val="0"/>
                    <w:jc w:val="center"/>
                    <w:rPr>
                      <w:rFonts w:hint="default" w:ascii="Times New Roman" w:hAnsi="Times New Roman" w:cs="Times New Roman"/>
                      <w:bCs/>
                      <w:color w:val="auto"/>
                      <w:sz w:val="21"/>
                      <w:szCs w:val="21"/>
                      <w:lang w:val="en-US" w:eastAsia="zh-CN"/>
                    </w:rPr>
                  </w:pPr>
                </w:p>
              </w:tc>
              <w:tc>
                <w:tcPr>
                  <w:tcW w:w="3224" w:type="dxa"/>
                  <w:noWrap w:val="0"/>
                  <w:vAlign w:val="center"/>
                </w:tcPr>
                <w:p w14:paraId="40FDDE69">
                  <w:pPr>
                    <w:kinsoku w:val="0"/>
                    <w:wordWrap w:val="0"/>
                    <w:topLinePunct/>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年平均</w:t>
                  </w:r>
                </w:p>
              </w:tc>
              <w:tc>
                <w:tcPr>
                  <w:tcW w:w="3414" w:type="dxa"/>
                  <w:noWrap w:val="0"/>
                  <w:vAlign w:val="center"/>
                </w:tcPr>
                <w:p w14:paraId="503D26C5">
                  <w:pPr>
                    <w:kinsoku w:val="0"/>
                    <w:wordWrap w:val="0"/>
                    <w:topLinePunct/>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200</w:t>
                  </w:r>
                  <w:r>
                    <w:rPr>
                      <w:rFonts w:hint="default" w:ascii="Times New Roman" w:hAnsi="Times New Roman" w:eastAsia="宋体" w:cs="Times New Roman"/>
                      <w:bCs/>
                      <w:color w:val="auto"/>
                      <w:sz w:val="21"/>
                      <w:szCs w:val="21"/>
                    </w:rPr>
                    <w:t>g/m</w:t>
                  </w:r>
                  <w:r>
                    <w:rPr>
                      <w:rFonts w:hint="default" w:ascii="Times New Roman" w:hAnsi="Times New Roman" w:eastAsia="宋体" w:cs="Times New Roman"/>
                      <w:bCs/>
                      <w:color w:val="auto"/>
                      <w:sz w:val="21"/>
                      <w:szCs w:val="21"/>
                      <w:vertAlign w:val="superscript"/>
                    </w:rPr>
                    <w:t>3</w:t>
                  </w:r>
                </w:p>
              </w:tc>
            </w:tr>
          </w:tbl>
          <w:p w14:paraId="45F84C00">
            <w:pPr>
              <w:kinsoku w:val="0"/>
              <w:wordWrap w:val="0"/>
              <w:topLinePunct/>
              <w:ind w:firstLine="51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（2）地表水环境质量标准</w:t>
            </w:r>
          </w:p>
          <w:p w14:paraId="6E40E5EA">
            <w:pPr>
              <w:pStyle w:val="37"/>
              <w:keepNext w:val="0"/>
              <w:keepLines w:val="0"/>
              <w:pageBreakBefore w:val="0"/>
              <w:widowControl w:val="0"/>
              <w:numPr>
                <w:ilvl w:val="0"/>
                <w:numId w:val="0"/>
              </w:numPr>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rPr>
            </w:pPr>
            <w:r>
              <w:rPr>
                <w:rFonts w:hint="default" w:ascii="Times New Roman" w:hAnsi="Times New Roman" w:cs="Times New Roman"/>
                <w:bCs/>
                <w:color w:val="auto"/>
                <w:sz w:val="24"/>
              </w:rPr>
              <w:t>本项目地表水主要为</w:t>
            </w:r>
            <w:r>
              <w:rPr>
                <w:rFonts w:hint="default" w:ascii="Times New Roman" w:hAnsi="Times New Roman" w:cs="Times New Roman"/>
                <w:bCs/>
                <w:color w:val="auto"/>
                <w:sz w:val="24"/>
                <w:lang w:val="en-US" w:eastAsia="zh-CN"/>
              </w:rPr>
              <w:t>清水河</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清水河</w:t>
            </w:r>
            <w:r>
              <w:rPr>
                <w:rFonts w:hint="default" w:ascii="Times New Roman" w:hAnsi="Times New Roman" w:cs="Times New Roman"/>
                <w:color w:val="auto"/>
                <w:kern w:val="0"/>
                <w:sz w:val="24"/>
                <w:lang w:bidi="ar"/>
              </w:rPr>
              <w:t>水质执行《地表水环境质量标准》（GB3838-2002）中的</w:t>
            </w:r>
            <w:r>
              <w:rPr>
                <w:rFonts w:hint="default" w:ascii="Times New Roman" w:hAnsi="Times New Roman" w:cs="Times New Roman"/>
                <w:color w:val="auto"/>
                <w:kern w:val="0"/>
                <w:sz w:val="24"/>
                <w:lang w:val="en-US" w:eastAsia="zh-CN" w:bidi="ar"/>
              </w:rPr>
              <w:t>IV</w:t>
            </w:r>
            <w:r>
              <w:rPr>
                <w:rFonts w:hint="default" w:ascii="Times New Roman" w:hAnsi="Times New Roman" w:cs="Times New Roman"/>
                <w:color w:val="auto"/>
                <w:kern w:val="0"/>
                <w:sz w:val="24"/>
                <w:lang w:bidi="ar"/>
              </w:rPr>
              <w:t>类水质标准。</w:t>
            </w:r>
          </w:p>
          <w:p w14:paraId="6EEA9849">
            <w:pPr>
              <w:kinsoku w:val="0"/>
              <w:wordWrap w:val="0"/>
              <w:topLinePunct/>
              <w:spacing w:line="240" w:lineRule="auto"/>
              <w:ind w:firstLine="0" w:firstLineChars="0"/>
              <w:jc w:val="center"/>
              <w:rPr>
                <w:rFonts w:hint="default" w:ascii="Times New Roman" w:hAnsi="Times New Roman" w:eastAsia="黑体" w:cs="Times New Roman"/>
                <w:b w:val="0"/>
                <w:bCs/>
                <w:color w:val="auto"/>
                <w:kern w:val="0"/>
                <w:sz w:val="24"/>
              </w:rPr>
            </w:pPr>
            <w:r>
              <w:rPr>
                <w:rFonts w:hint="default" w:ascii="Times New Roman" w:hAnsi="Times New Roman" w:eastAsia="黑体" w:cs="Times New Roman"/>
                <w:b w:val="0"/>
                <w:bCs/>
                <w:color w:val="auto"/>
                <w:kern w:val="0"/>
                <w:sz w:val="24"/>
              </w:rPr>
              <w:t>表3-</w:t>
            </w:r>
            <w:r>
              <w:rPr>
                <w:rFonts w:hint="default" w:ascii="Times New Roman" w:hAnsi="Times New Roman" w:eastAsia="黑体" w:cs="Times New Roman"/>
                <w:b w:val="0"/>
                <w:bCs/>
                <w:color w:val="auto"/>
                <w:kern w:val="0"/>
                <w:sz w:val="24"/>
                <w:lang w:val="en-US" w:eastAsia="zh-CN"/>
              </w:rPr>
              <w:t>4</w:t>
            </w:r>
            <w:r>
              <w:rPr>
                <w:rFonts w:hint="default" w:ascii="Times New Roman" w:hAnsi="Times New Roman" w:eastAsia="黑体" w:cs="Times New Roman"/>
                <w:b w:val="0"/>
                <w:bCs/>
                <w:color w:val="auto"/>
                <w:kern w:val="0"/>
                <w:sz w:val="24"/>
              </w:rPr>
              <w:t xml:space="preserve">  地表水质量标准限值一览表（</w:t>
            </w:r>
            <w:r>
              <w:rPr>
                <w:rFonts w:hint="default" w:ascii="Times New Roman" w:hAnsi="Times New Roman" w:eastAsia="黑体" w:cs="Times New Roman"/>
                <w:b w:val="0"/>
                <w:bCs/>
                <w:color w:val="auto"/>
                <w:kern w:val="0"/>
                <w:sz w:val="24"/>
                <w:lang w:val="en-US" w:eastAsia="zh-CN"/>
              </w:rPr>
              <w:t>IV</w:t>
            </w:r>
            <w:r>
              <w:rPr>
                <w:rFonts w:hint="default" w:ascii="Times New Roman" w:hAnsi="Times New Roman" w:eastAsia="黑体" w:cs="Times New Roman"/>
                <w:b w:val="0"/>
                <w:bCs/>
                <w:color w:val="auto"/>
                <w:kern w:val="0"/>
                <w:sz w:val="24"/>
              </w:rPr>
              <w:t>类）</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39"/>
              <w:gridCol w:w="2419"/>
              <w:gridCol w:w="4857"/>
            </w:tblGrid>
            <w:tr w14:paraId="0A7AD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7794CD16">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序号</w:t>
                  </w:r>
                </w:p>
              </w:tc>
              <w:tc>
                <w:tcPr>
                  <w:tcW w:w="1454" w:type="pct"/>
                  <w:tcBorders>
                    <w:tl2br w:val="nil"/>
                    <w:tr2bl w:val="nil"/>
                  </w:tcBorders>
                  <w:noWrap w:val="0"/>
                  <w:vAlign w:val="center"/>
                </w:tcPr>
                <w:p w14:paraId="2B52EDBB">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污染物名称</w:t>
                  </w:r>
                </w:p>
              </w:tc>
              <w:tc>
                <w:tcPr>
                  <w:tcW w:w="2919" w:type="pct"/>
                  <w:tcBorders>
                    <w:tl2br w:val="nil"/>
                    <w:tr2bl w:val="nil"/>
                  </w:tcBorders>
                  <w:noWrap w:val="0"/>
                  <w:vAlign w:val="center"/>
                </w:tcPr>
                <w:p w14:paraId="5249EB3E">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标准值</w:t>
                  </w:r>
                  <w:r>
                    <w:rPr>
                      <w:rFonts w:hint="default" w:ascii="Times New Roman" w:hAnsi="Times New Roman" w:cs="Times New Roman"/>
                      <w:color w:val="auto"/>
                      <w:sz w:val="21"/>
                      <w:szCs w:val="21"/>
                      <w:highlight w:val="none"/>
                      <w:lang w:val="en-US" w:eastAsia="zh-CN"/>
                    </w:rPr>
                    <w:t>IV</w:t>
                  </w:r>
                  <w:r>
                    <w:rPr>
                      <w:rFonts w:hint="default" w:ascii="Times New Roman" w:hAnsi="Times New Roman" w:eastAsia="宋体" w:cs="Times New Roman"/>
                      <w:color w:val="auto"/>
                      <w:sz w:val="21"/>
                      <w:szCs w:val="21"/>
                      <w:highlight w:val="none"/>
                      <w:lang w:eastAsia="zh-CN"/>
                    </w:rPr>
                    <w:t>类</w:t>
                  </w:r>
                </w:p>
              </w:tc>
            </w:tr>
            <w:tr w14:paraId="0B1613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037D221B">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p>
              </w:tc>
              <w:tc>
                <w:tcPr>
                  <w:tcW w:w="1454" w:type="pct"/>
                  <w:tcBorders>
                    <w:tl2br w:val="nil"/>
                    <w:tr2bl w:val="nil"/>
                  </w:tcBorders>
                  <w:noWrap w:val="0"/>
                  <w:vAlign w:val="center"/>
                </w:tcPr>
                <w:p w14:paraId="4478CDE7">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水温</w:t>
                  </w:r>
                </w:p>
              </w:tc>
              <w:tc>
                <w:tcPr>
                  <w:tcW w:w="2919" w:type="pct"/>
                  <w:tcBorders>
                    <w:tl2br w:val="nil"/>
                    <w:tr2bl w:val="nil"/>
                  </w:tcBorders>
                  <w:noWrap w:val="0"/>
                  <w:vAlign w:val="center"/>
                </w:tcPr>
                <w:p w14:paraId="0E468801">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周平均温升≤1，周平均温降≤2</w:t>
                  </w:r>
                </w:p>
              </w:tc>
            </w:tr>
            <w:tr w14:paraId="652DB3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0B407037">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w:t>
                  </w:r>
                </w:p>
              </w:tc>
              <w:tc>
                <w:tcPr>
                  <w:tcW w:w="1454" w:type="pct"/>
                  <w:tcBorders>
                    <w:tl2br w:val="nil"/>
                    <w:tr2bl w:val="nil"/>
                  </w:tcBorders>
                  <w:noWrap w:val="0"/>
                  <w:vAlign w:val="center"/>
                </w:tcPr>
                <w:p w14:paraId="6E12183F">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pH值</w:t>
                  </w:r>
                </w:p>
              </w:tc>
              <w:tc>
                <w:tcPr>
                  <w:tcW w:w="2919" w:type="pct"/>
                  <w:tcBorders>
                    <w:tl2br w:val="nil"/>
                    <w:tr2bl w:val="nil"/>
                  </w:tcBorders>
                  <w:noWrap w:val="0"/>
                  <w:vAlign w:val="center"/>
                </w:tcPr>
                <w:p w14:paraId="48790496">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6～9</w:t>
                  </w:r>
                </w:p>
              </w:tc>
            </w:tr>
            <w:tr w14:paraId="50FAB0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6852B3A6">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w:t>
                  </w:r>
                </w:p>
              </w:tc>
              <w:tc>
                <w:tcPr>
                  <w:tcW w:w="1454" w:type="pct"/>
                  <w:tcBorders>
                    <w:tl2br w:val="nil"/>
                    <w:tr2bl w:val="nil"/>
                  </w:tcBorders>
                  <w:noWrap w:val="0"/>
                  <w:vAlign w:val="center"/>
                </w:tcPr>
                <w:p w14:paraId="580B2E58">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DO</w:t>
                  </w:r>
                </w:p>
              </w:tc>
              <w:tc>
                <w:tcPr>
                  <w:tcW w:w="2919" w:type="pct"/>
                  <w:tcBorders>
                    <w:tl2br w:val="nil"/>
                    <w:tr2bl w:val="nil"/>
                  </w:tcBorders>
                  <w:noWrap w:val="0"/>
                  <w:vAlign w:val="center"/>
                </w:tcPr>
                <w:p w14:paraId="3C3F6071">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p>
              </w:tc>
            </w:tr>
            <w:tr w14:paraId="21BDB5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5BFBB732">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w:t>
                  </w:r>
                </w:p>
              </w:tc>
              <w:tc>
                <w:tcPr>
                  <w:tcW w:w="1454" w:type="pct"/>
                  <w:tcBorders>
                    <w:tl2br w:val="nil"/>
                    <w:tr2bl w:val="nil"/>
                  </w:tcBorders>
                  <w:noWrap w:val="0"/>
                  <w:vAlign w:val="center"/>
                </w:tcPr>
                <w:p w14:paraId="2FF1B46E">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高锰酸盐指数</w:t>
                  </w:r>
                </w:p>
              </w:tc>
              <w:tc>
                <w:tcPr>
                  <w:tcW w:w="2919" w:type="pct"/>
                  <w:tcBorders>
                    <w:tl2br w:val="nil"/>
                    <w:tr2bl w:val="nil"/>
                  </w:tcBorders>
                  <w:noWrap w:val="0"/>
                  <w:vAlign w:val="center"/>
                </w:tcPr>
                <w:p w14:paraId="3823D29C">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10</w:t>
                  </w:r>
                </w:p>
              </w:tc>
            </w:tr>
            <w:tr w14:paraId="432C6A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74B76125">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5</w:t>
                  </w:r>
                </w:p>
              </w:tc>
              <w:tc>
                <w:tcPr>
                  <w:tcW w:w="1454" w:type="pct"/>
                  <w:tcBorders>
                    <w:tl2br w:val="nil"/>
                    <w:tr2bl w:val="nil"/>
                  </w:tcBorders>
                  <w:noWrap w:val="0"/>
                  <w:vAlign w:val="center"/>
                </w:tcPr>
                <w:p w14:paraId="50E7C5FF">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COD</w:t>
                  </w:r>
                </w:p>
              </w:tc>
              <w:tc>
                <w:tcPr>
                  <w:tcW w:w="2919" w:type="pct"/>
                  <w:tcBorders>
                    <w:tl2br w:val="nil"/>
                    <w:tr2bl w:val="nil"/>
                  </w:tcBorders>
                  <w:noWrap w:val="0"/>
                  <w:vAlign w:val="center"/>
                </w:tcPr>
                <w:p w14:paraId="28928BE9">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30</w:t>
                  </w:r>
                </w:p>
              </w:tc>
            </w:tr>
            <w:tr w14:paraId="0B6D4A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09B23536">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6</w:t>
                  </w:r>
                </w:p>
              </w:tc>
              <w:tc>
                <w:tcPr>
                  <w:tcW w:w="1454" w:type="pct"/>
                  <w:tcBorders>
                    <w:tl2br w:val="nil"/>
                    <w:tr2bl w:val="nil"/>
                  </w:tcBorders>
                  <w:noWrap w:val="0"/>
                  <w:vAlign w:val="center"/>
                </w:tcPr>
                <w:p w14:paraId="1889104D">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BOD</w:t>
                  </w:r>
                  <w:r>
                    <w:rPr>
                      <w:rFonts w:hint="default" w:ascii="Times New Roman" w:hAnsi="Times New Roman" w:eastAsia="宋体" w:cs="Times New Roman"/>
                      <w:color w:val="auto"/>
                      <w:sz w:val="21"/>
                      <w:szCs w:val="21"/>
                      <w:highlight w:val="none"/>
                      <w:vertAlign w:val="subscript"/>
                      <w:lang w:eastAsia="zh-CN"/>
                    </w:rPr>
                    <w:t>5</w:t>
                  </w:r>
                </w:p>
              </w:tc>
              <w:tc>
                <w:tcPr>
                  <w:tcW w:w="2919" w:type="pct"/>
                  <w:tcBorders>
                    <w:tl2br w:val="nil"/>
                    <w:tr2bl w:val="nil"/>
                  </w:tcBorders>
                  <w:noWrap w:val="0"/>
                  <w:vAlign w:val="center"/>
                </w:tcPr>
                <w:p w14:paraId="1F9DA36C">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6</w:t>
                  </w:r>
                </w:p>
              </w:tc>
            </w:tr>
            <w:tr w14:paraId="5915D6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745918A2">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7</w:t>
                  </w:r>
                </w:p>
              </w:tc>
              <w:tc>
                <w:tcPr>
                  <w:tcW w:w="1454" w:type="pct"/>
                  <w:tcBorders>
                    <w:tl2br w:val="nil"/>
                    <w:tr2bl w:val="nil"/>
                  </w:tcBorders>
                  <w:noWrap w:val="0"/>
                  <w:vAlign w:val="center"/>
                </w:tcPr>
                <w:p w14:paraId="6D6CD271">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氨氮</w:t>
                  </w:r>
                </w:p>
              </w:tc>
              <w:tc>
                <w:tcPr>
                  <w:tcW w:w="2919" w:type="pct"/>
                  <w:tcBorders>
                    <w:tl2br w:val="nil"/>
                    <w:tr2bl w:val="nil"/>
                  </w:tcBorders>
                  <w:noWrap w:val="0"/>
                  <w:vAlign w:val="center"/>
                </w:tcPr>
                <w:p w14:paraId="01E05C99">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5</w:t>
                  </w:r>
                </w:p>
              </w:tc>
            </w:tr>
            <w:tr w14:paraId="42171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22580880">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8</w:t>
                  </w:r>
                </w:p>
              </w:tc>
              <w:tc>
                <w:tcPr>
                  <w:tcW w:w="1454" w:type="pct"/>
                  <w:tcBorders>
                    <w:tl2br w:val="nil"/>
                    <w:tr2bl w:val="nil"/>
                  </w:tcBorders>
                  <w:noWrap w:val="0"/>
                  <w:vAlign w:val="center"/>
                </w:tcPr>
                <w:p w14:paraId="0F34AAF2">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总磷</w:t>
                  </w:r>
                </w:p>
              </w:tc>
              <w:tc>
                <w:tcPr>
                  <w:tcW w:w="2919" w:type="pct"/>
                  <w:tcBorders>
                    <w:tl2br w:val="nil"/>
                    <w:tr2bl w:val="nil"/>
                  </w:tcBorders>
                  <w:noWrap w:val="0"/>
                  <w:vAlign w:val="center"/>
                </w:tcPr>
                <w:p w14:paraId="15614BE4">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≤0.</w:t>
                  </w:r>
                  <w:r>
                    <w:rPr>
                      <w:rFonts w:hint="default" w:ascii="Times New Roman" w:hAnsi="Times New Roman" w:cs="Times New Roman"/>
                      <w:color w:val="auto"/>
                      <w:sz w:val="21"/>
                      <w:szCs w:val="21"/>
                      <w:highlight w:val="none"/>
                      <w:lang w:val="en-US" w:eastAsia="zh-CN"/>
                    </w:rPr>
                    <w:t>3</w:t>
                  </w:r>
                </w:p>
              </w:tc>
            </w:tr>
            <w:tr w14:paraId="6663B2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6A01CD37">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w:t>
                  </w:r>
                </w:p>
              </w:tc>
              <w:tc>
                <w:tcPr>
                  <w:tcW w:w="1454" w:type="pct"/>
                  <w:tcBorders>
                    <w:tl2br w:val="nil"/>
                    <w:tr2bl w:val="nil"/>
                  </w:tcBorders>
                  <w:noWrap w:val="0"/>
                  <w:vAlign w:val="center"/>
                </w:tcPr>
                <w:p w14:paraId="372ABFA7">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总氮</w:t>
                  </w:r>
                </w:p>
              </w:tc>
              <w:tc>
                <w:tcPr>
                  <w:tcW w:w="2919" w:type="pct"/>
                  <w:tcBorders>
                    <w:tl2br w:val="nil"/>
                    <w:tr2bl w:val="nil"/>
                  </w:tcBorders>
                  <w:noWrap w:val="0"/>
                  <w:vAlign w:val="center"/>
                </w:tcPr>
                <w:p w14:paraId="3FCB6D35">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1.5</w:t>
                  </w:r>
                </w:p>
              </w:tc>
            </w:tr>
            <w:tr w14:paraId="59E0C0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5D588299">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10</w:t>
                  </w:r>
                </w:p>
              </w:tc>
              <w:tc>
                <w:tcPr>
                  <w:tcW w:w="1454" w:type="pct"/>
                  <w:tcBorders>
                    <w:tl2br w:val="nil"/>
                    <w:tr2bl w:val="nil"/>
                  </w:tcBorders>
                  <w:noWrap w:val="0"/>
                  <w:vAlign w:val="center"/>
                </w:tcPr>
                <w:p w14:paraId="22555E7C">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铜</w:t>
                  </w:r>
                </w:p>
              </w:tc>
              <w:tc>
                <w:tcPr>
                  <w:tcW w:w="2919" w:type="pct"/>
                  <w:tcBorders>
                    <w:tl2br w:val="nil"/>
                    <w:tr2bl w:val="nil"/>
                  </w:tcBorders>
                  <w:noWrap w:val="0"/>
                  <w:vAlign w:val="center"/>
                </w:tcPr>
                <w:p w14:paraId="6C6F3733">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w:t>
                  </w:r>
                  <w:r>
                    <w:rPr>
                      <w:rFonts w:hint="default" w:ascii="Times New Roman" w:hAnsi="Times New Roman" w:cs="Times New Roman"/>
                      <w:color w:val="auto"/>
                      <w:sz w:val="21"/>
                      <w:szCs w:val="21"/>
                      <w:highlight w:val="none"/>
                      <w:lang w:val="en-US" w:eastAsia="zh-CN"/>
                    </w:rPr>
                    <w:t>0</w:t>
                  </w:r>
                </w:p>
              </w:tc>
            </w:tr>
            <w:tr w14:paraId="272A5F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7BEDDB67">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w:t>
                  </w:r>
                </w:p>
              </w:tc>
              <w:tc>
                <w:tcPr>
                  <w:tcW w:w="1454" w:type="pct"/>
                  <w:tcBorders>
                    <w:tl2br w:val="nil"/>
                    <w:tr2bl w:val="nil"/>
                  </w:tcBorders>
                  <w:noWrap w:val="0"/>
                  <w:vAlign w:val="center"/>
                </w:tcPr>
                <w:p w14:paraId="19ADF112">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锌</w:t>
                  </w:r>
                </w:p>
              </w:tc>
              <w:tc>
                <w:tcPr>
                  <w:tcW w:w="2919" w:type="pct"/>
                  <w:tcBorders>
                    <w:tl2br w:val="nil"/>
                    <w:tr2bl w:val="nil"/>
                  </w:tcBorders>
                  <w:noWrap w:val="0"/>
                  <w:vAlign w:val="center"/>
                </w:tcPr>
                <w:p w14:paraId="4239DAA7">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w:t>
                  </w:r>
                </w:p>
              </w:tc>
            </w:tr>
            <w:tr w14:paraId="4ADA70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4EE55A45">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12</w:t>
                  </w:r>
                </w:p>
              </w:tc>
              <w:tc>
                <w:tcPr>
                  <w:tcW w:w="1454" w:type="pct"/>
                  <w:tcBorders>
                    <w:tl2br w:val="nil"/>
                    <w:tr2bl w:val="nil"/>
                  </w:tcBorders>
                  <w:noWrap w:val="0"/>
                  <w:vAlign w:val="center"/>
                </w:tcPr>
                <w:p w14:paraId="0E2F4577">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氟化</w:t>
                  </w:r>
                  <w:r>
                    <w:rPr>
                      <w:rFonts w:hint="default" w:ascii="Times New Roman" w:hAnsi="Times New Roman" w:eastAsia="宋体" w:cs="Times New Roman"/>
                      <w:color w:val="auto"/>
                      <w:sz w:val="21"/>
                      <w:szCs w:val="21"/>
                      <w:highlight w:val="none"/>
                      <w:lang w:eastAsia="zh-CN"/>
                    </w:rPr>
                    <w:t>物</w:t>
                  </w:r>
                </w:p>
              </w:tc>
              <w:tc>
                <w:tcPr>
                  <w:tcW w:w="2919" w:type="pct"/>
                  <w:tcBorders>
                    <w:tl2br w:val="nil"/>
                    <w:tr2bl w:val="nil"/>
                  </w:tcBorders>
                  <w:noWrap w:val="0"/>
                  <w:vAlign w:val="center"/>
                </w:tcPr>
                <w:p w14:paraId="1B9540D2">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1.5</w:t>
                  </w:r>
                </w:p>
              </w:tc>
            </w:tr>
            <w:tr w14:paraId="01F592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7F1691B9">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13</w:t>
                  </w:r>
                </w:p>
              </w:tc>
              <w:tc>
                <w:tcPr>
                  <w:tcW w:w="1454" w:type="pct"/>
                  <w:tcBorders>
                    <w:tl2br w:val="nil"/>
                    <w:tr2bl w:val="nil"/>
                  </w:tcBorders>
                  <w:noWrap w:val="0"/>
                  <w:vAlign w:val="center"/>
                </w:tcPr>
                <w:p w14:paraId="4DD6D0A4">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硒</w:t>
                  </w:r>
                </w:p>
              </w:tc>
              <w:tc>
                <w:tcPr>
                  <w:tcW w:w="2919" w:type="pct"/>
                  <w:tcBorders>
                    <w:tl2br w:val="nil"/>
                    <w:tr2bl w:val="nil"/>
                  </w:tcBorders>
                  <w:noWrap w:val="0"/>
                  <w:vAlign w:val="center"/>
                </w:tcPr>
                <w:p w14:paraId="29B0FA77">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≤0.0</w:t>
                  </w:r>
                  <w:r>
                    <w:rPr>
                      <w:rFonts w:hint="default" w:ascii="Times New Roman" w:hAnsi="Times New Roman" w:cs="Times New Roman"/>
                      <w:color w:val="auto"/>
                      <w:sz w:val="21"/>
                      <w:szCs w:val="21"/>
                      <w:highlight w:val="none"/>
                      <w:lang w:val="en-US" w:eastAsia="zh-CN"/>
                    </w:rPr>
                    <w:t>2</w:t>
                  </w:r>
                </w:p>
              </w:tc>
            </w:tr>
            <w:tr w14:paraId="5B9E43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520842A2">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14</w:t>
                  </w:r>
                </w:p>
              </w:tc>
              <w:tc>
                <w:tcPr>
                  <w:tcW w:w="1454" w:type="pct"/>
                  <w:tcBorders>
                    <w:tl2br w:val="nil"/>
                    <w:tr2bl w:val="nil"/>
                  </w:tcBorders>
                  <w:noWrap w:val="0"/>
                  <w:vAlign w:val="center"/>
                </w:tcPr>
                <w:p w14:paraId="40CC0772">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砷</w:t>
                  </w:r>
                </w:p>
              </w:tc>
              <w:tc>
                <w:tcPr>
                  <w:tcW w:w="2919" w:type="pct"/>
                  <w:tcBorders>
                    <w:tl2br w:val="nil"/>
                    <w:tr2bl w:val="nil"/>
                  </w:tcBorders>
                  <w:noWrap w:val="0"/>
                  <w:vAlign w:val="center"/>
                </w:tcPr>
                <w:p w14:paraId="15FEE938">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≤0.</w:t>
                  </w:r>
                  <w:r>
                    <w:rPr>
                      <w:rFonts w:hint="default" w:ascii="Times New Roman" w:hAnsi="Times New Roman" w:cs="Times New Roman"/>
                      <w:color w:val="auto"/>
                      <w:sz w:val="21"/>
                      <w:szCs w:val="21"/>
                      <w:highlight w:val="none"/>
                      <w:lang w:val="en-US" w:eastAsia="zh-CN"/>
                    </w:rPr>
                    <w:t>1</w:t>
                  </w:r>
                </w:p>
              </w:tc>
            </w:tr>
            <w:tr w14:paraId="57FCA2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220D88C6">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15</w:t>
                  </w:r>
                </w:p>
              </w:tc>
              <w:tc>
                <w:tcPr>
                  <w:tcW w:w="1454" w:type="pct"/>
                  <w:tcBorders>
                    <w:tl2br w:val="nil"/>
                    <w:tr2bl w:val="nil"/>
                  </w:tcBorders>
                  <w:noWrap w:val="0"/>
                  <w:vAlign w:val="center"/>
                </w:tcPr>
                <w:p w14:paraId="6CC1041F">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汞</w:t>
                  </w:r>
                </w:p>
              </w:tc>
              <w:tc>
                <w:tcPr>
                  <w:tcW w:w="2919" w:type="pct"/>
                  <w:tcBorders>
                    <w:tl2br w:val="nil"/>
                    <w:tr2bl w:val="nil"/>
                  </w:tcBorders>
                  <w:noWrap w:val="0"/>
                  <w:vAlign w:val="center"/>
                </w:tcPr>
                <w:p w14:paraId="17F9719E">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≤0.0</w:t>
                  </w:r>
                  <w:r>
                    <w:rPr>
                      <w:rFonts w:hint="default" w:ascii="Times New Roman" w:hAnsi="Times New Roman" w:cs="Times New Roman"/>
                      <w:color w:val="auto"/>
                      <w:sz w:val="21"/>
                      <w:szCs w:val="21"/>
                      <w:highlight w:val="none"/>
                      <w:lang w:val="en-US" w:eastAsia="zh-CN"/>
                    </w:rPr>
                    <w:t>01</w:t>
                  </w:r>
                </w:p>
              </w:tc>
            </w:tr>
            <w:tr w14:paraId="67447C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38EA1BC9">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16</w:t>
                  </w:r>
                </w:p>
              </w:tc>
              <w:tc>
                <w:tcPr>
                  <w:tcW w:w="1454" w:type="pct"/>
                  <w:tcBorders>
                    <w:tl2br w:val="nil"/>
                    <w:tr2bl w:val="nil"/>
                  </w:tcBorders>
                  <w:noWrap w:val="0"/>
                  <w:vAlign w:val="center"/>
                </w:tcPr>
                <w:p w14:paraId="084D1F81">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镉</w:t>
                  </w:r>
                </w:p>
              </w:tc>
              <w:tc>
                <w:tcPr>
                  <w:tcW w:w="2919" w:type="pct"/>
                  <w:tcBorders>
                    <w:tl2br w:val="nil"/>
                    <w:tr2bl w:val="nil"/>
                  </w:tcBorders>
                  <w:noWrap w:val="0"/>
                  <w:vAlign w:val="center"/>
                </w:tcPr>
                <w:p w14:paraId="3A7B14E3">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0.005</w:t>
                  </w:r>
                </w:p>
              </w:tc>
            </w:tr>
            <w:tr w14:paraId="4C6C7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55AA99B5">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17</w:t>
                  </w:r>
                </w:p>
              </w:tc>
              <w:tc>
                <w:tcPr>
                  <w:tcW w:w="1454" w:type="pct"/>
                  <w:tcBorders>
                    <w:tl2br w:val="nil"/>
                    <w:tr2bl w:val="nil"/>
                  </w:tcBorders>
                  <w:noWrap w:val="0"/>
                  <w:vAlign w:val="center"/>
                </w:tcPr>
                <w:p w14:paraId="193BD9C0">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铬（六价）</w:t>
                  </w:r>
                </w:p>
              </w:tc>
              <w:tc>
                <w:tcPr>
                  <w:tcW w:w="2919" w:type="pct"/>
                  <w:tcBorders>
                    <w:tl2br w:val="nil"/>
                    <w:tr2bl w:val="nil"/>
                  </w:tcBorders>
                  <w:noWrap w:val="0"/>
                  <w:vAlign w:val="center"/>
                </w:tcPr>
                <w:p w14:paraId="72DD80F6">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≤0.0</w:t>
                  </w:r>
                  <w:r>
                    <w:rPr>
                      <w:rFonts w:hint="default" w:ascii="Times New Roman" w:hAnsi="Times New Roman" w:cs="Times New Roman"/>
                      <w:color w:val="auto"/>
                      <w:sz w:val="21"/>
                      <w:szCs w:val="21"/>
                      <w:highlight w:val="none"/>
                      <w:lang w:val="en-US" w:eastAsia="zh-CN"/>
                    </w:rPr>
                    <w:t>5</w:t>
                  </w:r>
                </w:p>
              </w:tc>
            </w:tr>
            <w:tr w14:paraId="5BB2D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656DCF37">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18</w:t>
                  </w:r>
                </w:p>
              </w:tc>
              <w:tc>
                <w:tcPr>
                  <w:tcW w:w="1454" w:type="pct"/>
                  <w:tcBorders>
                    <w:tl2br w:val="nil"/>
                    <w:tr2bl w:val="nil"/>
                  </w:tcBorders>
                  <w:noWrap w:val="0"/>
                  <w:vAlign w:val="center"/>
                </w:tcPr>
                <w:p w14:paraId="4E965DC2">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铅</w:t>
                  </w:r>
                </w:p>
              </w:tc>
              <w:tc>
                <w:tcPr>
                  <w:tcW w:w="2919" w:type="pct"/>
                  <w:tcBorders>
                    <w:tl2br w:val="nil"/>
                    <w:tr2bl w:val="nil"/>
                  </w:tcBorders>
                  <w:noWrap w:val="0"/>
                  <w:vAlign w:val="center"/>
                </w:tcPr>
                <w:p w14:paraId="0ED07285">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0.05</w:t>
                  </w:r>
                </w:p>
              </w:tc>
            </w:tr>
            <w:tr w14:paraId="27E430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4B1B8327">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19</w:t>
                  </w:r>
                </w:p>
              </w:tc>
              <w:tc>
                <w:tcPr>
                  <w:tcW w:w="1454" w:type="pct"/>
                  <w:tcBorders>
                    <w:tl2br w:val="nil"/>
                    <w:tr2bl w:val="nil"/>
                  </w:tcBorders>
                  <w:noWrap w:val="0"/>
                  <w:vAlign w:val="center"/>
                </w:tcPr>
                <w:p w14:paraId="34C2BCFF">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氰化物</w:t>
                  </w:r>
                </w:p>
              </w:tc>
              <w:tc>
                <w:tcPr>
                  <w:tcW w:w="2919" w:type="pct"/>
                  <w:tcBorders>
                    <w:tl2br w:val="nil"/>
                    <w:tr2bl w:val="nil"/>
                  </w:tcBorders>
                  <w:noWrap w:val="0"/>
                  <w:vAlign w:val="center"/>
                </w:tcPr>
                <w:p w14:paraId="04FF9FDB">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≤0</w:t>
                  </w:r>
                  <w:r>
                    <w:rPr>
                      <w:rFonts w:hint="default" w:ascii="Times New Roman" w:hAnsi="Times New Roman" w:cs="Times New Roman"/>
                      <w:color w:val="auto"/>
                      <w:sz w:val="21"/>
                      <w:szCs w:val="21"/>
                      <w:highlight w:val="none"/>
                      <w:lang w:val="en-US" w:eastAsia="zh-CN"/>
                    </w:rPr>
                    <w:t>.2</w:t>
                  </w:r>
                </w:p>
              </w:tc>
            </w:tr>
            <w:tr w14:paraId="310339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167380D6">
                  <w:pPr>
                    <w:pStyle w:val="13"/>
                    <w:numPr>
                      <w:ilvl w:val="0"/>
                      <w:numId w:val="0"/>
                    </w:num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w:t>
                  </w:r>
                </w:p>
              </w:tc>
              <w:tc>
                <w:tcPr>
                  <w:tcW w:w="1454" w:type="pct"/>
                  <w:tcBorders>
                    <w:tl2br w:val="nil"/>
                    <w:tr2bl w:val="nil"/>
                  </w:tcBorders>
                  <w:noWrap w:val="0"/>
                  <w:vAlign w:val="center"/>
                </w:tcPr>
                <w:p w14:paraId="6B5312F8">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挥发酚</w:t>
                  </w:r>
                </w:p>
              </w:tc>
              <w:tc>
                <w:tcPr>
                  <w:tcW w:w="2919" w:type="pct"/>
                  <w:tcBorders>
                    <w:tl2br w:val="nil"/>
                    <w:tr2bl w:val="nil"/>
                  </w:tcBorders>
                  <w:noWrap w:val="0"/>
                  <w:vAlign w:val="center"/>
                </w:tcPr>
                <w:p w14:paraId="18A86CEA">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≤0.</w:t>
                  </w:r>
                  <w:r>
                    <w:rPr>
                      <w:rFonts w:hint="default" w:ascii="Times New Roman" w:hAnsi="Times New Roman" w:cs="Times New Roman"/>
                      <w:color w:val="auto"/>
                      <w:sz w:val="21"/>
                      <w:szCs w:val="21"/>
                      <w:highlight w:val="none"/>
                      <w:lang w:val="en-US" w:eastAsia="zh-CN"/>
                    </w:rPr>
                    <w:t>01</w:t>
                  </w:r>
                </w:p>
              </w:tc>
            </w:tr>
            <w:tr w14:paraId="16AE7D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7FBF4522">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w:t>
                  </w:r>
                </w:p>
              </w:tc>
              <w:tc>
                <w:tcPr>
                  <w:tcW w:w="1454" w:type="pct"/>
                  <w:tcBorders>
                    <w:tl2br w:val="nil"/>
                    <w:tr2bl w:val="nil"/>
                  </w:tcBorders>
                  <w:noWrap w:val="0"/>
                  <w:vAlign w:val="center"/>
                </w:tcPr>
                <w:p w14:paraId="3D4160AB">
                  <w:pPr>
                    <w:pStyle w:val="13"/>
                    <w:numPr>
                      <w:ilvl w:val="0"/>
                      <w:numId w:val="0"/>
                    </w:num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石油类</w:t>
                  </w:r>
                </w:p>
              </w:tc>
              <w:tc>
                <w:tcPr>
                  <w:tcW w:w="2919" w:type="pct"/>
                  <w:tcBorders>
                    <w:tl2br w:val="nil"/>
                    <w:tr2bl w:val="nil"/>
                  </w:tcBorders>
                  <w:noWrap w:val="0"/>
                  <w:vAlign w:val="center"/>
                </w:tcPr>
                <w:p w14:paraId="0CDCBB33">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0.5</w:t>
                  </w:r>
                </w:p>
              </w:tc>
            </w:tr>
            <w:tr w14:paraId="28AB43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0007465B">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c>
                <w:tcPr>
                  <w:tcW w:w="1454" w:type="pct"/>
                  <w:tcBorders>
                    <w:tl2br w:val="nil"/>
                    <w:tr2bl w:val="nil"/>
                  </w:tcBorders>
                  <w:noWrap w:val="0"/>
                  <w:vAlign w:val="center"/>
                </w:tcPr>
                <w:p w14:paraId="7F897567">
                  <w:pPr>
                    <w:pStyle w:val="13"/>
                    <w:numPr>
                      <w:ilvl w:val="0"/>
                      <w:numId w:val="0"/>
                    </w:num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阴离子表面活性剂</w:t>
                  </w:r>
                </w:p>
              </w:tc>
              <w:tc>
                <w:tcPr>
                  <w:tcW w:w="2919" w:type="pct"/>
                  <w:tcBorders>
                    <w:tl2br w:val="nil"/>
                    <w:tr2bl w:val="nil"/>
                  </w:tcBorders>
                  <w:noWrap w:val="0"/>
                  <w:vAlign w:val="center"/>
                </w:tcPr>
                <w:p w14:paraId="4CCF440B">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0.3</w:t>
                  </w:r>
                </w:p>
              </w:tc>
            </w:tr>
            <w:tr w14:paraId="078DD9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3F58EB13">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1454" w:type="pct"/>
                  <w:tcBorders>
                    <w:tl2br w:val="nil"/>
                    <w:tr2bl w:val="nil"/>
                  </w:tcBorders>
                  <w:noWrap w:val="0"/>
                  <w:vAlign w:val="center"/>
                </w:tcPr>
                <w:p w14:paraId="2062E471">
                  <w:pPr>
                    <w:pStyle w:val="13"/>
                    <w:numPr>
                      <w:ilvl w:val="0"/>
                      <w:numId w:val="0"/>
                    </w:num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硫化物</w:t>
                  </w:r>
                </w:p>
              </w:tc>
              <w:tc>
                <w:tcPr>
                  <w:tcW w:w="2919" w:type="pct"/>
                  <w:tcBorders>
                    <w:tl2br w:val="nil"/>
                    <w:tr2bl w:val="nil"/>
                  </w:tcBorders>
                  <w:noWrap w:val="0"/>
                  <w:vAlign w:val="center"/>
                </w:tcPr>
                <w:p w14:paraId="0DD4BDCF">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0.5</w:t>
                  </w:r>
                </w:p>
              </w:tc>
            </w:tr>
            <w:tr w14:paraId="12237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tcBorders>
                    <w:tl2br w:val="nil"/>
                    <w:tr2bl w:val="nil"/>
                  </w:tcBorders>
                  <w:noWrap w:val="0"/>
                  <w:vAlign w:val="center"/>
                </w:tcPr>
                <w:p w14:paraId="2CC5E59D">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w:t>
                  </w:r>
                </w:p>
              </w:tc>
              <w:tc>
                <w:tcPr>
                  <w:tcW w:w="1454" w:type="pct"/>
                  <w:tcBorders>
                    <w:tl2br w:val="nil"/>
                    <w:tr2bl w:val="nil"/>
                  </w:tcBorders>
                  <w:noWrap w:val="0"/>
                  <w:vAlign w:val="center"/>
                </w:tcPr>
                <w:p w14:paraId="3DBD9089">
                  <w:pPr>
                    <w:pStyle w:val="13"/>
                    <w:numPr>
                      <w:ilvl w:val="0"/>
                      <w:numId w:val="0"/>
                    </w:num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粪大肠菌群</w:t>
                  </w:r>
                </w:p>
              </w:tc>
              <w:tc>
                <w:tcPr>
                  <w:tcW w:w="2919" w:type="pct"/>
                  <w:tcBorders>
                    <w:tl2br w:val="nil"/>
                    <w:tr2bl w:val="nil"/>
                  </w:tcBorders>
                  <w:noWrap w:val="0"/>
                  <w:vAlign w:val="center"/>
                </w:tcPr>
                <w:p w14:paraId="19F36EEF">
                  <w:pPr>
                    <w:pStyle w:val="13"/>
                    <w:numPr>
                      <w:ilvl w:val="0"/>
                      <w:numId w:val="0"/>
                    </w:num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20000</w:t>
                  </w:r>
                </w:p>
              </w:tc>
            </w:tr>
          </w:tbl>
          <w:p w14:paraId="00047628">
            <w:pPr>
              <w:kinsoku w:val="0"/>
              <w:wordWrap w:val="0"/>
              <w:topLinePunct/>
              <w:ind w:firstLine="51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w:t>
            </w:r>
            <w:r>
              <w:rPr>
                <w:rFonts w:hint="default" w:ascii="Times New Roman" w:hAnsi="Times New Roman" w:cs="Times New Roman"/>
                <w:color w:val="auto"/>
                <w:kern w:val="0"/>
                <w:sz w:val="24"/>
                <w:lang w:val="en-US" w:eastAsia="zh-CN"/>
              </w:rPr>
              <w:t>3</w:t>
            </w:r>
            <w:r>
              <w:rPr>
                <w:rFonts w:hint="default" w:ascii="Times New Roman" w:hAnsi="Times New Roman" w:eastAsia="宋体" w:cs="Times New Roman"/>
                <w:color w:val="auto"/>
                <w:kern w:val="0"/>
                <w:sz w:val="24"/>
              </w:rPr>
              <w:t>）声环境质量标准</w:t>
            </w:r>
          </w:p>
          <w:p w14:paraId="090A6A25">
            <w:pPr>
              <w:kinsoku w:val="0"/>
              <w:wordWrap w:val="0"/>
              <w:topLinePunct/>
              <w:ind w:firstLine="510" w:firstLineChars="200"/>
              <w:rPr>
                <w:rFonts w:hint="default" w:ascii="Times New Roman" w:hAnsi="Times New Roman" w:eastAsia="宋体" w:cs="Times New Roman"/>
                <w:color w:val="auto"/>
                <w:kern w:val="0"/>
                <w:sz w:val="24"/>
              </w:rPr>
            </w:pPr>
            <w:bookmarkStart w:id="10" w:name="_Hlk18592775"/>
            <w:r>
              <w:rPr>
                <w:rFonts w:hint="default" w:ascii="Times New Roman" w:hAnsi="Times New Roman" w:eastAsia="宋体" w:cs="Times New Roman"/>
                <w:color w:val="auto"/>
                <w:kern w:val="0"/>
                <w:sz w:val="24"/>
              </w:rPr>
              <w:t>项</w:t>
            </w:r>
            <w:bookmarkEnd w:id="10"/>
            <w:r>
              <w:rPr>
                <w:rFonts w:hint="default" w:ascii="Times New Roman" w:hAnsi="Times New Roman" w:eastAsia="宋体" w:cs="Times New Roman"/>
                <w:color w:val="auto"/>
                <w:kern w:val="0"/>
                <w:sz w:val="24"/>
              </w:rPr>
              <w:t>目所在区域执行《声环境质量标准》（GB3096-2008）中的2类标准限值，具体详见表3-</w:t>
            </w:r>
            <w:r>
              <w:rPr>
                <w:rFonts w:hint="default" w:ascii="Times New Roman" w:hAnsi="Times New Roman" w:cs="Times New Roman"/>
                <w:color w:val="auto"/>
                <w:kern w:val="0"/>
                <w:sz w:val="24"/>
                <w:lang w:val="en-US" w:eastAsia="zh-CN"/>
              </w:rPr>
              <w:t>5</w:t>
            </w:r>
            <w:r>
              <w:rPr>
                <w:rFonts w:hint="default" w:ascii="Times New Roman" w:hAnsi="Times New Roman" w:eastAsia="宋体" w:cs="Times New Roman"/>
                <w:color w:val="auto"/>
                <w:kern w:val="0"/>
                <w:sz w:val="24"/>
              </w:rPr>
              <w:t>。</w:t>
            </w:r>
          </w:p>
          <w:p w14:paraId="128FBEE9">
            <w:pPr>
              <w:kinsoku w:val="0"/>
              <w:wordWrap w:val="0"/>
              <w:topLinePunct/>
              <w:jc w:val="center"/>
              <w:rPr>
                <w:rFonts w:hint="default" w:ascii="Times New Roman" w:hAnsi="Times New Roman" w:eastAsia="黑体" w:cs="Times New Roman"/>
                <w:bCs/>
                <w:color w:val="auto"/>
                <w:kern w:val="0"/>
                <w:sz w:val="24"/>
              </w:rPr>
            </w:pPr>
            <w:r>
              <w:rPr>
                <w:rFonts w:hint="default" w:ascii="Times New Roman" w:hAnsi="Times New Roman" w:eastAsia="黑体" w:cs="Times New Roman"/>
                <w:bCs/>
                <w:color w:val="auto"/>
                <w:kern w:val="0"/>
                <w:sz w:val="24"/>
              </w:rPr>
              <w:t>表3-</w:t>
            </w:r>
            <w:r>
              <w:rPr>
                <w:rFonts w:hint="default" w:ascii="Times New Roman" w:hAnsi="Times New Roman" w:eastAsia="黑体" w:cs="Times New Roman"/>
                <w:bCs/>
                <w:color w:val="auto"/>
                <w:kern w:val="0"/>
                <w:sz w:val="24"/>
                <w:lang w:val="en-US" w:eastAsia="zh-CN"/>
              </w:rPr>
              <w:t>5</w:t>
            </w:r>
            <w:r>
              <w:rPr>
                <w:rFonts w:hint="default" w:ascii="Times New Roman" w:hAnsi="Times New Roman" w:eastAsia="黑体" w:cs="Times New Roman"/>
                <w:bCs/>
                <w:color w:val="auto"/>
                <w:kern w:val="0"/>
                <w:sz w:val="24"/>
              </w:rPr>
              <w:t xml:space="preserve">  声环境质量评价执行标准</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2842"/>
              <w:gridCol w:w="2838"/>
            </w:tblGrid>
            <w:tr w14:paraId="60F29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4" w:type="dxa"/>
                  <w:noWrap w:val="0"/>
                  <w:vAlign w:val="center"/>
                </w:tcPr>
                <w:p w14:paraId="43B9BA7A">
                  <w:pPr>
                    <w:pStyle w:val="48"/>
                    <w:kinsoku w:val="0"/>
                    <w:wordWrap w:val="0"/>
                    <w:topLinePunct/>
                    <w:rPr>
                      <w:rFonts w:hint="default" w:ascii="Times New Roman" w:hAnsi="Times New Roman" w:cs="Times New Roman"/>
                      <w:b/>
                      <w:color w:val="auto"/>
                    </w:rPr>
                  </w:pPr>
                  <w:r>
                    <w:rPr>
                      <w:rFonts w:hint="default" w:ascii="Times New Roman" w:hAnsi="Times New Roman" w:cs="Times New Roman"/>
                      <w:b/>
                      <w:color w:val="auto"/>
                    </w:rPr>
                    <w:t>声功能区类别</w:t>
                  </w:r>
                </w:p>
              </w:tc>
              <w:tc>
                <w:tcPr>
                  <w:tcW w:w="3101" w:type="dxa"/>
                  <w:noWrap w:val="0"/>
                  <w:vAlign w:val="center"/>
                </w:tcPr>
                <w:p w14:paraId="46964B08">
                  <w:pPr>
                    <w:pStyle w:val="48"/>
                    <w:kinsoku w:val="0"/>
                    <w:wordWrap w:val="0"/>
                    <w:topLinePunct/>
                    <w:rPr>
                      <w:rFonts w:hint="default" w:ascii="Times New Roman" w:hAnsi="Times New Roman" w:cs="Times New Roman"/>
                      <w:b/>
                      <w:color w:val="auto"/>
                    </w:rPr>
                  </w:pPr>
                  <w:r>
                    <w:rPr>
                      <w:rFonts w:hint="default" w:ascii="Times New Roman" w:hAnsi="Times New Roman" w:cs="Times New Roman"/>
                      <w:b/>
                      <w:color w:val="auto"/>
                    </w:rPr>
                    <w:t>昼间〔dB（A）〕</w:t>
                  </w:r>
                </w:p>
              </w:tc>
              <w:tc>
                <w:tcPr>
                  <w:tcW w:w="3097" w:type="dxa"/>
                  <w:noWrap w:val="0"/>
                  <w:vAlign w:val="center"/>
                </w:tcPr>
                <w:p w14:paraId="4964AB11">
                  <w:pPr>
                    <w:pStyle w:val="48"/>
                    <w:kinsoku w:val="0"/>
                    <w:wordWrap w:val="0"/>
                    <w:topLinePunct/>
                    <w:rPr>
                      <w:rFonts w:hint="default" w:ascii="Times New Roman" w:hAnsi="Times New Roman" w:cs="Times New Roman"/>
                      <w:b/>
                      <w:color w:val="auto"/>
                    </w:rPr>
                  </w:pPr>
                  <w:r>
                    <w:rPr>
                      <w:rFonts w:hint="default" w:ascii="Times New Roman" w:hAnsi="Times New Roman" w:cs="Times New Roman"/>
                      <w:b/>
                      <w:color w:val="auto"/>
                    </w:rPr>
                    <w:t>夜间〔dB（A）〕</w:t>
                  </w:r>
                </w:p>
              </w:tc>
            </w:tr>
            <w:tr w14:paraId="20AB6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4" w:type="dxa"/>
                  <w:noWrap w:val="0"/>
                  <w:vAlign w:val="center"/>
                </w:tcPr>
                <w:p w14:paraId="442B410C">
                  <w:pPr>
                    <w:pStyle w:val="48"/>
                    <w:kinsoku w:val="0"/>
                    <w:wordWrap w:val="0"/>
                    <w:topLinePunct/>
                    <w:rPr>
                      <w:rFonts w:hint="default" w:ascii="Times New Roman" w:hAnsi="Times New Roman" w:cs="Times New Roman"/>
                      <w:bCs/>
                      <w:color w:val="auto"/>
                    </w:rPr>
                  </w:pPr>
                  <w:r>
                    <w:rPr>
                      <w:rFonts w:hint="default" w:ascii="Times New Roman" w:hAnsi="Times New Roman" w:cs="Times New Roman"/>
                      <w:bCs/>
                      <w:color w:val="auto"/>
                    </w:rPr>
                    <w:t>2类</w:t>
                  </w:r>
                </w:p>
              </w:tc>
              <w:tc>
                <w:tcPr>
                  <w:tcW w:w="3101" w:type="dxa"/>
                  <w:noWrap w:val="0"/>
                  <w:vAlign w:val="center"/>
                </w:tcPr>
                <w:p w14:paraId="55F9A3D9">
                  <w:pPr>
                    <w:pStyle w:val="48"/>
                    <w:kinsoku w:val="0"/>
                    <w:wordWrap w:val="0"/>
                    <w:topLinePunct/>
                    <w:rPr>
                      <w:rFonts w:hint="default" w:ascii="Times New Roman" w:hAnsi="Times New Roman" w:cs="Times New Roman"/>
                      <w:bCs/>
                      <w:color w:val="auto"/>
                    </w:rPr>
                  </w:pPr>
                  <w:r>
                    <w:rPr>
                      <w:rFonts w:hint="default" w:ascii="Times New Roman" w:hAnsi="Times New Roman" w:cs="Times New Roman"/>
                      <w:bCs/>
                      <w:color w:val="auto"/>
                    </w:rPr>
                    <w:t>60</w:t>
                  </w:r>
                </w:p>
              </w:tc>
              <w:tc>
                <w:tcPr>
                  <w:tcW w:w="3097" w:type="dxa"/>
                  <w:noWrap w:val="0"/>
                  <w:vAlign w:val="center"/>
                </w:tcPr>
                <w:p w14:paraId="3DB39339">
                  <w:pPr>
                    <w:pStyle w:val="48"/>
                    <w:kinsoku w:val="0"/>
                    <w:wordWrap w:val="0"/>
                    <w:topLinePunct/>
                    <w:rPr>
                      <w:rFonts w:hint="default" w:ascii="Times New Roman" w:hAnsi="Times New Roman" w:cs="Times New Roman"/>
                      <w:bCs/>
                      <w:color w:val="auto"/>
                    </w:rPr>
                  </w:pPr>
                  <w:r>
                    <w:rPr>
                      <w:rFonts w:hint="default" w:ascii="Times New Roman" w:hAnsi="Times New Roman" w:cs="Times New Roman"/>
                      <w:bCs/>
                      <w:color w:val="auto"/>
                    </w:rPr>
                    <w:t>50</w:t>
                  </w:r>
                </w:p>
              </w:tc>
            </w:tr>
          </w:tbl>
          <w:p w14:paraId="6BBC6DEA">
            <w:pPr>
              <w:numPr>
                <w:ilvl w:val="0"/>
                <w:numId w:val="0"/>
              </w:numPr>
              <w:kinsoku/>
              <w:wordWrap/>
              <w:topLinePunct w:val="0"/>
              <w:autoSpaceDE w:val="0"/>
              <w:autoSpaceDN w:val="0"/>
              <w:spacing w:before="240" w:after="60"/>
              <w:jc w:val="left"/>
              <w:rPr>
                <w:rFonts w:hint="default" w:ascii="Times New Roman" w:hAnsi="Times New Roman" w:eastAsia="黑体" w:cs="Times New Roman"/>
                <w:b w:val="0"/>
                <w:color w:val="auto"/>
                <w:kern w:val="0"/>
                <w:sz w:val="24"/>
                <w:highlight w:val="none"/>
              </w:rPr>
            </w:pPr>
          </w:p>
          <w:p w14:paraId="6185CF15">
            <w:pPr>
              <w:pStyle w:val="2"/>
              <w:outlineLvl w:val="9"/>
              <w:rPr>
                <w:rFonts w:hint="default" w:ascii="Times New Roman" w:hAnsi="Times New Roman" w:cs="Times New Roman"/>
                <w:color w:val="auto"/>
              </w:rPr>
            </w:pPr>
          </w:p>
          <w:p w14:paraId="5345ADE8">
            <w:pPr>
              <w:numPr>
                <w:ilvl w:val="0"/>
                <w:numId w:val="10"/>
              </w:numPr>
              <w:kinsoku/>
              <w:wordWrap/>
              <w:topLinePunct w:val="0"/>
              <w:autoSpaceDE w:val="0"/>
              <w:autoSpaceDN w:val="0"/>
              <w:spacing w:before="240" w:after="60"/>
              <w:jc w:val="left"/>
              <w:rPr>
                <w:rFonts w:hint="default" w:ascii="Times New Roman" w:hAnsi="Times New Roman" w:eastAsia="黑体" w:cs="Times New Roman"/>
                <w:b w:val="0"/>
                <w:color w:val="auto"/>
                <w:kern w:val="0"/>
                <w:sz w:val="24"/>
                <w:highlight w:val="none"/>
              </w:rPr>
            </w:pPr>
            <w:r>
              <w:rPr>
                <w:rFonts w:hint="default" w:ascii="Times New Roman" w:hAnsi="Times New Roman" w:eastAsia="黑体" w:cs="Times New Roman"/>
                <w:b w:val="0"/>
                <w:color w:val="auto"/>
                <w:kern w:val="0"/>
                <w:sz w:val="24"/>
                <w:highlight w:val="none"/>
              </w:rPr>
              <w:t>污染物排放标准</w:t>
            </w:r>
          </w:p>
          <w:p w14:paraId="2F090E61">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（1）大气污染物排放标准</w:t>
            </w:r>
          </w:p>
          <w:p w14:paraId="36DABDDF">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施工期颗粒物排放执行《大气污染物综合排放标准》（GB16297-1996）无组织排放监控浓度限值。</w:t>
            </w:r>
          </w:p>
          <w:p w14:paraId="4D4EA67A">
            <w:pPr>
              <w:jc w:val="center"/>
              <w:rPr>
                <w:rFonts w:hint="default" w:ascii="Times New Roman" w:hAnsi="Times New Roman" w:eastAsia="宋体" w:cs="Times New Roman"/>
                <w:bCs/>
                <w:color w:val="auto"/>
                <w:szCs w:val="21"/>
              </w:rPr>
            </w:pPr>
            <w:r>
              <w:rPr>
                <w:rFonts w:hint="default" w:ascii="Times New Roman" w:hAnsi="Times New Roman" w:eastAsia="黑体" w:cs="Times New Roman"/>
                <w:bCs/>
                <w:color w:val="auto"/>
                <w:sz w:val="24"/>
                <w:szCs w:val="21"/>
              </w:rPr>
              <w:t>3-</w:t>
            </w:r>
            <w:r>
              <w:rPr>
                <w:rFonts w:hint="default" w:ascii="Times New Roman" w:hAnsi="Times New Roman" w:eastAsia="黑体" w:cs="Times New Roman"/>
                <w:bCs/>
                <w:color w:val="auto"/>
                <w:sz w:val="24"/>
                <w:szCs w:val="21"/>
                <w:lang w:val="en-US" w:eastAsia="zh-CN"/>
              </w:rPr>
              <w:t>6</w:t>
            </w:r>
            <w:r>
              <w:rPr>
                <w:rFonts w:hint="default" w:ascii="Times New Roman" w:hAnsi="Times New Roman" w:eastAsia="黑体" w:cs="Times New Roman"/>
                <w:bCs/>
                <w:color w:val="auto"/>
                <w:sz w:val="24"/>
                <w:szCs w:val="21"/>
              </w:rPr>
              <w:t xml:space="preserve">  </w:t>
            </w:r>
            <w:r>
              <w:rPr>
                <w:rFonts w:hint="default" w:ascii="Times New Roman" w:hAnsi="Times New Roman" w:eastAsia="黑体" w:cs="Times New Roman"/>
                <w:bCs/>
                <w:color w:val="auto"/>
                <w:sz w:val="24"/>
              </w:rPr>
              <w:t>大气污染物排放标准</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384"/>
              <w:gridCol w:w="2056"/>
              <w:gridCol w:w="2545"/>
            </w:tblGrid>
            <w:tr w14:paraId="5B2E8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vMerge w:val="restart"/>
                  <w:noWrap w:val="0"/>
                  <w:vAlign w:val="center"/>
                </w:tcPr>
                <w:p w14:paraId="5F10FA7B">
                  <w:pPr>
                    <w:pStyle w:val="49"/>
                    <w:adjustRightInd w:val="0"/>
                    <w:snapToGrid w:val="0"/>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4440" w:type="dxa"/>
                  <w:gridSpan w:val="2"/>
                  <w:noWrap w:val="0"/>
                  <w:vAlign w:val="center"/>
                </w:tcPr>
                <w:p w14:paraId="17E2BEE9">
                  <w:pPr>
                    <w:pStyle w:val="49"/>
                    <w:adjustRightInd w:val="0"/>
                    <w:snapToGrid w:val="0"/>
                    <w:rPr>
                      <w:rFonts w:hint="default" w:ascii="Times New Roman" w:hAnsi="Times New Roman" w:cs="Times New Roman"/>
                      <w:b/>
                      <w:bCs/>
                      <w:color w:val="auto"/>
                    </w:rPr>
                  </w:pPr>
                  <w:r>
                    <w:rPr>
                      <w:rFonts w:hint="default" w:ascii="Times New Roman" w:hAnsi="Times New Roman" w:cs="Times New Roman"/>
                      <w:b/>
                      <w:bCs/>
                      <w:color w:val="auto"/>
                    </w:rPr>
                    <w:t>无组织排放监控浓度限值</w:t>
                  </w:r>
                </w:p>
              </w:tc>
              <w:tc>
                <w:tcPr>
                  <w:tcW w:w="2545" w:type="dxa"/>
                  <w:vMerge w:val="restart"/>
                  <w:noWrap w:val="0"/>
                  <w:vAlign w:val="center"/>
                </w:tcPr>
                <w:p w14:paraId="2EF5A5F9">
                  <w:pPr>
                    <w:pStyle w:val="49"/>
                    <w:adjustRightInd w:val="0"/>
                    <w:snapToGrid w:val="0"/>
                    <w:rPr>
                      <w:rFonts w:hint="default" w:ascii="Times New Roman" w:hAnsi="Times New Roman" w:cs="Times New Roman"/>
                      <w:b/>
                      <w:bCs/>
                      <w:color w:val="auto"/>
                    </w:rPr>
                  </w:pPr>
                  <w:r>
                    <w:rPr>
                      <w:rFonts w:hint="default" w:ascii="Times New Roman" w:hAnsi="Times New Roman" w:cs="Times New Roman"/>
                      <w:b/>
                      <w:bCs/>
                      <w:color w:val="auto"/>
                    </w:rPr>
                    <w:t>标准来源</w:t>
                  </w:r>
                </w:p>
              </w:tc>
            </w:tr>
            <w:tr w14:paraId="65A77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vMerge w:val="continue"/>
                  <w:noWrap w:val="0"/>
                  <w:vAlign w:val="center"/>
                </w:tcPr>
                <w:p w14:paraId="733232C3">
                  <w:pPr>
                    <w:pStyle w:val="49"/>
                    <w:adjustRightInd w:val="0"/>
                    <w:snapToGrid w:val="0"/>
                    <w:rPr>
                      <w:rFonts w:hint="default" w:ascii="Times New Roman" w:hAnsi="Times New Roman" w:cs="Times New Roman"/>
                      <w:b/>
                      <w:bCs/>
                      <w:color w:val="auto"/>
                    </w:rPr>
                  </w:pPr>
                </w:p>
              </w:tc>
              <w:tc>
                <w:tcPr>
                  <w:tcW w:w="2384" w:type="dxa"/>
                  <w:noWrap w:val="0"/>
                  <w:vAlign w:val="center"/>
                </w:tcPr>
                <w:p w14:paraId="3DED1046">
                  <w:pPr>
                    <w:pStyle w:val="49"/>
                    <w:adjustRightInd w:val="0"/>
                    <w:snapToGrid w:val="0"/>
                    <w:rPr>
                      <w:rFonts w:hint="default" w:ascii="Times New Roman" w:hAnsi="Times New Roman" w:cs="Times New Roman"/>
                      <w:b/>
                      <w:bCs/>
                      <w:color w:val="auto"/>
                    </w:rPr>
                  </w:pPr>
                  <w:r>
                    <w:rPr>
                      <w:rFonts w:hint="default" w:ascii="Times New Roman" w:hAnsi="Times New Roman" w:cs="Times New Roman"/>
                      <w:b/>
                      <w:bCs/>
                      <w:color w:val="auto"/>
                    </w:rPr>
                    <w:t>监控点</w:t>
                  </w:r>
                </w:p>
              </w:tc>
              <w:tc>
                <w:tcPr>
                  <w:tcW w:w="2056" w:type="dxa"/>
                  <w:noWrap w:val="0"/>
                  <w:vAlign w:val="center"/>
                </w:tcPr>
                <w:p w14:paraId="378F686C">
                  <w:pPr>
                    <w:pStyle w:val="49"/>
                    <w:adjustRightInd w:val="0"/>
                    <w:snapToGrid w:val="0"/>
                    <w:rPr>
                      <w:rFonts w:hint="default" w:ascii="Times New Roman" w:hAnsi="Times New Roman" w:cs="Times New Roman"/>
                      <w:b/>
                      <w:bCs/>
                      <w:color w:val="auto"/>
                    </w:rPr>
                  </w:pPr>
                  <w:r>
                    <w:rPr>
                      <w:rFonts w:hint="default" w:ascii="Times New Roman" w:hAnsi="Times New Roman" w:cs="Times New Roman"/>
                      <w:b/>
                      <w:bCs/>
                      <w:color w:val="auto"/>
                    </w:rPr>
                    <w:t>浓度</w:t>
                  </w:r>
                </w:p>
              </w:tc>
              <w:tc>
                <w:tcPr>
                  <w:tcW w:w="2545" w:type="dxa"/>
                  <w:vMerge w:val="continue"/>
                  <w:noWrap w:val="0"/>
                  <w:vAlign w:val="center"/>
                </w:tcPr>
                <w:p w14:paraId="4B97A653">
                  <w:pPr>
                    <w:pStyle w:val="49"/>
                    <w:adjustRightInd w:val="0"/>
                    <w:snapToGrid w:val="0"/>
                    <w:rPr>
                      <w:rFonts w:hint="default" w:ascii="Times New Roman" w:hAnsi="Times New Roman" w:cs="Times New Roman"/>
                      <w:b/>
                      <w:bCs/>
                      <w:color w:val="auto"/>
                    </w:rPr>
                  </w:pPr>
                </w:p>
              </w:tc>
            </w:tr>
            <w:tr w14:paraId="7EF3F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noWrap w:val="0"/>
                  <w:vAlign w:val="center"/>
                </w:tcPr>
                <w:p w14:paraId="4B42B62E">
                  <w:pPr>
                    <w:pStyle w:val="49"/>
                    <w:adjustRightInd w:val="0"/>
                    <w:snapToGrid w:val="0"/>
                    <w:rPr>
                      <w:rFonts w:hint="default" w:ascii="Times New Roman" w:hAnsi="Times New Roman" w:cs="Times New Roman"/>
                      <w:color w:val="auto"/>
                    </w:rPr>
                  </w:pPr>
                  <w:r>
                    <w:rPr>
                      <w:rFonts w:hint="default" w:ascii="Times New Roman" w:hAnsi="Times New Roman" w:cs="Times New Roman"/>
                      <w:color w:val="auto"/>
                      <w:lang w:val="en-US" w:eastAsia="zh-CN"/>
                    </w:rPr>
                    <w:t>颗粒物</w:t>
                  </w:r>
                </w:p>
              </w:tc>
              <w:tc>
                <w:tcPr>
                  <w:tcW w:w="2384" w:type="dxa"/>
                  <w:noWrap w:val="0"/>
                  <w:vAlign w:val="center"/>
                </w:tcPr>
                <w:p w14:paraId="4066DD19">
                  <w:pPr>
                    <w:pStyle w:val="49"/>
                    <w:adjustRightInd w:val="0"/>
                    <w:snapToGrid w:val="0"/>
                    <w:rPr>
                      <w:rFonts w:hint="default" w:ascii="Times New Roman" w:hAnsi="Times New Roman" w:cs="Times New Roman"/>
                      <w:color w:val="auto"/>
                    </w:rPr>
                  </w:pPr>
                  <w:r>
                    <w:rPr>
                      <w:rFonts w:hint="default" w:ascii="Times New Roman" w:hAnsi="Times New Roman" w:cs="Times New Roman"/>
                      <w:color w:val="auto"/>
                    </w:rPr>
                    <w:t>周界外浓度最高点</w:t>
                  </w:r>
                </w:p>
              </w:tc>
              <w:tc>
                <w:tcPr>
                  <w:tcW w:w="2056" w:type="dxa"/>
                  <w:noWrap w:val="0"/>
                  <w:vAlign w:val="center"/>
                </w:tcPr>
                <w:p w14:paraId="5E0A1D2E">
                  <w:pPr>
                    <w:pStyle w:val="49"/>
                    <w:adjustRightInd w:val="0"/>
                    <w:snapToGrid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1.0</w:t>
                  </w:r>
                  <w:r>
                    <w:rPr>
                      <w:rFonts w:hint="default" w:ascii="Times New Roman" w:hAnsi="Times New Roman" w:cs="Times New Roman"/>
                      <w:color w:val="auto"/>
                      <w:lang w:val="en-US" w:eastAsia="zh-CN"/>
                    </w:rPr>
                    <w:t>mg/m</w:t>
                  </w:r>
                  <w:r>
                    <w:rPr>
                      <w:rFonts w:hint="default" w:ascii="Times New Roman" w:hAnsi="Times New Roman" w:cs="Times New Roman"/>
                      <w:color w:val="auto"/>
                      <w:vertAlign w:val="superscript"/>
                      <w:lang w:val="en-US" w:eastAsia="zh-CN"/>
                    </w:rPr>
                    <w:t>3</w:t>
                  </w:r>
                </w:p>
              </w:tc>
              <w:tc>
                <w:tcPr>
                  <w:tcW w:w="2545" w:type="dxa"/>
                  <w:noWrap w:val="0"/>
                  <w:vAlign w:val="center"/>
                </w:tcPr>
                <w:p w14:paraId="508EA690">
                  <w:pPr>
                    <w:pStyle w:val="49"/>
                    <w:adjustRightInd w:val="0"/>
                    <w:snapToGrid w:val="0"/>
                    <w:rPr>
                      <w:rFonts w:hint="default" w:ascii="Times New Roman" w:hAnsi="Times New Roman" w:eastAsia="宋体" w:cs="Times New Roman"/>
                      <w:color w:val="auto"/>
                      <w:lang w:eastAsia="zh-CN"/>
                    </w:rPr>
                  </w:pPr>
                  <w:r>
                    <w:rPr>
                      <w:rFonts w:hint="default" w:ascii="Times New Roman" w:hAnsi="Times New Roman" w:cs="Times New Roman"/>
                      <w:color w:val="auto"/>
                    </w:rPr>
                    <w:t>《大气污染物综合排放标准》</w:t>
                  </w:r>
                  <w:r>
                    <w:rPr>
                      <w:rFonts w:hint="default" w:ascii="Times New Roman" w:hAnsi="Times New Roman" w:cs="Times New Roman"/>
                      <w:color w:val="auto"/>
                      <w:lang w:eastAsia="zh-CN"/>
                    </w:rPr>
                    <w:t>（GB16297-1996）</w:t>
                  </w:r>
                </w:p>
              </w:tc>
            </w:tr>
          </w:tbl>
          <w:p w14:paraId="520C5578">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（2）废水排放标准</w:t>
            </w:r>
          </w:p>
          <w:p w14:paraId="7BD39582">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本项目废水为生活污水，</w:t>
            </w:r>
            <w:r>
              <w:rPr>
                <w:rFonts w:hint="default" w:ascii="Times New Roman" w:hAnsi="Times New Roman" w:cs="Times New Roman"/>
                <w:color w:val="auto"/>
                <w:sz w:val="24"/>
                <w:lang w:eastAsia="zh-CN"/>
              </w:rPr>
              <w:t>施工人员的洗漱废水回用于洒水抑尘，生活污水依托当地居民区旱厕处理后定期由吸污车清掏外运</w:t>
            </w:r>
            <w:r>
              <w:rPr>
                <w:rFonts w:hint="default" w:ascii="Times New Roman" w:hAnsi="Times New Roman" w:cs="Times New Roman"/>
                <w:color w:val="auto"/>
                <w:lang w:eastAsia="zh-CN"/>
              </w:rPr>
              <w:t>；</w:t>
            </w:r>
            <w:r>
              <w:rPr>
                <w:rFonts w:hint="default" w:ascii="Times New Roman" w:hAnsi="Times New Roman" w:cs="Times New Roman"/>
                <w:color w:val="auto"/>
                <w:sz w:val="24"/>
                <w:szCs w:val="24"/>
                <w:lang w:eastAsia="zh-CN"/>
              </w:rPr>
              <w:t>施工中冲洗砂砾石的含泥沙废水经沉淀池处理回用于项目区洒水抑尘，不外排</w:t>
            </w:r>
            <w:r>
              <w:rPr>
                <w:rFonts w:hint="default" w:ascii="Times New Roman" w:hAnsi="Times New Roman" w:eastAsia="宋体" w:cs="Times New Roman"/>
                <w:color w:val="auto"/>
                <w:sz w:val="24"/>
              </w:rPr>
              <w:t>。</w:t>
            </w:r>
          </w:p>
          <w:p w14:paraId="30F8A4F6">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（3）噪声排放标准</w:t>
            </w:r>
          </w:p>
          <w:p w14:paraId="0FECDF68">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施工期间施工场界噪声执行《建筑施工场界环境噪声排放标准》（GB12523-2011）；相关标准值见表3-</w:t>
            </w:r>
            <w:r>
              <w:rPr>
                <w:rFonts w:hint="default" w:ascii="Times New Roman" w:hAnsi="Times New Roman" w:cs="Times New Roman"/>
                <w:color w:val="auto"/>
                <w:sz w:val="24"/>
                <w:lang w:val="en-US" w:eastAsia="zh-CN"/>
              </w:rPr>
              <w:t>7</w:t>
            </w:r>
            <w:r>
              <w:rPr>
                <w:rFonts w:hint="default" w:ascii="Times New Roman" w:hAnsi="Times New Roman" w:eastAsia="宋体" w:cs="Times New Roman"/>
                <w:color w:val="auto"/>
                <w:sz w:val="24"/>
              </w:rPr>
              <w:t>。</w:t>
            </w:r>
          </w:p>
          <w:p w14:paraId="39763906">
            <w:pPr>
              <w:kinsoku w:val="0"/>
              <w:wordWrap w:val="0"/>
              <w:topLinePunct/>
              <w:jc w:val="center"/>
              <w:rPr>
                <w:rFonts w:hint="default" w:ascii="Times New Roman" w:hAnsi="Times New Roman" w:eastAsia="黑体" w:cs="Times New Roman"/>
                <w:bCs/>
                <w:color w:val="auto"/>
                <w:kern w:val="0"/>
                <w:sz w:val="24"/>
              </w:rPr>
            </w:pPr>
            <w:r>
              <w:rPr>
                <w:rFonts w:hint="default" w:ascii="Times New Roman" w:hAnsi="Times New Roman" w:eastAsia="黑体" w:cs="Times New Roman"/>
                <w:bCs/>
                <w:color w:val="auto"/>
                <w:kern w:val="0"/>
                <w:sz w:val="24"/>
              </w:rPr>
              <w:t>表3-</w:t>
            </w:r>
            <w:r>
              <w:rPr>
                <w:rFonts w:hint="default" w:ascii="Times New Roman" w:hAnsi="Times New Roman" w:eastAsia="黑体" w:cs="Times New Roman"/>
                <w:bCs/>
                <w:color w:val="auto"/>
                <w:kern w:val="0"/>
                <w:sz w:val="24"/>
                <w:lang w:val="en-US" w:eastAsia="zh-CN"/>
              </w:rPr>
              <w:t>7</w:t>
            </w:r>
            <w:r>
              <w:rPr>
                <w:rFonts w:hint="default" w:ascii="Times New Roman" w:hAnsi="Times New Roman" w:eastAsia="黑体" w:cs="Times New Roman"/>
                <w:bCs/>
                <w:color w:val="auto"/>
                <w:kern w:val="0"/>
                <w:sz w:val="24"/>
              </w:rPr>
              <w:t xml:space="preserve">  噪声排放执行标准</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4"/>
              <w:gridCol w:w="4904"/>
              <w:gridCol w:w="1231"/>
              <w:gridCol w:w="1243"/>
            </w:tblGrid>
            <w:tr w14:paraId="214E8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dxa"/>
                  <w:vMerge w:val="restart"/>
                  <w:noWrap w:val="0"/>
                  <w:vAlign w:val="center"/>
                </w:tcPr>
                <w:p w14:paraId="14FF154F">
                  <w:pPr>
                    <w:kinsoku w:val="0"/>
                    <w:wordWrap w:val="0"/>
                    <w:topLinePunct/>
                    <w:adjustRightInd w:val="0"/>
                    <w:snapToGrid w:val="0"/>
                    <w:jc w:val="center"/>
                    <w:rPr>
                      <w:rFonts w:hint="default" w:ascii="Times New Roman" w:hAnsi="Times New Roman" w:eastAsia="宋体" w:cs="Times New Roman"/>
                      <w:b/>
                      <w:color w:val="auto"/>
                      <w:szCs w:val="21"/>
                    </w:rPr>
                  </w:pPr>
                  <w:bookmarkStart w:id="11" w:name="_Toc200422362"/>
                  <w:r>
                    <w:rPr>
                      <w:rFonts w:hint="default" w:ascii="Times New Roman" w:hAnsi="Times New Roman" w:eastAsia="宋体" w:cs="Times New Roman"/>
                      <w:b/>
                      <w:color w:val="auto"/>
                      <w:szCs w:val="21"/>
                    </w:rPr>
                    <w:t>时间</w:t>
                  </w:r>
                </w:p>
              </w:tc>
              <w:tc>
                <w:tcPr>
                  <w:tcW w:w="4904" w:type="dxa"/>
                  <w:vMerge w:val="restart"/>
                  <w:noWrap w:val="0"/>
                  <w:vAlign w:val="center"/>
                </w:tcPr>
                <w:p w14:paraId="0DB50EE7">
                  <w:pPr>
                    <w:kinsoku w:val="0"/>
                    <w:wordWrap w:val="0"/>
                    <w:topLinePunct/>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执行标准</w:t>
                  </w:r>
                </w:p>
              </w:tc>
              <w:tc>
                <w:tcPr>
                  <w:tcW w:w="2474" w:type="dxa"/>
                  <w:gridSpan w:val="2"/>
                  <w:noWrap w:val="0"/>
                  <w:vAlign w:val="center"/>
                </w:tcPr>
                <w:p w14:paraId="69D0A763">
                  <w:pPr>
                    <w:kinsoku w:val="0"/>
                    <w:wordWrap w:val="0"/>
                    <w:topLinePunct/>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噪声限值〔dB（A）〕</w:t>
                  </w:r>
                </w:p>
              </w:tc>
            </w:tr>
            <w:tr w14:paraId="2B140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dxa"/>
                  <w:vMerge w:val="continue"/>
                  <w:noWrap w:val="0"/>
                  <w:vAlign w:val="center"/>
                </w:tcPr>
                <w:p w14:paraId="05578ED6">
                  <w:pPr>
                    <w:kinsoku w:val="0"/>
                    <w:wordWrap w:val="0"/>
                    <w:topLinePunct/>
                    <w:adjustRightInd w:val="0"/>
                    <w:snapToGrid w:val="0"/>
                    <w:jc w:val="center"/>
                    <w:rPr>
                      <w:rFonts w:hint="default" w:ascii="Times New Roman" w:hAnsi="Times New Roman" w:eastAsia="宋体" w:cs="Times New Roman"/>
                      <w:b/>
                      <w:color w:val="auto"/>
                      <w:szCs w:val="21"/>
                    </w:rPr>
                  </w:pPr>
                </w:p>
              </w:tc>
              <w:tc>
                <w:tcPr>
                  <w:tcW w:w="4904" w:type="dxa"/>
                  <w:vMerge w:val="continue"/>
                  <w:noWrap w:val="0"/>
                  <w:vAlign w:val="center"/>
                </w:tcPr>
                <w:p w14:paraId="0E970E56">
                  <w:pPr>
                    <w:kinsoku w:val="0"/>
                    <w:wordWrap w:val="0"/>
                    <w:topLinePunct/>
                    <w:adjustRightInd w:val="0"/>
                    <w:snapToGrid w:val="0"/>
                    <w:jc w:val="center"/>
                    <w:rPr>
                      <w:rFonts w:hint="default" w:ascii="Times New Roman" w:hAnsi="Times New Roman" w:eastAsia="宋体" w:cs="Times New Roman"/>
                      <w:b/>
                      <w:color w:val="auto"/>
                      <w:szCs w:val="21"/>
                    </w:rPr>
                  </w:pPr>
                </w:p>
              </w:tc>
              <w:tc>
                <w:tcPr>
                  <w:tcW w:w="1231" w:type="dxa"/>
                  <w:noWrap w:val="0"/>
                  <w:vAlign w:val="center"/>
                </w:tcPr>
                <w:p w14:paraId="546AC18F">
                  <w:pPr>
                    <w:kinsoku w:val="0"/>
                    <w:wordWrap w:val="0"/>
                    <w:topLinePunct/>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昼间</w:t>
                  </w:r>
                </w:p>
              </w:tc>
              <w:tc>
                <w:tcPr>
                  <w:tcW w:w="1243" w:type="dxa"/>
                  <w:noWrap w:val="0"/>
                  <w:vAlign w:val="center"/>
                </w:tcPr>
                <w:p w14:paraId="76D3F6B5">
                  <w:pPr>
                    <w:kinsoku w:val="0"/>
                    <w:wordWrap w:val="0"/>
                    <w:topLinePunct/>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夜间</w:t>
                  </w:r>
                </w:p>
              </w:tc>
            </w:tr>
            <w:tr w14:paraId="4E048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dxa"/>
                  <w:noWrap w:val="0"/>
                  <w:vAlign w:val="center"/>
                </w:tcPr>
                <w:p w14:paraId="0E43F1A5">
                  <w:pPr>
                    <w:kinsoku w:val="0"/>
                    <w:wordWrap w:val="0"/>
                    <w:topLinePunct/>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施工期</w:t>
                  </w:r>
                </w:p>
              </w:tc>
              <w:tc>
                <w:tcPr>
                  <w:tcW w:w="4904" w:type="dxa"/>
                  <w:noWrap w:val="0"/>
                  <w:vAlign w:val="center"/>
                </w:tcPr>
                <w:p w14:paraId="72EA0C65">
                  <w:pPr>
                    <w:kinsoku w:val="0"/>
                    <w:wordWrap w:val="0"/>
                    <w:topLinePunct/>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《建筑施工场界环境噪声排放标准》（GB12523-2011）</w:t>
                  </w:r>
                </w:p>
              </w:tc>
              <w:tc>
                <w:tcPr>
                  <w:tcW w:w="1231" w:type="dxa"/>
                  <w:noWrap w:val="0"/>
                  <w:vAlign w:val="center"/>
                </w:tcPr>
                <w:p w14:paraId="443D6DB4">
                  <w:pPr>
                    <w:kinsoku w:val="0"/>
                    <w:wordWrap w:val="0"/>
                    <w:topLinePunct/>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70</w:t>
                  </w:r>
                </w:p>
              </w:tc>
              <w:tc>
                <w:tcPr>
                  <w:tcW w:w="1243" w:type="dxa"/>
                  <w:noWrap w:val="0"/>
                  <w:vAlign w:val="center"/>
                </w:tcPr>
                <w:p w14:paraId="4057E60D">
                  <w:pPr>
                    <w:kinsoku w:val="0"/>
                    <w:wordWrap w:val="0"/>
                    <w:topLinePunct/>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55</w:t>
                  </w:r>
                </w:p>
              </w:tc>
            </w:tr>
            <w:bookmarkEnd w:id="11"/>
          </w:tbl>
          <w:p w14:paraId="188D208F">
            <w:pPr>
              <w:kinsoku w:val="0"/>
              <w:wordWrap w:val="0"/>
              <w:topLinePunct/>
              <w:ind w:firstLine="51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（4）固体废物处置标准</w:t>
            </w:r>
          </w:p>
          <w:p w14:paraId="3EB3923A">
            <w:pPr>
              <w:kinsoku w:val="0"/>
              <w:wordWrap w:val="0"/>
              <w:topLinePunct/>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本项目产生的生活垃圾依托项目区附近村庄集中收集处理，施工期固体废物分类收集处置，执行《中华人民共和国固体废物污染环境防治法》（2020修订）规定。</w:t>
            </w:r>
          </w:p>
        </w:tc>
      </w:tr>
      <w:tr w14:paraId="75932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672" w:type="dxa"/>
            <w:noWrap w:val="0"/>
            <w:vAlign w:val="center"/>
          </w:tcPr>
          <w:p w14:paraId="303B72FC">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其他</w:t>
            </w:r>
          </w:p>
        </w:tc>
        <w:tc>
          <w:tcPr>
            <w:tcW w:w="8561" w:type="dxa"/>
            <w:noWrap w:val="0"/>
            <w:vAlign w:val="center"/>
          </w:tcPr>
          <w:p w14:paraId="5EEA0107">
            <w:pPr>
              <w:pStyle w:val="20"/>
              <w:spacing w:line="240" w:lineRule="auto"/>
              <w:ind w:left="0" w:leftChars="0"/>
              <w:jc w:val="center"/>
              <w:rPr>
                <w:rFonts w:hint="default" w:ascii="Times New Roman" w:hAnsi="Times New Roman" w:cs="Times New Roman"/>
                <w:color w:val="auto"/>
              </w:rPr>
            </w:pPr>
            <w:r>
              <w:rPr>
                <w:rFonts w:hint="default" w:ascii="Times New Roman" w:hAnsi="Times New Roman" w:cs="Times New Roman"/>
                <w:color w:val="auto"/>
              </w:rPr>
              <w:t>无</w:t>
            </w:r>
          </w:p>
        </w:tc>
      </w:tr>
    </w:tbl>
    <w:p w14:paraId="1A60EF9F">
      <w:pPr>
        <w:pStyle w:val="22"/>
        <w:spacing w:before="0" w:beforeAutospacing="0" w:after="0" w:afterAutospacing="0"/>
        <w:jc w:val="both"/>
        <w:outlineLvl w:val="9"/>
        <w:rPr>
          <w:rFonts w:hint="default" w:ascii="Times New Roman" w:hAnsi="Times New Roman" w:eastAsia="黑体" w:cs="Times New Roman"/>
          <w:snapToGrid w:val="0"/>
          <w:color w:val="auto"/>
          <w:sz w:val="30"/>
          <w:szCs w:val="30"/>
        </w:rPr>
        <w:sectPr>
          <w:headerReference r:id="rId7" w:type="default"/>
          <w:footerReference r:id="rId8" w:type="default"/>
          <w:pgSz w:w="11905" w:h="16838"/>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276"/>
        </w:sectPr>
      </w:pPr>
      <w:bookmarkStart w:id="12" w:name="_Toc6054"/>
      <w:bookmarkStart w:id="13" w:name="_Toc3985"/>
    </w:p>
    <w:p w14:paraId="398717EC">
      <w:pPr>
        <w:pStyle w:val="22"/>
        <w:keepNext w:val="0"/>
        <w:keepLines w:val="0"/>
        <w:widowControl/>
        <w:numPr>
          <w:ilvl w:val="0"/>
          <w:numId w:val="2"/>
        </w:numPr>
        <w:spacing w:line="360" w:lineRule="auto"/>
        <w:jc w:val="center"/>
        <w:rPr>
          <w:rFonts w:hint="default" w:ascii="Times New Roman" w:hAnsi="Times New Roman" w:eastAsia="黑体" w:cs="Times New Roman"/>
          <w:b w:val="0"/>
          <w:bCs w:val="0"/>
          <w:snapToGrid w:val="0"/>
          <w:color w:val="auto"/>
          <w:kern w:val="0"/>
          <w:sz w:val="30"/>
          <w:szCs w:val="30"/>
          <w:lang w:val="en-US" w:eastAsia="zh-CN" w:bidi="ar-SA"/>
        </w:rPr>
      </w:pPr>
      <w:r>
        <w:rPr>
          <w:rFonts w:hint="default" w:ascii="Times New Roman" w:hAnsi="Times New Roman" w:eastAsia="黑体" w:cs="Times New Roman"/>
          <w:b w:val="0"/>
          <w:bCs w:val="0"/>
          <w:snapToGrid w:val="0"/>
          <w:color w:val="auto"/>
          <w:kern w:val="0"/>
          <w:sz w:val="30"/>
          <w:szCs w:val="30"/>
          <w:lang w:val="en-US" w:eastAsia="zh-CN" w:bidi="ar-SA"/>
        </w:rPr>
        <w:t>生态环境影响分析</w:t>
      </w:r>
    </w:p>
    <w:bookmarkEnd w:id="12"/>
    <w:bookmarkEnd w:id="13"/>
    <w:tbl>
      <w:tblPr>
        <w:tblStyle w:val="25"/>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9"/>
        <w:gridCol w:w="8633"/>
      </w:tblGrid>
      <w:tr w14:paraId="6F541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dxa"/>
            <w:noWrap w:val="0"/>
            <w:tcMar>
              <w:left w:w="28" w:type="dxa"/>
              <w:right w:w="28" w:type="dxa"/>
            </w:tcMar>
            <w:vAlign w:val="center"/>
          </w:tcPr>
          <w:p w14:paraId="492551BD">
            <w:pPr>
              <w:pStyle w:val="22"/>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bookmarkStart w:id="14" w:name="_Hlk49796138"/>
            <w:r>
              <w:rPr>
                <w:rFonts w:hint="default" w:ascii="Times New Roman" w:hAnsi="Times New Roman" w:eastAsia="宋体" w:cs="Times New Roman"/>
                <w:b/>
                <w:color w:val="auto"/>
                <w:spacing w:val="10"/>
                <w:kern w:val="2"/>
              </w:rPr>
              <w:t>施工期生态环境影响分析</w:t>
            </w:r>
            <w:bookmarkEnd w:id="14"/>
          </w:p>
        </w:tc>
        <w:tc>
          <w:tcPr>
            <w:tcW w:w="8633" w:type="dxa"/>
            <w:noWrap w:val="0"/>
            <w:vAlign w:val="top"/>
          </w:tcPr>
          <w:p w14:paraId="6F990888">
            <w:pPr>
              <w:keepNext w:val="0"/>
              <w:keepLines w:val="0"/>
              <w:pageBreakBefore w:val="0"/>
              <w:widowControl/>
              <w:numPr>
                <w:ilvl w:val="0"/>
                <w:numId w:val="11"/>
              </w:numPr>
              <w:kinsoku/>
              <w:wordWrap/>
              <w:overflowPunct/>
              <w:topLinePunct w:val="0"/>
              <w:autoSpaceDE w:val="0"/>
              <w:autoSpaceDN w:val="0"/>
              <w:bidi w:val="0"/>
              <w:adjustRightInd/>
              <w:snapToGrid/>
              <w:spacing w:before="0" w:after="0"/>
              <w:jc w:val="left"/>
              <w:textAlignment w:val="auto"/>
              <w:rPr>
                <w:rFonts w:hint="default" w:ascii="Times New Roman" w:hAnsi="Times New Roman" w:eastAsia="黑体" w:cs="Times New Roman"/>
                <w:b w:val="0"/>
                <w:color w:val="auto"/>
                <w:kern w:val="0"/>
                <w:sz w:val="24"/>
                <w:highlight w:val="none"/>
              </w:rPr>
            </w:pPr>
            <w:r>
              <w:rPr>
                <w:rFonts w:hint="default" w:ascii="Times New Roman" w:hAnsi="Times New Roman" w:eastAsia="黑体" w:cs="Times New Roman"/>
                <w:b w:val="0"/>
                <w:color w:val="auto"/>
                <w:kern w:val="0"/>
                <w:sz w:val="24"/>
                <w:highlight w:val="none"/>
              </w:rPr>
              <w:t>施工期生态环境影响分析</w:t>
            </w:r>
          </w:p>
          <w:p w14:paraId="6583DA51">
            <w:pPr>
              <w:ind w:firstLine="510" w:firstLineChars="200"/>
              <w:rPr>
                <w:rStyle w:val="31"/>
                <w:rFonts w:hint="default" w:ascii="Times New Roman" w:hAnsi="Times New Roman" w:cs="Times New Roman"/>
                <w:b/>
                <w:bCs/>
                <w:color w:val="auto"/>
                <w:sz w:val="24"/>
              </w:rPr>
            </w:pPr>
            <w:r>
              <w:rPr>
                <w:rStyle w:val="31"/>
                <w:rFonts w:hint="default" w:ascii="Times New Roman" w:hAnsi="Times New Roman" w:cs="Times New Roman"/>
                <w:b w:val="0"/>
                <w:bCs w:val="0"/>
                <w:color w:val="auto"/>
                <w:sz w:val="24"/>
                <w:lang w:val="en-US" w:eastAsia="zh-CN"/>
              </w:rPr>
              <w:t>（1）</w:t>
            </w:r>
            <w:r>
              <w:rPr>
                <w:rStyle w:val="31"/>
                <w:rFonts w:hint="default" w:ascii="Times New Roman" w:hAnsi="Times New Roman" w:cs="Times New Roman"/>
                <w:b w:val="0"/>
                <w:bCs w:val="0"/>
                <w:color w:val="auto"/>
                <w:sz w:val="24"/>
              </w:rPr>
              <w:t>水土流失影响分析</w:t>
            </w:r>
          </w:p>
          <w:p w14:paraId="2C23033A">
            <w:pPr>
              <w:pStyle w:val="34"/>
              <w:adjustRightInd/>
              <w:ind w:firstLine="510" w:firstLineChars="200"/>
              <w:rPr>
                <w:rFonts w:hint="default" w:ascii="Times New Roman" w:hAnsi="Times New Roman" w:cs="Times New Roman"/>
                <w:color w:val="auto"/>
              </w:rPr>
            </w:pPr>
            <w:r>
              <w:rPr>
                <w:rFonts w:hint="default" w:ascii="Times New Roman" w:hAnsi="Times New Roman" w:cs="Times New Roman"/>
                <w:bCs/>
                <w:color w:val="auto"/>
              </w:rPr>
              <w:t>本项目建设期间将对地表土体产生扰动，施工过程将新增土壤侵蚀量。</w:t>
            </w:r>
            <w:r>
              <w:rPr>
                <w:rFonts w:hint="default" w:ascii="Times New Roman" w:hAnsi="Times New Roman" w:cs="Times New Roman"/>
                <w:color w:val="auto"/>
              </w:rPr>
              <w:t>工程完工和生态恢复后，其水土流失程度可大为减少，从而取得良好的环境效益。土壤流失主要发生在施工阶段，当地表植被破坏后，表层土壤裸露，在降雨形成的地表径流的作用下发生流失。项目建设通过土石方工程消除地质灾害，修复破坏的地形地貌，重建植被，恢复原有的地形地貌及土地资源，可以使遭到破坏的生态环境得到改善和基本恢复。</w:t>
            </w:r>
          </w:p>
          <w:p w14:paraId="03FB62F3">
            <w:pPr>
              <w:ind w:firstLine="510" w:firstLineChars="200"/>
              <w:rPr>
                <w:rFonts w:hint="default" w:ascii="Times New Roman" w:hAnsi="Times New Roman" w:cs="Times New Roman"/>
                <w:b w:val="0"/>
                <w:bCs w:val="0"/>
                <w:color w:val="auto"/>
                <w:kern w:val="0"/>
                <w:sz w:val="24"/>
              </w:rPr>
            </w:pPr>
            <w:r>
              <w:rPr>
                <w:rFonts w:hint="default" w:ascii="Times New Roman" w:hAnsi="Times New Roman" w:cs="Times New Roman"/>
                <w:b w:val="0"/>
                <w:bCs w:val="0"/>
                <w:color w:val="auto"/>
                <w:kern w:val="0"/>
                <w:sz w:val="24"/>
                <w:lang w:eastAsia="zh-CN"/>
              </w:rPr>
              <w:t>（</w:t>
            </w:r>
            <w:r>
              <w:rPr>
                <w:rFonts w:hint="default" w:ascii="Times New Roman" w:hAnsi="Times New Roman" w:cs="Times New Roman"/>
                <w:b w:val="0"/>
                <w:bCs w:val="0"/>
                <w:color w:val="auto"/>
                <w:kern w:val="0"/>
                <w:sz w:val="24"/>
                <w:lang w:val="en-US" w:eastAsia="zh-CN"/>
              </w:rPr>
              <w:t>2</w:t>
            </w:r>
            <w:r>
              <w:rPr>
                <w:rFonts w:hint="default" w:ascii="Times New Roman" w:hAnsi="Times New Roman" w:cs="Times New Roman"/>
                <w:b w:val="0"/>
                <w:bCs w:val="0"/>
                <w:color w:val="auto"/>
                <w:kern w:val="0"/>
                <w:sz w:val="24"/>
                <w:lang w:eastAsia="zh-CN"/>
              </w:rPr>
              <w:t>）</w:t>
            </w:r>
            <w:r>
              <w:rPr>
                <w:rFonts w:hint="default" w:ascii="Times New Roman" w:hAnsi="Times New Roman" w:cs="Times New Roman"/>
                <w:b w:val="0"/>
                <w:bCs w:val="0"/>
                <w:color w:val="auto"/>
                <w:kern w:val="0"/>
                <w:sz w:val="24"/>
              </w:rPr>
              <w:t>对区域植物影响分析</w:t>
            </w:r>
          </w:p>
          <w:p w14:paraId="72D65717">
            <w:pPr>
              <w:pStyle w:val="58"/>
              <w:spacing w:line="240" w:lineRule="auto"/>
              <w:ind w:firstLine="514"/>
              <w:rPr>
                <w:rFonts w:hint="default" w:ascii="Times New Roman" w:hAnsi="Times New Roman" w:cs="Times New Roman"/>
                <w:color w:val="auto"/>
              </w:rPr>
            </w:pPr>
            <w:r>
              <w:rPr>
                <w:rFonts w:hint="default" w:ascii="Times New Roman" w:hAnsi="Times New Roman" w:cs="Times New Roman"/>
                <w:color w:val="auto"/>
                <w:kern w:val="0"/>
              </w:rPr>
              <w:t>项目区植被类型主要为荒漠草原，植被稀疏，覆盖度较低，一般在15%以下，区系简单，主要以沙打旺、柠条、沙柳、油蒿、短花针茅、蓍状亚菊、荒漠锦鸡儿等杂类草群落为主。本项目施工期，</w:t>
            </w:r>
            <w:r>
              <w:rPr>
                <w:rFonts w:hint="default" w:ascii="Times New Roman" w:hAnsi="Times New Roman" w:cs="Times New Roman"/>
                <w:color w:val="auto"/>
              </w:rPr>
              <w:t>施工期对植被的影响主要体现在施工区土地平整，将原有植被清除，造成区域植被破坏和生物多样性降低。工程建设破坏的植被对评价区生态系统的生物量和生态功能产生一定的影响，但通过采取绿化措施会对这种影响进行补偿。</w:t>
            </w:r>
          </w:p>
          <w:p w14:paraId="5B619C07">
            <w:pPr>
              <w:ind w:firstLine="51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通过恢复地形地貌、林草结合的治理方式，使得项目区内植被覆盖率持续提升，生态系统功能稳步提升，有效调节项目区及周边气候环境，促进黄河两岸生态环境的不断好转，确保黄河流域生态安全和高质量发展。</w:t>
            </w:r>
          </w:p>
          <w:p w14:paraId="43649E59">
            <w:pPr>
              <w:pStyle w:val="58"/>
              <w:spacing w:line="240" w:lineRule="auto"/>
              <w:ind w:firstLine="515"/>
              <w:outlineLvl w:val="2"/>
              <w:rPr>
                <w:rFonts w:hint="default" w:ascii="Times New Roman" w:hAnsi="Times New Roman" w:cs="Times New Roman"/>
                <w:b w:val="0"/>
                <w:bCs w:val="0"/>
                <w:color w:val="auto"/>
              </w:rPr>
            </w:pPr>
            <w:bookmarkStart w:id="15" w:name="_Toc31200"/>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3</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对动物的影响分析</w:t>
            </w:r>
            <w:bookmarkEnd w:id="15"/>
          </w:p>
          <w:p w14:paraId="45FC1574">
            <w:pPr>
              <w:pStyle w:val="58"/>
              <w:spacing w:line="240" w:lineRule="auto"/>
              <w:ind w:firstLine="514"/>
              <w:rPr>
                <w:rFonts w:hint="default" w:ascii="Times New Roman" w:hAnsi="Times New Roman" w:cs="Times New Roman"/>
                <w:color w:val="auto"/>
              </w:rPr>
            </w:pPr>
            <w:r>
              <w:rPr>
                <w:rFonts w:hint="default" w:ascii="Times New Roman" w:hAnsi="Times New Roman" w:cs="Times New Roman"/>
                <w:color w:val="auto"/>
              </w:rPr>
              <w:t>施工期对兽类的影响主要体现在对动物栖息觅食地所在生态环境的破坏，包括对施工区土地平整，原有植被清除，施工所产生的噪声，各种施工人员以及施工机械的干扰等，使评价区及其周边环境发生改变，生于灌草丛的小型兽类，将迁移至附近受干扰小的区域，种类和数量将相应减少。项目占地范围内穴居兽类等的洞穴被破坏，其会迁居它处，影响项目区内该类动物的分布和数量。但由于评价区范围内或附近具有相同的生境，其容易找到栖息场所。另外，工程建设影响的范围小且时间短，因此对野生兽类不会造成大的影响。</w:t>
            </w:r>
          </w:p>
          <w:p w14:paraId="43DFCC22">
            <w:pPr>
              <w:pStyle w:val="58"/>
              <w:spacing w:line="240" w:lineRule="auto"/>
              <w:ind w:firstLine="514"/>
              <w:rPr>
                <w:rFonts w:hint="default" w:ascii="Times New Roman" w:hAnsi="Times New Roman" w:cs="Times New Roman"/>
                <w:color w:val="auto"/>
              </w:rPr>
            </w:pPr>
            <w:r>
              <w:rPr>
                <w:rFonts w:hint="default" w:ascii="Times New Roman" w:hAnsi="Times New Roman" w:cs="Times New Roman"/>
                <w:color w:val="auto"/>
              </w:rPr>
              <w:t>工程建成后，随着植被的逐渐恢复，生态环境的改善，人为干扰减少，许多外迁的兽类会陆续回到原来的栖息地。</w:t>
            </w:r>
          </w:p>
          <w:p w14:paraId="4F330B31">
            <w:pPr>
              <w:pStyle w:val="58"/>
              <w:spacing w:line="240" w:lineRule="auto"/>
              <w:ind w:firstLine="514"/>
              <w:rPr>
                <w:rFonts w:hint="default" w:ascii="Times New Roman" w:hAnsi="Times New Roman" w:cs="Times New Roman"/>
                <w:color w:val="auto"/>
              </w:rPr>
            </w:pPr>
            <w:r>
              <w:rPr>
                <w:rFonts w:hint="default" w:ascii="Times New Roman" w:hAnsi="Times New Roman" w:cs="Times New Roman"/>
                <w:color w:val="auto"/>
              </w:rPr>
              <w:t>施工期对鸟类的影响主要为施工机械、车辆噪声等会导致鸟类栖息环境质量暂时下降。施工期间沿线人为活动增加、车辆穿梭、施工机械噪声的惊吓、干扰，在一定程度上会影响鸟类的南迁北往活动，进而间接影响鸟类在施工区域内的分布与种群数量，但这些鸟类可以通过迁徙和飞翔来避免施工对其直接的影响，该项目建设对区域鸟类的生态活动影响较小。</w:t>
            </w:r>
          </w:p>
          <w:p w14:paraId="51788EB5">
            <w:pPr>
              <w:pStyle w:val="58"/>
              <w:spacing w:line="240" w:lineRule="auto"/>
              <w:ind w:firstLine="514"/>
              <w:rPr>
                <w:rFonts w:hint="default" w:ascii="Times New Roman" w:hAnsi="Times New Roman" w:cs="Times New Roman"/>
                <w:color w:val="auto"/>
                <w:kern w:val="0"/>
              </w:rPr>
            </w:pPr>
            <w:r>
              <w:rPr>
                <w:rFonts w:hint="default" w:ascii="Times New Roman" w:hAnsi="Times New Roman" w:cs="Times New Roman"/>
                <w:color w:val="auto"/>
              </w:rPr>
              <w:t>根据现场调查和勘测目测，工程沿线区域内鸟类较少。该项目施工对附近鸟类的影响是暂时的，项目建成后，各种施工机械撤离，这种影响就会逐渐消失。综上所述，工程沿线区域不属于鸟类的分布重点区域，工程建设对于周边鸟类栖息地整体而言影响较小</w:t>
            </w:r>
            <w:r>
              <w:rPr>
                <w:rFonts w:hint="default" w:ascii="Times New Roman" w:hAnsi="Times New Roman" w:cs="Times New Roman"/>
                <w:color w:val="auto"/>
                <w:kern w:val="0"/>
              </w:rPr>
              <w:t>。</w:t>
            </w:r>
          </w:p>
          <w:p w14:paraId="1F1A7A1D">
            <w:pPr>
              <w:pStyle w:val="16"/>
              <w:ind w:firstLine="510" w:firstLineChars="200"/>
              <w:rPr>
                <w:rFonts w:hint="default" w:ascii="Times New Roman" w:hAnsi="Times New Roman" w:eastAsia="宋体" w:cs="Times New Roman"/>
                <w:b w:val="0"/>
                <w:color w:val="auto"/>
                <w:sz w:val="24"/>
                <w:lang w:val="en-US" w:eastAsia="zh-CN"/>
              </w:rPr>
            </w:pPr>
            <w:r>
              <w:rPr>
                <w:rFonts w:hint="default" w:ascii="Times New Roman" w:hAnsi="Times New Roman" w:cs="Times New Roman"/>
                <w:b w:val="0"/>
                <w:color w:val="auto"/>
                <w:sz w:val="24"/>
                <w:lang w:eastAsia="zh-CN"/>
              </w:rPr>
              <w:t>（</w:t>
            </w:r>
            <w:r>
              <w:rPr>
                <w:rFonts w:hint="default" w:ascii="Times New Roman" w:hAnsi="Times New Roman" w:cs="Times New Roman"/>
                <w:b w:val="0"/>
                <w:color w:val="auto"/>
                <w:sz w:val="24"/>
                <w:lang w:val="en-US" w:eastAsia="zh-CN"/>
              </w:rPr>
              <w:t>4</w:t>
            </w:r>
            <w:r>
              <w:rPr>
                <w:rFonts w:hint="default" w:ascii="Times New Roman" w:hAnsi="Times New Roman" w:cs="Times New Roman"/>
                <w:b w:val="0"/>
                <w:color w:val="auto"/>
                <w:sz w:val="24"/>
                <w:lang w:eastAsia="zh-CN"/>
              </w:rPr>
              <w:t>）</w:t>
            </w:r>
            <w:r>
              <w:rPr>
                <w:rFonts w:hint="default" w:ascii="Times New Roman" w:hAnsi="Times New Roman" w:cs="Times New Roman"/>
                <w:b w:val="0"/>
                <w:color w:val="auto"/>
                <w:sz w:val="24"/>
                <w:lang w:val="en-US" w:eastAsia="zh-CN"/>
              </w:rPr>
              <w:t>对景观的影响</w:t>
            </w:r>
          </w:p>
          <w:p w14:paraId="23D0AE78">
            <w:pPr>
              <w:pStyle w:val="16"/>
              <w:ind w:firstLine="510" w:firstLineChars="200"/>
              <w:rPr>
                <w:rFonts w:hint="default" w:ascii="Times New Roman" w:hAnsi="Times New Roman" w:cs="Times New Roman"/>
                <w:b w:val="0"/>
                <w:color w:val="auto"/>
                <w:sz w:val="24"/>
              </w:rPr>
            </w:pPr>
            <w:r>
              <w:rPr>
                <w:rFonts w:hint="default" w:ascii="Times New Roman" w:hAnsi="Times New Roman" w:cs="Times New Roman"/>
                <w:b w:val="0"/>
                <w:color w:val="auto"/>
                <w:sz w:val="24"/>
              </w:rPr>
              <w:t>本项目所在区域地形简单，地貌单一项目区位于属中低山区，区内地势起伏不大，山势为西北高东南低，最高海拔高程1490m，最低海拔高程1195m，相对高差约300m。本工程的建设，要对矿区进行开挖、回填及土地平整等活动，对原地貌进行扰动或形成再塑地貌</w:t>
            </w:r>
            <w:r>
              <w:rPr>
                <w:rFonts w:hint="default" w:ascii="Times New Roman" w:hAnsi="Times New Roman" w:cs="Times New Roman"/>
                <w:b w:val="0"/>
                <w:color w:val="auto"/>
                <w:sz w:val="24"/>
                <w:lang w:eastAsia="zh-CN"/>
              </w:rPr>
              <w:t>。</w:t>
            </w:r>
            <w:r>
              <w:rPr>
                <w:rFonts w:hint="default" w:ascii="Times New Roman" w:hAnsi="Times New Roman" w:cs="Times New Roman"/>
                <w:b w:val="0"/>
                <w:color w:val="auto"/>
                <w:sz w:val="24"/>
              </w:rPr>
              <w:t>施工期结束后，被改变的原有景观无法恢复。但当本项目建成后，通过人工绿化等生态建设实现补偿，而且人工绿地会比现状的草地景观有较高的改善，因此，对自然生态景观不会造成不良影响。</w:t>
            </w:r>
          </w:p>
          <w:p w14:paraId="6BFE5773">
            <w:pPr>
              <w:pStyle w:val="16"/>
              <w:ind w:firstLine="51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5</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施工车辆及施工机械行驶路线对生态的影响分析</w:t>
            </w:r>
          </w:p>
          <w:p w14:paraId="17C71D08">
            <w:pPr>
              <w:pStyle w:val="16"/>
              <w:ind w:firstLine="510" w:firstLineChars="200"/>
              <w:rPr>
                <w:rFonts w:hint="default" w:ascii="Times New Roman" w:hAnsi="Times New Roman" w:cs="Times New Roman"/>
                <w:b w:val="0"/>
                <w:color w:val="auto"/>
                <w:sz w:val="24"/>
              </w:rPr>
            </w:pPr>
            <w:r>
              <w:rPr>
                <w:rFonts w:hint="default" w:ascii="Times New Roman" w:hAnsi="Times New Roman" w:cs="Times New Roman"/>
                <w:b w:val="0"/>
                <w:color w:val="auto"/>
                <w:sz w:val="24"/>
              </w:rPr>
              <w:t>建设单位施工期间使用的施工机械主要有挖掘机、推土机、柴油动力机械等，运输车辆主要有卡车、载重车等，施工机械和运输车辆排放尾气中的污染物主要有CO、NO</w:t>
            </w:r>
            <w:r>
              <w:rPr>
                <w:rFonts w:hint="default" w:ascii="Times New Roman" w:hAnsi="Times New Roman" w:cs="Times New Roman"/>
                <w:b w:val="0"/>
                <w:color w:val="auto"/>
                <w:sz w:val="24"/>
                <w:vertAlign w:val="subscript"/>
              </w:rPr>
              <w:t>2</w:t>
            </w:r>
            <w:r>
              <w:rPr>
                <w:rFonts w:hint="default" w:ascii="Times New Roman" w:hAnsi="Times New Roman" w:cs="Times New Roman"/>
                <w:b w:val="0"/>
                <w:color w:val="auto"/>
                <w:sz w:val="24"/>
              </w:rPr>
              <w:t>等，根据《环境保护实用数据手册》，载重汽车尾气主要污染物排放浓度约为CO&lt;105g/m</w:t>
            </w:r>
            <w:r>
              <w:rPr>
                <w:rFonts w:hint="default" w:ascii="Times New Roman" w:hAnsi="Times New Roman" w:cs="Times New Roman"/>
                <w:b w:val="0"/>
                <w:color w:val="auto"/>
                <w:sz w:val="24"/>
                <w:vertAlign w:val="superscript"/>
              </w:rPr>
              <w:t>3</w:t>
            </w:r>
            <w:r>
              <w:rPr>
                <w:rFonts w:hint="default" w:ascii="Times New Roman" w:hAnsi="Times New Roman" w:cs="Times New Roman"/>
                <w:b w:val="0"/>
                <w:color w:val="auto"/>
                <w:sz w:val="24"/>
              </w:rPr>
              <w:t>、NO</w:t>
            </w:r>
            <w:r>
              <w:rPr>
                <w:rFonts w:hint="default" w:ascii="Times New Roman" w:hAnsi="Times New Roman" w:cs="Times New Roman"/>
                <w:b w:val="0"/>
                <w:color w:val="auto"/>
                <w:sz w:val="24"/>
                <w:vertAlign w:val="subscript"/>
              </w:rPr>
              <w:t>2</w:t>
            </w:r>
            <w:r>
              <w:rPr>
                <w:rFonts w:hint="default" w:ascii="Times New Roman" w:hAnsi="Times New Roman" w:cs="Times New Roman"/>
                <w:b w:val="0"/>
                <w:color w:val="auto"/>
                <w:sz w:val="24"/>
              </w:rPr>
              <w:t>&lt;1.65g/m</w:t>
            </w:r>
            <w:r>
              <w:rPr>
                <w:rFonts w:hint="default" w:ascii="Times New Roman" w:hAnsi="Times New Roman" w:cs="Times New Roman"/>
                <w:b w:val="0"/>
                <w:color w:val="auto"/>
                <w:sz w:val="24"/>
                <w:vertAlign w:val="superscript"/>
              </w:rPr>
              <w:t>3</w:t>
            </w:r>
            <w:r>
              <w:rPr>
                <w:rFonts w:hint="default" w:ascii="Times New Roman" w:hAnsi="Times New Roman" w:cs="Times New Roman"/>
                <w:b w:val="0"/>
                <w:color w:val="auto"/>
                <w:sz w:val="24"/>
              </w:rPr>
              <w:t>。</w:t>
            </w:r>
          </w:p>
          <w:p w14:paraId="6ED6A9DC">
            <w:pPr>
              <w:pStyle w:val="16"/>
              <w:ind w:firstLine="510" w:firstLineChars="200"/>
              <w:rPr>
                <w:rFonts w:hint="default" w:ascii="Times New Roman" w:hAnsi="Times New Roman" w:cs="Times New Roman"/>
                <w:b w:val="0"/>
                <w:color w:val="auto"/>
                <w:sz w:val="24"/>
                <w:lang w:eastAsia="zh-CN"/>
              </w:rPr>
            </w:pPr>
            <w:r>
              <w:rPr>
                <w:rFonts w:hint="default" w:ascii="Times New Roman" w:hAnsi="Times New Roman" w:cs="Times New Roman"/>
                <w:b w:val="0"/>
                <w:color w:val="auto"/>
                <w:sz w:val="24"/>
              </w:rPr>
              <w:t>本项目整体生态环境脆弱，为减小对本项目区域影响，施工期间施工车辆应按照规划的施工便道行驶，施工机械应当按照规划的施工便道行驶进入指定区域进行施工作业，以免无序碾压造成更大的生态破坏，施工结束后，对车辆行驶区域及施工便道进行生态恢复，对周边生态不会造成不良影响</w:t>
            </w:r>
            <w:r>
              <w:rPr>
                <w:rFonts w:hint="default" w:ascii="Times New Roman" w:hAnsi="Times New Roman" w:cs="Times New Roman"/>
                <w:b w:val="0"/>
                <w:color w:val="auto"/>
                <w:sz w:val="24"/>
                <w:lang w:eastAsia="zh-CN"/>
              </w:rPr>
              <w:t>。</w:t>
            </w:r>
          </w:p>
          <w:p w14:paraId="7C0A21CB">
            <w:pPr>
              <w:pStyle w:val="17"/>
              <w:rPr>
                <w:rFonts w:hint="default" w:ascii="Times New Roman" w:hAnsi="Times New Roman" w:cs="Times New Roman"/>
                <w:color w:val="auto"/>
                <w:lang w:eastAsia="zh-CN"/>
              </w:rPr>
            </w:pPr>
          </w:p>
          <w:p w14:paraId="137F0A2E">
            <w:pPr>
              <w:keepNext w:val="0"/>
              <w:keepLines w:val="0"/>
              <w:pageBreakBefore w:val="0"/>
              <w:widowControl/>
              <w:numPr>
                <w:ilvl w:val="0"/>
                <w:numId w:val="11"/>
              </w:numPr>
              <w:kinsoku/>
              <w:wordWrap/>
              <w:overflowPunct/>
              <w:topLinePunct w:val="0"/>
              <w:autoSpaceDE w:val="0"/>
              <w:autoSpaceDN w:val="0"/>
              <w:bidi w:val="0"/>
              <w:adjustRightInd/>
              <w:snapToGrid/>
              <w:spacing w:before="240" w:after="60"/>
              <w:jc w:val="left"/>
              <w:textAlignment w:val="auto"/>
              <w:rPr>
                <w:rFonts w:hint="default" w:ascii="Times New Roman" w:hAnsi="Times New Roman" w:eastAsia="黑体" w:cs="Times New Roman"/>
                <w:b w:val="0"/>
                <w:color w:val="auto"/>
                <w:kern w:val="0"/>
                <w:sz w:val="24"/>
                <w:highlight w:val="none"/>
              </w:rPr>
            </w:pPr>
            <w:r>
              <w:rPr>
                <w:rFonts w:hint="default" w:ascii="Times New Roman" w:hAnsi="Times New Roman" w:eastAsia="黑体" w:cs="Times New Roman"/>
                <w:b w:val="0"/>
                <w:color w:val="auto"/>
                <w:kern w:val="0"/>
                <w:sz w:val="24"/>
                <w:highlight w:val="none"/>
              </w:rPr>
              <w:t>施工期环境空气影响分析</w:t>
            </w:r>
          </w:p>
          <w:p w14:paraId="347A404A">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1</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施工现场扬尘</w:t>
            </w:r>
          </w:p>
          <w:p w14:paraId="4D612A07">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cs="Times New Roman"/>
                <w:b w:val="0"/>
                <w:bCs w:val="0"/>
                <w:color w:val="auto"/>
                <w:sz w:val="24"/>
              </w:rPr>
              <w:t>本工程施工扬尘主要来自</w:t>
            </w:r>
            <w:r>
              <w:rPr>
                <w:rFonts w:hint="default" w:ascii="Times New Roman" w:hAnsi="Times New Roman" w:cs="Times New Roman"/>
                <w:b w:val="0"/>
                <w:bCs w:val="0"/>
                <w:color w:val="auto"/>
                <w:sz w:val="24"/>
                <w:lang w:val="en-US" w:eastAsia="zh-CN"/>
              </w:rPr>
              <w:t>地形地貌整治工程、覆土工程、围栏安装工程、植被恢复工程，</w:t>
            </w:r>
            <w:r>
              <w:rPr>
                <w:rFonts w:hint="default" w:ascii="Times New Roman" w:hAnsi="Times New Roman" w:cs="Times New Roman"/>
                <w:b w:val="0"/>
                <w:bCs w:val="0"/>
                <w:color w:val="auto"/>
                <w:sz w:val="24"/>
              </w:rPr>
              <w:t>施工现场因土石方挖填倒运、粉状物料堆放等活动产生的施工扬尘颗粒物在50m范围内浓度远高于《大气污染物综合排放标准》（GB16297-1996）中无组织排放监控浓度限值（周界外浓度最高点：1.0mg/m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），但是随着距施工现场距离的增加，同时对施工场地洒水降尘、篷布遮挡等措施的更进，大气环境中颗粒物浓度逐渐降低，至150m以外将不会造成明显影响</w:t>
            </w:r>
            <w:r>
              <w:rPr>
                <w:rFonts w:hint="default" w:ascii="Times New Roman" w:hAnsi="Times New Roman" w:cs="Times New Roman"/>
                <w:b w:val="0"/>
                <w:bCs w:val="0"/>
                <w:color w:val="auto"/>
                <w:sz w:val="24"/>
                <w:lang w:eastAsia="zh-CN"/>
              </w:rPr>
              <w:t>。</w:t>
            </w:r>
          </w:p>
          <w:p w14:paraId="4C9142AA">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b w:val="0"/>
                <w:bCs w:val="0"/>
                <w:color w:val="auto"/>
                <w:sz w:val="24"/>
                <w:lang w:bidi="ar"/>
              </w:rPr>
            </w:pPr>
            <w:r>
              <w:rPr>
                <w:rFonts w:hint="default" w:ascii="Times New Roman" w:hAnsi="Times New Roman" w:cs="Times New Roman"/>
                <w:b w:val="0"/>
                <w:bCs w:val="0"/>
                <w:color w:val="auto"/>
                <w:sz w:val="24"/>
                <w:lang w:eastAsia="zh-CN" w:bidi="ar"/>
              </w:rPr>
              <w:t>（</w:t>
            </w:r>
            <w:r>
              <w:rPr>
                <w:rFonts w:hint="default" w:ascii="Times New Roman" w:hAnsi="Times New Roman" w:cs="Times New Roman"/>
                <w:b w:val="0"/>
                <w:bCs w:val="0"/>
                <w:color w:val="auto"/>
                <w:sz w:val="24"/>
                <w:lang w:val="en-US" w:eastAsia="zh-CN" w:bidi="ar"/>
              </w:rPr>
              <w:t>2</w:t>
            </w:r>
            <w:r>
              <w:rPr>
                <w:rFonts w:hint="default" w:ascii="Times New Roman" w:hAnsi="Times New Roman" w:cs="Times New Roman"/>
                <w:b w:val="0"/>
                <w:bCs w:val="0"/>
                <w:color w:val="auto"/>
                <w:sz w:val="24"/>
                <w:lang w:eastAsia="zh-CN" w:bidi="ar"/>
              </w:rPr>
              <w:t>）</w:t>
            </w:r>
            <w:r>
              <w:rPr>
                <w:rFonts w:hint="default" w:ascii="Times New Roman" w:hAnsi="Times New Roman" w:cs="Times New Roman"/>
                <w:b w:val="0"/>
                <w:bCs w:val="0"/>
                <w:color w:val="auto"/>
                <w:sz w:val="24"/>
                <w:lang w:bidi="ar"/>
              </w:rPr>
              <w:t>施工作业机械尾气</w:t>
            </w:r>
          </w:p>
          <w:p w14:paraId="525ECE25">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bCs/>
                <w:color w:val="auto"/>
                <w:sz w:val="24"/>
                <w:lang w:bidi="ar"/>
              </w:rPr>
            </w:pPr>
            <w:r>
              <w:rPr>
                <w:rFonts w:hint="default" w:ascii="Times New Roman" w:hAnsi="Times New Roman" w:cs="Times New Roman"/>
                <w:b w:val="0"/>
                <w:bCs w:val="0"/>
                <w:color w:val="auto"/>
                <w:sz w:val="24"/>
                <w:lang w:bidi="ar"/>
              </w:rPr>
              <w:t>本项目施工期施工机械主要有挖掘机、推土机、柴油动力机械等燃油机械，其排放的污染物主要有CO、NO</w:t>
            </w:r>
            <w:r>
              <w:rPr>
                <w:rFonts w:hint="default" w:ascii="Times New Roman" w:hAnsi="Times New Roman" w:cs="Times New Roman"/>
                <w:b w:val="0"/>
                <w:bCs w:val="0"/>
                <w:color w:val="auto"/>
                <w:sz w:val="24"/>
                <w:vertAlign w:val="subscript"/>
                <w:lang w:bidi="ar"/>
              </w:rPr>
              <w:t>x</w:t>
            </w:r>
            <w:r>
              <w:rPr>
                <w:rFonts w:hint="default" w:ascii="Times New Roman" w:hAnsi="Times New Roman" w:cs="Times New Roman"/>
                <w:b w:val="0"/>
                <w:bCs w:val="0"/>
                <w:color w:val="auto"/>
                <w:sz w:val="24"/>
                <w:lang w:bidi="ar"/>
              </w:rPr>
              <w:t>、碳氢化合物；参考其他类似工程施工现场监测结果，在距离现场50m处，空气环境中CO、NO</w:t>
            </w:r>
            <w:r>
              <w:rPr>
                <w:rFonts w:hint="default" w:ascii="Times New Roman" w:hAnsi="Times New Roman" w:cs="Times New Roman"/>
                <w:b w:val="0"/>
                <w:bCs w:val="0"/>
                <w:color w:val="auto"/>
                <w:sz w:val="24"/>
                <w:vertAlign w:val="subscript"/>
                <w:lang w:bidi="ar"/>
              </w:rPr>
              <w:t>x</w:t>
            </w:r>
            <w:r>
              <w:rPr>
                <w:rFonts w:hint="default" w:ascii="Times New Roman" w:hAnsi="Times New Roman" w:cs="Times New Roman"/>
                <w:b w:val="0"/>
                <w:bCs w:val="0"/>
                <w:color w:val="auto"/>
                <w:sz w:val="24"/>
                <w:lang w:bidi="ar"/>
              </w:rPr>
              <w:t>1小时平均浓度分别为0.20mg/m</w:t>
            </w:r>
            <w:r>
              <w:rPr>
                <w:rFonts w:hint="default" w:ascii="Times New Roman" w:hAnsi="Times New Roman" w:cs="Times New Roman"/>
                <w:b w:val="0"/>
                <w:bCs w:val="0"/>
                <w:color w:val="auto"/>
                <w:sz w:val="24"/>
                <w:vertAlign w:val="superscript"/>
                <w:lang w:bidi="ar"/>
              </w:rPr>
              <w:t>3</w:t>
            </w:r>
            <w:r>
              <w:rPr>
                <w:rFonts w:hint="default" w:ascii="Times New Roman" w:hAnsi="Times New Roman" w:cs="Times New Roman"/>
                <w:b w:val="0"/>
                <w:bCs w:val="0"/>
                <w:color w:val="auto"/>
                <w:sz w:val="24"/>
                <w:lang w:bidi="ar"/>
              </w:rPr>
              <w:t>和0.13mg/m</w:t>
            </w:r>
            <w:r>
              <w:rPr>
                <w:rFonts w:hint="default" w:ascii="Times New Roman" w:hAnsi="Times New Roman" w:cs="Times New Roman"/>
                <w:b w:val="0"/>
                <w:bCs w:val="0"/>
                <w:color w:val="auto"/>
                <w:sz w:val="24"/>
                <w:vertAlign w:val="superscript"/>
                <w:lang w:bidi="ar"/>
              </w:rPr>
              <w:t>3</w:t>
            </w:r>
            <w:r>
              <w:rPr>
                <w:rFonts w:hint="default" w:ascii="Times New Roman" w:hAnsi="Times New Roman" w:cs="Times New Roman"/>
                <w:b w:val="0"/>
                <w:bCs w:val="0"/>
                <w:color w:val="auto"/>
                <w:sz w:val="24"/>
                <w:lang w:bidi="ar"/>
              </w:rPr>
              <w:t>；24小时平均浓度分别为0.13mg/m</w:t>
            </w:r>
            <w:r>
              <w:rPr>
                <w:rFonts w:hint="default" w:ascii="Times New Roman" w:hAnsi="Times New Roman" w:cs="Times New Roman"/>
                <w:b w:val="0"/>
                <w:bCs w:val="0"/>
                <w:color w:val="auto"/>
                <w:sz w:val="24"/>
                <w:vertAlign w:val="superscript"/>
                <w:lang w:bidi="ar"/>
              </w:rPr>
              <w:t>3</w:t>
            </w:r>
            <w:r>
              <w:rPr>
                <w:rFonts w:hint="default" w:ascii="Times New Roman" w:hAnsi="Times New Roman" w:cs="Times New Roman"/>
                <w:b w:val="0"/>
                <w:bCs w:val="0"/>
                <w:color w:val="auto"/>
                <w:sz w:val="24"/>
                <w:lang w:bidi="ar"/>
              </w:rPr>
              <w:t>和0.062mg/m</w:t>
            </w:r>
            <w:r>
              <w:rPr>
                <w:rFonts w:hint="default" w:ascii="Times New Roman" w:hAnsi="Times New Roman" w:cs="Times New Roman"/>
                <w:b w:val="0"/>
                <w:bCs w:val="0"/>
                <w:color w:val="auto"/>
                <w:sz w:val="24"/>
                <w:vertAlign w:val="superscript"/>
                <w:lang w:bidi="ar"/>
              </w:rPr>
              <w:t>3</w:t>
            </w:r>
            <w:r>
              <w:rPr>
                <w:rFonts w:hint="default" w:ascii="Times New Roman" w:hAnsi="Times New Roman" w:cs="Times New Roman"/>
                <w:b w:val="0"/>
                <w:bCs w:val="0"/>
                <w:color w:val="auto"/>
                <w:sz w:val="24"/>
                <w:lang w:bidi="ar"/>
              </w:rPr>
              <w:t>，均能满足《环境空气质量标准》（GB3095-2012）中二级标准的要求，施工机械尾气对评价范围内大气环境不利影响较小。</w:t>
            </w:r>
          </w:p>
          <w:p w14:paraId="5934231C">
            <w:pPr>
              <w:keepNext w:val="0"/>
              <w:keepLines w:val="0"/>
              <w:pageBreakBefore w:val="0"/>
              <w:widowControl/>
              <w:numPr>
                <w:ilvl w:val="0"/>
                <w:numId w:val="11"/>
              </w:numPr>
              <w:kinsoku/>
              <w:wordWrap/>
              <w:overflowPunct/>
              <w:topLinePunct w:val="0"/>
              <w:autoSpaceDE w:val="0"/>
              <w:autoSpaceDN w:val="0"/>
              <w:bidi w:val="0"/>
              <w:adjustRightInd/>
              <w:snapToGrid/>
              <w:spacing w:before="240" w:after="60"/>
              <w:jc w:val="left"/>
              <w:textAlignment w:val="auto"/>
              <w:rPr>
                <w:rFonts w:hint="default" w:ascii="Times New Roman" w:hAnsi="Times New Roman" w:eastAsia="黑体" w:cs="Times New Roman"/>
                <w:b w:val="0"/>
                <w:color w:val="auto"/>
                <w:kern w:val="0"/>
                <w:sz w:val="24"/>
                <w:highlight w:val="none"/>
              </w:rPr>
            </w:pPr>
            <w:r>
              <w:rPr>
                <w:rFonts w:hint="default" w:ascii="Times New Roman" w:hAnsi="Times New Roman" w:eastAsia="黑体" w:cs="Times New Roman"/>
                <w:b w:val="0"/>
                <w:color w:val="auto"/>
                <w:kern w:val="0"/>
                <w:sz w:val="24"/>
                <w:highlight w:val="none"/>
              </w:rPr>
              <w:t>施工期地表水影响分析</w:t>
            </w:r>
          </w:p>
          <w:p w14:paraId="007C8597">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本项目施工期废水主要</w:t>
            </w:r>
            <w:r>
              <w:rPr>
                <w:rFonts w:hint="default" w:ascii="Times New Roman" w:hAnsi="Times New Roman" w:cs="Times New Roman"/>
                <w:bCs/>
                <w:color w:val="auto"/>
                <w:sz w:val="24"/>
                <w:lang w:val="en-US" w:eastAsia="zh-CN"/>
              </w:rPr>
              <w:t>为</w:t>
            </w:r>
            <w:r>
              <w:rPr>
                <w:rFonts w:hint="default" w:ascii="Times New Roman" w:hAnsi="Times New Roman" w:cs="Times New Roman"/>
                <w:bCs/>
                <w:color w:val="auto"/>
                <w:sz w:val="24"/>
              </w:rPr>
              <w:t>施工人员日常产生的生活污水</w:t>
            </w:r>
            <w:r>
              <w:rPr>
                <w:rFonts w:hint="default" w:ascii="Times New Roman" w:hAnsi="Times New Roman" w:cs="Times New Roman"/>
                <w:bCs/>
                <w:color w:val="auto"/>
                <w:sz w:val="24"/>
                <w:lang w:val="en-US" w:eastAsia="zh-CN"/>
              </w:rPr>
              <w:t>和施工生产废水</w:t>
            </w:r>
            <w:r>
              <w:rPr>
                <w:rFonts w:hint="default" w:ascii="Times New Roman" w:hAnsi="Times New Roman" w:cs="Times New Roman"/>
                <w:bCs/>
                <w:color w:val="auto"/>
                <w:sz w:val="24"/>
              </w:rPr>
              <w:t>。</w:t>
            </w:r>
          </w:p>
          <w:p w14:paraId="642F933F">
            <w:pPr>
              <w:keepNext w:val="0"/>
              <w:keepLines w:val="0"/>
              <w:pageBreakBefore w:val="0"/>
              <w:widowControl w:val="0"/>
              <w:numPr>
                <w:ilvl w:val="0"/>
                <w:numId w:val="0"/>
              </w:numPr>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cs="Times New Roman"/>
                <w:b w:val="0"/>
                <w:bCs/>
                <w:color w:val="auto"/>
                <w:sz w:val="24"/>
              </w:rPr>
              <w:t>生活污水：</w:t>
            </w:r>
            <w:r>
              <w:rPr>
                <w:rFonts w:hint="default" w:ascii="Times New Roman" w:hAnsi="Times New Roman" w:cs="Times New Roman"/>
                <w:bCs/>
                <w:color w:val="auto"/>
                <w:sz w:val="24"/>
              </w:rPr>
              <w:t>本项目施工营地租用当地民房院落，生活污水主要为施工人员的洗漱废水，施工人员最大高峰人数为20人，每人每天生活用水量按50L计，则用水量为1m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/d，以水的消耗率为20%计，则生活污水排放量约0.8m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/d，主要污染物为COD、SS、BOD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等，依托当地居民旱厕对生活污水进行处理，定期污车由吸清掏外运。</w:t>
            </w:r>
          </w:p>
          <w:p w14:paraId="15D9D537">
            <w:pPr>
              <w:keepNext w:val="0"/>
              <w:keepLines w:val="0"/>
              <w:pageBreakBefore w:val="0"/>
              <w:widowControl w:val="0"/>
              <w:numPr>
                <w:ilvl w:val="0"/>
                <w:numId w:val="0"/>
              </w:numPr>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szCs w:val="24"/>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szCs w:val="24"/>
              </w:rPr>
              <w:t>施工生产废水主要是设备和车辆冲洗废水。设备和车辆冲洗废水产生的废水具有悬浮物浓度高、水量小、间歇集中排放等特点，每次冲洗产生的污水约0.5m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，其主要污染物为SS，浓度可达到2000～4000mg/L。施工废水产生量较少，可设临时沉淀池</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cs="Times New Roman"/>
                <w:color w:val="auto"/>
                <w:sz w:val="24"/>
                <w:szCs w:val="24"/>
                <w:vertAlign w:val="baseline"/>
                <w:lang w:val="en-US" w:eastAsia="zh-CN"/>
              </w:rPr>
              <w:t>1</w:t>
            </w:r>
            <w:r>
              <w:rPr>
                <w:rFonts w:hint="default" w:ascii="Times New Roman" w:hAnsi="Times New Roman" w:eastAsia="宋体" w:cs="Times New Roman"/>
                <w:color w:val="auto"/>
                <w:sz w:val="24"/>
                <w:szCs w:val="24"/>
                <w:vertAlign w:val="baseline"/>
                <w:lang w:val="en-US" w:eastAsia="zh-CN"/>
              </w:rPr>
              <w:t>个</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bCs/>
                <w:color w:val="auto"/>
                <w:sz w:val="24"/>
                <w:szCs w:val="24"/>
              </w:rPr>
              <w:t>，沉淀后用于项目区洒水降尘。</w:t>
            </w:r>
          </w:p>
          <w:p w14:paraId="5CC24EB0">
            <w:pPr>
              <w:widowControl/>
              <w:numPr>
                <w:ilvl w:val="0"/>
                <w:numId w:val="11"/>
              </w:numPr>
              <w:autoSpaceDE w:val="0"/>
              <w:autoSpaceDN w:val="0"/>
              <w:jc w:val="left"/>
              <w:rPr>
                <w:rFonts w:hint="default" w:ascii="Times New Roman" w:hAnsi="Times New Roman" w:eastAsia="黑体" w:cs="Times New Roman"/>
                <w:b w:val="0"/>
                <w:color w:val="auto"/>
                <w:kern w:val="0"/>
                <w:sz w:val="24"/>
                <w:szCs w:val="24"/>
                <w:highlight w:val="none"/>
              </w:rPr>
            </w:pPr>
            <w:r>
              <w:rPr>
                <w:rFonts w:hint="default" w:ascii="Times New Roman" w:hAnsi="Times New Roman" w:eastAsia="黑体" w:cs="Times New Roman"/>
                <w:b w:val="0"/>
                <w:color w:val="auto"/>
                <w:kern w:val="0"/>
                <w:sz w:val="24"/>
                <w:szCs w:val="24"/>
                <w:highlight w:val="none"/>
              </w:rPr>
              <w:t>施工期土壤影响分析</w:t>
            </w:r>
          </w:p>
          <w:p w14:paraId="37EEF949">
            <w:pPr>
              <w:pStyle w:val="16"/>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b w:val="0"/>
                <w:color w:val="auto"/>
                <w:sz w:val="24"/>
              </w:rPr>
              <w:t>本项目恢复原始地形，恢复植被，从源头上消除安全隐患，能有效消除对周边造成的危险隐患。修复因采矿活动而被挖损或压占的土地资源，通过覆土、绿化等措施增加草地土地资源，显著增加植被覆盖率，强化植被固沙护土能力，使土地资源恢复其利用价值，为实现当地经济的可持续发展，构建和谐社会奠定良好的基础。</w:t>
            </w:r>
          </w:p>
          <w:p w14:paraId="14591CA9">
            <w:pPr>
              <w:keepNext w:val="0"/>
              <w:keepLines w:val="0"/>
              <w:pageBreakBefore w:val="0"/>
              <w:widowControl/>
              <w:numPr>
                <w:ilvl w:val="0"/>
                <w:numId w:val="11"/>
              </w:numPr>
              <w:kinsoku/>
              <w:wordWrap/>
              <w:overflowPunct/>
              <w:topLinePunct w:val="0"/>
              <w:autoSpaceDE w:val="0"/>
              <w:autoSpaceDN w:val="0"/>
              <w:bidi w:val="0"/>
              <w:adjustRightInd/>
              <w:snapToGrid/>
              <w:spacing w:before="0" w:after="0"/>
              <w:jc w:val="left"/>
              <w:textAlignment w:val="auto"/>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color w:val="auto"/>
                <w:kern w:val="0"/>
                <w:sz w:val="24"/>
                <w:highlight w:val="none"/>
              </w:rPr>
              <w:t>施工期噪声环境影响分析</w:t>
            </w:r>
          </w:p>
          <w:p w14:paraId="65C97EB1">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b w:val="0"/>
                <w:bCs/>
                <w:snapToGrid w:val="0"/>
                <w:color w:val="auto"/>
                <w:sz w:val="24"/>
              </w:rPr>
            </w:pPr>
            <w:r>
              <w:rPr>
                <w:rFonts w:hint="default" w:ascii="Times New Roman" w:hAnsi="Times New Roman" w:cs="Times New Roman"/>
                <w:b w:val="0"/>
                <w:bCs/>
                <w:snapToGrid w:val="0"/>
                <w:color w:val="auto"/>
                <w:sz w:val="24"/>
                <w:lang w:eastAsia="zh-CN"/>
              </w:rPr>
              <w:t>（</w:t>
            </w:r>
            <w:r>
              <w:rPr>
                <w:rFonts w:hint="default" w:ascii="Times New Roman" w:hAnsi="Times New Roman" w:cs="Times New Roman"/>
                <w:b w:val="0"/>
                <w:bCs/>
                <w:snapToGrid w:val="0"/>
                <w:color w:val="auto"/>
                <w:sz w:val="24"/>
                <w:lang w:val="en-US" w:eastAsia="zh-CN"/>
              </w:rPr>
              <w:t>1</w:t>
            </w:r>
            <w:r>
              <w:rPr>
                <w:rFonts w:hint="default" w:ascii="Times New Roman" w:hAnsi="Times New Roman" w:cs="Times New Roman"/>
                <w:b w:val="0"/>
                <w:bCs/>
                <w:snapToGrid w:val="0"/>
                <w:color w:val="auto"/>
                <w:sz w:val="24"/>
                <w:lang w:eastAsia="zh-CN"/>
              </w:rPr>
              <w:t>）</w:t>
            </w:r>
            <w:r>
              <w:rPr>
                <w:rFonts w:hint="default" w:ascii="Times New Roman" w:hAnsi="Times New Roman" w:cs="Times New Roman"/>
                <w:b w:val="0"/>
                <w:bCs/>
                <w:snapToGrid w:val="0"/>
                <w:color w:val="auto"/>
                <w:sz w:val="24"/>
              </w:rPr>
              <w:t>噪声污染源统计分析</w:t>
            </w:r>
          </w:p>
          <w:p w14:paraId="3D09F89A">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在施工过程中，由于各种施工机械设备的运转和各类车辆的运行，不可避免地将产生噪声污染。施工中使用的各种施工机械、运输车辆等都是噪声的产生源。根据有关资料主要施工机械的噪声状况列于下表：</w:t>
            </w:r>
          </w:p>
          <w:p w14:paraId="13DB21B0">
            <w:pPr>
              <w:keepNext w:val="0"/>
              <w:keepLines w:val="0"/>
              <w:pageBreakBefore w:val="0"/>
              <w:widowControl w:val="0"/>
              <w:kinsoku w:val="0"/>
              <w:wordWrap/>
              <w:overflowPunct/>
              <w:topLinePunct w:val="0"/>
              <w:autoSpaceDE/>
              <w:autoSpaceDN/>
              <w:bidi w:val="0"/>
              <w:adjustRightInd/>
              <w:snapToGrid/>
              <w:jc w:val="center"/>
              <w:textAlignment w:val="auto"/>
              <w:rPr>
                <w:rFonts w:hint="default" w:ascii="Times New Roman" w:hAnsi="Times New Roman" w:eastAsia="黑体" w:cs="Times New Roman"/>
                <w:color w:val="auto"/>
                <w:kern w:val="0"/>
                <w:sz w:val="24"/>
                <w:lang w:bidi="ar"/>
              </w:rPr>
            </w:pPr>
            <w:r>
              <w:rPr>
                <w:rFonts w:hint="default" w:ascii="Times New Roman" w:hAnsi="Times New Roman" w:eastAsia="黑体" w:cs="Times New Roman"/>
                <w:color w:val="auto"/>
                <w:kern w:val="0"/>
                <w:sz w:val="24"/>
                <w:lang w:bidi="ar"/>
              </w:rPr>
              <w:t>表4-1  施工机械设备噪声</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128"/>
              <w:gridCol w:w="5259"/>
            </w:tblGrid>
            <w:tr w14:paraId="30E1E3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960" w:type="dxa"/>
                  <w:noWrap w:val="0"/>
                  <w:vAlign w:val="center"/>
                </w:tcPr>
                <w:p w14:paraId="6F5C505D">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施工设备名称</w:t>
                  </w:r>
                </w:p>
              </w:tc>
              <w:tc>
                <w:tcPr>
                  <w:tcW w:w="4977" w:type="dxa"/>
                  <w:noWrap w:val="0"/>
                  <w:vAlign w:val="center"/>
                </w:tcPr>
                <w:p w14:paraId="38FEB9F0">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声功率级dB（A）</w:t>
                  </w:r>
                </w:p>
              </w:tc>
            </w:tr>
            <w:tr w14:paraId="195399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960" w:type="dxa"/>
                  <w:noWrap w:val="0"/>
                  <w:vAlign w:val="center"/>
                </w:tcPr>
                <w:p w14:paraId="2298140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挖掘机</w:t>
                  </w:r>
                </w:p>
              </w:tc>
              <w:tc>
                <w:tcPr>
                  <w:tcW w:w="4977" w:type="dxa"/>
                  <w:noWrap w:val="0"/>
                  <w:vAlign w:val="center"/>
                </w:tcPr>
                <w:p w14:paraId="577286B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w:t>
                  </w:r>
                </w:p>
              </w:tc>
            </w:tr>
            <w:tr w14:paraId="6DEB67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960" w:type="dxa"/>
                  <w:noWrap w:val="0"/>
                  <w:vAlign w:val="center"/>
                </w:tcPr>
                <w:p w14:paraId="1E268F4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推土机</w:t>
                  </w:r>
                </w:p>
              </w:tc>
              <w:tc>
                <w:tcPr>
                  <w:tcW w:w="4977" w:type="dxa"/>
                  <w:noWrap w:val="0"/>
                  <w:vAlign w:val="center"/>
                </w:tcPr>
                <w:p w14:paraId="06673DEB">
                  <w:pPr>
                    <w:pStyle w:val="6"/>
                    <w:adjustRightInd w:val="0"/>
                    <w:snapToGrid w:val="0"/>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r>
            <w:tr w14:paraId="67F409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960" w:type="dxa"/>
                  <w:noWrap w:val="0"/>
                  <w:vAlign w:val="center"/>
                </w:tcPr>
                <w:p w14:paraId="259B60B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起重机</w:t>
                  </w:r>
                </w:p>
              </w:tc>
              <w:tc>
                <w:tcPr>
                  <w:tcW w:w="4977" w:type="dxa"/>
                  <w:noWrap w:val="0"/>
                  <w:vAlign w:val="center"/>
                </w:tcPr>
                <w:p w14:paraId="20FF3E8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103</w:t>
                  </w:r>
                </w:p>
              </w:tc>
            </w:tr>
            <w:tr w14:paraId="52304A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960" w:type="dxa"/>
                  <w:noWrap w:val="0"/>
                  <w:vAlign w:val="center"/>
                </w:tcPr>
                <w:p w14:paraId="2FA864D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卡车</w:t>
                  </w:r>
                </w:p>
              </w:tc>
              <w:tc>
                <w:tcPr>
                  <w:tcW w:w="4977" w:type="dxa"/>
                  <w:noWrap w:val="0"/>
                  <w:vAlign w:val="center"/>
                </w:tcPr>
                <w:p w14:paraId="60B72A9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r>
          </w:tbl>
          <w:p w14:paraId="28EB5168">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snapToGrid w:val="0"/>
                <w:color w:val="auto"/>
                <w:sz w:val="24"/>
              </w:rPr>
            </w:pPr>
            <w:r>
              <w:rPr>
                <w:rFonts w:hint="default" w:ascii="Times New Roman" w:hAnsi="Times New Roman" w:cs="Times New Roman"/>
                <w:color w:val="auto"/>
                <w:sz w:val="24"/>
              </w:rPr>
              <w:t>由上表可以看出现场施工机械设备噪声很高，在实际施工过程中，往往是各种机械同时工作，各种噪声源辐射的相互叠加，噪声级将会更高，辐射面也会更大。</w:t>
            </w:r>
          </w:p>
          <w:p w14:paraId="693748CB">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b w:val="0"/>
                <w:bCs/>
                <w:snapToGrid w:val="0"/>
                <w:color w:val="auto"/>
                <w:sz w:val="24"/>
              </w:rPr>
            </w:pPr>
            <w:r>
              <w:rPr>
                <w:rFonts w:hint="default" w:ascii="Times New Roman" w:hAnsi="Times New Roman" w:cs="Times New Roman"/>
                <w:b w:val="0"/>
                <w:bCs/>
                <w:snapToGrid w:val="0"/>
                <w:color w:val="auto"/>
                <w:sz w:val="24"/>
                <w:lang w:eastAsia="zh-CN"/>
              </w:rPr>
              <w:t>（</w:t>
            </w:r>
            <w:r>
              <w:rPr>
                <w:rFonts w:hint="default" w:ascii="Times New Roman" w:hAnsi="Times New Roman" w:cs="Times New Roman"/>
                <w:b w:val="0"/>
                <w:bCs/>
                <w:snapToGrid w:val="0"/>
                <w:color w:val="auto"/>
                <w:sz w:val="24"/>
                <w:lang w:val="en-US" w:eastAsia="zh-CN"/>
              </w:rPr>
              <w:t>2</w:t>
            </w:r>
            <w:r>
              <w:rPr>
                <w:rFonts w:hint="default" w:ascii="Times New Roman" w:hAnsi="Times New Roman" w:cs="Times New Roman"/>
                <w:b w:val="0"/>
                <w:bCs/>
                <w:snapToGrid w:val="0"/>
                <w:color w:val="auto"/>
                <w:sz w:val="24"/>
                <w:lang w:eastAsia="zh-CN"/>
              </w:rPr>
              <w:t>）</w:t>
            </w:r>
            <w:r>
              <w:rPr>
                <w:rFonts w:hint="default" w:ascii="Times New Roman" w:hAnsi="Times New Roman" w:cs="Times New Roman"/>
                <w:b w:val="0"/>
                <w:bCs/>
                <w:snapToGrid w:val="0"/>
                <w:color w:val="auto"/>
                <w:sz w:val="24"/>
              </w:rPr>
              <w:t>噪声影响预测分析</w:t>
            </w:r>
          </w:p>
          <w:p w14:paraId="108E7743">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施工噪声对周围地区声环境的影响，采用《建筑施工场界环境噪声排放标准》（GB12523-2011）进行评价。</w:t>
            </w:r>
          </w:p>
          <w:p w14:paraId="010E47DB">
            <w:pPr>
              <w:pStyle w:val="23"/>
              <w:spacing w:line="360" w:lineRule="atLeast"/>
              <w:rPr>
                <w:rFonts w:hint="default" w:ascii="Times New Roman" w:hAnsi="Times New Roman" w:cs="Times New Roman"/>
                <w:color w:val="auto"/>
                <w:sz w:val="22"/>
                <w:szCs w:val="22"/>
              </w:rPr>
            </w:pPr>
            <w:r>
              <w:rPr>
                <w:rFonts w:hint="default" w:ascii="Times New Roman" w:hAnsi="Times New Roman" w:eastAsia="黑体" w:cs="Times New Roman"/>
                <w:b w:val="0"/>
                <w:bCs w:val="0"/>
                <w:color w:val="auto"/>
                <w:kern w:val="0"/>
                <w:szCs w:val="24"/>
                <w:lang w:bidi="ar"/>
              </w:rPr>
              <w:t>表4-</w:t>
            </w:r>
            <w:r>
              <w:rPr>
                <w:rFonts w:hint="default" w:ascii="Times New Roman" w:hAnsi="Times New Roman" w:eastAsia="黑体" w:cs="Times New Roman"/>
                <w:b w:val="0"/>
                <w:bCs w:val="0"/>
                <w:color w:val="auto"/>
                <w:kern w:val="0"/>
                <w:szCs w:val="24"/>
                <w:lang w:val="en-US" w:eastAsia="zh-CN" w:bidi="ar"/>
              </w:rPr>
              <w:t>2</w:t>
            </w:r>
            <w:r>
              <w:rPr>
                <w:rFonts w:hint="default" w:ascii="Times New Roman" w:hAnsi="Times New Roman" w:eastAsia="黑体" w:cs="Times New Roman"/>
                <w:b w:val="0"/>
                <w:bCs w:val="0"/>
                <w:color w:val="auto"/>
                <w:kern w:val="0"/>
                <w:szCs w:val="24"/>
                <w:lang w:bidi="ar"/>
              </w:rPr>
              <w:t xml:space="preserve">  建筑施工场界环境噪声排放限值（GB12523-2011）</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24"/>
              <w:gridCol w:w="4063"/>
            </w:tblGrid>
            <w:tr w14:paraId="4372D9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4735" w:type="dxa"/>
                  <w:noWrap w:val="0"/>
                  <w:vAlign w:val="center"/>
                </w:tcPr>
                <w:p w14:paraId="124842C9">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昼间</w:t>
                  </w:r>
                </w:p>
              </w:tc>
              <w:tc>
                <w:tcPr>
                  <w:tcW w:w="4449" w:type="dxa"/>
                  <w:noWrap w:val="0"/>
                  <w:vAlign w:val="center"/>
                </w:tcPr>
                <w:p w14:paraId="4F49800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夜间</w:t>
                  </w:r>
                </w:p>
              </w:tc>
            </w:tr>
            <w:tr w14:paraId="25916F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4735" w:type="dxa"/>
                  <w:noWrap w:val="0"/>
                  <w:vAlign w:val="center"/>
                </w:tcPr>
                <w:p w14:paraId="49EF960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70dB（A）</w:t>
                  </w:r>
                </w:p>
              </w:tc>
              <w:tc>
                <w:tcPr>
                  <w:tcW w:w="4449" w:type="dxa"/>
                  <w:noWrap w:val="0"/>
                  <w:vAlign w:val="center"/>
                </w:tcPr>
                <w:p w14:paraId="1EA8879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55dB（A）</w:t>
                  </w:r>
                </w:p>
              </w:tc>
            </w:tr>
          </w:tbl>
          <w:p w14:paraId="36A7EBB1">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预测模式：</w:t>
            </w:r>
          </w:p>
          <w:p w14:paraId="32DE1B0F">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Ⅰ基准预测点噪声级叠加公式：  </w:t>
            </w:r>
          </w:p>
          <w:p w14:paraId="568F50F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pe</w:t>
            </w:r>
            <w:r>
              <w:rPr>
                <w:rFonts w:hint="default" w:ascii="Times New Roman" w:hAnsi="Times New Roman" w:cs="Times New Roman"/>
                <w:color w:val="auto"/>
                <w:sz w:val="24"/>
              </w:rPr>
              <w:t>=10×lg[</w:t>
            </w:r>
            <w:r>
              <w:rPr>
                <w:rFonts w:hint="default" w:ascii="Times New Roman" w:hAnsi="Times New Roman" w:cs="Times New Roman"/>
                <w:color w:val="auto"/>
                <w:position w:val="-28"/>
                <w:sz w:val="24"/>
              </w:rPr>
              <w:object>
                <v:shape id="_x0000_i1026" o:spt="75" type="#_x0000_t75" style="height:34pt;width:23pt;" o:ole="t" fillcolor="#000011" filled="f" stroked="f" coordsize="21600,21600">
                  <v:path/>
                  <v:fill on="f" focussize="0,0"/>
                  <v:stroke on="f"/>
                  <v:imagedata r:id="rId28" o:title=""/>
                  <o:lock v:ext="edit" grouping="f" rotation="f" text="f" aspectratio="t"/>
                  <w10:wrap type="none"/>
                  <w10:anchorlock/>
                </v:shape>
                <o:OLEObject Type="Embed" ProgID="Equation.3" ShapeID="_x0000_i1026" DrawAspect="Content" ObjectID="_1468075726" r:id="rId27">
                  <o:LockedField>false</o:LockedField>
                </o:OLEObject>
              </w:object>
            </w:r>
            <w:r>
              <w:rPr>
                <w:rFonts w:hint="default" w:ascii="Times New Roman" w:hAnsi="Times New Roman" w:cs="Times New Roman"/>
                <w:color w:val="auto"/>
                <w:position w:val="-6"/>
                <w:sz w:val="24"/>
              </w:rPr>
              <w:object>
                <v:shape id="_x0000_i1027" o:spt="75" type="#_x0000_t75" style="height:23.6pt;width:25.65pt;" o:ole="t" filled="f" o:preferrelative="t" stroked="f" coordsize="21600,21600">
                  <v:path/>
                  <v:fill on="f" focussize="0,0"/>
                  <v:stroke on="f"/>
                  <v:imagedata r:id="rId30" o:title=""/>
                  <o:lock v:ext="edit" aspectratio="t"/>
                  <w10:wrap type="none"/>
                  <w10:anchorlock/>
                </v:shape>
                <o:OLEObject Type="Embed" ProgID="Equation.3" ShapeID="_x0000_i1027" DrawAspect="Content" ObjectID="_1468075727" r:id="rId29">
                  <o:LockedField>false</o:LockedField>
                </o:OLEObject>
              </w:object>
            </w:r>
            <w:r>
              <w:rPr>
                <w:rFonts w:hint="default" w:ascii="Times New Roman" w:hAnsi="Times New Roman" w:cs="Times New Roman"/>
                <w:color w:val="auto"/>
                <w:sz w:val="24"/>
              </w:rPr>
              <w:t>]</w:t>
            </w:r>
          </w:p>
          <w:p w14:paraId="004A6559">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pe</w:t>
            </w:r>
            <w:r>
              <w:rPr>
                <w:rFonts w:hint="default" w:ascii="Times New Roman" w:hAnsi="Times New Roman" w:cs="Times New Roman"/>
                <w:color w:val="auto"/>
                <w:sz w:val="24"/>
              </w:rPr>
              <w:t>—叠加后总声级，dB(A)；</w:t>
            </w:r>
          </w:p>
          <w:p w14:paraId="4009719B">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 xml:space="preserve">      </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pi</w:t>
            </w:r>
            <w:r>
              <w:rPr>
                <w:rFonts w:hint="default" w:ascii="Times New Roman" w:hAnsi="Times New Roman" w:cs="Times New Roman"/>
                <w:color w:val="auto"/>
                <w:sz w:val="24"/>
              </w:rPr>
              <w:t>—i声源至基准预测点的声级，dB(A)；</w:t>
            </w:r>
          </w:p>
          <w:p w14:paraId="29EF2DCA">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n—噪声源数目。</w:t>
            </w:r>
          </w:p>
          <w:p w14:paraId="07C98F6B">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用上述公式计算出各噪声源点至基准预测点的总声压级，然后以基准预测点的噪声强度为工程噪声源强。 </w:t>
            </w:r>
          </w:p>
          <w:p w14:paraId="3D8DADEF">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Ⅱ噪声源至某一预测点的计算公式</w:t>
            </w:r>
          </w:p>
          <w:p w14:paraId="798B456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-20×lg(</w:t>
            </w:r>
            <w:r>
              <w:rPr>
                <w:rFonts w:hint="default" w:ascii="Times New Roman" w:hAnsi="Times New Roman" w:cs="Times New Roman"/>
                <w:color w:val="auto"/>
                <w:position w:val="-30"/>
                <w:sz w:val="24"/>
              </w:rPr>
              <w:object>
                <v:shape id="_x0000_i1028" o:spt="75" type="#_x0000_t75" style="height:34pt;width:13.95pt;" o:ole="t" fillcolor="#000011" filled="f" stroked="f" coordsize="21600,21600">
                  <v:path/>
                  <v:fill on="f" focussize="0,0"/>
                  <v:stroke on="f"/>
                  <v:imagedata r:id="rId32" o:title=""/>
                  <o:lock v:ext="edit" grouping="f" rotation="f" text="f" aspectratio="t"/>
                  <w10:wrap type="none"/>
                  <w10:anchorlock/>
                </v:shape>
                <o:OLEObject Type="Embed" ProgID="Equation.3" ShapeID="_x0000_i1028" DrawAspect="Content" ObjectID="_1468075728" r:id="rId31">
                  <o:LockedField>false</o:LockedField>
                </o:OLEObject>
              </w:object>
            </w:r>
            <w:r>
              <w:rPr>
                <w:rFonts w:hint="default" w:ascii="Times New Roman" w:hAnsi="Times New Roman" w:cs="Times New Roman"/>
                <w:color w:val="auto"/>
                <w:sz w:val="24"/>
              </w:rPr>
              <w:t>)-α×(r-r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w:t>
            </w:r>
          </w:p>
          <w:p w14:paraId="56709690">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——距离基准声源rm处的声压级，dB(A)；</w:t>
            </w:r>
          </w:p>
          <w:p w14:paraId="5A9F04D7">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L</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——距离声源为r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m处的声压级，dB(A)；</w:t>
            </w:r>
          </w:p>
          <w:p w14:paraId="4B117DAD">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α——衰减常数dB(A)/m；</w:t>
            </w:r>
          </w:p>
          <w:p w14:paraId="164E73FD">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r——预测点距声源的距离，m。</w:t>
            </w:r>
          </w:p>
          <w:p w14:paraId="1991CF83">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eastAsia="黑体" w:cs="Times New Roman"/>
                <w:b/>
                <w:bCs/>
                <w:color w:val="auto"/>
                <w:kern w:val="0"/>
                <w:lang w:bidi="ar"/>
              </w:rPr>
            </w:pPr>
            <w:r>
              <w:rPr>
                <w:rFonts w:hint="default" w:ascii="Times New Roman" w:hAnsi="Times New Roman" w:cs="Times New Roman"/>
                <w:color w:val="auto"/>
                <w:sz w:val="24"/>
              </w:rPr>
              <w:t>由此式可计算出噪声值随距离衰减的情况。</w:t>
            </w:r>
          </w:p>
          <w:p w14:paraId="1A461442">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eastAsia="黑体" w:cs="Times New Roman"/>
                <w:b w:val="0"/>
                <w:bCs w:val="0"/>
                <w:color w:val="auto"/>
                <w:kern w:val="0"/>
                <w:szCs w:val="24"/>
                <w:lang w:bidi="ar"/>
              </w:rPr>
              <w:t>表4-</w:t>
            </w:r>
            <w:r>
              <w:rPr>
                <w:rFonts w:hint="default" w:ascii="Times New Roman" w:hAnsi="Times New Roman" w:eastAsia="黑体" w:cs="Times New Roman"/>
                <w:b w:val="0"/>
                <w:bCs w:val="0"/>
                <w:color w:val="auto"/>
                <w:kern w:val="0"/>
                <w:szCs w:val="24"/>
                <w:lang w:val="en-US" w:eastAsia="zh-CN" w:bidi="ar"/>
              </w:rPr>
              <w:t>3</w:t>
            </w:r>
            <w:r>
              <w:rPr>
                <w:rFonts w:hint="default" w:ascii="Times New Roman" w:hAnsi="Times New Roman" w:eastAsia="黑体" w:cs="Times New Roman"/>
                <w:b w:val="0"/>
                <w:bCs w:val="0"/>
                <w:color w:val="auto"/>
                <w:kern w:val="0"/>
                <w:szCs w:val="24"/>
                <w:lang w:bidi="ar"/>
              </w:rPr>
              <w:t xml:space="preserve">  挖掘机在不同距离处的噪声值  单位：dB（A）</w:t>
            </w:r>
          </w:p>
          <w:tbl>
            <w:tblPr>
              <w:tblStyle w:val="25"/>
              <w:tblW w:w="5000" w:type="pct"/>
              <w:jc w:val="center"/>
              <w:tblBorders>
                <w:top w:val="single" w:color="000007" w:sz="12" w:space="0"/>
                <w:left w:val="single" w:color="000007" w:sz="12" w:space="0"/>
                <w:bottom w:val="single" w:color="000007" w:sz="12" w:space="0"/>
                <w:right w:val="single" w:color="000007" w:sz="12" w:space="0"/>
                <w:insideH w:val="single" w:color="000007" w:sz="4" w:space="0"/>
                <w:insideV w:val="single" w:color="000007" w:sz="4" w:space="0"/>
              </w:tblBorders>
              <w:tblLayout w:type="fixed"/>
              <w:tblCellMar>
                <w:top w:w="0" w:type="dxa"/>
                <w:left w:w="0" w:type="dxa"/>
                <w:bottom w:w="0" w:type="dxa"/>
                <w:right w:w="0" w:type="dxa"/>
              </w:tblCellMar>
            </w:tblPr>
            <w:tblGrid>
              <w:gridCol w:w="548"/>
              <w:gridCol w:w="1277"/>
              <w:gridCol w:w="819"/>
              <w:gridCol w:w="506"/>
              <w:gridCol w:w="614"/>
              <w:gridCol w:w="614"/>
              <w:gridCol w:w="614"/>
              <w:gridCol w:w="614"/>
              <w:gridCol w:w="614"/>
              <w:gridCol w:w="725"/>
              <w:gridCol w:w="724"/>
              <w:gridCol w:w="719"/>
            </w:tblGrid>
            <w:tr w14:paraId="4923418C">
              <w:tblPrEx>
                <w:tblBorders>
                  <w:top w:val="single" w:color="000007" w:sz="12" w:space="0"/>
                  <w:left w:val="single" w:color="000007" w:sz="12" w:space="0"/>
                  <w:bottom w:val="single" w:color="000007" w:sz="12" w:space="0"/>
                  <w:right w:val="single" w:color="000007" w:sz="12" w:space="0"/>
                  <w:insideH w:val="single" w:color="000007" w:sz="4" w:space="0"/>
                  <w:insideV w:val="single" w:color="000007" w:sz="4" w:space="0"/>
                </w:tblBorders>
                <w:tblCellMar>
                  <w:top w:w="0" w:type="dxa"/>
                  <w:left w:w="0" w:type="dxa"/>
                  <w:bottom w:w="0" w:type="dxa"/>
                  <w:right w:w="0" w:type="dxa"/>
                </w:tblCellMar>
              </w:tblPrEx>
              <w:trPr>
                <w:trHeight w:val="340" w:hRule="atLeast"/>
                <w:jc w:val="center"/>
              </w:trPr>
              <w:tc>
                <w:tcPr>
                  <w:tcW w:w="519" w:type="dxa"/>
                  <w:vMerge w:val="restart"/>
                  <w:noWrap w:val="0"/>
                  <w:vAlign w:val="center"/>
                </w:tcPr>
                <w:p w14:paraId="4E118E14">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208" w:type="dxa"/>
                  <w:vMerge w:val="restart"/>
                  <w:noWrap w:val="0"/>
                  <w:vAlign w:val="center"/>
                </w:tcPr>
                <w:p w14:paraId="77254F73">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774" w:type="dxa"/>
                  <w:vMerge w:val="restart"/>
                  <w:noWrap w:val="0"/>
                  <w:vAlign w:val="center"/>
                </w:tcPr>
                <w:p w14:paraId="50E6555A">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声功率级</w:t>
                  </w:r>
                </w:p>
              </w:tc>
              <w:tc>
                <w:tcPr>
                  <w:tcW w:w="5436" w:type="dxa"/>
                  <w:gridSpan w:val="9"/>
                  <w:noWrap w:val="0"/>
                  <w:vAlign w:val="center"/>
                </w:tcPr>
                <w:p w14:paraId="119A06B1">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不同距离处的噪声值</w:t>
                  </w:r>
                </w:p>
              </w:tc>
            </w:tr>
            <w:tr w14:paraId="1D93174F">
              <w:tblPrEx>
                <w:tblBorders>
                  <w:top w:val="single" w:color="000007" w:sz="12" w:space="0"/>
                  <w:left w:val="single" w:color="000007" w:sz="12" w:space="0"/>
                  <w:bottom w:val="single" w:color="000007" w:sz="12" w:space="0"/>
                  <w:right w:val="single" w:color="000007" w:sz="12" w:space="0"/>
                  <w:insideH w:val="single" w:color="000007" w:sz="4" w:space="0"/>
                  <w:insideV w:val="single" w:color="000007" w:sz="4" w:space="0"/>
                </w:tblBorders>
                <w:tblCellMar>
                  <w:top w:w="0" w:type="dxa"/>
                  <w:left w:w="0" w:type="dxa"/>
                  <w:bottom w:w="0" w:type="dxa"/>
                  <w:right w:w="0" w:type="dxa"/>
                </w:tblCellMar>
              </w:tblPrEx>
              <w:trPr>
                <w:trHeight w:val="340" w:hRule="atLeast"/>
                <w:jc w:val="center"/>
              </w:trPr>
              <w:tc>
                <w:tcPr>
                  <w:tcW w:w="519" w:type="dxa"/>
                  <w:vMerge w:val="continue"/>
                  <w:noWrap w:val="0"/>
                  <w:vAlign w:val="center"/>
                </w:tcPr>
                <w:p w14:paraId="23CC3DC6">
                  <w:pPr>
                    <w:adjustRightInd w:val="0"/>
                    <w:snapToGrid w:val="0"/>
                    <w:jc w:val="center"/>
                    <w:rPr>
                      <w:rFonts w:hint="default" w:ascii="Times New Roman" w:hAnsi="Times New Roman" w:cs="Times New Roman"/>
                      <w:b/>
                      <w:bCs/>
                      <w:color w:val="auto"/>
                      <w:szCs w:val="21"/>
                    </w:rPr>
                  </w:pPr>
                </w:p>
              </w:tc>
              <w:tc>
                <w:tcPr>
                  <w:tcW w:w="1208" w:type="dxa"/>
                  <w:vMerge w:val="continue"/>
                  <w:noWrap w:val="0"/>
                  <w:vAlign w:val="center"/>
                </w:tcPr>
                <w:p w14:paraId="07ECC481">
                  <w:pPr>
                    <w:adjustRightInd w:val="0"/>
                    <w:snapToGrid w:val="0"/>
                    <w:jc w:val="center"/>
                    <w:rPr>
                      <w:rFonts w:hint="default" w:ascii="Times New Roman" w:hAnsi="Times New Roman" w:cs="Times New Roman"/>
                      <w:b/>
                      <w:bCs/>
                      <w:color w:val="auto"/>
                      <w:szCs w:val="21"/>
                    </w:rPr>
                  </w:pPr>
                </w:p>
              </w:tc>
              <w:tc>
                <w:tcPr>
                  <w:tcW w:w="774" w:type="dxa"/>
                  <w:vMerge w:val="continue"/>
                  <w:noWrap w:val="0"/>
                  <w:vAlign w:val="center"/>
                </w:tcPr>
                <w:p w14:paraId="4CEE7593">
                  <w:pPr>
                    <w:adjustRightInd w:val="0"/>
                    <w:snapToGrid w:val="0"/>
                    <w:jc w:val="center"/>
                    <w:rPr>
                      <w:rFonts w:hint="default" w:ascii="Times New Roman" w:hAnsi="Times New Roman" w:cs="Times New Roman"/>
                      <w:b/>
                      <w:bCs/>
                      <w:color w:val="auto"/>
                      <w:szCs w:val="21"/>
                    </w:rPr>
                  </w:pPr>
                </w:p>
              </w:tc>
              <w:tc>
                <w:tcPr>
                  <w:tcW w:w="479" w:type="dxa"/>
                  <w:noWrap w:val="0"/>
                  <w:vAlign w:val="center"/>
                </w:tcPr>
                <w:p w14:paraId="0642354A">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5m</w:t>
                  </w:r>
                </w:p>
              </w:tc>
              <w:tc>
                <w:tcPr>
                  <w:tcW w:w="581" w:type="dxa"/>
                  <w:noWrap w:val="0"/>
                  <w:vAlign w:val="center"/>
                </w:tcPr>
                <w:p w14:paraId="1887B99F">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10m</w:t>
                  </w:r>
                </w:p>
              </w:tc>
              <w:tc>
                <w:tcPr>
                  <w:tcW w:w="581" w:type="dxa"/>
                  <w:noWrap w:val="0"/>
                  <w:vAlign w:val="center"/>
                </w:tcPr>
                <w:p w14:paraId="1BA6FA65">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20m</w:t>
                  </w:r>
                </w:p>
              </w:tc>
              <w:tc>
                <w:tcPr>
                  <w:tcW w:w="581" w:type="dxa"/>
                  <w:noWrap w:val="0"/>
                  <w:vAlign w:val="center"/>
                </w:tcPr>
                <w:p w14:paraId="41946EF8">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40m</w:t>
                  </w:r>
                </w:p>
              </w:tc>
              <w:tc>
                <w:tcPr>
                  <w:tcW w:w="581" w:type="dxa"/>
                  <w:noWrap w:val="0"/>
                  <w:vAlign w:val="center"/>
                </w:tcPr>
                <w:p w14:paraId="0DC11A4B">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60m</w:t>
                  </w:r>
                </w:p>
              </w:tc>
              <w:tc>
                <w:tcPr>
                  <w:tcW w:w="581" w:type="dxa"/>
                  <w:noWrap w:val="0"/>
                  <w:vAlign w:val="center"/>
                </w:tcPr>
                <w:p w14:paraId="7CDCE1C0">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80m</w:t>
                  </w:r>
                </w:p>
              </w:tc>
              <w:tc>
                <w:tcPr>
                  <w:tcW w:w="686" w:type="dxa"/>
                  <w:noWrap w:val="0"/>
                  <w:vAlign w:val="center"/>
                </w:tcPr>
                <w:p w14:paraId="36662747">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100m</w:t>
                  </w:r>
                </w:p>
              </w:tc>
              <w:tc>
                <w:tcPr>
                  <w:tcW w:w="685" w:type="dxa"/>
                  <w:noWrap w:val="0"/>
                  <w:vAlign w:val="center"/>
                </w:tcPr>
                <w:p w14:paraId="6062A824">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150m</w:t>
                  </w:r>
                </w:p>
              </w:tc>
              <w:tc>
                <w:tcPr>
                  <w:tcW w:w="681" w:type="dxa"/>
                  <w:noWrap w:val="0"/>
                  <w:vAlign w:val="center"/>
                </w:tcPr>
                <w:p w14:paraId="5EB5F4C3">
                  <w:pPr>
                    <w:pStyle w:val="45"/>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200m</w:t>
                  </w:r>
                </w:p>
              </w:tc>
            </w:tr>
            <w:tr w14:paraId="37D19B5F">
              <w:tblPrEx>
                <w:tblBorders>
                  <w:top w:val="single" w:color="000007" w:sz="12" w:space="0"/>
                  <w:left w:val="single" w:color="000007" w:sz="12" w:space="0"/>
                  <w:bottom w:val="single" w:color="000007" w:sz="12" w:space="0"/>
                  <w:right w:val="single" w:color="000007" w:sz="12" w:space="0"/>
                  <w:insideH w:val="single" w:color="000007" w:sz="4" w:space="0"/>
                  <w:insideV w:val="single" w:color="000007" w:sz="4" w:space="0"/>
                </w:tblBorders>
                <w:tblCellMar>
                  <w:top w:w="0" w:type="dxa"/>
                  <w:left w:w="0" w:type="dxa"/>
                  <w:bottom w:w="0" w:type="dxa"/>
                  <w:right w:w="0" w:type="dxa"/>
                </w:tblCellMar>
              </w:tblPrEx>
              <w:trPr>
                <w:trHeight w:val="340" w:hRule="atLeast"/>
                <w:jc w:val="center"/>
              </w:trPr>
              <w:tc>
                <w:tcPr>
                  <w:tcW w:w="519" w:type="dxa"/>
                  <w:noWrap w:val="0"/>
                  <w:vAlign w:val="center"/>
                </w:tcPr>
                <w:p w14:paraId="26EAB3C9">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208" w:type="dxa"/>
                  <w:noWrap w:val="0"/>
                  <w:vAlign w:val="center"/>
                </w:tcPr>
                <w:p w14:paraId="47BCBF4B">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推土机</w:t>
                  </w:r>
                </w:p>
              </w:tc>
              <w:tc>
                <w:tcPr>
                  <w:tcW w:w="774" w:type="dxa"/>
                  <w:noWrap w:val="0"/>
                  <w:vAlign w:val="center"/>
                </w:tcPr>
                <w:p w14:paraId="6FB23B5A">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95</w:t>
                  </w:r>
                </w:p>
              </w:tc>
              <w:tc>
                <w:tcPr>
                  <w:tcW w:w="479" w:type="dxa"/>
                  <w:noWrap w:val="0"/>
                  <w:vAlign w:val="center"/>
                </w:tcPr>
                <w:p w14:paraId="53F60665">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81</w:t>
                  </w:r>
                </w:p>
              </w:tc>
              <w:tc>
                <w:tcPr>
                  <w:tcW w:w="581" w:type="dxa"/>
                  <w:noWrap w:val="0"/>
                  <w:vAlign w:val="center"/>
                </w:tcPr>
                <w:p w14:paraId="4355F19C">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75</w:t>
                  </w:r>
                </w:p>
              </w:tc>
              <w:tc>
                <w:tcPr>
                  <w:tcW w:w="581" w:type="dxa"/>
                  <w:noWrap w:val="0"/>
                  <w:vAlign w:val="center"/>
                </w:tcPr>
                <w:p w14:paraId="28931FB2">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c>
                <w:tcPr>
                  <w:tcW w:w="581" w:type="dxa"/>
                  <w:noWrap w:val="0"/>
                  <w:vAlign w:val="center"/>
                </w:tcPr>
                <w:p w14:paraId="40A31E1C">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63</w:t>
                  </w:r>
                </w:p>
              </w:tc>
              <w:tc>
                <w:tcPr>
                  <w:tcW w:w="581" w:type="dxa"/>
                  <w:noWrap w:val="0"/>
                  <w:vAlign w:val="center"/>
                </w:tcPr>
                <w:p w14:paraId="283DFFAC">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59</w:t>
                  </w:r>
                </w:p>
              </w:tc>
              <w:tc>
                <w:tcPr>
                  <w:tcW w:w="581" w:type="dxa"/>
                  <w:noWrap w:val="0"/>
                  <w:vAlign w:val="center"/>
                </w:tcPr>
                <w:p w14:paraId="466EB866">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57</w:t>
                  </w:r>
                </w:p>
              </w:tc>
              <w:tc>
                <w:tcPr>
                  <w:tcW w:w="686" w:type="dxa"/>
                  <w:noWrap w:val="0"/>
                  <w:vAlign w:val="center"/>
                </w:tcPr>
                <w:p w14:paraId="2FA3BF5E">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c>
                <w:tcPr>
                  <w:tcW w:w="685" w:type="dxa"/>
                  <w:noWrap w:val="0"/>
                  <w:vAlign w:val="center"/>
                </w:tcPr>
                <w:p w14:paraId="69C9AA31">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51</w:t>
                  </w:r>
                </w:p>
              </w:tc>
              <w:tc>
                <w:tcPr>
                  <w:tcW w:w="681" w:type="dxa"/>
                  <w:noWrap w:val="0"/>
                  <w:vAlign w:val="center"/>
                </w:tcPr>
                <w:p w14:paraId="53657287">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49</w:t>
                  </w:r>
                </w:p>
              </w:tc>
            </w:tr>
            <w:tr w14:paraId="5AF501EF">
              <w:tblPrEx>
                <w:tblBorders>
                  <w:top w:val="single" w:color="000007" w:sz="12" w:space="0"/>
                  <w:left w:val="single" w:color="000007" w:sz="12" w:space="0"/>
                  <w:bottom w:val="single" w:color="000007" w:sz="12" w:space="0"/>
                  <w:right w:val="single" w:color="000007" w:sz="12" w:space="0"/>
                  <w:insideH w:val="single" w:color="000007" w:sz="4" w:space="0"/>
                  <w:insideV w:val="single" w:color="000007" w:sz="4" w:space="0"/>
                </w:tblBorders>
                <w:tblCellMar>
                  <w:top w:w="0" w:type="dxa"/>
                  <w:left w:w="0" w:type="dxa"/>
                  <w:bottom w:w="0" w:type="dxa"/>
                  <w:right w:w="0" w:type="dxa"/>
                </w:tblCellMar>
              </w:tblPrEx>
              <w:trPr>
                <w:trHeight w:val="340" w:hRule="atLeast"/>
                <w:jc w:val="center"/>
              </w:trPr>
              <w:tc>
                <w:tcPr>
                  <w:tcW w:w="519" w:type="dxa"/>
                  <w:noWrap w:val="0"/>
                  <w:vAlign w:val="center"/>
                </w:tcPr>
                <w:p w14:paraId="74C9FC66">
                  <w:pPr>
                    <w:pStyle w:val="45"/>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2</w:t>
                  </w:r>
                </w:p>
              </w:tc>
              <w:tc>
                <w:tcPr>
                  <w:tcW w:w="1208" w:type="dxa"/>
                  <w:noWrap w:val="0"/>
                  <w:vAlign w:val="center"/>
                </w:tcPr>
                <w:p w14:paraId="2AD00884">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挖掘机</w:t>
                  </w:r>
                </w:p>
              </w:tc>
              <w:tc>
                <w:tcPr>
                  <w:tcW w:w="774" w:type="dxa"/>
                  <w:noWrap w:val="0"/>
                  <w:vAlign w:val="center"/>
                </w:tcPr>
                <w:p w14:paraId="099CB7E6">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96</w:t>
                  </w:r>
                </w:p>
              </w:tc>
              <w:tc>
                <w:tcPr>
                  <w:tcW w:w="479" w:type="dxa"/>
                  <w:noWrap w:val="0"/>
                  <w:vAlign w:val="center"/>
                </w:tcPr>
                <w:p w14:paraId="5A9DAC85">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82</w:t>
                  </w:r>
                </w:p>
              </w:tc>
              <w:tc>
                <w:tcPr>
                  <w:tcW w:w="581" w:type="dxa"/>
                  <w:noWrap w:val="0"/>
                  <w:vAlign w:val="center"/>
                </w:tcPr>
                <w:p w14:paraId="3D985E5C">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76</w:t>
                  </w:r>
                </w:p>
              </w:tc>
              <w:tc>
                <w:tcPr>
                  <w:tcW w:w="581" w:type="dxa"/>
                  <w:noWrap w:val="0"/>
                  <w:vAlign w:val="center"/>
                </w:tcPr>
                <w:p w14:paraId="678EFF62">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581" w:type="dxa"/>
                  <w:noWrap w:val="0"/>
                  <w:vAlign w:val="center"/>
                </w:tcPr>
                <w:p w14:paraId="4489D393">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64</w:t>
                  </w:r>
                </w:p>
              </w:tc>
              <w:tc>
                <w:tcPr>
                  <w:tcW w:w="581" w:type="dxa"/>
                  <w:noWrap w:val="0"/>
                  <w:vAlign w:val="center"/>
                </w:tcPr>
                <w:p w14:paraId="4CE03E89">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581" w:type="dxa"/>
                  <w:noWrap w:val="0"/>
                  <w:vAlign w:val="center"/>
                </w:tcPr>
                <w:p w14:paraId="37541579">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58</w:t>
                  </w:r>
                </w:p>
              </w:tc>
              <w:tc>
                <w:tcPr>
                  <w:tcW w:w="686" w:type="dxa"/>
                  <w:noWrap w:val="0"/>
                  <w:vAlign w:val="center"/>
                </w:tcPr>
                <w:p w14:paraId="58C0A396">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56</w:t>
                  </w:r>
                </w:p>
              </w:tc>
              <w:tc>
                <w:tcPr>
                  <w:tcW w:w="685" w:type="dxa"/>
                  <w:noWrap w:val="0"/>
                  <w:vAlign w:val="center"/>
                </w:tcPr>
                <w:p w14:paraId="636F9CEF">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52</w:t>
                  </w:r>
                </w:p>
              </w:tc>
              <w:tc>
                <w:tcPr>
                  <w:tcW w:w="681" w:type="dxa"/>
                  <w:noWrap w:val="0"/>
                  <w:vAlign w:val="center"/>
                </w:tcPr>
                <w:p w14:paraId="48CCAF69">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r>
            <w:tr w14:paraId="320DF8E1">
              <w:tblPrEx>
                <w:tblBorders>
                  <w:top w:val="single" w:color="000007" w:sz="12" w:space="0"/>
                  <w:left w:val="single" w:color="000007" w:sz="12" w:space="0"/>
                  <w:bottom w:val="single" w:color="000007" w:sz="12" w:space="0"/>
                  <w:right w:val="single" w:color="000007" w:sz="12" w:space="0"/>
                  <w:insideH w:val="single" w:color="000007" w:sz="4" w:space="0"/>
                  <w:insideV w:val="single" w:color="000007" w:sz="4" w:space="0"/>
                </w:tblBorders>
                <w:tblCellMar>
                  <w:top w:w="0" w:type="dxa"/>
                  <w:left w:w="0" w:type="dxa"/>
                  <w:bottom w:w="0" w:type="dxa"/>
                  <w:right w:w="0" w:type="dxa"/>
                </w:tblCellMar>
              </w:tblPrEx>
              <w:trPr>
                <w:trHeight w:val="340" w:hRule="atLeast"/>
                <w:jc w:val="center"/>
              </w:trPr>
              <w:tc>
                <w:tcPr>
                  <w:tcW w:w="519" w:type="dxa"/>
                  <w:noWrap w:val="0"/>
                  <w:vAlign w:val="center"/>
                </w:tcPr>
                <w:p w14:paraId="47CA798E">
                  <w:pPr>
                    <w:pStyle w:val="45"/>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3</w:t>
                  </w:r>
                </w:p>
              </w:tc>
              <w:tc>
                <w:tcPr>
                  <w:tcW w:w="1208" w:type="dxa"/>
                  <w:noWrap w:val="0"/>
                  <w:vAlign w:val="center"/>
                </w:tcPr>
                <w:p w14:paraId="422F435A">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卡车</w:t>
                  </w:r>
                </w:p>
              </w:tc>
              <w:tc>
                <w:tcPr>
                  <w:tcW w:w="774" w:type="dxa"/>
                  <w:noWrap w:val="0"/>
                  <w:vAlign w:val="center"/>
                </w:tcPr>
                <w:p w14:paraId="4E2B61B0">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85</w:t>
                  </w:r>
                </w:p>
              </w:tc>
              <w:tc>
                <w:tcPr>
                  <w:tcW w:w="479" w:type="dxa"/>
                  <w:noWrap w:val="0"/>
                  <w:vAlign w:val="center"/>
                </w:tcPr>
                <w:p w14:paraId="54B51DFD">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w:t>
                  </w:r>
                </w:p>
              </w:tc>
              <w:tc>
                <w:tcPr>
                  <w:tcW w:w="581" w:type="dxa"/>
                  <w:noWrap w:val="0"/>
                  <w:vAlign w:val="center"/>
                </w:tcPr>
                <w:p w14:paraId="4240E69E">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581" w:type="dxa"/>
                  <w:noWrap w:val="0"/>
                  <w:vAlign w:val="center"/>
                </w:tcPr>
                <w:p w14:paraId="4E266E67">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59</w:t>
                  </w:r>
                </w:p>
              </w:tc>
              <w:tc>
                <w:tcPr>
                  <w:tcW w:w="581" w:type="dxa"/>
                  <w:noWrap w:val="0"/>
                  <w:vAlign w:val="center"/>
                </w:tcPr>
                <w:p w14:paraId="31BCE274">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53</w:t>
                  </w:r>
                </w:p>
              </w:tc>
              <w:tc>
                <w:tcPr>
                  <w:tcW w:w="581" w:type="dxa"/>
                  <w:noWrap w:val="0"/>
                  <w:vAlign w:val="center"/>
                </w:tcPr>
                <w:p w14:paraId="3DC403F5">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49</w:t>
                  </w:r>
                </w:p>
              </w:tc>
              <w:tc>
                <w:tcPr>
                  <w:tcW w:w="581" w:type="dxa"/>
                  <w:noWrap w:val="0"/>
                  <w:vAlign w:val="center"/>
                </w:tcPr>
                <w:p w14:paraId="0A696D50">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47</w:t>
                  </w:r>
                </w:p>
              </w:tc>
              <w:tc>
                <w:tcPr>
                  <w:tcW w:w="686" w:type="dxa"/>
                  <w:noWrap w:val="0"/>
                  <w:vAlign w:val="center"/>
                </w:tcPr>
                <w:p w14:paraId="31C96C38">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w:t>
                  </w:r>
                </w:p>
              </w:tc>
              <w:tc>
                <w:tcPr>
                  <w:tcW w:w="685" w:type="dxa"/>
                  <w:noWrap w:val="0"/>
                  <w:vAlign w:val="center"/>
                </w:tcPr>
                <w:p w14:paraId="6DFB85C8">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41</w:t>
                  </w:r>
                </w:p>
              </w:tc>
              <w:tc>
                <w:tcPr>
                  <w:tcW w:w="681" w:type="dxa"/>
                  <w:noWrap w:val="0"/>
                  <w:vAlign w:val="center"/>
                </w:tcPr>
                <w:p w14:paraId="2A803C5A">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39</w:t>
                  </w:r>
                </w:p>
              </w:tc>
            </w:tr>
            <w:tr w14:paraId="71529F18">
              <w:tblPrEx>
                <w:tblBorders>
                  <w:top w:val="single" w:color="000007" w:sz="12" w:space="0"/>
                  <w:left w:val="single" w:color="000007" w:sz="12" w:space="0"/>
                  <w:bottom w:val="single" w:color="000007" w:sz="12" w:space="0"/>
                  <w:right w:val="single" w:color="000007" w:sz="12" w:space="0"/>
                  <w:insideH w:val="single" w:color="000007" w:sz="4" w:space="0"/>
                  <w:insideV w:val="single" w:color="000007" w:sz="4" w:space="0"/>
                </w:tblBorders>
                <w:tblCellMar>
                  <w:top w:w="0" w:type="dxa"/>
                  <w:left w:w="0" w:type="dxa"/>
                  <w:bottom w:w="0" w:type="dxa"/>
                  <w:right w:w="0" w:type="dxa"/>
                </w:tblCellMar>
              </w:tblPrEx>
              <w:trPr>
                <w:trHeight w:val="340" w:hRule="atLeast"/>
                <w:jc w:val="center"/>
              </w:trPr>
              <w:tc>
                <w:tcPr>
                  <w:tcW w:w="519" w:type="dxa"/>
                  <w:noWrap w:val="0"/>
                  <w:vAlign w:val="center"/>
                </w:tcPr>
                <w:p w14:paraId="75B01BFB">
                  <w:pPr>
                    <w:pStyle w:val="45"/>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4</w:t>
                  </w:r>
                </w:p>
              </w:tc>
              <w:tc>
                <w:tcPr>
                  <w:tcW w:w="1208" w:type="dxa"/>
                  <w:noWrap w:val="0"/>
                  <w:vAlign w:val="center"/>
                </w:tcPr>
                <w:p w14:paraId="442C5F3D">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起重机</w:t>
                  </w:r>
                </w:p>
              </w:tc>
              <w:tc>
                <w:tcPr>
                  <w:tcW w:w="774" w:type="dxa"/>
                  <w:noWrap w:val="0"/>
                  <w:vAlign w:val="center"/>
                </w:tcPr>
                <w:p w14:paraId="77A06FD4">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103</w:t>
                  </w:r>
                </w:p>
              </w:tc>
              <w:tc>
                <w:tcPr>
                  <w:tcW w:w="479" w:type="dxa"/>
                  <w:noWrap w:val="0"/>
                  <w:vAlign w:val="center"/>
                </w:tcPr>
                <w:p w14:paraId="11862AD1">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89</w:t>
                  </w:r>
                </w:p>
              </w:tc>
              <w:tc>
                <w:tcPr>
                  <w:tcW w:w="581" w:type="dxa"/>
                  <w:noWrap w:val="0"/>
                  <w:vAlign w:val="center"/>
                </w:tcPr>
                <w:p w14:paraId="2921761B">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83</w:t>
                  </w:r>
                </w:p>
              </w:tc>
              <w:tc>
                <w:tcPr>
                  <w:tcW w:w="581" w:type="dxa"/>
                  <w:noWrap w:val="0"/>
                  <w:vAlign w:val="center"/>
                </w:tcPr>
                <w:p w14:paraId="6130C871">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77</w:t>
                  </w:r>
                </w:p>
              </w:tc>
              <w:tc>
                <w:tcPr>
                  <w:tcW w:w="581" w:type="dxa"/>
                  <w:noWrap w:val="0"/>
                  <w:vAlign w:val="center"/>
                </w:tcPr>
                <w:p w14:paraId="066B592C">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w:t>
                  </w:r>
                </w:p>
              </w:tc>
              <w:tc>
                <w:tcPr>
                  <w:tcW w:w="581" w:type="dxa"/>
                  <w:noWrap w:val="0"/>
                  <w:vAlign w:val="center"/>
                </w:tcPr>
                <w:p w14:paraId="384777CC">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67</w:t>
                  </w:r>
                </w:p>
              </w:tc>
              <w:tc>
                <w:tcPr>
                  <w:tcW w:w="581" w:type="dxa"/>
                  <w:noWrap w:val="0"/>
                  <w:vAlign w:val="center"/>
                </w:tcPr>
                <w:p w14:paraId="13A8409B">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686" w:type="dxa"/>
                  <w:noWrap w:val="0"/>
                  <w:vAlign w:val="center"/>
                </w:tcPr>
                <w:p w14:paraId="007F66CD">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63</w:t>
                  </w:r>
                </w:p>
              </w:tc>
              <w:tc>
                <w:tcPr>
                  <w:tcW w:w="685" w:type="dxa"/>
                  <w:noWrap w:val="0"/>
                  <w:vAlign w:val="center"/>
                </w:tcPr>
                <w:p w14:paraId="5A18583E">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59</w:t>
                  </w:r>
                </w:p>
              </w:tc>
              <w:tc>
                <w:tcPr>
                  <w:tcW w:w="681" w:type="dxa"/>
                  <w:noWrap w:val="0"/>
                  <w:vAlign w:val="center"/>
                </w:tcPr>
                <w:p w14:paraId="61B83EC3">
                  <w:pPr>
                    <w:pStyle w:val="45"/>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57</w:t>
                  </w:r>
                </w:p>
              </w:tc>
            </w:tr>
          </w:tbl>
          <w:p w14:paraId="45370F45">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eastAsia="宋体" w:cs="Times New Roman"/>
                <w:b w:val="0"/>
                <w:bCs/>
                <w:snapToGrid w:val="0"/>
                <w:color w:val="auto"/>
                <w:sz w:val="24"/>
                <w:lang w:eastAsia="zh-CN"/>
              </w:rPr>
            </w:pPr>
            <w:r>
              <w:rPr>
                <w:rFonts w:hint="default" w:ascii="Times New Roman" w:hAnsi="Times New Roman" w:cs="Times New Roman"/>
                <w:b w:val="0"/>
                <w:bCs/>
                <w:snapToGrid w:val="0"/>
                <w:color w:val="auto"/>
                <w:sz w:val="24"/>
              </w:rPr>
              <w:t>预测结果和分析</w:t>
            </w:r>
            <w:r>
              <w:rPr>
                <w:rFonts w:hint="default" w:ascii="Times New Roman" w:hAnsi="Times New Roman" w:cs="Times New Roman"/>
                <w:b w:val="0"/>
                <w:bCs/>
                <w:snapToGrid w:val="0"/>
                <w:color w:val="auto"/>
                <w:sz w:val="24"/>
                <w:lang w:eastAsia="zh-CN"/>
              </w:rPr>
              <w:t>：</w:t>
            </w:r>
          </w:p>
          <w:p w14:paraId="2BE42862">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由表4-</w:t>
            </w:r>
            <w:r>
              <w:rPr>
                <w:rFonts w:hint="default" w:ascii="Times New Roman" w:hAnsi="Times New Roman" w:cs="Times New Roman"/>
                <w:snapToGrid w:val="0"/>
                <w:color w:val="auto"/>
                <w:sz w:val="24"/>
                <w:lang w:val="en-US" w:eastAsia="zh-CN"/>
              </w:rPr>
              <w:t>3</w:t>
            </w:r>
            <w:r>
              <w:rPr>
                <w:rFonts w:hint="default" w:ascii="Times New Roman" w:hAnsi="Times New Roman" w:cs="Times New Roman"/>
                <w:snapToGrid w:val="0"/>
                <w:color w:val="auto"/>
                <w:sz w:val="24"/>
              </w:rPr>
              <w:t>的预测结果可以看出，昼间施工机械在距离施工边界20m范围内施工，边界噪声将超标；建设单位通过合理安排施工机械设备的位置，将固定式高噪声设备设置在操作间内，并对高噪声设备采取减振、隔音、选择合理施工时间等措施，可保证项目施工场界噪声满足《建筑施工场界环境噪声排放标准》(GB12523-2011)的要求。本项目施工场地附近200m范围内均无居民居住，施工噪声对</w:t>
            </w:r>
            <w:r>
              <w:rPr>
                <w:rFonts w:hint="default" w:ascii="Times New Roman" w:hAnsi="Times New Roman" w:cs="Times New Roman"/>
                <w:snapToGrid w:val="0"/>
                <w:color w:val="auto"/>
                <w:sz w:val="24"/>
                <w:lang w:val="en-US" w:eastAsia="zh-CN"/>
              </w:rPr>
              <w:t>周围</w:t>
            </w:r>
            <w:r>
              <w:rPr>
                <w:rFonts w:hint="default" w:ascii="Times New Roman" w:hAnsi="Times New Roman" w:cs="Times New Roman"/>
                <w:snapToGrid w:val="0"/>
                <w:color w:val="auto"/>
                <w:sz w:val="24"/>
              </w:rPr>
              <w:t>环境影响较小。</w:t>
            </w:r>
          </w:p>
          <w:p w14:paraId="0AB65481">
            <w:pPr>
              <w:keepNext w:val="0"/>
              <w:keepLines w:val="0"/>
              <w:pageBreakBefore w:val="0"/>
              <w:widowControl/>
              <w:numPr>
                <w:ilvl w:val="0"/>
                <w:numId w:val="11"/>
              </w:numPr>
              <w:kinsoku/>
              <w:wordWrap/>
              <w:overflowPunct/>
              <w:topLinePunct w:val="0"/>
              <w:autoSpaceDE w:val="0"/>
              <w:autoSpaceDN w:val="0"/>
              <w:bidi w:val="0"/>
              <w:adjustRightInd/>
              <w:snapToGrid/>
              <w:spacing w:before="0" w:after="0"/>
              <w:jc w:val="left"/>
              <w:textAlignment w:val="auto"/>
              <w:rPr>
                <w:rFonts w:hint="default" w:ascii="Times New Roman" w:hAnsi="Times New Roman" w:eastAsia="黑体" w:cs="Times New Roman"/>
                <w:b w:val="0"/>
                <w:bCs w:val="0"/>
                <w:snapToGrid/>
                <w:color w:val="auto"/>
                <w:kern w:val="0"/>
                <w:sz w:val="24"/>
                <w:highlight w:val="none"/>
              </w:rPr>
            </w:pPr>
            <w:r>
              <w:rPr>
                <w:rFonts w:hint="default" w:ascii="Times New Roman" w:hAnsi="Times New Roman" w:eastAsia="黑体" w:cs="Times New Roman"/>
                <w:b w:val="0"/>
                <w:bCs w:val="0"/>
                <w:color w:val="auto"/>
                <w:kern w:val="0"/>
                <w:sz w:val="24"/>
                <w:highlight w:val="none"/>
              </w:rPr>
              <w:t>施工期</w:t>
            </w:r>
            <w:r>
              <w:rPr>
                <w:rFonts w:hint="default" w:ascii="Times New Roman" w:hAnsi="Times New Roman" w:eastAsia="黑体" w:cs="Times New Roman"/>
                <w:b w:val="0"/>
                <w:bCs w:val="0"/>
                <w:snapToGrid/>
                <w:color w:val="auto"/>
                <w:kern w:val="0"/>
                <w:sz w:val="24"/>
                <w:highlight w:val="none"/>
              </w:rPr>
              <w:t>固体废物环境影响分析</w:t>
            </w:r>
          </w:p>
          <w:p w14:paraId="1DF41267">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本工程施工期的固体废弃物主要来源为</w:t>
            </w:r>
            <w:r>
              <w:rPr>
                <w:rFonts w:hint="default" w:ascii="Times New Roman" w:hAnsi="Times New Roman" w:cs="Times New Roman"/>
                <w:snapToGrid w:val="0"/>
                <w:color w:val="auto"/>
                <w:sz w:val="24"/>
                <w:lang w:val="en-US" w:eastAsia="zh-CN"/>
              </w:rPr>
              <w:t>废包装材料（主要来自于种子包装袋等）、建筑垃圾与生活垃圾</w:t>
            </w:r>
            <w:r>
              <w:rPr>
                <w:rFonts w:hint="default" w:ascii="Times New Roman" w:hAnsi="Times New Roman" w:cs="Times New Roman"/>
                <w:snapToGrid w:val="0"/>
                <w:color w:val="auto"/>
                <w:sz w:val="24"/>
              </w:rPr>
              <w:t>。</w:t>
            </w:r>
          </w:p>
          <w:p w14:paraId="77FDEAC9">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根据本工程土石方平衡表可知，本项目开挖土方</w:t>
            </w:r>
            <w:r>
              <w:rPr>
                <w:rFonts w:hint="default" w:ascii="Times New Roman" w:hAnsi="Times New Roman" w:cs="Times New Roman"/>
                <w:snapToGrid w:val="0"/>
                <w:color w:val="auto"/>
                <w:sz w:val="24"/>
                <w:lang w:eastAsia="zh-CN"/>
              </w:rPr>
              <w:t>、</w:t>
            </w:r>
            <w:r>
              <w:rPr>
                <w:rFonts w:hint="default" w:ascii="Times New Roman" w:hAnsi="Times New Roman" w:cs="Times New Roman"/>
                <w:snapToGrid w:val="0"/>
                <w:color w:val="auto"/>
                <w:sz w:val="24"/>
                <w:lang w:val="en-US" w:eastAsia="zh-CN"/>
              </w:rPr>
              <w:t>石方</w:t>
            </w:r>
            <w:r>
              <w:rPr>
                <w:rFonts w:hint="default" w:ascii="Times New Roman" w:hAnsi="Times New Roman" w:cs="Times New Roman"/>
                <w:snapToGrid w:val="0"/>
                <w:color w:val="auto"/>
                <w:sz w:val="24"/>
                <w:lang w:eastAsia="zh-CN"/>
              </w:rPr>
              <w:t>、</w:t>
            </w:r>
            <w:r>
              <w:rPr>
                <w:rFonts w:hint="default" w:ascii="Times New Roman" w:hAnsi="Times New Roman" w:cs="Times New Roman"/>
                <w:snapToGrid w:val="0"/>
                <w:color w:val="auto"/>
                <w:sz w:val="24"/>
                <w:lang w:val="en-US" w:eastAsia="zh-CN"/>
              </w:rPr>
              <w:t>砂石渣</w:t>
            </w:r>
            <w:r>
              <w:rPr>
                <w:rFonts w:hint="default" w:ascii="Times New Roman" w:hAnsi="Times New Roman" w:cs="Times New Roman"/>
                <w:snapToGrid w:val="0"/>
                <w:color w:val="auto"/>
                <w:sz w:val="24"/>
              </w:rPr>
              <w:t>全部回填用于土地平整，无弃土外运。</w:t>
            </w:r>
          </w:p>
          <w:p w14:paraId="2FF32476">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cs="Times New Roman"/>
                <w:color w:val="auto"/>
              </w:rPr>
            </w:pPr>
            <w:r>
              <w:rPr>
                <w:rFonts w:hint="default" w:ascii="Times New Roman" w:hAnsi="Times New Roman" w:cs="Times New Roman"/>
                <w:snapToGrid w:val="0"/>
                <w:color w:val="auto"/>
                <w:sz w:val="24"/>
              </w:rPr>
              <w:t>施工期产生建筑废物在施工现场的金属要及时回收。不可利用的废弃构筑物运往政府指定的建筑垃圾填埋场填埋。</w:t>
            </w:r>
          </w:p>
          <w:p w14:paraId="64B8030A">
            <w:pPr>
              <w:keepNext w:val="0"/>
              <w:keepLines w:val="0"/>
              <w:pageBreakBefore w:val="0"/>
              <w:widowControl w:val="0"/>
              <w:kinsoku/>
              <w:wordWrap/>
              <w:overflowPunct/>
              <w:topLinePunct w:val="0"/>
              <w:autoSpaceDE/>
              <w:autoSpaceDN/>
              <w:bidi w:val="0"/>
              <w:adjustRightInd/>
              <w:snapToGrid/>
              <w:ind w:firstLine="510" w:firstLineChars="200"/>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cs="Times New Roman"/>
                <w:snapToGrid w:val="0"/>
                <w:color w:val="auto"/>
                <w:sz w:val="24"/>
              </w:rPr>
              <w:t>本项目施工人员最大高峰人数为20人，施工营地</w:t>
            </w:r>
            <w:r>
              <w:rPr>
                <w:rFonts w:hint="default" w:ascii="Times New Roman" w:hAnsi="Times New Roman" w:cs="Times New Roman"/>
                <w:snapToGrid w:val="0"/>
                <w:color w:val="auto"/>
                <w:sz w:val="24"/>
                <w:lang w:eastAsia="zh-CN"/>
              </w:rPr>
              <w:t>依托</w:t>
            </w:r>
            <w:r>
              <w:rPr>
                <w:rFonts w:hint="default" w:ascii="Times New Roman" w:hAnsi="Times New Roman" w:cs="Times New Roman"/>
                <w:snapToGrid w:val="0"/>
                <w:color w:val="auto"/>
                <w:sz w:val="24"/>
                <w:lang w:val="en-US" w:eastAsia="zh-CN"/>
              </w:rPr>
              <w:t>附近村庄</w:t>
            </w:r>
            <w:r>
              <w:rPr>
                <w:rFonts w:hint="default" w:ascii="Times New Roman" w:hAnsi="Times New Roman" w:cs="Times New Roman"/>
                <w:snapToGrid w:val="0"/>
                <w:color w:val="auto"/>
                <w:sz w:val="24"/>
              </w:rPr>
              <w:t>，生活垃圾</w:t>
            </w:r>
            <w:r>
              <w:rPr>
                <w:rFonts w:hint="default" w:ascii="Times New Roman" w:hAnsi="Times New Roman" w:cs="Times New Roman"/>
                <w:snapToGrid w:val="0"/>
                <w:color w:val="auto"/>
                <w:sz w:val="24"/>
                <w:lang w:val="en-US" w:eastAsia="zh-CN"/>
              </w:rPr>
              <w:t>和废包装材料</w:t>
            </w:r>
            <w:r>
              <w:rPr>
                <w:rFonts w:hint="default" w:ascii="Times New Roman" w:hAnsi="Times New Roman" w:cs="Times New Roman"/>
                <w:snapToGrid w:val="0"/>
                <w:color w:val="auto"/>
                <w:sz w:val="24"/>
              </w:rPr>
              <w:t>由当地环卫部门清运处置。</w:t>
            </w:r>
            <w:r>
              <w:rPr>
                <w:rFonts w:hint="default" w:ascii="Times New Roman" w:hAnsi="Times New Roman" w:cs="Times New Roman"/>
                <w:snapToGrid w:val="0"/>
                <w:color w:val="auto"/>
                <w:sz w:val="24"/>
                <w:lang w:val="en-US" w:eastAsia="zh-CN"/>
              </w:rPr>
              <w:t>施工固体废物对环境影响较小。</w:t>
            </w:r>
          </w:p>
          <w:p w14:paraId="4E300A6A">
            <w:pPr>
              <w:widowControl/>
              <w:numPr>
                <w:ilvl w:val="0"/>
                <w:numId w:val="11"/>
              </w:numPr>
              <w:autoSpaceDE w:val="0"/>
              <w:autoSpaceDN w:val="0"/>
              <w:spacing w:before="0" w:after="0"/>
              <w:jc w:val="left"/>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结论</w:t>
            </w:r>
          </w:p>
          <w:p w14:paraId="7C86AC96">
            <w:pPr>
              <w:ind w:firstLine="510" w:firstLineChars="200"/>
              <w:rPr>
                <w:rFonts w:hint="default" w:ascii="Times New Roman" w:hAnsi="Times New Roman" w:eastAsia="宋体" w:cs="Times New Roman"/>
                <w:bCs/>
                <w:color w:val="auto"/>
                <w:sz w:val="24"/>
                <w:szCs w:val="21"/>
              </w:rPr>
            </w:pPr>
            <w:r>
              <w:rPr>
                <w:rFonts w:hint="default" w:ascii="Times New Roman" w:hAnsi="Times New Roman" w:cs="Times New Roman"/>
                <w:bCs/>
                <w:color w:val="auto"/>
                <w:sz w:val="24"/>
              </w:rPr>
              <w:t>综上，本项目施工期会对区域的生态环境产生一定的影响，但随着施工期的结束，临时用地的植被恢复，项目对区域生态环境的影响将得到缓解，并以生态环境正效益显现。通过施工过程中采取的相应措施，可提高区域植被覆盖率，改善区域生态环境质量</w:t>
            </w:r>
            <w:r>
              <w:rPr>
                <w:rFonts w:hint="default" w:ascii="Times New Roman" w:hAnsi="Times New Roman" w:cs="Times New Roman"/>
                <w:bCs/>
                <w:color w:val="auto"/>
                <w:sz w:val="24"/>
                <w:szCs w:val="21"/>
              </w:rPr>
              <w:t>。</w:t>
            </w:r>
          </w:p>
        </w:tc>
      </w:tr>
      <w:tr w14:paraId="5761F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dxa"/>
            <w:noWrap w:val="0"/>
            <w:tcMar>
              <w:left w:w="28" w:type="dxa"/>
              <w:right w:w="28" w:type="dxa"/>
            </w:tcMar>
            <w:vAlign w:val="center"/>
          </w:tcPr>
          <w:p w14:paraId="4CB0BDDF">
            <w:pPr>
              <w:pStyle w:val="22"/>
              <w:adjustRightInd w:val="0"/>
              <w:snapToGrid w:val="0"/>
              <w:spacing w:before="0" w:beforeAutospacing="0" w:after="0" w:afterAutospacing="0"/>
              <w:jc w:val="center"/>
              <w:rPr>
                <w:rFonts w:hint="default" w:ascii="Times New Roman" w:hAnsi="Times New Roman" w:eastAsia="宋体" w:cs="Times New Roman"/>
                <w:b/>
                <w:color w:val="auto"/>
                <w:kern w:val="2"/>
              </w:rPr>
            </w:pPr>
            <w:r>
              <w:rPr>
                <w:rFonts w:hint="default" w:ascii="Times New Roman" w:hAnsi="Times New Roman" w:eastAsia="宋体" w:cs="Times New Roman"/>
                <w:b/>
                <w:color w:val="auto"/>
                <w:spacing w:val="10"/>
                <w:kern w:val="2"/>
              </w:rPr>
              <w:t>运营期生态环境影响分析</w:t>
            </w:r>
          </w:p>
        </w:tc>
        <w:tc>
          <w:tcPr>
            <w:tcW w:w="8633" w:type="dxa"/>
            <w:noWrap w:val="0"/>
            <w:vAlign w:val="top"/>
          </w:tcPr>
          <w:p w14:paraId="0E905546">
            <w:pPr>
              <w:widowControl/>
              <w:numPr>
                <w:ilvl w:val="0"/>
                <w:numId w:val="12"/>
              </w:numPr>
              <w:autoSpaceDE w:val="0"/>
              <w:autoSpaceDN w:val="0"/>
              <w:jc w:val="left"/>
              <w:rPr>
                <w:rFonts w:hint="default" w:ascii="Times New Roman" w:hAnsi="Times New Roman" w:eastAsia="黑体" w:cs="Times New Roman"/>
                <w:b w:val="0"/>
                <w:bCs w:val="0"/>
                <w:color w:val="auto"/>
                <w:kern w:val="0"/>
                <w:sz w:val="24"/>
                <w:szCs w:val="24"/>
                <w:highlight w:val="none"/>
              </w:rPr>
            </w:pPr>
            <w:r>
              <w:rPr>
                <w:rFonts w:hint="default" w:ascii="Times New Roman" w:hAnsi="Times New Roman" w:eastAsia="黑体" w:cs="Times New Roman"/>
                <w:b w:val="0"/>
                <w:bCs w:val="0"/>
                <w:snapToGrid/>
                <w:color w:val="auto"/>
                <w:kern w:val="0"/>
                <w:sz w:val="24"/>
                <w:highlight w:val="none"/>
              </w:rPr>
              <w:t>营运期主要污染工序</w:t>
            </w:r>
          </w:p>
          <w:p w14:paraId="0032F364">
            <w:pPr>
              <w:topLinePunct/>
              <w:ind w:firstLine="51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fldChar w:fldCharType="begin"/>
            </w:r>
            <w:r>
              <w:rPr>
                <w:rFonts w:hint="default" w:ascii="Times New Roman" w:hAnsi="Times New Roman" w:cs="Times New Roman"/>
                <w:snapToGrid w:val="0"/>
                <w:color w:val="auto"/>
                <w:kern w:val="0"/>
                <w:sz w:val="24"/>
              </w:rPr>
              <w:instrText xml:space="preserve"> = 1 \* GB2 </w:instrText>
            </w:r>
            <w:r>
              <w:rPr>
                <w:rFonts w:hint="default" w:ascii="Times New Roman" w:hAnsi="Times New Roman" w:cs="Times New Roman"/>
                <w:snapToGrid w:val="0"/>
                <w:color w:val="auto"/>
                <w:kern w:val="0"/>
                <w:sz w:val="24"/>
              </w:rPr>
              <w:fldChar w:fldCharType="separate"/>
            </w:r>
            <w:r>
              <w:rPr>
                <w:rFonts w:hint="default" w:ascii="Times New Roman" w:hAnsi="Times New Roman" w:cs="Times New Roman"/>
                <w:snapToGrid w:val="0"/>
                <w:color w:val="auto"/>
                <w:kern w:val="0"/>
                <w:sz w:val="24"/>
              </w:rPr>
              <w:t>⑴</w:t>
            </w:r>
            <w:r>
              <w:rPr>
                <w:rFonts w:hint="default" w:ascii="Times New Roman" w:hAnsi="Times New Roman" w:cs="Times New Roman"/>
                <w:snapToGrid w:val="0"/>
                <w:color w:val="auto"/>
                <w:kern w:val="0"/>
                <w:sz w:val="24"/>
              </w:rPr>
              <w:fldChar w:fldCharType="end"/>
            </w:r>
            <w:r>
              <w:rPr>
                <w:rFonts w:hint="default" w:ascii="Times New Roman" w:hAnsi="Times New Roman" w:cs="Times New Roman"/>
                <w:snapToGrid w:val="0"/>
                <w:color w:val="auto"/>
                <w:kern w:val="0"/>
                <w:sz w:val="24"/>
              </w:rPr>
              <w:t>废气</w:t>
            </w:r>
          </w:p>
          <w:p w14:paraId="78F393BC">
            <w:pPr>
              <w:topLinePunct/>
              <w:ind w:firstLine="51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本工程建成后，经过妥善管理不会产生废气</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snapToGrid w:val="0"/>
                <w:color w:val="auto"/>
                <w:kern w:val="0"/>
                <w:sz w:val="24"/>
              </w:rPr>
              <w:t>污染环境空气质量。</w:t>
            </w:r>
          </w:p>
          <w:p w14:paraId="33080322">
            <w:pPr>
              <w:topLinePunct/>
              <w:ind w:firstLine="51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fldChar w:fldCharType="begin"/>
            </w:r>
            <w:r>
              <w:rPr>
                <w:rFonts w:hint="default" w:ascii="Times New Roman" w:hAnsi="Times New Roman" w:cs="Times New Roman"/>
                <w:snapToGrid w:val="0"/>
                <w:color w:val="auto"/>
                <w:kern w:val="0"/>
                <w:sz w:val="24"/>
              </w:rPr>
              <w:instrText xml:space="preserve"> = 2 \* GB2 </w:instrText>
            </w:r>
            <w:r>
              <w:rPr>
                <w:rFonts w:hint="default" w:ascii="Times New Roman" w:hAnsi="Times New Roman" w:cs="Times New Roman"/>
                <w:snapToGrid w:val="0"/>
                <w:color w:val="auto"/>
                <w:kern w:val="0"/>
                <w:sz w:val="24"/>
              </w:rPr>
              <w:fldChar w:fldCharType="separate"/>
            </w:r>
            <w:r>
              <w:rPr>
                <w:rFonts w:hint="default" w:ascii="Times New Roman" w:hAnsi="Times New Roman" w:cs="Times New Roman"/>
                <w:snapToGrid w:val="0"/>
                <w:color w:val="auto"/>
                <w:kern w:val="0"/>
                <w:sz w:val="24"/>
              </w:rPr>
              <w:t>⑵</w:t>
            </w:r>
            <w:r>
              <w:rPr>
                <w:rFonts w:hint="default" w:ascii="Times New Roman" w:hAnsi="Times New Roman" w:cs="Times New Roman"/>
                <w:snapToGrid w:val="0"/>
                <w:color w:val="auto"/>
                <w:kern w:val="0"/>
                <w:sz w:val="24"/>
              </w:rPr>
              <w:fldChar w:fldCharType="end"/>
            </w:r>
            <w:r>
              <w:rPr>
                <w:rFonts w:hint="default" w:ascii="Times New Roman" w:hAnsi="Times New Roman" w:cs="Times New Roman"/>
                <w:snapToGrid w:val="0"/>
                <w:color w:val="auto"/>
                <w:kern w:val="0"/>
                <w:sz w:val="24"/>
              </w:rPr>
              <w:t>废水</w:t>
            </w:r>
          </w:p>
          <w:p w14:paraId="39189C9B">
            <w:pPr>
              <w:topLinePunct/>
              <w:ind w:firstLine="51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本工程建成后，</w:t>
            </w:r>
            <w:r>
              <w:rPr>
                <w:rFonts w:hint="default" w:ascii="Times New Roman" w:hAnsi="Times New Roman" w:cs="Times New Roman"/>
                <w:snapToGrid w:val="0"/>
                <w:color w:val="auto"/>
                <w:kern w:val="0"/>
                <w:sz w:val="24"/>
                <w:lang w:val="en-US" w:eastAsia="zh-CN"/>
              </w:rPr>
              <w:t>无废水产生</w:t>
            </w:r>
            <w:r>
              <w:rPr>
                <w:rFonts w:hint="default" w:ascii="Times New Roman" w:hAnsi="Times New Roman" w:cs="Times New Roman"/>
                <w:snapToGrid w:val="0"/>
                <w:color w:val="auto"/>
                <w:kern w:val="0"/>
                <w:sz w:val="24"/>
              </w:rPr>
              <w:t>。</w:t>
            </w:r>
          </w:p>
          <w:p w14:paraId="225F1667">
            <w:pPr>
              <w:topLinePunct/>
              <w:ind w:firstLine="51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fldChar w:fldCharType="begin"/>
            </w:r>
            <w:r>
              <w:rPr>
                <w:rFonts w:hint="default" w:ascii="Times New Roman" w:hAnsi="Times New Roman" w:cs="Times New Roman"/>
                <w:snapToGrid w:val="0"/>
                <w:color w:val="auto"/>
                <w:kern w:val="0"/>
                <w:sz w:val="24"/>
              </w:rPr>
              <w:instrText xml:space="preserve"> = 3 \* GB2 </w:instrText>
            </w:r>
            <w:r>
              <w:rPr>
                <w:rFonts w:hint="default" w:ascii="Times New Roman" w:hAnsi="Times New Roman" w:cs="Times New Roman"/>
                <w:snapToGrid w:val="0"/>
                <w:color w:val="auto"/>
                <w:kern w:val="0"/>
                <w:sz w:val="24"/>
              </w:rPr>
              <w:fldChar w:fldCharType="separate"/>
            </w:r>
            <w:r>
              <w:rPr>
                <w:rFonts w:hint="default" w:ascii="Times New Roman" w:hAnsi="Times New Roman" w:cs="Times New Roman"/>
                <w:snapToGrid w:val="0"/>
                <w:color w:val="auto"/>
                <w:kern w:val="0"/>
                <w:sz w:val="24"/>
              </w:rPr>
              <w:t>⑶</w:t>
            </w:r>
            <w:r>
              <w:rPr>
                <w:rFonts w:hint="default" w:ascii="Times New Roman" w:hAnsi="Times New Roman" w:cs="Times New Roman"/>
                <w:snapToGrid w:val="0"/>
                <w:color w:val="auto"/>
                <w:kern w:val="0"/>
                <w:sz w:val="24"/>
              </w:rPr>
              <w:fldChar w:fldCharType="end"/>
            </w:r>
            <w:r>
              <w:rPr>
                <w:rFonts w:hint="default" w:ascii="Times New Roman" w:hAnsi="Times New Roman" w:cs="Times New Roman"/>
                <w:snapToGrid w:val="0"/>
                <w:color w:val="auto"/>
                <w:kern w:val="0"/>
                <w:sz w:val="24"/>
              </w:rPr>
              <w:t>噪声</w:t>
            </w:r>
          </w:p>
          <w:p w14:paraId="65BA0684">
            <w:pPr>
              <w:topLinePunct/>
              <w:ind w:firstLine="510" w:firstLineChars="200"/>
              <w:rPr>
                <w:rFonts w:hint="default" w:ascii="Times New Roman" w:hAnsi="Times New Roman" w:cs="Times New Roman"/>
                <w:color w:val="auto"/>
                <w:sz w:val="24"/>
              </w:rPr>
            </w:pPr>
            <w:r>
              <w:rPr>
                <w:rFonts w:hint="default" w:ascii="Times New Roman" w:hAnsi="Times New Roman" w:cs="Times New Roman"/>
                <w:snapToGrid w:val="0"/>
                <w:color w:val="auto"/>
                <w:kern w:val="0"/>
                <w:sz w:val="24"/>
              </w:rPr>
              <w:t>本项目建成后，</w:t>
            </w:r>
            <w:r>
              <w:rPr>
                <w:rFonts w:hint="default" w:ascii="Times New Roman" w:hAnsi="Times New Roman" w:cs="Times New Roman"/>
                <w:snapToGrid w:val="0"/>
                <w:color w:val="auto"/>
                <w:kern w:val="0"/>
                <w:sz w:val="24"/>
                <w:lang w:val="en-US" w:eastAsia="zh-CN"/>
              </w:rPr>
              <w:t>不会产生噪声</w:t>
            </w:r>
            <w:r>
              <w:rPr>
                <w:rFonts w:hint="default" w:ascii="Times New Roman" w:hAnsi="Times New Roman" w:cs="Times New Roman"/>
                <w:snapToGrid w:val="0"/>
                <w:color w:val="auto"/>
                <w:kern w:val="0"/>
                <w:sz w:val="24"/>
              </w:rPr>
              <w:t>。</w:t>
            </w:r>
          </w:p>
          <w:p w14:paraId="632293C4">
            <w:pPr>
              <w:topLinePunct/>
              <w:ind w:firstLine="51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fldChar w:fldCharType="begin"/>
            </w:r>
            <w:r>
              <w:rPr>
                <w:rFonts w:hint="default" w:ascii="Times New Roman" w:hAnsi="Times New Roman" w:cs="Times New Roman"/>
                <w:snapToGrid w:val="0"/>
                <w:color w:val="auto"/>
                <w:kern w:val="0"/>
                <w:sz w:val="24"/>
              </w:rPr>
              <w:instrText xml:space="preserve"> = 4 \* GB2 </w:instrText>
            </w:r>
            <w:r>
              <w:rPr>
                <w:rFonts w:hint="default" w:ascii="Times New Roman" w:hAnsi="Times New Roman" w:cs="Times New Roman"/>
                <w:snapToGrid w:val="0"/>
                <w:color w:val="auto"/>
                <w:kern w:val="0"/>
                <w:sz w:val="24"/>
              </w:rPr>
              <w:fldChar w:fldCharType="separate"/>
            </w:r>
            <w:r>
              <w:rPr>
                <w:rFonts w:hint="default" w:ascii="Times New Roman" w:hAnsi="Times New Roman" w:cs="Times New Roman"/>
                <w:snapToGrid w:val="0"/>
                <w:color w:val="auto"/>
                <w:kern w:val="0"/>
                <w:sz w:val="24"/>
              </w:rPr>
              <w:t>⑷</w:t>
            </w:r>
            <w:r>
              <w:rPr>
                <w:rFonts w:hint="default" w:ascii="Times New Roman" w:hAnsi="Times New Roman" w:cs="Times New Roman"/>
                <w:snapToGrid w:val="0"/>
                <w:color w:val="auto"/>
                <w:kern w:val="0"/>
                <w:sz w:val="24"/>
              </w:rPr>
              <w:fldChar w:fldCharType="end"/>
            </w:r>
            <w:r>
              <w:rPr>
                <w:rFonts w:hint="default" w:ascii="Times New Roman" w:hAnsi="Times New Roman" w:cs="Times New Roman"/>
                <w:snapToGrid w:val="0"/>
                <w:color w:val="auto"/>
                <w:kern w:val="0"/>
                <w:sz w:val="24"/>
              </w:rPr>
              <w:t>固体废物</w:t>
            </w:r>
          </w:p>
          <w:p w14:paraId="530D09F1">
            <w:pPr>
              <w:topLinePunct/>
              <w:ind w:firstLine="51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项目建成</w:t>
            </w:r>
            <w:r>
              <w:rPr>
                <w:rFonts w:hint="default" w:ascii="Times New Roman" w:hAnsi="Times New Roman" w:cs="Times New Roman"/>
                <w:snapToGrid w:val="0"/>
                <w:color w:val="auto"/>
                <w:kern w:val="0"/>
                <w:sz w:val="24"/>
                <w:lang w:val="en-US" w:eastAsia="zh-CN"/>
              </w:rPr>
              <w:t>后无固体废物产生</w:t>
            </w:r>
            <w:r>
              <w:rPr>
                <w:rFonts w:hint="default" w:ascii="Times New Roman" w:hAnsi="Times New Roman" w:cs="Times New Roman"/>
                <w:snapToGrid w:val="0"/>
                <w:color w:val="auto"/>
                <w:kern w:val="0"/>
                <w:sz w:val="24"/>
              </w:rPr>
              <w:t>。</w:t>
            </w:r>
          </w:p>
          <w:p w14:paraId="34736BA7">
            <w:pPr>
              <w:topLinePunct/>
              <w:ind w:firstLine="51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fldChar w:fldCharType="begin"/>
            </w:r>
            <w:r>
              <w:rPr>
                <w:rFonts w:hint="default" w:ascii="Times New Roman" w:hAnsi="Times New Roman" w:cs="Times New Roman"/>
                <w:snapToGrid w:val="0"/>
                <w:color w:val="auto"/>
                <w:kern w:val="0"/>
                <w:sz w:val="24"/>
              </w:rPr>
              <w:instrText xml:space="preserve"> = 5 \* GB2 </w:instrText>
            </w:r>
            <w:r>
              <w:rPr>
                <w:rFonts w:hint="default" w:ascii="Times New Roman" w:hAnsi="Times New Roman" w:cs="Times New Roman"/>
                <w:snapToGrid w:val="0"/>
                <w:color w:val="auto"/>
                <w:kern w:val="0"/>
                <w:sz w:val="24"/>
              </w:rPr>
              <w:fldChar w:fldCharType="separate"/>
            </w:r>
            <w:r>
              <w:rPr>
                <w:rFonts w:hint="default" w:ascii="Times New Roman" w:hAnsi="Times New Roman" w:cs="Times New Roman"/>
                <w:snapToGrid w:val="0"/>
                <w:color w:val="auto"/>
                <w:kern w:val="0"/>
                <w:sz w:val="24"/>
              </w:rPr>
              <w:t>⑸</w:t>
            </w:r>
            <w:r>
              <w:rPr>
                <w:rFonts w:hint="default" w:ascii="Times New Roman" w:hAnsi="Times New Roman" w:cs="Times New Roman"/>
                <w:snapToGrid w:val="0"/>
                <w:color w:val="auto"/>
                <w:kern w:val="0"/>
                <w:sz w:val="24"/>
              </w:rPr>
              <w:fldChar w:fldCharType="end"/>
            </w:r>
            <w:r>
              <w:rPr>
                <w:rFonts w:hint="default" w:ascii="Times New Roman" w:hAnsi="Times New Roman" w:cs="Times New Roman"/>
                <w:snapToGrid w:val="0"/>
                <w:color w:val="auto"/>
                <w:kern w:val="0"/>
                <w:sz w:val="24"/>
              </w:rPr>
              <w:t>生态环境</w:t>
            </w:r>
          </w:p>
          <w:p w14:paraId="230F71AB">
            <w:pPr>
              <w:topLinePunct/>
              <w:ind w:firstLine="51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本项目运营期对生态的影响是正面有利的。</w:t>
            </w:r>
          </w:p>
          <w:p w14:paraId="60DE21C4">
            <w:pPr>
              <w:widowControl/>
              <w:numPr>
                <w:ilvl w:val="0"/>
                <w:numId w:val="12"/>
              </w:numPr>
              <w:autoSpaceDE w:val="0"/>
              <w:autoSpaceDN w:val="0"/>
              <w:jc w:val="left"/>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b w:val="0"/>
                <w:color w:val="auto"/>
                <w:kern w:val="0"/>
                <w:sz w:val="24"/>
                <w:szCs w:val="24"/>
                <w:highlight w:val="none"/>
              </w:rPr>
              <w:t>营运期环境影响分析</w:t>
            </w:r>
          </w:p>
          <w:p w14:paraId="2123B3CC">
            <w:p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本项目为生态治理工程，项目建成后可以有效改善</w:t>
            </w:r>
            <w:r>
              <w:rPr>
                <w:rFonts w:hint="default" w:ascii="Times New Roman" w:hAnsi="Times New Roman" w:cs="Times New Roman"/>
                <w:color w:val="auto"/>
                <w:sz w:val="24"/>
                <w:lang w:val="en-US" w:eastAsia="zh-CN"/>
              </w:rPr>
              <w:t>中卫市沙坡头区</w:t>
            </w:r>
            <w:r>
              <w:rPr>
                <w:rFonts w:hint="default" w:ascii="Times New Roman" w:hAnsi="Times New Roman" w:cs="Times New Roman"/>
                <w:color w:val="auto"/>
                <w:sz w:val="24"/>
              </w:rPr>
              <w:t>生态环境。</w:t>
            </w:r>
            <w:r>
              <w:rPr>
                <w:rFonts w:hint="default" w:ascii="Times New Roman" w:hAnsi="Times New Roman" w:cs="Times New Roman"/>
                <w:bCs/>
                <w:color w:val="auto"/>
                <w:sz w:val="24"/>
              </w:rPr>
              <w:t>项目实施后通过覆土、绿化等措施增加土地资源，使土地资源恢复其利用价值，</w:t>
            </w:r>
            <w:r>
              <w:rPr>
                <w:rFonts w:hint="default" w:ascii="Times New Roman" w:hAnsi="Times New Roman" w:cs="Times New Roman"/>
                <w:color w:val="auto"/>
                <w:sz w:val="24"/>
              </w:rPr>
              <w:t>项目营运期不产生废气污染物，不会对项目区域环境质量现状造成影响。</w:t>
            </w:r>
          </w:p>
          <w:p w14:paraId="2635579B">
            <w:pPr>
              <w:ind w:firstLine="51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修复因采矿活动而被挖损或压占的土地资源，在项目治理区内，科学调配并撒播草籽，使其自然恢复，显著增加植被覆盖率，强化植被固沙护土能力</w:t>
            </w:r>
            <w:r>
              <w:rPr>
                <w:rFonts w:hint="default" w:ascii="Times New Roman" w:hAnsi="Times New Roman" w:cs="Times New Roman"/>
                <w:bCs/>
                <w:color w:val="auto"/>
                <w:sz w:val="24"/>
                <w:lang w:eastAsia="zh-CN"/>
              </w:rPr>
              <w:t>。</w:t>
            </w:r>
          </w:p>
          <w:p w14:paraId="64D28FE7">
            <w:pPr>
              <w:widowControl/>
              <w:numPr>
                <w:ilvl w:val="0"/>
                <w:numId w:val="12"/>
              </w:numPr>
              <w:autoSpaceDE w:val="0"/>
              <w:autoSpaceDN w:val="0"/>
              <w:jc w:val="left"/>
              <w:rPr>
                <w:rFonts w:hint="default" w:ascii="Times New Roman" w:hAnsi="Times New Roman" w:eastAsia="黑体" w:cs="Times New Roman"/>
                <w:b w:val="0"/>
                <w:color w:val="auto"/>
                <w:kern w:val="0"/>
                <w:sz w:val="24"/>
                <w:szCs w:val="24"/>
                <w:highlight w:val="none"/>
              </w:rPr>
            </w:pPr>
            <w:r>
              <w:rPr>
                <w:rFonts w:hint="default" w:ascii="Times New Roman" w:hAnsi="Times New Roman" w:eastAsia="黑体" w:cs="Times New Roman"/>
                <w:b w:val="0"/>
                <w:color w:val="auto"/>
                <w:kern w:val="0"/>
                <w:sz w:val="24"/>
                <w:szCs w:val="24"/>
                <w:highlight w:val="none"/>
              </w:rPr>
              <w:t>环境效益分析</w:t>
            </w:r>
          </w:p>
          <w:p w14:paraId="4402C621">
            <w:pPr>
              <w:pStyle w:val="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项目区治理可减轻对地形地貌景观、土地资源的破坏，使破损的地貌景观得以恢复，提高土地利用属性。同时，种草等绿化措施，可增加地面林草植被，提高项目区内植被覆盖程度，水土得于保持促进，茂盛的草木能调节气候，净化空气，美化环境，涵养水源，防止水土流失、土壤退化，改善区内生态环境质量。</w:t>
            </w:r>
          </w:p>
        </w:tc>
      </w:tr>
      <w:tr w14:paraId="79A5D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dxa"/>
            <w:noWrap w:val="0"/>
            <w:vAlign w:val="center"/>
          </w:tcPr>
          <w:p w14:paraId="480028DB">
            <w:pPr>
              <w:pStyle w:val="22"/>
              <w:adjustRightInd w:val="0"/>
              <w:snapToGrid w:val="0"/>
              <w:spacing w:before="0" w:beforeAutospacing="0" w:after="0" w:afterAutospacing="0"/>
              <w:jc w:val="center"/>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选址选线环境合理性分析</w:t>
            </w:r>
          </w:p>
        </w:tc>
        <w:tc>
          <w:tcPr>
            <w:tcW w:w="8633" w:type="dxa"/>
            <w:noWrap w:val="0"/>
            <w:vAlign w:val="top"/>
          </w:tcPr>
          <w:p w14:paraId="2B6315F6">
            <w:pPr>
              <w:keepNext w:val="0"/>
              <w:keepLines w:val="0"/>
              <w:pageBreakBefore w:val="0"/>
              <w:widowControl w:val="0"/>
              <w:kinsoku/>
              <w:wordWrap/>
              <w:overflowPunct/>
              <w:topLinePunct w:val="0"/>
              <w:autoSpaceDE/>
              <w:autoSpaceDN/>
              <w:bidi w:val="0"/>
              <w:adjustRightInd/>
              <w:snapToGrid/>
              <w:spacing w:line="240" w:lineRule="auto"/>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lang w:val="en-US" w:eastAsia="zh-CN"/>
              </w:rPr>
              <w:t>根据沙坡头区委2023年第9次常委会议精神及《黄河上游风沙区(中卫)历史遗留废弃矿山生态修复示范工程项目实施方案》等相关文件精神，为落实打造绿色生态宝地部署和守好“改善生态环境的生命线”，尽快融入黄河流域生态保护和高质量发展重大国家战略任务中，中卫市在“十四五”期间统筹推进山水林田湖草沙综合治理，加快开展北部沙区综合治理、中部荒漠草原生态修复、南部山区水源涵养林建设，持续实施大规模国土绿化行动，努力建设绿色生态屏障。</w:t>
            </w:r>
          </w:p>
          <w:p w14:paraId="6EABF97A">
            <w:pPr>
              <w:keepNext w:val="0"/>
              <w:keepLines w:val="0"/>
              <w:pageBreakBefore w:val="0"/>
              <w:kinsoku/>
              <w:wordWrap/>
              <w:overflowPunct/>
              <w:topLinePunct w:val="0"/>
              <w:autoSpaceDE/>
              <w:autoSpaceDN/>
              <w:bidi w:val="0"/>
              <w:adjustRightInd/>
              <w:snapToGrid/>
              <w:spacing w:line="240" w:lineRule="auto"/>
              <w:ind w:right="0" w:firstLine="510" w:firstLineChars="200"/>
              <w:textAlignment w:val="auto"/>
              <w:rPr>
                <w:rFonts w:hint="default" w:ascii="Times New Roman" w:hAnsi="Times New Roman" w:cs="Times New Roman"/>
                <w:color w:val="auto"/>
                <w:kern w:val="0"/>
                <w:sz w:val="24"/>
              </w:rPr>
            </w:pPr>
            <w:r>
              <w:rPr>
                <w:rFonts w:hint="default" w:ascii="Times New Roman" w:hAnsi="Times New Roman" w:cs="Times New Roman"/>
                <w:bCs/>
                <w:color w:val="auto"/>
                <w:sz w:val="24"/>
                <w:lang w:val="en-US" w:eastAsia="zh-CN"/>
              </w:rPr>
              <w:t>该项目位于中卫市沙坡头区，</w:t>
            </w:r>
            <w:r>
              <w:rPr>
                <w:rFonts w:hint="default" w:ascii="Times New Roman" w:hAnsi="Times New Roman" w:cs="Times New Roman"/>
                <w:color w:val="auto"/>
                <w:sz w:val="24"/>
                <w:lang w:val="en-US" w:eastAsia="zh-CN"/>
              </w:rPr>
              <w:t>对寺口子地区矿山地质环境保护与修复治理，</w:t>
            </w:r>
            <w:r>
              <w:rPr>
                <w:rFonts w:hint="default" w:ascii="Times New Roman" w:hAnsi="Times New Roman" w:cs="Times New Roman"/>
                <w:color w:val="auto"/>
                <w:kern w:val="0"/>
                <w:sz w:val="24"/>
              </w:rPr>
              <w:t>项目选址唯一，无其他选址方案。</w:t>
            </w:r>
            <w:r>
              <w:rPr>
                <w:rFonts w:hint="default" w:ascii="Times New Roman" w:hAnsi="Times New Roman" w:cs="Times New Roman"/>
                <w:bCs/>
                <w:color w:val="auto"/>
                <w:sz w:val="24"/>
                <w:lang w:val="en-US" w:eastAsia="zh-CN"/>
              </w:rPr>
              <w:t>项目主要污染集中在施工期的扬尘、施工废水、噪声及生态影响。在采取施工扬尘、施工废水和噪声防治措施后，可满足施工期污染物排放标准，环境制约因素较小。</w:t>
            </w:r>
          </w:p>
          <w:p w14:paraId="514EC44C">
            <w:pPr>
              <w:keepNext w:val="0"/>
              <w:keepLines w:val="0"/>
              <w:pageBreakBefore w:val="0"/>
              <w:widowControl w:val="0"/>
              <w:kinsoku/>
              <w:wordWrap/>
              <w:overflowPunct/>
              <w:topLinePunct w:val="0"/>
              <w:autoSpaceDE/>
              <w:autoSpaceDN/>
              <w:bidi w:val="0"/>
              <w:adjustRightInd/>
              <w:snapToGrid/>
              <w:spacing w:line="240" w:lineRule="auto"/>
              <w:ind w:firstLine="51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根据现场踏勘、</w:t>
            </w:r>
            <w:r>
              <w:rPr>
                <w:rFonts w:hint="default" w:ascii="Times New Roman" w:hAnsi="Times New Roman" w:cs="Times New Roman"/>
                <w:bCs/>
                <w:color w:val="auto"/>
                <w:sz w:val="24"/>
                <w:lang w:val="en-US" w:eastAsia="zh-CN"/>
              </w:rPr>
              <w:t>与生态保护红线等进行叠加，项目治理片区均位于红线外，</w:t>
            </w:r>
            <w:r>
              <w:rPr>
                <w:rFonts w:hint="default" w:ascii="Times New Roman" w:hAnsi="Times New Roman" w:cs="Times New Roman"/>
                <w:color w:val="auto"/>
                <w:sz w:val="24"/>
              </w:rPr>
              <w:t>项目建成后可以有效改善</w:t>
            </w:r>
            <w:r>
              <w:rPr>
                <w:rFonts w:hint="default" w:ascii="Times New Roman" w:hAnsi="Times New Roman" w:cs="Times New Roman"/>
                <w:color w:val="auto"/>
                <w:sz w:val="24"/>
                <w:lang w:val="en-US" w:eastAsia="zh-CN"/>
              </w:rPr>
              <w:t>中卫市沙坡头区</w:t>
            </w:r>
            <w:r>
              <w:rPr>
                <w:rFonts w:hint="default" w:ascii="Times New Roman" w:hAnsi="Times New Roman" w:cs="Times New Roman"/>
                <w:color w:val="auto"/>
                <w:sz w:val="24"/>
              </w:rPr>
              <w:t>生态环境。</w:t>
            </w:r>
            <w:r>
              <w:rPr>
                <w:rFonts w:hint="default" w:ascii="Times New Roman" w:hAnsi="Times New Roman" w:cs="Times New Roman"/>
                <w:bCs/>
                <w:color w:val="auto"/>
                <w:sz w:val="24"/>
              </w:rPr>
              <w:t>项目实施后通过覆土、绿化等措施增加土地资源，使土地资源恢复其利用价值，</w:t>
            </w:r>
            <w:r>
              <w:rPr>
                <w:rFonts w:hint="default" w:ascii="Times New Roman" w:hAnsi="Times New Roman" w:cs="Times New Roman"/>
                <w:color w:val="auto"/>
                <w:sz w:val="24"/>
              </w:rPr>
              <w:t>项目营运期不产生废气污染物，不会对项目区域环境质量现状造成影响。</w:t>
            </w:r>
          </w:p>
          <w:p w14:paraId="1FFF15F8">
            <w:pPr>
              <w:ind w:firstLine="51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修复因采矿活动而被挖损或压占的土地资源，在项目治理区内，科学调配并撒播草籽，使其自然恢复，显著增加植被覆盖率，强化植被固沙护土能力。从环境影响角度，项目选址合理。</w:t>
            </w:r>
          </w:p>
          <w:p w14:paraId="7C8951CF">
            <w:pPr>
              <w:keepNext w:val="0"/>
              <w:keepLines w:val="0"/>
              <w:pageBreakBefore w:val="0"/>
              <w:kinsoku/>
              <w:wordWrap/>
              <w:overflowPunct/>
              <w:topLinePunct w:val="0"/>
              <w:autoSpaceDE/>
              <w:autoSpaceDN/>
              <w:bidi w:val="0"/>
              <w:adjustRightInd/>
              <w:snapToGrid/>
              <w:spacing w:line="240" w:lineRule="auto"/>
              <w:ind w:right="0" w:firstLine="510" w:firstLineChars="200"/>
              <w:textAlignment w:val="auto"/>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工程总体布置与选址合理性分析</w:t>
            </w:r>
          </w:p>
          <w:p w14:paraId="74373268">
            <w:pPr>
              <w:keepNext w:val="0"/>
              <w:keepLines w:val="0"/>
              <w:pageBreakBefore w:val="0"/>
              <w:kinsoku/>
              <w:wordWrap/>
              <w:overflowPunct/>
              <w:topLinePunct w:val="0"/>
              <w:autoSpaceDE/>
              <w:autoSpaceDN/>
              <w:bidi w:val="0"/>
              <w:adjustRightInd/>
              <w:snapToGrid/>
              <w:spacing w:line="240" w:lineRule="auto"/>
              <w:ind w:right="0" w:firstLine="51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从工程总体布置、建设内容分析，无重复和不合理建设现象；各种建筑物布置紧凑，道路等工程在本着尽量利用原有道路的基础之上，优化设计，采取最为合理的布设方式，工艺流程合理，施工过程中最大限度地少占用临时用地，且本项目临时工程均位于治理区内</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避免了因工程建设过多占用土地造成挖损和占压，导致地表植被及地表结皮损坏，造成较大面积的人为水土流失的发生，尽可能的做到保护、节约利用水土资源。</w:t>
            </w:r>
          </w:p>
          <w:p w14:paraId="5960547F">
            <w:pPr>
              <w:pStyle w:val="2"/>
              <w:outlineLvl w:val="9"/>
              <w:rPr>
                <w:rFonts w:hint="default" w:ascii="Times New Roman" w:hAnsi="Times New Roman" w:cs="Times New Roman"/>
                <w:bCs/>
                <w:color w:val="auto"/>
                <w:sz w:val="24"/>
              </w:rPr>
            </w:pPr>
          </w:p>
          <w:p w14:paraId="0D095E37">
            <w:pPr>
              <w:rPr>
                <w:rFonts w:hint="default" w:ascii="Times New Roman" w:hAnsi="Times New Roman" w:cs="Times New Roman"/>
                <w:bCs/>
                <w:color w:val="auto"/>
                <w:sz w:val="24"/>
              </w:rPr>
            </w:pPr>
          </w:p>
          <w:p w14:paraId="24E20A69">
            <w:pPr>
              <w:pStyle w:val="2"/>
              <w:outlineLvl w:val="9"/>
              <w:rPr>
                <w:rFonts w:hint="default" w:ascii="Times New Roman" w:hAnsi="Times New Roman" w:cs="Times New Roman"/>
                <w:bCs/>
                <w:color w:val="auto"/>
                <w:sz w:val="24"/>
              </w:rPr>
            </w:pPr>
          </w:p>
          <w:p w14:paraId="1D9C060A">
            <w:pPr>
              <w:rPr>
                <w:rFonts w:hint="default" w:ascii="Times New Roman" w:hAnsi="Times New Roman" w:cs="Times New Roman"/>
                <w:bCs/>
                <w:color w:val="auto"/>
                <w:sz w:val="24"/>
              </w:rPr>
            </w:pPr>
          </w:p>
          <w:p w14:paraId="5A98FA7F">
            <w:pPr>
              <w:pStyle w:val="2"/>
              <w:outlineLvl w:val="9"/>
              <w:rPr>
                <w:rFonts w:hint="default" w:ascii="Times New Roman" w:hAnsi="Times New Roman" w:cs="Times New Roman"/>
                <w:bCs/>
                <w:color w:val="auto"/>
                <w:sz w:val="24"/>
              </w:rPr>
            </w:pPr>
          </w:p>
          <w:p w14:paraId="21393DA1">
            <w:pPr>
              <w:rPr>
                <w:rFonts w:hint="default" w:ascii="Times New Roman" w:hAnsi="Times New Roman" w:cs="Times New Roman"/>
                <w:bCs/>
                <w:color w:val="auto"/>
                <w:sz w:val="24"/>
              </w:rPr>
            </w:pPr>
          </w:p>
          <w:p w14:paraId="478594DC">
            <w:pPr>
              <w:pStyle w:val="2"/>
              <w:outlineLvl w:val="9"/>
              <w:rPr>
                <w:rFonts w:hint="default" w:ascii="Times New Roman" w:hAnsi="Times New Roman" w:cs="Times New Roman"/>
                <w:bCs/>
                <w:color w:val="auto"/>
                <w:sz w:val="24"/>
              </w:rPr>
            </w:pPr>
          </w:p>
          <w:p w14:paraId="0EA6B84C">
            <w:pPr>
              <w:rPr>
                <w:rFonts w:hint="default" w:ascii="Times New Roman" w:hAnsi="Times New Roman" w:cs="Times New Roman"/>
                <w:bCs/>
                <w:color w:val="auto"/>
                <w:sz w:val="24"/>
              </w:rPr>
            </w:pPr>
          </w:p>
          <w:p w14:paraId="0DAB0FBF">
            <w:pPr>
              <w:pStyle w:val="2"/>
              <w:outlineLvl w:val="9"/>
              <w:rPr>
                <w:rFonts w:hint="default" w:ascii="Times New Roman" w:hAnsi="Times New Roman" w:cs="Times New Roman"/>
                <w:bCs/>
                <w:color w:val="auto"/>
                <w:sz w:val="24"/>
              </w:rPr>
            </w:pPr>
          </w:p>
          <w:p w14:paraId="0730B00D">
            <w:pPr>
              <w:rPr>
                <w:rFonts w:hint="default" w:ascii="Times New Roman" w:hAnsi="Times New Roman" w:cs="Times New Roman"/>
                <w:bCs/>
                <w:color w:val="auto"/>
                <w:sz w:val="24"/>
              </w:rPr>
            </w:pPr>
          </w:p>
          <w:p w14:paraId="20FC54AB">
            <w:pPr>
              <w:pStyle w:val="2"/>
              <w:outlineLvl w:val="9"/>
              <w:rPr>
                <w:rFonts w:hint="default" w:ascii="Times New Roman" w:hAnsi="Times New Roman" w:cs="Times New Roman"/>
                <w:bCs/>
                <w:color w:val="auto"/>
                <w:sz w:val="24"/>
              </w:rPr>
            </w:pPr>
          </w:p>
          <w:p w14:paraId="6F35A98E">
            <w:pPr>
              <w:rPr>
                <w:rFonts w:hint="default" w:ascii="Times New Roman" w:hAnsi="Times New Roman" w:cs="Times New Roman"/>
                <w:bCs/>
                <w:color w:val="auto"/>
                <w:sz w:val="24"/>
              </w:rPr>
            </w:pPr>
          </w:p>
          <w:p w14:paraId="30390211">
            <w:pPr>
              <w:pStyle w:val="2"/>
              <w:outlineLvl w:val="9"/>
              <w:rPr>
                <w:rFonts w:hint="default" w:ascii="Times New Roman" w:hAnsi="Times New Roman" w:cs="Times New Roman"/>
                <w:bCs/>
                <w:color w:val="auto"/>
                <w:sz w:val="24"/>
              </w:rPr>
            </w:pPr>
          </w:p>
          <w:p w14:paraId="2AE419F7">
            <w:pPr>
              <w:rPr>
                <w:rFonts w:hint="default" w:ascii="Times New Roman" w:hAnsi="Times New Roman" w:cs="Times New Roman"/>
                <w:bCs/>
                <w:color w:val="auto"/>
                <w:sz w:val="24"/>
              </w:rPr>
            </w:pPr>
          </w:p>
          <w:p w14:paraId="023DC306">
            <w:pPr>
              <w:rPr>
                <w:rFonts w:hint="default" w:ascii="Times New Roman" w:hAnsi="Times New Roman" w:cs="Times New Roman"/>
                <w:bCs/>
                <w:color w:val="auto"/>
                <w:sz w:val="24"/>
              </w:rPr>
            </w:pPr>
          </w:p>
          <w:p w14:paraId="05900607">
            <w:pPr>
              <w:pStyle w:val="2"/>
              <w:outlineLvl w:val="9"/>
              <w:rPr>
                <w:rFonts w:hint="default" w:ascii="Times New Roman" w:hAnsi="Times New Roman" w:cs="Times New Roman"/>
                <w:color w:val="auto"/>
              </w:rPr>
            </w:pPr>
          </w:p>
          <w:p w14:paraId="733654AA">
            <w:pPr>
              <w:rPr>
                <w:rFonts w:hint="default" w:ascii="Times New Roman" w:hAnsi="Times New Roman" w:cs="Times New Roman"/>
                <w:color w:val="auto"/>
              </w:rPr>
            </w:pPr>
          </w:p>
          <w:p w14:paraId="293A7299">
            <w:pPr>
              <w:pStyle w:val="2"/>
              <w:outlineLvl w:val="9"/>
              <w:rPr>
                <w:rFonts w:hint="default" w:ascii="Times New Roman" w:hAnsi="Times New Roman" w:cs="Times New Roman"/>
                <w:color w:val="auto"/>
              </w:rPr>
            </w:pPr>
          </w:p>
          <w:p w14:paraId="20ACD07F">
            <w:pPr>
              <w:rPr>
                <w:rFonts w:hint="default" w:ascii="Times New Roman" w:hAnsi="Times New Roman" w:cs="Times New Roman"/>
                <w:color w:val="auto"/>
              </w:rPr>
            </w:pPr>
          </w:p>
          <w:p w14:paraId="4829313C">
            <w:pPr>
              <w:pStyle w:val="2"/>
              <w:outlineLvl w:val="9"/>
              <w:rPr>
                <w:rFonts w:hint="default" w:ascii="Times New Roman" w:hAnsi="Times New Roman" w:cs="Times New Roman"/>
                <w:color w:val="auto"/>
              </w:rPr>
            </w:pPr>
          </w:p>
          <w:p w14:paraId="55653AE5">
            <w:pPr>
              <w:pStyle w:val="2"/>
              <w:outlineLvl w:val="9"/>
              <w:rPr>
                <w:rFonts w:hint="default" w:ascii="Times New Roman" w:hAnsi="Times New Roman" w:cs="Times New Roman"/>
                <w:color w:val="auto"/>
              </w:rPr>
            </w:pPr>
          </w:p>
        </w:tc>
      </w:tr>
    </w:tbl>
    <w:p w14:paraId="0956308F">
      <w:pPr>
        <w:pStyle w:val="22"/>
        <w:jc w:val="center"/>
        <w:rPr>
          <w:rFonts w:hint="default" w:ascii="Times New Roman" w:hAnsi="Times New Roman" w:eastAsia="黑体" w:cs="Times New Roman"/>
          <w:snapToGrid w:val="0"/>
          <w:color w:val="auto"/>
          <w:sz w:val="36"/>
          <w:szCs w:val="36"/>
        </w:rPr>
        <w:sectPr>
          <w:pgSz w:w="11905" w:h="16838"/>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276"/>
        </w:sectPr>
      </w:pPr>
    </w:p>
    <w:p w14:paraId="62D2D78E">
      <w:pPr>
        <w:pStyle w:val="22"/>
        <w:keepNext w:val="0"/>
        <w:keepLines w:val="0"/>
        <w:widowControl/>
        <w:numPr>
          <w:ilvl w:val="0"/>
          <w:numId w:val="2"/>
        </w:numPr>
        <w:spacing w:line="360" w:lineRule="auto"/>
        <w:jc w:val="center"/>
        <w:rPr>
          <w:rFonts w:hint="default" w:ascii="Times New Roman" w:hAnsi="Times New Roman" w:eastAsia="黑体" w:cs="Times New Roman"/>
          <w:b w:val="0"/>
          <w:bCs w:val="0"/>
          <w:snapToGrid w:val="0"/>
          <w:color w:val="auto"/>
          <w:kern w:val="0"/>
          <w:sz w:val="30"/>
          <w:szCs w:val="30"/>
          <w:lang w:val="en-US" w:eastAsia="zh-CN" w:bidi="ar-SA"/>
        </w:rPr>
      </w:pPr>
      <w:bookmarkStart w:id="16" w:name="_Toc22526"/>
      <w:bookmarkStart w:id="17" w:name="_Toc18299"/>
      <w:r>
        <w:rPr>
          <w:rFonts w:hint="default" w:ascii="Times New Roman" w:hAnsi="Times New Roman" w:eastAsia="黑体" w:cs="Times New Roman"/>
          <w:b w:val="0"/>
          <w:bCs w:val="0"/>
          <w:snapToGrid w:val="0"/>
          <w:color w:val="auto"/>
          <w:kern w:val="0"/>
          <w:sz w:val="30"/>
          <w:szCs w:val="30"/>
          <w:lang w:val="en-US" w:eastAsia="zh-CN" w:bidi="ar-SA"/>
        </w:rPr>
        <w:t>主要生态环境保护措施</w:t>
      </w:r>
    </w:p>
    <w:bookmarkEnd w:id="16"/>
    <w:bookmarkEnd w:id="17"/>
    <w:tbl>
      <w:tblPr>
        <w:tblStyle w:val="25"/>
        <w:tblW w:w="92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3A87C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noWrap w:val="0"/>
            <w:tcMar>
              <w:left w:w="28" w:type="dxa"/>
              <w:right w:w="28" w:type="dxa"/>
            </w:tcMar>
            <w:vAlign w:val="center"/>
          </w:tcPr>
          <w:p w14:paraId="7B23AFCF">
            <w:pPr>
              <w:adjustRightInd w:val="0"/>
              <w:snapToGrid w:val="0"/>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施工期生态环境保护措施</w:t>
            </w:r>
          </w:p>
        </w:tc>
        <w:tc>
          <w:tcPr>
            <w:tcW w:w="8457" w:type="dxa"/>
            <w:noWrap w:val="0"/>
            <w:vAlign w:val="top"/>
          </w:tcPr>
          <w:p w14:paraId="6F1BD591">
            <w:pPr>
              <w:widowControl/>
              <w:numPr>
                <w:ilvl w:val="0"/>
                <w:numId w:val="13"/>
              </w:numPr>
              <w:autoSpaceDE w:val="0"/>
              <w:autoSpaceDN w:val="0"/>
              <w:spacing w:before="0" w:after="0"/>
              <w:jc w:val="left"/>
              <w:rPr>
                <w:rFonts w:hint="default" w:ascii="Times New Roman" w:hAnsi="Times New Roman" w:eastAsia="黑体" w:cs="Times New Roman"/>
                <w:color w:val="auto"/>
                <w:spacing w:val="0"/>
                <w:kern w:val="0"/>
                <w:sz w:val="24"/>
                <w:highlight w:val="none"/>
              </w:rPr>
            </w:pPr>
            <w:r>
              <w:rPr>
                <w:rFonts w:hint="default" w:ascii="Times New Roman" w:hAnsi="Times New Roman" w:eastAsia="黑体" w:cs="Times New Roman"/>
                <w:b w:val="0"/>
                <w:bCs w:val="0"/>
                <w:color w:val="auto"/>
                <w:spacing w:val="0"/>
                <w:kern w:val="0"/>
                <w:sz w:val="24"/>
                <w:highlight w:val="none"/>
              </w:rPr>
              <w:t>生态保护措施</w:t>
            </w:r>
          </w:p>
          <w:p w14:paraId="7834295A">
            <w:pPr>
              <w:kinsoku w:val="0"/>
              <w:wordWrap w:val="0"/>
              <w:topLinePunct/>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根据施工期生态环境影响范围、程度，建设单位实施了以下生态环境保护措施：</w:t>
            </w:r>
          </w:p>
          <w:p w14:paraId="5ED35576">
            <w:pPr>
              <w:kinsoku w:val="0"/>
              <w:wordWrap w:val="0"/>
              <w:topLinePunct/>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w:t>
            </w:r>
            <w:r>
              <w:rPr>
                <w:rFonts w:hint="default" w:ascii="Times New Roman" w:hAnsi="Times New Roman" w:eastAsia="宋体" w:cs="Times New Roman"/>
                <w:color w:val="auto"/>
                <w:sz w:val="24"/>
                <w:lang w:val="en-US" w:eastAsia="zh-CN"/>
              </w:rPr>
              <w:t>工程占地避让措施</w:t>
            </w:r>
          </w:p>
          <w:p w14:paraId="2EC6E4A1">
            <w:pPr>
              <w:kinsoku w:val="0"/>
              <w:wordWrap w:val="0"/>
              <w:topLinePunct/>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①优化工程布置，工程</w:t>
            </w:r>
            <w:r>
              <w:rPr>
                <w:rFonts w:hint="default" w:ascii="Times New Roman" w:hAnsi="Times New Roman" w:cs="Times New Roman"/>
                <w:color w:val="auto"/>
                <w:sz w:val="24"/>
                <w:lang w:val="en-US" w:eastAsia="zh-CN"/>
              </w:rPr>
              <w:t>临时</w:t>
            </w:r>
            <w:r>
              <w:rPr>
                <w:rFonts w:hint="default" w:ascii="Times New Roman" w:hAnsi="Times New Roman" w:eastAsia="宋体" w:cs="Times New Roman"/>
                <w:color w:val="auto"/>
                <w:sz w:val="24"/>
                <w:lang w:val="en-US" w:eastAsia="zh-CN"/>
              </w:rPr>
              <w:t>占地布设在植被覆盖度低的地段，减少对沿线自然生态和植被的破坏。</w:t>
            </w:r>
          </w:p>
          <w:p w14:paraId="754986BE">
            <w:pPr>
              <w:kinsoku w:val="0"/>
              <w:wordWrap w:val="0"/>
              <w:topLinePunct/>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②严格按照设计文件确定施工占地土地范围，开工前对施工临时设施的规划要进行严格的审查。</w:t>
            </w:r>
          </w:p>
          <w:p w14:paraId="637000AF">
            <w:pPr>
              <w:kinsoku w:val="0"/>
              <w:wordWrap w:val="0"/>
              <w:topLinePunct/>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③施工中尽量减少对自然环境的影响，合理规划施工场地、固定行车路线，施工车辆和施工机械按规定路线行驶，不得随意碾压线路以外，限制扩大人为活动范围，侵占地表植被。</w:t>
            </w:r>
          </w:p>
          <w:p w14:paraId="407C182E">
            <w:pPr>
              <w:pStyle w:val="39"/>
              <w:adjustRightInd/>
              <w:snapToGrid/>
              <w:spacing w:beforeLines="0" w:afterLines="0" w:line="240" w:lineRule="auto"/>
              <w:ind w:firstLine="510" w:firstLineChars="200"/>
              <w:jc w:val="both"/>
              <w:rPr>
                <w:rFonts w:hint="default" w:ascii="Times New Roman" w:hAnsi="Times New Roman" w:eastAsia="宋体"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植被生态恢复</w:t>
            </w:r>
            <w:r>
              <w:rPr>
                <w:rFonts w:hint="default" w:ascii="Times New Roman" w:hAnsi="Times New Roman" w:eastAsia="宋体" w:cs="Times New Roman"/>
                <w:color w:val="auto"/>
                <w:sz w:val="24"/>
              </w:rPr>
              <w:t>措施</w:t>
            </w:r>
          </w:p>
          <w:p w14:paraId="1920FA67">
            <w:pPr>
              <w:pStyle w:val="34"/>
              <w:keepNext w:val="0"/>
              <w:keepLines w:val="0"/>
              <w:pageBreakBefore w:val="0"/>
              <w:widowControl w:val="0"/>
              <w:kinsoku/>
              <w:wordWrap/>
              <w:overflowPunct/>
              <w:topLinePunct w:val="0"/>
              <w:bidi w:val="0"/>
              <w:adjustRightInd/>
              <w:snapToGrid/>
              <w:spacing w:line="240" w:lineRule="auto"/>
              <w:ind w:firstLine="51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①植被生态恢复责任范围</w:t>
            </w:r>
          </w:p>
          <w:p w14:paraId="11CA70B8">
            <w:pPr>
              <w:pStyle w:val="34"/>
              <w:keepNext w:val="0"/>
              <w:keepLines w:val="0"/>
              <w:pageBreakBefore w:val="0"/>
              <w:widowControl w:val="0"/>
              <w:kinsoku/>
              <w:wordWrap/>
              <w:overflowPunct/>
              <w:topLinePunct w:val="0"/>
              <w:bidi w:val="0"/>
              <w:adjustRightInd/>
              <w:snapToGrid/>
              <w:spacing w:line="240" w:lineRule="auto"/>
              <w:ind w:firstLine="51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开发建设项目水土流失防治责任范围是指项目法人承担预防和治理的建设和影响范围。项目建设区主要包括临时征用土地范围，直接影响区指因项目生产建设活动可能造成水土流失及危害的影响范围。按照《开发建设项目水土保持方案技术规范》及相关的法律、法规要求，经现场勘察后进行综合界定。</w:t>
            </w:r>
          </w:p>
          <w:p w14:paraId="7E620D1F">
            <w:pPr>
              <w:pStyle w:val="34"/>
              <w:keepNext w:val="0"/>
              <w:keepLines w:val="0"/>
              <w:pageBreakBefore w:val="0"/>
              <w:widowControl w:val="0"/>
              <w:kinsoku/>
              <w:wordWrap/>
              <w:overflowPunct/>
              <w:topLinePunct w:val="0"/>
              <w:bidi w:val="0"/>
              <w:adjustRightInd/>
              <w:snapToGrid/>
              <w:spacing w:line="240" w:lineRule="auto"/>
              <w:ind w:firstLine="51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沙坡头区寺口子矿山地质环境保护与修复治理工程</w:t>
            </w:r>
            <w:r>
              <w:rPr>
                <w:rFonts w:hint="default" w:ascii="Times New Roman" w:hAnsi="Times New Roman" w:cs="Times New Roman"/>
                <w:color w:val="auto"/>
                <w:highlight w:val="none"/>
              </w:rPr>
              <w:t>初步设计》及其批复（</w:t>
            </w:r>
            <w:r>
              <w:rPr>
                <w:rFonts w:hint="default" w:ascii="Times New Roman" w:hAnsi="Times New Roman" w:cs="Times New Roman"/>
                <w:color w:val="auto"/>
                <w:highlight w:val="none"/>
                <w:lang w:val="en-US" w:eastAsia="zh-CN"/>
              </w:rPr>
              <w:t>卫沙</w:t>
            </w:r>
            <w:r>
              <w:rPr>
                <w:rFonts w:hint="default" w:ascii="Times New Roman" w:hAnsi="Times New Roman" w:cs="Times New Roman"/>
                <w:color w:val="auto"/>
                <w:highlight w:val="none"/>
              </w:rPr>
              <w:t>发改</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rPr>
              <w:t>审</w:t>
            </w:r>
            <w:r>
              <w:rPr>
                <w:rFonts w:hint="default" w:ascii="Times New Roman" w:hAnsi="Times New Roman" w:cs="Times New Roman"/>
                <w:color w:val="auto"/>
                <w:highlight w:val="none"/>
                <w:lang w:val="en-US" w:eastAsia="zh-CN"/>
              </w:rPr>
              <w:t>批</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rPr>
              <w:t>发[202</w:t>
            </w:r>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rPr>
              <w:t>3</w:t>
            </w:r>
            <w:r>
              <w:rPr>
                <w:rFonts w:hint="default" w:ascii="Times New Roman" w:hAnsi="Times New Roman" w:cs="Times New Roman"/>
                <w:color w:val="auto"/>
                <w:highlight w:val="none"/>
              </w:rPr>
              <w:t>5号），工程水土流失防治责任范围为</w:t>
            </w:r>
            <w:r>
              <w:rPr>
                <w:rFonts w:hint="default" w:ascii="Times New Roman" w:hAnsi="Times New Roman" w:cs="Times New Roman"/>
                <w:color w:val="auto"/>
                <w:highlight w:val="none"/>
                <w:lang w:val="en-US" w:eastAsia="zh-CN"/>
              </w:rPr>
              <w:t>治理区</w:t>
            </w:r>
            <w:r>
              <w:rPr>
                <w:rFonts w:hint="default" w:ascii="Times New Roman" w:hAnsi="Times New Roman" w:cs="Times New Roman"/>
                <w:color w:val="auto"/>
                <w:kern w:val="0"/>
                <w:sz w:val="24"/>
                <w:szCs w:val="24"/>
                <w:vertAlign w:val="baseline"/>
                <w:lang w:val="en-US" w:eastAsia="zh-CN" w:bidi="ar"/>
              </w:rPr>
              <w:t>60980.94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1521AF8A">
            <w:pPr>
              <w:pStyle w:val="34"/>
              <w:keepNext w:val="0"/>
              <w:keepLines w:val="0"/>
              <w:pageBreakBefore w:val="0"/>
              <w:widowControl w:val="0"/>
              <w:kinsoku/>
              <w:wordWrap/>
              <w:overflowPunct/>
              <w:topLinePunct w:val="0"/>
              <w:bidi w:val="0"/>
              <w:adjustRightInd/>
              <w:snapToGrid/>
              <w:spacing w:line="240" w:lineRule="auto"/>
              <w:ind w:firstLine="51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②植物保护措施</w:t>
            </w:r>
          </w:p>
          <w:p w14:paraId="2A9A80A6">
            <w:pPr>
              <w:pStyle w:val="34"/>
              <w:keepNext w:val="0"/>
              <w:keepLines w:val="0"/>
              <w:pageBreakBefore w:val="0"/>
              <w:widowControl w:val="0"/>
              <w:kinsoku/>
              <w:wordWrap/>
              <w:overflowPunct/>
              <w:topLinePunct w:val="0"/>
              <w:bidi w:val="0"/>
              <w:adjustRightInd/>
              <w:snapToGrid/>
              <w:spacing w:line="240" w:lineRule="auto"/>
              <w:ind w:firstLine="51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首先采取预防保护措施，通过进一步优化施工布置，控制施工占地，减少对工程地区现有植被的占压和破坏:加强施工管理，优化施工工艺，减轻工程活动对当地植被的不利影响，维护工程及周边区域的生态完整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加大宣传教育，提高工人的生态保护意识。</w:t>
            </w:r>
          </w:p>
          <w:p w14:paraId="3E262BDB">
            <w:pPr>
              <w:pStyle w:val="34"/>
              <w:keepNext w:val="0"/>
              <w:keepLines w:val="0"/>
              <w:pageBreakBefore w:val="0"/>
              <w:widowControl w:val="0"/>
              <w:kinsoku/>
              <w:wordWrap/>
              <w:overflowPunct/>
              <w:topLinePunct w:val="0"/>
              <w:bidi w:val="0"/>
              <w:adjustRightInd/>
              <w:snapToGrid/>
              <w:spacing w:line="240" w:lineRule="auto"/>
              <w:ind w:firstLine="51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③植物恢复措施</w:t>
            </w:r>
          </w:p>
          <w:p w14:paraId="6C7AC879">
            <w:pPr>
              <w:pStyle w:val="34"/>
              <w:keepNext w:val="0"/>
              <w:keepLines w:val="0"/>
              <w:pageBreakBefore w:val="0"/>
              <w:widowControl w:val="0"/>
              <w:kinsoku/>
              <w:wordWrap/>
              <w:overflowPunct/>
              <w:topLinePunct w:val="0"/>
              <w:bidi w:val="0"/>
              <w:adjustRightInd/>
              <w:snapToGrid/>
              <w:spacing w:line="240" w:lineRule="auto"/>
              <w:ind w:firstLine="51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植被恢复的物种选择应从当地自然条件出发，既要达到快速恢复的目的，又要考虑适宜性，同时需防止生态入侵问題。结合项目区实际情况，适合项目区生长的草植物主要有沙蒿、芨芨草、沙打旺，选择春夏季播种，同时需注意前期洒水、防虫，有利于保证草籽存活率，使得当地的植物生态系统尽快恢复。</w:t>
            </w:r>
          </w:p>
          <w:p w14:paraId="6A2AC1A4">
            <w:pPr>
              <w:pStyle w:val="34"/>
              <w:keepNext w:val="0"/>
              <w:keepLines w:val="0"/>
              <w:pageBreakBefore w:val="0"/>
              <w:widowControl w:val="0"/>
              <w:kinsoku/>
              <w:wordWrap/>
              <w:overflowPunct/>
              <w:topLinePunct w:val="0"/>
              <w:bidi w:val="0"/>
              <w:adjustRightInd/>
              <w:snapToGrid/>
              <w:spacing w:line="240" w:lineRule="auto"/>
              <w:ind w:firstLine="51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本次治理工程植被恢复以种草为主，草籽选择冰草与沙蒿混播，采用撒播种草方式，将冰草与沙蒿按1：1等比例混合撒播，播种量为36kg/hm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。播种前草籽需进行处理，一般采用晒种、浸泡、破壳，以促进发芽。草籽必须是一级种，并且要有“一签、三证”，即要有标签、生产经营许可证、质量合格证和植物检疫证，</w:t>
            </w:r>
          </w:p>
          <w:p w14:paraId="61D776C4">
            <w:pPr>
              <w:pStyle w:val="34"/>
              <w:keepNext w:val="0"/>
              <w:keepLines w:val="0"/>
              <w:pageBreakBefore w:val="0"/>
              <w:widowControl w:val="0"/>
              <w:kinsoku/>
              <w:wordWrap/>
              <w:overflowPunct/>
              <w:topLinePunct w:val="0"/>
              <w:bidi w:val="0"/>
              <w:adjustRightInd/>
              <w:snapToGrid/>
              <w:spacing w:line="240" w:lineRule="auto"/>
              <w:ind w:firstLine="51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对区域</w:t>
            </w:r>
            <w:r>
              <w:rPr>
                <w:rFonts w:hint="default" w:ascii="Times New Roman" w:hAnsi="Times New Roman" w:cs="Times New Roman"/>
                <w:color w:val="auto"/>
                <w:highlight w:val="none"/>
                <w:lang w:eastAsia="zh-CN"/>
              </w:rPr>
              <w:t>动</w:t>
            </w:r>
            <w:r>
              <w:rPr>
                <w:rFonts w:hint="default" w:ascii="Times New Roman" w:hAnsi="Times New Roman" w:cs="Times New Roman"/>
                <w:color w:val="auto"/>
                <w:highlight w:val="none"/>
              </w:rPr>
              <w:t>物</w:t>
            </w:r>
            <w:r>
              <w:rPr>
                <w:rFonts w:hint="default" w:ascii="Times New Roman" w:hAnsi="Times New Roman" w:cs="Times New Roman"/>
                <w:color w:val="auto"/>
                <w:highlight w:val="none"/>
                <w:lang w:val="en-US" w:eastAsia="zh-CN"/>
              </w:rPr>
              <w:t>保护措施</w:t>
            </w:r>
          </w:p>
          <w:p w14:paraId="60FA87F0">
            <w:pPr>
              <w:keepNext w:val="0"/>
              <w:keepLines w:val="0"/>
              <w:pageBreakBefore w:val="0"/>
              <w:widowControl w:val="0"/>
              <w:kinsoku/>
              <w:wordWrap/>
              <w:overflowPunct/>
              <w:topLinePunct w:val="0"/>
              <w:autoSpaceDE/>
              <w:autoSpaceDN/>
              <w:bidi w:val="0"/>
              <w:adjustRightInd/>
              <w:snapToGrid/>
              <w:spacing w:line="240" w:lineRule="auto"/>
              <w:ind w:firstLine="51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b w:val="0"/>
                <w:color w:val="auto"/>
                <w:sz w:val="24"/>
                <w:szCs w:val="24"/>
                <w:highlight w:val="none"/>
                <w:lang w:val="en-US" w:eastAsia="zh-CN" w:bidi="ar-SA"/>
              </w:rPr>
              <w:t>施工期间对动物的影响主要表现为施工期间地表清理对动物活动场所的破坏以及施工期间的机械噪声给动物带来惊扰，部分动物将暂时离开以躲避人类的活动；施工对植被的破坏也将迫使动物离开栖息环境而迁移到周边区域。上述影响随着施工活动的结束和施工完成后绿化工程的完成而结束，动物的种类和数量基本不会减少。</w:t>
            </w:r>
          </w:p>
          <w:p w14:paraId="3C9A752A">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rPr>
              <w:t>）水土流失防治措施</w:t>
            </w:r>
          </w:p>
          <w:p w14:paraId="570027B8">
            <w:pPr>
              <w:pStyle w:val="34"/>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10" w:firstLineChars="200"/>
              <w:jc w:val="left"/>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①工程措施</w:t>
            </w:r>
          </w:p>
          <w:p w14:paraId="1F5C6473">
            <w:pPr>
              <w:keepNext w:val="0"/>
              <w:keepLines w:val="0"/>
              <w:pageBreakBefore w:val="0"/>
              <w:widowControl w:val="0"/>
              <w:kinsoku/>
              <w:wordWrap/>
              <w:overflowPunct/>
              <w:topLinePunct w:val="0"/>
              <w:autoSpaceDE/>
              <w:autoSpaceDN/>
              <w:bidi w:val="0"/>
              <w:adjustRightInd/>
              <w:snapToGrid/>
              <w:spacing w:line="240" w:lineRule="auto"/>
              <w:ind w:firstLine="51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依据《水土保持综合治理技术规范》（GB/T16453）相关规定，布设水土保持工程措施。根据主体工程设计资料分析，结合项目所在的地形地貌条件，针对各分区的水土流失特点提出防护重点和要求，设计相应的防护措施。</w:t>
            </w:r>
          </w:p>
          <w:p w14:paraId="18091A11">
            <w:pPr>
              <w:keepNext w:val="0"/>
              <w:keepLines w:val="0"/>
              <w:pageBreakBefore w:val="0"/>
              <w:widowControl w:val="0"/>
              <w:kinsoku/>
              <w:wordWrap/>
              <w:overflowPunct/>
              <w:topLinePunct w:val="0"/>
              <w:autoSpaceDE/>
              <w:autoSpaceDN/>
              <w:bidi w:val="0"/>
              <w:adjustRightInd/>
              <w:snapToGrid/>
              <w:spacing w:line="240" w:lineRule="auto"/>
              <w:ind w:firstLine="51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本项目属矿山修复工程项目，主要建设内容为：开挖回填、石方工程、撒播草籽、草地养护、种植草覆土工程等生态修复措施。施工结束后将对种植的植物进行养护，可减轻开采区水土流失情况。</w:t>
            </w:r>
          </w:p>
          <w:p w14:paraId="26D191ED">
            <w:pPr>
              <w:pStyle w:val="1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10" w:firstLineChars="200"/>
              <w:jc w:val="both"/>
              <w:textAlignment w:val="auto"/>
              <w:outlineLvl w:val="9"/>
              <w:rPr>
                <w:rFonts w:hint="default" w:ascii="Times New Roman" w:hAnsi="Times New Roman" w:eastAsia="宋体" w:cs="Times New Roman"/>
                <w:b w:val="0"/>
                <w:bCs/>
                <w:color w:val="auto"/>
                <w:sz w:val="24"/>
                <w:szCs w:val="32"/>
                <w:highlight w:val="none"/>
                <w:lang w:eastAsia="zh-CN"/>
              </w:rPr>
            </w:pPr>
            <w:r>
              <w:rPr>
                <w:rFonts w:hint="default" w:ascii="Times New Roman" w:hAnsi="Times New Roman" w:eastAsia="宋体" w:cs="Times New Roman"/>
                <w:b w:val="0"/>
                <w:bCs/>
                <w:color w:val="auto"/>
                <w:sz w:val="24"/>
                <w:szCs w:val="32"/>
                <w:highlight w:val="none"/>
                <w:lang w:eastAsia="zh-CN"/>
              </w:rPr>
              <w:t>②植物措施</w:t>
            </w:r>
          </w:p>
          <w:p w14:paraId="7B9C5F4D">
            <w:pPr>
              <w:keepNext w:val="0"/>
              <w:keepLines w:val="0"/>
              <w:pageBreakBefore w:val="0"/>
              <w:widowControl w:val="0"/>
              <w:kinsoku/>
              <w:wordWrap/>
              <w:overflowPunct/>
              <w:topLinePunct w:val="0"/>
              <w:autoSpaceDE/>
              <w:autoSpaceDN/>
              <w:bidi w:val="0"/>
              <w:adjustRightInd/>
              <w:snapToGrid/>
              <w:spacing w:line="240" w:lineRule="auto"/>
              <w:ind w:firstLine="51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实施过程中禁止施工机械及施工人员破坏临时施工场地用地范围以外的现有植被，保护好临时施工场地周边已有的自然植被；工程结束后立即对临时施工场地占地区域进行土地绿化，逐步恢复其原有的水土保持功能，有效改善区域生态环境。本次治理工程植被恢复以种草为主，草籽选择冰草与沙蒿混播，采用撒播种草方式，将冰草与沙蒿按1：1等比例混合撒播，播种量为36kg/h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。播种前草籽需进行处理，一般采用晒种、浸泡、破壳，以促进发芽。</w:t>
            </w:r>
          </w:p>
          <w:p w14:paraId="6BEC135A">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10" w:firstLineChars="200"/>
              <w:jc w:val="both"/>
              <w:textAlignment w:val="auto"/>
              <w:outlineLvl w:val="9"/>
              <w:rPr>
                <w:rFonts w:hint="default" w:ascii="Times New Roman" w:hAnsi="Times New Roman" w:eastAsia="宋体" w:cs="Times New Roman"/>
                <w:b w:val="0"/>
                <w:bCs/>
                <w:color w:val="auto"/>
                <w:sz w:val="24"/>
                <w:szCs w:val="32"/>
                <w:highlight w:val="none"/>
              </w:rPr>
            </w:pPr>
            <w:r>
              <w:rPr>
                <w:rFonts w:hint="default" w:ascii="Times New Roman" w:hAnsi="Times New Roman" w:eastAsia="宋体" w:cs="Times New Roman"/>
                <w:b w:val="0"/>
                <w:bCs/>
                <w:color w:val="auto"/>
                <w:sz w:val="24"/>
                <w:szCs w:val="32"/>
                <w:highlight w:val="none"/>
              </w:rPr>
              <w:t>③临时措施</w:t>
            </w:r>
          </w:p>
          <w:p w14:paraId="63D5A81F">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10" w:firstLineChars="200"/>
              <w:jc w:val="both"/>
              <w:textAlignment w:val="auto"/>
              <w:outlineLvl w:val="9"/>
              <w:rPr>
                <w:rFonts w:hint="default" w:ascii="Times New Roman" w:hAnsi="Times New Roman" w:cs="Times New Roman"/>
                <w:b w:val="0"/>
                <w:bCs/>
                <w:color w:val="auto"/>
                <w:highlight w:val="none"/>
              </w:rPr>
            </w:pPr>
            <w:r>
              <w:rPr>
                <w:rFonts w:hint="default" w:ascii="Times New Roman" w:hAnsi="Times New Roman" w:eastAsia="宋体" w:cs="Times New Roman"/>
                <w:b w:val="0"/>
                <w:bCs/>
                <w:color w:val="auto"/>
                <w:sz w:val="24"/>
                <w:szCs w:val="32"/>
                <w:highlight w:val="none"/>
              </w:rPr>
              <w:t>临时堆土按要求运至指定地点堆放，堆土裸露表面拍实采取防尘网苫盖措施；施工道路临时措施布设根据其周边环境、规模大小等情况的分析，采取洒水降尘措施。</w:t>
            </w:r>
          </w:p>
          <w:p w14:paraId="226BFEAD">
            <w:pPr>
              <w:pStyle w:val="34"/>
              <w:keepNext w:val="0"/>
              <w:keepLines w:val="0"/>
              <w:pageBreakBefore w:val="0"/>
              <w:widowControl w:val="0"/>
              <w:kinsoku/>
              <w:wordWrap/>
              <w:overflowPunct/>
              <w:topLinePunct w:val="0"/>
              <w:bidi w:val="0"/>
              <w:adjustRightInd/>
              <w:snapToGrid/>
              <w:spacing w:line="240" w:lineRule="auto"/>
              <w:ind w:firstLine="510" w:firstLineChars="200"/>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highlight w:val="none"/>
              </w:rPr>
              <w:t>本项目在施工过程中通过采用工程措施、植物措施、临时措施相结合的综合防护措施后，对项目区域内的水土流失影响较小</w:t>
            </w:r>
            <w:r>
              <w:rPr>
                <w:rFonts w:hint="default" w:ascii="Times New Roman" w:hAnsi="Times New Roman" w:cs="Times New Roman"/>
                <w:color w:val="auto"/>
                <w:highlight w:val="none"/>
                <w:lang w:eastAsia="zh-CN"/>
              </w:rPr>
              <w:t>，</w:t>
            </w:r>
            <w:r>
              <w:rPr>
                <w:rFonts w:hint="default" w:ascii="Times New Roman" w:hAnsi="Times New Roman" w:eastAsia="宋体" w:cs="Times New Roman"/>
                <w:bCs/>
                <w:color w:val="auto"/>
                <w:spacing w:val="10"/>
                <w:sz w:val="24"/>
                <w:szCs w:val="24"/>
              </w:rPr>
              <w:t>项目建设期间将对地表土体产生扰动，在采取有效的水土保持措施后可降低对土壤侵蚀的影响。</w:t>
            </w:r>
          </w:p>
          <w:p w14:paraId="756C9CBC">
            <w:pPr>
              <w:widowControl/>
              <w:numPr>
                <w:ilvl w:val="0"/>
                <w:numId w:val="13"/>
              </w:numPr>
              <w:autoSpaceDE w:val="0"/>
              <w:autoSpaceDN w:val="0"/>
              <w:spacing w:before="0" w:after="0"/>
              <w:jc w:val="left"/>
              <w:rPr>
                <w:rFonts w:hint="default" w:ascii="Times New Roman" w:hAnsi="Times New Roman" w:eastAsia="黑体" w:cs="Times New Roman"/>
                <w:color w:val="auto"/>
                <w:kern w:val="0"/>
                <w:sz w:val="24"/>
                <w:highlight w:val="none"/>
              </w:rPr>
            </w:pPr>
            <w:r>
              <w:rPr>
                <w:rFonts w:hint="default" w:ascii="Times New Roman" w:hAnsi="Times New Roman" w:eastAsia="黑体" w:cs="Times New Roman"/>
                <w:b w:val="0"/>
                <w:bCs w:val="0"/>
                <w:color w:val="auto"/>
                <w:kern w:val="0"/>
                <w:sz w:val="24"/>
                <w:highlight w:val="none"/>
              </w:rPr>
              <w:t>大气环境保护措施</w:t>
            </w:r>
          </w:p>
          <w:p w14:paraId="2AAE9515">
            <w:pPr>
              <w:pStyle w:val="20"/>
              <w:spacing w:line="240" w:lineRule="auto"/>
              <w:ind w:left="0" w:leftChars="0" w:firstLine="510" w:firstLineChars="200"/>
              <w:rPr>
                <w:rFonts w:hint="default" w:ascii="Times New Roman" w:hAnsi="Times New Roman" w:cs="Times New Roman"/>
                <w:color w:val="auto"/>
                <w:spacing w:val="0"/>
              </w:rPr>
            </w:pPr>
            <w:r>
              <w:rPr>
                <w:rFonts w:hint="default" w:ascii="Times New Roman" w:hAnsi="Times New Roman" w:cs="Times New Roman"/>
                <w:color w:val="auto"/>
                <w:spacing w:val="0"/>
              </w:rPr>
              <w:t>（1）扬尘</w:t>
            </w:r>
          </w:p>
          <w:p w14:paraId="4C6E49BA">
            <w:pPr>
              <w:pStyle w:val="20"/>
              <w:spacing w:line="240" w:lineRule="auto"/>
              <w:ind w:left="0" w:leftChars="0" w:firstLine="510" w:firstLineChars="200"/>
              <w:rPr>
                <w:rFonts w:hint="default" w:ascii="Times New Roman" w:hAnsi="Times New Roman" w:cs="Times New Roman"/>
                <w:color w:val="auto"/>
                <w:spacing w:val="0"/>
              </w:rPr>
            </w:pPr>
            <w:r>
              <w:rPr>
                <w:rFonts w:hint="default" w:ascii="Times New Roman" w:hAnsi="Times New Roman" w:cs="Times New Roman"/>
                <w:color w:val="auto"/>
                <w:spacing w:val="0"/>
              </w:rPr>
              <w:t>施工期间对大气环境的影响主要表现为施工期扬尘。施工开挖、施工材料装卸等会使作业点周围50m范围内产生较大的扬尘，其产生量和浓度与施工期的天气状况、施工防护程度、施工方式、物料粒态等有关。扬尘的产生具有时间变化程度大、漂移距离近、产生影响的距离和范围小的特征。因此，工程在施工过程中必须做好降尘措施。</w:t>
            </w:r>
          </w:p>
          <w:p w14:paraId="34E14502">
            <w:pPr>
              <w:pStyle w:val="20"/>
              <w:spacing w:line="240" w:lineRule="auto"/>
              <w:ind w:left="0" w:leftChars="0" w:firstLine="510" w:firstLineChars="200"/>
              <w:rPr>
                <w:rFonts w:hint="default" w:ascii="Times New Roman" w:hAnsi="Times New Roman" w:cs="Times New Roman"/>
                <w:color w:val="auto"/>
                <w:spacing w:val="0"/>
              </w:rPr>
            </w:pPr>
            <w:r>
              <w:rPr>
                <w:rFonts w:hint="default" w:ascii="Times New Roman" w:hAnsi="Times New Roman" w:cs="Times New Roman"/>
                <w:color w:val="auto"/>
                <w:spacing w:val="0"/>
              </w:rPr>
              <w:t>为使施工期间扬尘对周围环境的影响降至最低程度，根据国家、自治区《大气污染防治行动计划》的要求，针对本工程的施工特点，主要采取如下减缓措施：</w:t>
            </w:r>
          </w:p>
          <w:p w14:paraId="392ECBD8">
            <w:pPr>
              <w:pStyle w:val="20"/>
              <w:spacing w:line="240" w:lineRule="auto"/>
              <w:ind w:left="0" w:leftChars="0" w:firstLine="510" w:firstLineChars="200"/>
              <w:rPr>
                <w:rFonts w:hint="default" w:ascii="Times New Roman" w:hAnsi="Times New Roman" w:cs="Times New Roman"/>
                <w:color w:val="auto"/>
                <w:spacing w:val="0"/>
              </w:rPr>
            </w:pPr>
            <w:r>
              <w:rPr>
                <w:rFonts w:hint="default" w:ascii="Times New Roman" w:hAnsi="Times New Roman" w:cs="Times New Roman"/>
                <w:color w:val="auto"/>
                <w:spacing w:val="0"/>
              </w:rPr>
              <w:t>①</w:t>
            </w:r>
            <w:r>
              <w:rPr>
                <w:rFonts w:hint="default" w:ascii="Times New Roman" w:hAnsi="Times New Roman" w:cs="Times New Roman"/>
                <w:color w:val="auto"/>
                <w:spacing w:val="0"/>
                <w:lang w:val="en-US" w:eastAsia="zh-CN"/>
              </w:rPr>
              <w:t>制度保障。</w:t>
            </w:r>
            <w:r>
              <w:rPr>
                <w:rFonts w:hint="default" w:ascii="Times New Roman" w:hAnsi="Times New Roman" w:cs="Times New Roman"/>
                <w:color w:val="auto"/>
                <w:spacing w:val="0"/>
              </w:rPr>
              <w:t>建立完善建设施工扬尘防治专项措施报备制度。新开工程提交的安全文明施工保证措施。施工单位应根据《建设工程施工现场管理规定》的规定设置现场平面布置图、工程概况牌、安全生产牌、消防保卫牌、文明施工牌、环境保护牌、管理人员名单及监督电话牌等内容。</w:t>
            </w:r>
          </w:p>
          <w:p w14:paraId="6764B5A6">
            <w:pPr>
              <w:pStyle w:val="20"/>
              <w:spacing w:line="240" w:lineRule="auto"/>
              <w:ind w:left="0" w:leftChars="0" w:firstLine="510" w:firstLineChars="200"/>
              <w:rPr>
                <w:rFonts w:hint="default" w:ascii="Times New Roman" w:hAnsi="Times New Roman" w:eastAsia="宋体" w:cs="Times New Roman"/>
                <w:color w:val="auto"/>
                <w:spacing w:val="0"/>
                <w:lang w:eastAsia="zh-CN"/>
              </w:rPr>
            </w:pPr>
            <w:r>
              <w:rPr>
                <w:rFonts w:hint="default" w:ascii="Times New Roman" w:hAnsi="Times New Roman" w:cs="Times New Roman"/>
                <w:color w:val="auto"/>
                <w:spacing w:val="0"/>
              </w:rPr>
              <w:t>②</w:t>
            </w:r>
            <w:r>
              <w:rPr>
                <w:rFonts w:hint="default" w:ascii="Times New Roman" w:hAnsi="Times New Roman" w:cs="Times New Roman"/>
                <w:color w:val="auto"/>
                <w:spacing w:val="0"/>
                <w:lang w:val="en-US" w:eastAsia="zh-CN"/>
              </w:rPr>
              <w:t>规范操作。</w:t>
            </w:r>
            <w:r>
              <w:rPr>
                <w:rFonts w:hint="default" w:ascii="Times New Roman" w:hAnsi="Times New Roman" w:cs="Times New Roman"/>
                <w:color w:val="auto"/>
                <w:spacing w:val="0"/>
              </w:rPr>
              <w:t>施工作业应符合技术操作规程，落实扬尘污染防治措施；对施工现场进行科学管理，砂石料应统一堆放</w:t>
            </w:r>
            <w:r>
              <w:rPr>
                <w:rFonts w:hint="default" w:ascii="Times New Roman" w:hAnsi="Times New Roman" w:cs="Times New Roman"/>
                <w:color w:val="auto"/>
                <w:spacing w:val="0"/>
                <w:lang w:val="en-US" w:eastAsia="zh-CN"/>
              </w:rPr>
              <w:t>于砂石料存放区，砂石料存放区位于项目区内</w:t>
            </w:r>
            <w:r>
              <w:rPr>
                <w:rFonts w:hint="default" w:ascii="Times New Roman" w:hAnsi="Times New Roman" w:cs="Times New Roman"/>
                <w:color w:val="auto"/>
                <w:spacing w:val="0"/>
              </w:rPr>
              <w:t>，搬运时注意尽量减少扬尘，多余的砂石料及建筑材料应及时清运；施工单位应有专人负责逸散性材料、建筑垃圾、渣土等覆盖、洒水作业和车辆清洗作业。原料运输过程减少转运落差</w:t>
            </w:r>
            <w:r>
              <w:rPr>
                <w:rFonts w:hint="default" w:ascii="Times New Roman" w:hAnsi="Times New Roman" w:cs="Times New Roman"/>
                <w:color w:val="auto"/>
                <w:spacing w:val="0"/>
                <w:lang w:eastAsia="zh-CN"/>
              </w:rPr>
              <w:t>，</w:t>
            </w:r>
            <w:r>
              <w:rPr>
                <w:rFonts w:hint="default" w:ascii="Times New Roman" w:hAnsi="Times New Roman" w:cs="Times New Roman"/>
                <w:color w:val="auto"/>
                <w:spacing w:val="0"/>
              </w:rPr>
              <w:t>配备除尘器，并加强维护保养，使其始终处于良好工作状态</w:t>
            </w:r>
            <w:r>
              <w:rPr>
                <w:rFonts w:hint="default" w:ascii="Times New Roman" w:hAnsi="Times New Roman" w:cs="Times New Roman"/>
                <w:color w:val="auto"/>
                <w:spacing w:val="0"/>
                <w:lang w:eastAsia="zh-CN"/>
              </w:rPr>
              <w:t>。</w:t>
            </w:r>
          </w:p>
          <w:p w14:paraId="00542285">
            <w:pPr>
              <w:pStyle w:val="20"/>
              <w:spacing w:line="240" w:lineRule="auto"/>
              <w:ind w:left="0" w:leftChars="0" w:firstLine="510" w:firstLineChars="200"/>
              <w:rPr>
                <w:rFonts w:hint="default" w:ascii="Times New Roman" w:hAnsi="Times New Roman" w:eastAsia="宋体" w:cs="Times New Roman"/>
                <w:color w:val="auto"/>
                <w:spacing w:val="0"/>
                <w:lang w:val="en-US" w:eastAsia="zh-CN"/>
              </w:rPr>
            </w:pPr>
            <w:r>
              <w:rPr>
                <w:rFonts w:hint="default" w:ascii="Times New Roman" w:hAnsi="Times New Roman" w:cs="Times New Roman"/>
                <w:color w:val="auto"/>
                <w:spacing w:val="0"/>
                <w:lang w:val="en-US" w:eastAsia="zh-CN"/>
              </w:rPr>
              <w:t>③围挡封闭。施工围挡应沿施工现场四周连续设置，做到坚固、平稳、整洁、美观。施工围挡周边应保持卫生整洁，严禁大门、围挡外放置建筑材料等。工程结束前，不得拆除施工现场围挡。当妨碍施工必须拆除时，应设置临时围挡。</w:t>
            </w:r>
          </w:p>
          <w:p w14:paraId="4E70E1E6">
            <w:pPr>
              <w:pStyle w:val="20"/>
              <w:spacing w:line="240" w:lineRule="auto"/>
              <w:ind w:left="0" w:leftChars="0" w:firstLine="510" w:firstLineChars="200"/>
              <w:rPr>
                <w:rFonts w:hint="default" w:ascii="Times New Roman" w:hAnsi="Times New Roman" w:eastAsia="宋体" w:cs="Times New Roman"/>
                <w:color w:val="auto"/>
                <w:spacing w:val="0"/>
                <w:lang w:val="en-US" w:eastAsia="zh-CN"/>
              </w:rPr>
            </w:pPr>
            <w:r>
              <w:rPr>
                <w:rFonts w:hint="default" w:ascii="Times New Roman" w:hAnsi="Times New Roman" w:cs="Times New Roman"/>
                <w:color w:val="auto"/>
                <w:spacing w:val="0"/>
                <w:lang w:val="en-US" w:eastAsia="zh-CN"/>
              </w:rPr>
              <w:t>④物料苫盖。施工现场裸土应采取密目网覆盖措施。施工现场建筑材料和其他易飞扬的细颗粒建筑材料应密闭存放或采取密目网覆盖等措施。</w:t>
            </w:r>
          </w:p>
          <w:p w14:paraId="3DE7FAB3">
            <w:pPr>
              <w:pStyle w:val="20"/>
              <w:spacing w:line="240" w:lineRule="auto"/>
              <w:ind w:left="0" w:leftChars="0" w:firstLine="510" w:firstLineChars="200"/>
              <w:rPr>
                <w:rFonts w:hint="default" w:ascii="Times New Roman" w:hAnsi="Times New Roman" w:eastAsia="宋体" w:cs="Times New Roman"/>
                <w:color w:val="auto"/>
                <w:spacing w:val="0"/>
                <w:lang w:val="en-US" w:eastAsia="zh-CN"/>
              </w:rPr>
            </w:pPr>
            <w:r>
              <w:rPr>
                <w:rFonts w:hint="default" w:ascii="Times New Roman" w:hAnsi="Times New Roman" w:cs="Times New Roman"/>
                <w:color w:val="auto"/>
                <w:spacing w:val="0"/>
                <w:lang w:val="en-US" w:eastAsia="zh-CN"/>
              </w:rPr>
              <w:t>⑤洒水抑尘。施工现场应采用机械喷雾与人工洒水相结合的方式有效控制施工扬尘，临时堆场通过洒水降低物料含水率，施工现场主要道路两旁、扬尘作业场区及建筑物外立面设置喷淋降尘设施。</w:t>
            </w:r>
          </w:p>
          <w:p w14:paraId="1BD03DCF">
            <w:pPr>
              <w:pStyle w:val="20"/>
              <w:spacing w:line="240" w:lineRule="auto"/>
              <w:ind w:left="0" w:leftChars="0" w:firstLine="510" w:firstLineChars="200"/>
              <w:rPr>
                <w:rFonts w:hint="default" w:ascii="Times New Roman" w:hAnsi="Times New Roman" w:eastAsia="宋体" w:cs="Times New Roman"/>
                <w:color w:val="auto"/>
                <w:spacing w:val="0"/>
                <w:lang w:val="en-US" w:eastAsia="zh-CN"/>
              </w:rPr>
            </w:pPr>
            <w:r>
              <w:rPr>
                <w:rFonts w:hint="default" w:ascii="Times New Roman" w:hAnsi="Times New Roman" w:cs="Times New Roman"/>
                <w:color w:val="auto"/>
                <w:spacing w:val="0"/>
                <w:lang w:val="en-US" w:eastAsia="zh-CN"/>
              </w:rPr>
              <w:t>⑥运输密闭、清洗车辆。施工现场出入口应设置车辆冲洗设施，安排人员负责车辆冲洗，检查车辆密闭情况。土方作业时，施工现场出入口安排人员及时清扫。运输土石方、散装物料、建筑垃圾等车辆，密闭且冲洗后方可驶出施工现场，严禁车辆带泥上路。散装车辆装运土方的高度不得超过马槽的高度，文明装卸和驾驶，在装卸点须对散落在车顶、密目网外部等处的物料进行清扫。</w:t>
            </w:r>
          </w:p>
          <w:p w14:paraId="2905E64B">
            <w:pPr>
              <w:pStyle w:val="20"/>
              <w:spacing w:line="240" w:lineRule="auto"/>
              <w:ind w:left="0" w:leftChars="0" w:firstLine="510" w:firstLineChars="200"/>
              <w:rPr>
                <w:rFonts w:hint="default" w:ascii="Times New Roman" w:hAnsi="Times New Roman" w:eastAsia="宋体" w:cs="Times New Roman"/>
                <w:color w:val="auto"/>
                <w:spacing w:val="0"/>
                <w:lang w:val="en-US" w:eastAsia="zh-CN"/>
              </w:rPr>
            </w:pPr>
            <w:r>
              <w:rPr>
                <w:rFonts w:hint="default" w:ascii="Times New Roman" w:hAnsi="Times New Roman" w:cs="Times New Roman"/>
                <w:color w:val="auto"/>
                <w:spacing w:val="0"/>
                <w:lang w:val="en-US" w:eastAsia="zh-CN"/>
              </w:rPr>
              <w:t>⑦道路硬化、路面清洁。施工现场出入口及现场内主要道路进行砾石硬质覆盖，及时清扫施工现场道路，保持路面整洁；加强道路管理和维护，经常洒水降尘，保证道路的良好运行状态原料运输过程采取覆盖措施，粉状细颗粒材料应采用密封罐车；施工区控制车速，环境空气敏感点附近降低车速行使。</w:t>
            </w:r>
          </w:p>
          <w:p w14:paraId="629D66C0">
            <w:pPr>
              <w:pStyle w:val="20"/>
              <w:spacing w:line="240" w:lineRule="auto"/>
              <w:ind w:left="0" w:leftChars="0" w:firstLine="510" w:firstLineChars="200"/>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⑧</w:t>
            </w:r>
            <w:r>
              <w:rPr>
                <w:rFonts w:hint="default" w:ascii="Times New Roman" w:hAnsi="Times New Roman" w:cs="Times New Roman"/>
                <w:color w:val="auto"/>
                <w:spacing w:val="0"/>
              </w:rPr>
              <w:t>严禁在大风天气下施工，风速超过五级时应停止施工作业，同时作业处覆以防尘网。</w:t>
            </w:r>
          </w:p>
          <w:p w14:paraId="7306510C">
            <w:pPr>
              <w:pStyle w:val="20"/>
              <w:spacing w:line="240" w:lineRule="auto"/>
              <w:ind w:left="0" w:leftChars="0" w:firstLine="510" w:firstLineChars="200"/>
              <w:rPr>
                <w:rFonts w:hint="default" w:ascii="Times New Roman" w:hAnsi="Times New Roman" w:cs="Times New Roman"/>
                <w:color w:val="auto"/>
                <w:spacing w:val="0"/>
              </w:rPr>
            </w:pPr>
            <w:r>
              <w:rPr>
                <w:rFonts w:hint="default" w:ascii="Times New Roman" w:hAnsi="Times New Roman" w:cs="Times New Roman"/>
                <w:color w:val="auto"/>
                <w:spacing w:val="0"/>
              </w:rPr>
              <w:t>采取上述措施后，施工扬尘对周围环境的影响较小。施工期大气影响是暂时的，随着施工期的结束，影响也随之结束。</w:t>
            </w:r>
          </w:p>
          <w:p w14:paraId="20AFB1C5">
            <w:pPr>
              <w:numPr>
                <w:ilvl w:val="0"/>
                <w:numId w:val="0"/>
              </w:numPr>
              <w:ind w:left="0" w:leftChars="0" w:firstLine="510" w:firstLineChars="200"/>
              <w:rPr>
                <w:rFonts w:hint="default" w:ascii="Times New Roman" w:hAnsi="Times New Roman" w:cs="Times New Roman"/>
                <w:color w:val="auto"/>
                <w:spacing w:val="0"/>
                <w:sz w:val="24"/>
                <w:szCs w:val="24"/>
                <w:lang w:val="en-US" w:eastAsia="zh-CN"/>
              </w:rPr>
            </w:pPr>
            <w:r>
              <w:rPr>
                <w:rFonts w:hint="default" w:ascii="Times New Roman" w:hAnsi="Times New Roman" w:eastAsia="宋体" w:cs="Times New Roman"/>
                <w:color w:val="auto"/>
                <w:spacing w:val="0"/>
                <w:kern w:val="2"/>
                <w:sz w:val="24"/>
                <w:szCs w:val="24"/>
                <w:lang w:val="en-US" w:eastAsia="zh-CN" w:bidi="ar-SA"/>
              </w:rPr>
              <w:t>（</w:t>
            </w:r>
            <w:r>
              <w:rPr>
                <w:rFonts w:hint="default" w:ascii="Times New Roman" w:hAnsi="Times New Roman" w:cs="Times New Roman"/>
                <w:color w:val="auto"/>
                <w:spacing w:val="0"/>
                <w:kern w:val="2"/>
                <w:sz w:val="24"/>
                <w:szCs w:val="24"/>
                <w:lang w:val="en-US" w:eastAsia="zh-CN" w:bidi="ar-SA"/>
              </w:rPr>
              <w:t>2</w:t>
            </w:r>
            <w:r>
              <w:rPr>
                <w:rFonts w:hint="default" w:ascii="Times New Roman" w:hAnsi="Times New Roman" w:eastAsia="宋体" w:cs="Times New Roman"/>
                <w:color w:val="auto"/>
                <w:spacing w:val="0"/>
                <w:kern w:val="2"/>
                <w:sz w:val="24"/>
                <w:szCs w:val="24"/>
                <w:lang w:val="en-US" w:eastAsia="zh-CN" w:bidi="ar-SA"/>
              </w:rPr>
              <w:t>）</w:t>
            </w:r>
            <w:r>
              <w:rPr>
                <w:rFonts w:hint="default" w:ascii="Times New Roman" w:hAnsi="Times New Roman" w:cs="Times New Roman"/>
                <w:color w:val="auto"/>
                <w:spacing w:val="0"/>
                <w:sz w:val="24"/>
                <w:szCs w:val="24"/>
                <w:lang w:val="en-US" w:eastAsia="zh-CN"/>
              </w:rPr>
              <w:t>燃油机械废气</w:t>
            </w:r>
          </w:p>
          <w:p w14:paraId="78E1170B">
            <w:pPr>
              <w:numPr>
                <w:ilvl w:val="0"/>
                <w:numId w:val="0"/>
              </w:numPr>
              <w:ind w:firstLine="51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①</w:t>
            </w:r>
            <w:r>
              <w:rPr>
                <w:rFonts w:hint="default" w:ascii="Times New Roman" w:hAnsi="Times New Roman" w:cs="Times New Roman"/>
                <w:color w:val="auto"/>
                <w:sz w:val="24"/>
              </w:rPr>
              <w:t>用符合国家有关卫生标准的施工机械和运输车辆，并且安装排气净化器，使用符合标准的油料或清洁能源，使其排放的废气达到国家标准。</w:t>
            </w:r>
          </w:p>
          <w:p w14:paraId="46E7D216">
            <w:pPr>
              <w:numPr>
                <w:ilvl w:val="0"/>
                <w:numId w:val="0"/>
              </w:numPr>
              <w:ind w:firstLine="51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②</w:t>
            </w:r>
            <w:r>
              <w:rPr>
                <w:rFonts w:hint="default" w:ascii="Times New Roman" w:hAnsi="Times New Roman" w:cs="Times New Roman"/>
                <w:color w:val="auto"/>
                <w:sz w:val="24"/>
              </w:rPr>
              <w:t>加强燃油机械设备的维护和保养，使其处于正常、良好的工作状态；定期对燃油机械的尾气净化器、消烟除尘设备进行检测和维护，保证其正常良好的运行状态</w:t>
            </w:r>
            <w:r>
              <w:rPr>
                <w:rFonts w:hint="default" w:ascii="Times New Roman" w:hAnsi="Times New Roman" w:cs="Times New Roman"/>
                <w:color w:val="auto"/>
                <w:sz w:val="24"/>
                <w:lang w:eastAsia="zh-CN"/>
              </w:rPr>
              <w:t>。</w:t>
            </w:r>
          </w:p>
          <w:p w14:paraId="1E3949D1">
            <w:pPr>
              <w:numPr>
                <w:ilvl w:val="0"/>
                <w:numId w:val="0"/>
              </w:numPr>
              <w:ind w:firstLine="510" w:firstLineChars="200"/>
              <w:rPr>
                <w:rFonts w:hint="default" w:ascii="Times New Roman" w:hAnsi="Times New Roman" w:cs="Times New Roman"/>
                <w:color w:val="auto"/>
                <w:spacing w:val="0"/>
                <w:sz w:val="24"/>
                <w:szCs w:val="24"/>
                <w:lang w:val="en-US" w:eastAsia="zh-CN"/>
              </w:rPr>
            </w:pPr>
            <w:r>
              <w:rPr>
                <w:rFonts w:hint="default" w:ascii="Times New Roman" w:hAnsi="Times New Roman" w:cs="Times New Roman"/>
                <w:color w:val="auto"/>
                <w:sz w:val="24"/>
                <w:lang w:val="en-US" w:eastAsia="zh-CN"/>
              </w:rPr>
              <w:t>③</w:t>
            </w:r>
            <w:r>
              <w:rPr>
                <w:rFonts w:hint="default" w:ascii="Times New Roman" w:hAnsi="Times New Roman" w:cs="Times New Roman"/>
                <w:color w:val="auto"/>
                <w:sz w:val="24"/>
              </w:rPr>
              <w:t>加强施工管理，科学合理的安排燃油机械运行时间，减少尾气排放污染；为降低燃煤SO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排放，项目区燃煤应选用低硫煤，并按一定比例配合石灰石使用。</w:t>
            </w:r>
          </w:p>
          <w:p w14:paraId="4BBB4169">
            <w:pPr>
              <w:widowControl/>
              <w:numPr>
                <w:ilvl w:val="0"/>
                <w:numId w:val="13"/>
              </w:numPr>
              <w:autoSpaceDE w:val="0"/>
              <w:autoSpaceDN w:val="0"/>
              <w:spacing w:before="0" w:after="0"/>
              <w:jc w:val="left"/>
              <w:rPr>
                <w:rFonts w:hint="default" w:ascii="Times New Roman" w:hAnsi="Times New Roman" w:eastAsia="黑体" w:cs="Times New Roman"/>
                <w:b w:val="0"/>
                <w:bCs w:val="0"/>
                <w:color w:val="auto"/>
                <w:spacing w:val="0"/>
                <w:kern w:val="0"/>
                <w:sz w:val="24"/>
                <w:highlight w:val="none"/>
              </w:rPr>
            </w:pPr>
            <w:r>
              <w:rPr>
                <w:rFonts w:hint="default" w:ascii="Times New Roman" w:hAnsi="Times New Roman" w:eastAsia="黑体" w:cs="Times New Roman"/>
                <w:b w:val="0"/>
                <w:bCs w:val="0"/>
                <w:color w:val="auto"/>
                <w:spacing w:val="0"/>
                <w:kern w:val="0"/>
                <w:sz w:val="24"/>
                <w:highlight w:val="none"/>
              </w:rPr>
              <w:t>声环境保护措施</w:t>
            </w:r>
          </w:p>
          <w:p w14:paraId="08FE8F4D">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①合理布置，禁止夜间作业，车辆限速行驶，经过集中居民点等处禁止鸣喇叭。</w:t>
            </w:r>
          </w:p>
          <w:p w14:paraId="3BE971ED">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②施工机械选用符合国家规定要求的机械，加强设备的维护和保养，保持机械润滑，减少运行噪声。</w:t>
            </w:r>
          </w:p>
          <w:p w14:paraId="133AD6D1">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③对施工场地内高噪声设备采取隔声、吸声等综合降噪措施。</w:t>
            </w:r>
          </w:p>
          <w:p w14:paraId="1453FE5E">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④建设单位应加强与附近居民日常沟通，取得周围受影响单位和人员的同意和谅解，避免因</w:t>
            </w:r>
            <w:r>
              <w:rPr>
                <w:rFonts w:hint="default" w:ascii="Times New Roman" w:hAnsi="Times New Roman" w:eastAsia="宋体" w:cs="Times New Roman"/>
                <w:color w:val="auto"/>
                <w:sz w:val="24"/>
                <w:lang w:eastAsia="zh-CN"/>
              </w:rPr>
              <w:t>噪声</w:t>
            </w:r>
            <w:r>
              <w:rPr>
                <w:rFonts w:hint="default" w:ascii="Times New Roman" w:hAnsi="Times New Roman" w:eastAsia="宋体" w:cs="Times New Roman"/>
                <w:color w:val="auto"/>
                <w:sz w:val="24"/>
              </w:rPr>
              <w:t>污染而引起纠纷。</w:t>
            </w:r>
          </w:p>
          <w:p w14:paraId="7A5EE263">
            <w:pPr>
              <w:ind w:firstLine="51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⑤设置围栏，设置基础减振、隔声消声等措施。</w:t>
            </w:r>
          </w:p>
          <w:p w14:paraId="18B5F8C1">
            <w:pPr>
              <w:widowControl/>
              <w:numPr>
                <w:ilvl w:val="0"/>
                <w:numId w:val="13"/>
              </w:numPr>
              <w:autoSpaceDE w:val="0"/>
              <w:autoSpaceDN w:val="0"/>
              <w:spacing w:before="0" w:after="0"/>
              <w:jc w:val="left"/>
              <w:rPr>
                <w:rFonts w:hint="default" w:ascii="Times New Roman" w:hAnsi="Times New Roman" w:eastAsia="黑体" w:cs="Times New Roman"/>
                <w:b w:val="0"/>
                <w:bCs w:val="0"/>
                <w:color w:val="auto"/>
                <w:spacing w:val="0"/>
                <w:kern w:val="0"/>
                <w:sz w:val="24"/>
                <w:highlight w:val="none"/>
              </w:rPr>
            </w:pPr>
            <w:r>
              <w:rPr>
                <w:rFonts w:hint="default" w:ascii="Times New Roman" w:hAnsi="Times New Roman" w:eastAsia="黑体" w:cs="Times New Roman"/>
                <w:b w:val="0"/>
                <w:bCs w:val="0"/>
                <w:color w:val="auto"/>
                <w:spacing w:val="0"/>
                <w:kern w:val="0"/>
                <w:sz w:val="24"/>
                <w:highlight w:val="none"/>
              </w:rPr>
              <w:t>地表水环境保护措施</w:t>
            </w:r>
          </w:p>
          <w:p w14:paraId="1510C20F">
            <w:pPr>
              <w:ind w:firstLine="51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1）生活污水</w:t>
            </w:r>
          </w:p>
          <w:p w14:paraId="593DBEC2">
            <w:pPr>
              <w:ind w:firstLine="510" w:firstLineChars="200"/>
              <w:rPr>
                <w:rFonts w:hint="default" w:ascii="Times New Roman" w:hAnsi="Times New Roman" w:cs="Times New Roman"/>
                <w:color w:val="auto"/>
                <w:sz w:val="24"/>
                <w:lang w:eastAsia="zh-CN"/>
              </w:rPr>
            </w:pPr>
            <w:r>
              <w:rPr>
                <w:rFonts w:hint="default" w:ascii="Times New Roman" w:hAnsi="Times New Roman" w:eastAsia="宋体" w:cs="Times New Roman"/>
                <w:color w:val="auto"/>
                <w:sz w:val="24"/>
              </w:rPr>
              <w:t>生活污水为施工人员的洗涤废水，废水量不大，主要为有机污染，依托当地居民旱厕对生活污水进行处理，定期由吸污车清掏外运。洗漱废水用于场区洒水抑尘，不直接排入地表水体</w:t>
            </w:r>
            <w:r>
              <w:rPr>
                <w:rFonts w:hint="default" w:ascii="Times New Roman" w:hAnsi="Times New Roman" w:cs="Times New Roman"/>
                <w:color w:val="auto"/>
                <w:sz w:val="24"/>
                <w:lang w:eastAsia="zh-CN"/>
              </w:rPr>
              <w:t>。</w:t>
            </w:r>
          </w:p>
          <w:p w14:paraId="1CD910A1">
            <w:pPr>
              <w:numPr>
                <w:ilvl w:val="0"/>
                <w:numId w:val="0"/>
              </w:numPr>
              <w:ind w:firstLine="510" w:firstLineChars="200"/>
              <w:rPr>
                <w:rFonts w:hint="default" w:ascii="Times New Roman" w:hAnsi="Times New Roman" w:cs="Times New Roman"/>
                <w:color w:val="auto"/>
                <w:sz w:val="24"/>
                <w:lang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cs="Times New Roman"/>
                <w:color w:val="auto"/>
                <w:sz w:val="24"/>
                <w:lang w:val="en-US" w:eastAsia="zh-CN"/>
              </w:rPr>
              <w:t>施工生产废水</w:t>
            </w:r>
          </w:p>
          <w:p w14:paraId="790EC4ED">
            <w:pPr>
              <w:numPr>
                <w:ilvl w:val="0"/>
                <w:numId w:val="0"/>
              </w:numPr>
              <w:ind w:firstLine="51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在</w:t>
            </w:r>
            <w:r>
              <w:rPr>
                <w:rFonts w:hint="default" w:ascii="Times New Roman" w:hAnsi="Times New Roman" w:cs="Times New Roman"/>
                <w:color w:val="auto"/>
                <w:sz w:val="24"/>
                <w:lang w:val="en-US" w:eastAsia="zh-CN"/>
              </w:rPr>
              <w:t>项目区</w:t>
            </w:r>
            <w:r>
              <w:rPr>
                <w:rFonts w:hint="default" w:ascii="Times New Roman" w:hAnsi="Times New Roman" w:cs="Times New Roman"/>
                <w:color w:val="auto"/>
                <w:sz w:val="24"/>
                <w:lang w:eastAsia="zh-CN"/>
              </w:rPr>
              <w:t>附近新建1个10m</w:t>
            </w:r>
            <w:r>
              <w:rPr>
                <w:rFonts w:hint="default" w:ascii="Times New Roman" w:hAnsi="Times New Roman" w:cs="Times New Roman"/>
                <w:color w:val="auto"/>
                <w:sz w:val="24"/>
                <w:vertAlign w:val="superscript"/>
                <w:lang w:eastAsia="zh-CN"/>
              </w:rPr>
              <w:t>3</w:t>
            </w:r>
            <w:r>
              <w:rPr>
                <w:rFonts w:hint="default" w:ascii="Times New Roman" w:hAnsi="Times New Roman" w:cs="Times New Roman"/>
                <w:color w:val="auto"/>
                <w:sz w:val="24"/>
                <w:lang w:eastAsia="zh-CN"/>
              </w:rPr>
              <w:t>的沉淀池，施工中冲洗砂砾石的含泥沙和悬浮物的废水经沉淀池处理回用于项目区洒水抑尘，不外排。</w:t>
            </w:r>
          </w:p>
          <w:p w14:paraId="3FA153EA">
            <w:pPr>
              <w:ind w:firstLine="510" w:firstLineChars="200"/>
              <w:rPr>
                <w:rFonts w:hint="default" w:ascii="Times New Roman" w:hAnsi="Times New Roman" w:cs="Times New Roman"/>
                <w:color w:val="auto"/>
                <w:lang w:eastAsia="zh-CN"/>
              </w:rPr>
            </w:pPr>
            <w:r>
              <w:rPr>
                <w:rFonts w:hint="default" w:ascii="Times New Roman" w:hAnsi="Times New Roman" w:cs="Times New Roman"/>
                <w:color w:val="auto"/>
                <w:sz w:val="24"/>
                <w:lang w:eastAsia="zh-CN"/>
              </w:rPr>
              <w:t>采取上述措施后施工中产生的废水能够全部做到综合利用，不会向地表水体排放，对地表水环境无影响。</w:t>
            </w:r>
          </w:p>
          <w:p w14:paraId="474EC2D7">
            <w:pPr>
              <w:widowControl/>
              <w:numPr>
                <w:ilvl w:val="0"/>
                <w:numId w:val="13"/>
              </w:numPr>
              <w:autoSpaceDE w:val="0"/>
              <w:autoSpaceDN w:val="0"/>
              <w:spacing w:before="0" w:after="0"/>
              <w:jc w:val="left"/>
              <w:rPr>
                <w:rFonts w:hint="default" w:ascii="Times New Roman" w:hAnsi="Times New Roman" w:eastAsia="黑体" w:cs="Times New Roman"/>
                <w:b w:val="0"/>
                <w:bCs w:val="0"/>
                <w:color w:val="auto"/>
                <w:spacing w:val="0"/>
                <w:kern w:val="0"/>
                <w:sz w:val="24"/>
                <w:highlight w:val="none"/>
              </w:rPr>
            </w:pPr>
            <w:r>
              <w:rPr>
                <w:rFonts w:hint="default" w:ascii="Times New Roman" w:hAnsi="Times New Roman" w:eastAsia="黑体" w:cs="Times New Roman"/>
                <w:b w:val="0"/>
                <w:bCs w:val="0"/>
                <w:color w:val="auto"/>
                <w:spacing w:val="0"/>
                <w:kern w:val="0"/>
                <w:sz w:val="24"/>
                <w:highlight w:val="none"/>
              </w:rPr>
              <w:t>固体废物污染防治措施</w:t>
            </w:r>
          </w:p>
          <w:p w14:paraId="5B68F086">
            <w:pPr>
              <w:kinsoku w:val="0"/>
              <w:wordWrap w:val="0"/>
              <w:topLinePunct/>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（1）施工固体废物</w:t>
            </w:r>
          </w:p>
          <w:p w14:paraId="17A449F6">
            <w:pPr>
              <w:kinsoku w:val="0"/>
              <w:wordWrap w:val="0"/>
              <w:topLinePunct/>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本项目施工固体废物主要是废包装材料、建筑垃圾可采取以下措施减少其对环境的影响：</w:t>
            </w:r>
          </w:p>
          <w:p w14:paraId="090680CB">
            <w:pPr>
              <w:kinsoku w:val="0"/>
              <w:wordWrap w:val="0"/>
              <w:topLinePunct/>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①运送建筑垃圾的车辆离开施工场地时，要及时清理干净车辆粘带的泥土，并用篷布遮盖拉运到指定地点，不得随意倾倒。</w:t>
            </w:r>
          </w:p>
          <w:p w14:paraId="208AA9A9">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②建筑废物在施工现场的金属要及时回收。</w:t>
            </w:r>
            <w:r>
              <w:rPr>
                <w:rFonts w:hint="default" w:ascii="Times New Roman" w:hAnsi="Times New Roman" w:cs="Times New Roman"/>
                <w:color w:val="auto"/>
                <w:sz w:val="24"/>
                <w:lang w:val="en-US" w:eastAsia="zh-CN"/>
              </w:rPr>
              <w:t>不可利用的废弃构筑物运往填埋场填埋。</w:t>
            </w:r>
          </w:p>
          <w:p w14:paraId="19608F7E">
            <w:pPr>
              <w:kinsoku w:val="0"/>
              <w:wordWrap w:val="0"/>
              <w:topLinePunct/>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③施工期土石工程挖填量应平衡计算，开挖的土石方要定点堆放，并用篷布遮盖。</w:t>
            </w:r>
          </w:p>
          <w:p w14:paraId="05509095">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④施工</w:t>
            </w:r>
            <w:r>
              <w:rPr>
                <w:rFonts w:hint="default" w:ascii="Times New Roman" w:hAnsi="Times New Roman" w:cs="Times New Roman"/>
                <w:color w:val="auto"/>
                <w:sz w:val="24"/>
                <w:lang w:val="en-US" w:eastAsia="zh-CN"/>
              </w:rPr>
              <w:t>种子</w:t>
            </w:r>
            <w:r>
              <w:rPr>
                <w:rFonts w:hint="default" w:ascii="Times New Roman" w:hAnsi="Times New Roman" w:eastAsia="宋体" w:cs="Times New Roman"/>
                <w:color w:val="auto"/>
                <w:sz w:val="24"/>
                <w:lang w:val="en-US" w:eastAsia="zh-CN"/>
              </w:rPr>
              <w:t>废包装材料及时收集到指定的垃圾箱（桶）内，定期集中收集外运至附近的垃圾转运站，统一由环卫部门清运。</w:t>
            </w:r>
          </w:p>
          <w:p w14:paraId="4772D60D">
            <w:pPr>
              <w:kinsoku w:val="0"/>
              <w:wordWrap w:val="0"/>
              <w:topLinePunct/>
              <w:ind w:firstLine="51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⑤</w:t>
            </w:r>
            <w:r>
              <w:rPr>
                <w:rFonts w:hint="default" w:ascii="Times New Roman" w:hAnsi="Times New Roman" w:eastAsia="宋体" w:cs="Times New Roman"/>
                <w:color w:val="auto"/>
                <w:sz w:val="24"/>
              </w:rPr>
              <w:t>建设工程竣工</w:t>
            </w:r>
            <w:r>
              <w:rPr>
                <w:rFonts w:hint="default" w:ascii="Times New Roman" w:hAnsi="Times New Roman" w:eastAsia="宋体" w:cs="Times New Roman"/>
                <w:color w:val="auto"/>
                <w:sz w:val="24"/>
                <w:lang w:val="en-US" w:eastAsia="zh-CN"/>
              </w:rPr>
              <w:t>之</w:t>
            </w:r>
            <w:r>
              <w:rPr>
                <w:rFonts w:hint="default" w:ascii="Times New Roman" w:hAnsi="Times New Roman" w:eastAsia="宋体" w:cs="Times New Roman"/>
                <w:color w:val="auto"/>
                <w:sz w:val="24"/>
              </w:rPr>
              <w:t>前，施工单位应当按照规定，及时拆除施工现场围栏</w:t>
            </w:r>
            <w:r>
              <w:rPr>
                <w:rFonts w:hint="default" w:ascii="Times New Roman" w:hAnsi="Times New Roman" w:eastAsia="宋体" w:cs="Times New Roman"/>
                <w:color w:val="auto"/>
                <w:sz w:val="24"/>
                <w:lang w:val="en-US" w:eastAsia="zh-CN"/>
              </w:rPr>
              <w:t>以及</w:t>
            </w:r>
            <w:r>
              <w:rPr>
                <w:rFonts w:hint="default" w:ascii="Times New Roman" w:hAnsi="Times New Roman" w:eastAsia="宋体" w:cs="Times New Roman"/>
                <w:color w:val="auto"/>
                <w:sz w:val="24"/>
              </w:rPr>
              <w:t>其他施工临时设施，平整施工</w:t>
            </w:r>
            <w:r>
              <w:rPr>
                <w:rFonts w:hint="default" w:ascii="Times New Roman" w:hAnsi="Times New Roman" w:eastAsia="宋体" w:cs="Times New Roman"/>
                <w:color w:val="auto"/>
                <w:sz w:val="24"/>
                <w:lang w:val="en-US" w:eastAsia="zh-CN"/>
              </w:rPr>
              <w:t>场地</w:t>
            </w:r>
            <w:r>
              <w:rPr>
                <w:rFonts w:hint="default" w:ascii="Times New Roman" w:hAnsi="Times New Roman" w:eastAsia="宋体" w:cs="Times New Roman"/>
                <w:color w:val="auto"/>
                <w:sz w:val="24"/>
              </w:rPr>
              <w:t>，清除场内工程渣土及其他废弃物。</w:t>
            </w:r>
          </w:p>
          <w:p w14:paraId="4668DCEB">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（2）施工人员的生活垃圾</w:t>
            </w:r>
          </w:p>
          <w:p w14:paraId="58313CCD">
            <w:pPr>
              <w:ind w:firstLine="510" w:firstLineChars="200"/>
              <w:rPr>
                <w:rFonts w:hint="default" w:ascii="Times New Roman" w:hAnsi="Times New Roman" w:cs="Times New Roman"/>
                <w:color w:val="auto"/>
              </w:rPr>
            </w:pPr>
            <w:r>
              <w:rPr>
                <w:rFonts w:hint="default" w:ascii="Times New Roman" w:hAnsi="Times New Roman" w:eastAsia="宋体" w:cs="Times New Roman"/>
                <w:color w:val="auto"/>
                <w:sz w:val="24"/>
              </w:rPr>
              <w:t>施工人员的生活垃圾统一收集，统一处理；专人负责施工区的环境卫生，统一由环卫部门清运。</w:t>
            </w:r>
          </w:p>
          <w:p w14:paraId="24113D9A">
            <w:pPr>
              <w:widowControl/>
              <w:numPr>
                <w:ilvl w:val="0"/>
                <w:numId w:val="13"/>
              </w:numPr>
              <w:autoSpaceDE w:val="0"/>
              <w:autoSpaceDN w:val="0"/>
              <w:spacing w:before="0" w:after="0"/>
              <w:jc w:val="left"/>
              <w:rPr>
                <w:rFonts w:hint="default" w:ascii="Times New Roman" w:hAnsi="Times New Roman" w:eastAsia="黑体" w:cs="Times New Roman"/>
                <w:b w:val="0"/>
                <w:bCs w:val="0"/>
                <w:color w:val="auto"/>
                <w:spacing w:val="0"/>
                <w:kern w:val="0"/>
                <w:sz w:val="24"/>
                <w:highlight w:val="none"/>
                <w:lang w:val="en-US" w:eastAsia="zh-CN"/>
              </w:rPr>
            </w:pPr>
            <w:r>
              <w:rPr>
                <w:rFonts w:hint="default" w:ascii="Times New Roman" w:hAnsi="Times New Roman" w:eastAsia="黑体" w:cs="Times New Roman"/>
                <w:b w:val="0"/>
                <w:bCs w:val="0"/>
                <w:color w:val="auto"/>
                <w:spacing w:val="0"/>
                <w:kern w:val="0"/>
                <w:sz w:val="24"/>
                <w:highlight w:val="none"/>
                <w:lang w:val="en-US" w:eastAsia="zh-CN"/>
              </w:rPr>
              <w:t>施工环境管理措施与监测计划</w:t>
            </w:r>
          </w:p>
          <w:p w14:paraId="158270B4">
            <w:pPr>
              <w:widowControl w:val="0"/>
              <w:spacing w:line="240" w:lineRule="auto"/>
              <w:ind w:firstLine="51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0"/>
                <w:sz w:val="24"/>
                <w:szCs w:val="21"/>
                <w:lang w:val="en-US" w:eastAsia="zh-CN" w:bidi="ar-SA"/>
              </w:rPr>
              <w:t>（1）</w:t>
            </w:r>
            <w:r>
              <w:rPr>
                <w:rFonts w:hint="default" w:ascii="Times New Roman" w:hAnsi="Times New Roman" w:eastAsia="宋体" w:cs="Times New Roman"/>
                <w:color w:val="auto"/>
                <w:kern w:val="0"/>
                <w:sz w:val="24"/>
                <w:szCs w:val="21"/>
                <w:lang w:val="en-US" w:eastAsia="zh-CN" w:bidi="ar-SA"/>
              </w:rPr>
              <w:t>施工</w:t>
            </w:r>
            <w:r>
              <w:rPr>
                <w:rFonts w:hint="default" w:ascii="Times New Roman" w:hAnsi="Times New Roman" w:eastAsia="宋体" w:cs="Times New Roman"/>
                <w:color w:val="auto"/>
                <w:kern w:val="2"/>
                <w:sz w:val="24"/>
                <w:szCs w:val="24"/>
                <w:lang w:val="en-US" w:eastAsia="zh-CN" w:bidi="ar-SA"/>
              </w:rPr>
              <w:t>环境管理措施</w:t>
            </w:r>
          </w:p>
          <w:p w14:paraId="1A7FEEB9">
            <w:pPr>
              <w:widowControl w:val="0"/>
              <w:spacing w:line="240" w:lineRule="auto"/>
              <w:ind w:firstLine="51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本环评就项目施工期环境管理提出如下要求：</w:t>
            </w:r>
          </w:p>
          <w:p w14:paraId="4EFC7E33">
            <w:pPr>
              <w:widowControl w:val="0"/>
              <w:spacing w:line="240" w:lineRule="auto"/>
              <w:ind w:firstLine="51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1 \* GB3 \* MERGEFORMAT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①</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建设单位与施工单位签订项目承包合同中，应包括有关项目施工期间环境保护条款，包括项目施工中生态环境保护（水土保持）、施工期间环境污染控制、施工人员环保教育及相关奖惩条款。</w:t>
            </w:r>
          </w:p>
          <w:p w14:paraId="32A6724E">
            <w:pPr>
              <w:widowControl w:val="0"/>
              <w:spacing w:line="240" w:lineRule="auto"/>
              <w:ind w:firstLine="51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②施工单位应增强环保意识，加强驻地和施工现场的环境管理，合理安排施工计划，切实做到组织计划严谨，文明施工。</w:t>
            </w:r>
          </w:p>
          <w:p w14:paraId="66393441">
            <w:pPr>
              <w:widowControl w:val="0"/>
              <w:spacing w:line="240" w:lineRule="auto"/>
              <w:ind w:firstLine="51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③施工单位应特别注意项目施工水土保持，尽可能保护好沿线土壤植被。</w:t>
            </w:r>
          </w:p>
          <w:p w14:paraId="285A420C">
            <w:pPr>
              <w:widowControl w:val="0"/>
              <w:spacing w:line="240" w:lineRule="auto"/>
              <w:ind w:firstLine="51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④施工现场应加强环境管理，施工场地采取降尘措施，项目施工完毕后由施工单位及时清理和恢复施工现场，妥善处理生活垃圾与挖填方，减少扬尘；施工现场应执行《建筑施工场界环境噪声排放标准》（GB12523-2011）中的规定和要求。施工期环境管理措施见下表。</w:t>
            </w:r>
          </w:p>
          <w:p w14:paraId="7AA7BDAE">
            <w:pPr>
              <w:jc w:val="center"/>
              <w:rPr>
                <w:rFonts w:hint="default" w:ascii="Times New Roman" w:hAnsi="Times New Roman" w:eastAsia="宋体" w:cs="Times New Roman"/>
                <w:b/>
                <w:bCs/>
                <w:color w:val="auto"/>
                <w:szCs w:val="32"/>
              </w:rPr>
            </w:pPr>
            <w:r>
              <w:rPr>
                <w:rFonts w:hint="default" w:ascii="Times New Roman" w:hAnsi="Times New Roman" w:eastAsia="黑体" w:cs="Times New Roman"/>
                <w:color w:val="auto"/>
                <w:sz w:val="24"/>
                <w:szCs w:val="32"/>
              </w:rPr>
              <w:t>表5-1  施工期环境管理措施一览表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8"/>
              <w:gridCol w:w="7363"/>
            </w:tblGrid>
            <w:tr w14:paraId="050BA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8" w:type="dxa"/>
                  <w:noWrap w:val="0"/>
                  <w:vAlign w:val="center"/>
                </w:tcPr>
                <w:p w14:paraId="7716B341">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7363" w:type="dxa"/>
                  <w:noWrap w:val="0"/>
                  <w:vAlign w:val="center"/>
                </w:tcPr>
                <w:p w14:paraId="6149C3F7">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拟采取管理措施</w:t>
                  </w:r>
                </w:p>
              </w:tc>
            </w:tr>
            <w:tr w14:paraId="2A68F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8" w:type="dxa"/>
                  <w:noWrap w:val="0"/>
                  <w:vAlign w:val="center"/>
                </w:tcPr>
                <w:p w14:paraId="1436A2D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7363" w:type="dxa"/>
                  <w:noWrap w:val="0"/>
                  <w:vAlign w:val="center"/>
                </w:tcPr>
                <w:p w14:paraId="09DDA2C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审查施工单位现场管理机构的环境管理体系，检查环境污染防治措施是否落实，评价施工单位是否具备开工条件</w:t>
                  </w:r>
                </w:p>
              </w:tc>
            </w:tr>
            <w:tr w14:paraId="00A92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8" w:type="dxa"/>
                  <w:noWrap w:val="0"/>
                  <w:vAlign w:val="center"/>
                </w:tcPr>
                <w:p w14:paraId="3D964E8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7363" w:type="dxa"/>
                  <w:noWrap w:val="0"/>
                  <w:vAlign w:val="center"/>
                </w:tcPr>
                <w:p w14:paraId="03880BE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对施工过程中防治水、气、声、固废污染及生态破坏的工程设施和管理措施进行巡视、检查</w:t>
                  </w:r>
                </w:p>
              </w:tc>
            </w:tr>
            <w:tr w14:paraId="741BF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8" w:type="dxa"/>
                  <w:noWrap w:val="0"/>
                  <w:vAlign w:val="center"/>
                </w:tcPr>
                <w:p w14:paraId="047BD45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7363" w:type="dxa"/>
                  <w:noWrap w:val="0"/>
                  <w:vAlign w:val="center"/>
                </w:tcPr>
                <w:p w14:paraId="3D79DCD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落实项目区土石方去向及产生扬尘的治理措施</w:t>
                  </w:r>
                </w:p>
              </w:tc>
            </w:tr>
            <w:tr w14:paraId="5A1DD7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8" w:type="dxa"/>
                  <w:noWrap w:val="0"/>
                  <w:vAlign w:val="center"/>
                </w:tcPr>
                <w:p w14:paraId="6BEDE0E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7363" w:type="dxa"/>
                  <w:noWrap w:val="0"/>
                  <w:vAlign w:val="center"/>
                </w:tcPr>
                <w:p w14:paraId="6522FE39">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落实项目施工期造成植被破坏等生态补偿、恢复措施</w:t>
                  </w:r>
                </w:p>
              </w:tc>
            </w:tr>
          </w:tbl>
          <w:p w14:paraId="3AC673AA">
            <w:pPr>
              <w:ind w:firstLine="51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施工环境监测计划</w:t>
            </w:r>
          </w:p>
          <w:p w14:paraId="4891F18E">
            <w:pPr>
              <w:ind w:firstLine="51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根据项目施工特点和周期制定施工期环境监测计划，施工期主要监测内容有区域环境空气、生态系统的影响范围和影响程度。</w:t>
            </w: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施工期监测计划见表5-</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，监测计划布点见</w:t>
            </w:r>
            <w:r>
              <w:rPr>
                <w:rFonts w:hint="default" w:ascii="Times New Roman" w:hAnsi="Times New Roman" w:eastAsia="宋体" w:cs="Times New Roman"/>
                <w:color w:val="auto"/>
                <w:sz w:val="24"/>
                <w:highlight w:val="none"/>
              </w:rPr>
              <w:t>附图</w:t>
            </w:r>
            <w:r>
              <w:rPr>
                <w:rFonts w:hint="default" w:ascii="Times New Roman" w:hAnsi="Times New Roman" w:cs="Times New Roman"/>
                <w:color w:val="auto"/>
                <w:sz w:val="24"/>
                <w:highlight w:val="none"/>
                <w:lang w:val="en-US" w:eastAsia="zh-CN"/>
              </w:rPr>
              <w:t>12</w:t>
            </w:r>
            <w:r>
              <w:rPr>
                <w:rFonts w:hint="default" w:ascii="Times New Roman" w:hAnsi="Times New Roman" w:eastAsia="宋体" w:cs="Times New Roman"/>
                <w:color w:val="auto"/>
                <w:sz w:val="24"/>
              </w:rPr>
              <w:t>。</w:t>
            </w:r>
          </w:p>
          <w:p w14:paraId="3C687C4C">
            <w:pPr>
              <w:tabs>
                <w:tab w:val="left" w:pos="1745"/>
              </w:tabs>
              <w:kinsoku w:val="0"/>
              <w:overflowPunct w:val="0"/>
              <w:autoSpaceDE w:val="0"/>
              <w:autoSpaceDN w:val="0"/>
              <w:jc w:val="center"/>
              <w:rPr>
                <w:rFonts w:hint="default" w:ascii="Times New Roman" w:hAnsi="Times New Roman" w:eastAsia="宋体" w:cs="Times New Roman"/>
                <w:color w:val="auto"/>
                <w:kern w:val="0"/>
              </w:rPr>
            </w:pPr>
            <w:r>
              <w:rPr>
                <w:rFonts w:hint="default" w:ascii="Times New Roman" w:hAnsi="Times New Roman" w:eastAsia="黑体" w:cs="Times New Roman"/>
                <w:color w:val="auto"/>
                <w:kern w:val="0"/>
                <w:sz w:val="24"/>
              </w:rPr>
              <w:t>表5-2  本项目</w:t>
            </w:r>
            <w:r>
              <w:rPr>
                <w:rFonts w:hint="default" w:ascii="Times New Roman" w:hAnsi="Times New Roman" w:eastAsia="黑体" w:cs="Times New Roman"/>
                <w:color w:val="auto"/>
                <w:kern w:val="0"/>
                <w:sz w:val="24"/>
                <w:lang w:val="en-US" w:eastAsia="zh-CN"/>
              </w:rPr>
              <w:t>施工期</w:t>
            </w:r>
            <w:r>
              <w:rPr>
                <w:rFonts w:hint="default" w:ascii="Times New Roman" w:hAnsi="Times New Roman" w:eastAsia="黑体" w:cs="Times New Roman"/>
                <w:color w:val="auto"/>
                <w:kern w:val="0"/>
                <w:sz w:val="24"/>
              </w:rPr>
              <w:t>环境监测计划表</w:t>
            </w:r>
          </w:p>
          <w:p w14:paraId="543FFDAA">
            <w:pPr>
              <w:kinsoku w:val="0"/>
              <w:overflowPunct w:val="0"/>
              <w:spacing w:before="9" w:line="20" w:lineRule="exact"/>
              <w:rPr>
                <w:rFonts w:hint="default" w:ascii="Times New Roman" w:hAnsi="Times New Roman" w:eastAsia="宋体" w:cs="Times New Roman"/>
                <w:color w:val="auto"/>
                <w:sz w:val="2"/>
                <w:szCs w:val="2"/>
              </w:rPr>
            </w:pP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34"/>
              <w:gridCol w:w="644"/>
              <w:gridCol w:w="1020"/>
              <w:gridCol w:w="1065"/>
              <w:gridCol w:w="1380"/>
              <w:gridCol w:w="2395"/>
              <w:gridCol w:w="1173"/>
            </w:tblGrid>
            <w:tr w14:paraId="1A2B72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noWrap w:val="0"/>
                  <w:vAlign w:val="center"/>
                </w:tcPr>
                <w:p w14:paraId="38A65CA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实施</w:t>
                  </w:r>
                </w:p>
                <w:p w14:paraId="00E61990">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阶段</w:t>
                  </w:r>
                </w:p>
              </w:tc>
              <w:tc>
                <w:tcPr>
                  <w:tcW w:w="392" w:type="pct"/>
                  <w:noWrap w:val="0"/>
                  <w:vAlign w:val="center"/>
                </w:tcPr>
                <w:p w14:paraId="2FD6B478">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w:t>
                  </w:r>
                </w:p>
                <w:p w14:paraId="0E7BF35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内容</w:t>
                  </w:r>
                </w:p>
              </w:tc>
              <w:tc>
                <w:tcPr>
                  <w:tcW w:w="621" w:type="pct"/>
                  <w:noWrap w:val="0"/>
                  <w:vAlign w:val="center"/>
                </w:tcPr>
                <w:p w14:paraId="3F568853">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监测项目</w:t>
                  </w:r>
                </w:p>
              </w:tc>
              <w:tc>
                <w:tcPr>
                  <w:tcW w:w="648" w:type="pct"/>
                  <w:noWrap w:val="0"/>
                  <w:vAlign w:val="center"/>
                </w:tcPr>
                <w:p w14:paraId="48A3F17A">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监测点位</w:t>
                  </w:r>
                </w:p>
              </w:tc>
              <w:tc>
                <w:tcPr>
                  <w:tcW w:w="840" w:type="pct"/>
                  <w:noWrap w:val="0"/>
                  <w:vAlign w:val="center"/>
                </w:tcPr>
                <w:p w14:paraId="31F092EE">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snapToGrid w:val="0"/>
                      <w:color w:val="auto"/>
                      <w:kern w:val="0"/>
                      <w:szCs w:val="21"/>
                    </w:rPr>
                    <w:t>监测时间、频次</w:t>
                  </w:r>
                </w:p>
              </w:tc>
              <w:tc>
                <w:tcPr>
                  <w:tcW w:w="1458" w:type="pct"/>
                  <w:noWrap w:val="0"/>
                  <w:vAlign w:val="center"/>
                </w:tcPr>
                <w:p w14:paraId="50DCBFFA">
                  <w:pPr>
                    <w:adjustRightInd w:val="0"/>
                    <w:snapToGrid w:val="0"/>
                    <w:jc w:val="center"/>
                    <w:rPr>
                      <w:rFonts w:hint="default" w:ascii="Times New Roman" w:hAnsi="Times New Roman" w:eastAsia="宋体" w:cs="Times New Roman"/>
                      <w:b/>
                      <w:snapToGrid w:val="0"/>
                      <w:color w:val="auto"/>
                      <w:kern w:val="0"/>
                      <w:szCs w:val="21"/>
                      <w:lang w:val="en-US" w:eastAsia="zh-CN"/>
                    </w:rPr>
                  </w:pPr>
                  <w:r>
                    <w:rPr>
                      <w:rFonts w:hint="default" w:ascii="Times New Roman" w:hAnsi="Times New Roman" w:eastAsia="宋体" w:cs="Times New Roman"/>
                      <w:b/>
                      <w:snapToGrid w:val="0"/>
                      <w:color w:val="auto"/>
                      <w:kern w:val="0"/>
                      <w:szCs w:val="21"/>
                      <w:lang w:val="en-US" w:eastAsia="zh-CN"/>
                    </w:rPr>
                    <w:t>执行标准</w:t>
                  </w:r>
                </w:p>
              </w:tc>
              <w:tc>
                <w:tcPr>
                  <w:tcW w:w="714" w:type="pct"/>
                  <w:noWrap w:val="0"/>
                  <w:vAlign w:val="center"/>
                </w:tcPr>
                <w:p w14:paraId="368767B2">
                  <w:pPr>
                    <w:adjustRightInd w:val="0"/>
                    <w:snapToGrid w:val="0"/>
                    <w:jc w:val="center"/>
                    <w:rPr>
                      <w:rFonts w:hint="default" w:ascii="Times New Roman" w:hAnsi="Times New Roman" w:eastAsia="宋体" w:cs="Times New Roman"/>
                      <w:b/>
                      <w:snapToGrid w:val="0"/>
                      <w:color w:val="auto"/>
                      <w:kern w:val="0"/>
                      <w:szCs w:val="21"/>
                      <w:lang w:val="en-US" w:eastAsia="zh-CN"/>
                    </w:rPr>
                  </w:pPr>
                  <w:r>
                    <w:rPr>
                      <w:rFonts w:hint="default" w:ascii="Times New Roman" w:hAnsi="Times New Roman" w:eastAsia="宋体" w:cs="Times New Roman"/>
                      <w:b/>
                      <w:snapToGrid w:val="0"/>
                      <w:color w:val="auto"/>
                      <w:kern w:val="0"/>
                      <w:szCs w:val="21"/>
                      <w:lang w:val="en-US" w:eastAsia="zh-CN"/>
                    </w:rPr>
                    <w:t>责任主体</w:t>
                  </w:r>
                </w:p>
              </w:tc>
            </w:tr>
            <w:tr w14:paraId="64E53C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restart"/>
                  <w:noWrap w:val="0"/>
                  <w:vAlign w:val="center"/>
                </w:tcPr>
                <w:p w14:paraId="07ED76FE">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施</w:t>
                  </w:r>
                </w:p>
                <w:p w14:paraId="4EED9821">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w:t>
                  </w:r>
                </w:p>
                <w:p w14:paraId="3804515B">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期</w:t>
                  </w:r>
                </w:p>
              </w:tc>
              <w:tc>
                <w:tcPr>
                  <w:tcW w:w="392" w:type="pct"/>
                  <w:noWrap w:val="0"/>
                  <w:vAlign w:val="center"/>
                </w:tcPr>
                <w:p w14:paraId="4CC9F09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w:t>
                  </w:r>
                </w:p>
                <w:p w14:paraId="460B4CC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空气</w:t>
                  </w:r>
                </w:p>
              </w:tc>
              <w:tc>
                <w:tcPr>
                  <w:tcW w:w="621" w:type="pct"/>
                  <w:noWrap w:val="0"/>
                  <w:vAlign w:val="center"/>
                </w:tcPr>
                <w:p w14:paraId="5C3485B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648" w:type="pct"/>
                  <w:noWrap w:val="0"/>
                  <w:vAlign w:val="center"/>
                </w:tcPr>
                <w:p w14:paraId="3717E7C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施工现场</w:t>
                  </w:r>
                </w:p>
              </w:tc>
              <w:tc>
                <w:tcPr>
                  <w:tcW w:w="840" w:type="pct"/>
                  <w:noWrap w:val="0"/>
                  <w:vAlign w:val="center"/>
                </w:tcPr>
                <w:p w14:paraId="20EDD63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0"/>
                      <w:sz w:val="21"/>
                      <w:szCs w:val="21"/>
                      <w:highlight w:val="none"/>
                      <w:lang w:val="en-US" w:eastAsia="zh-CN" w:bidi="ar-SA"/>
                    </w:rPr>
                    <w:t>施工过程中每90天监测1次</w:t>
                  </w:r>
                </w:p>
              </w:tc>
              <w:tc>
                <w:tcPr>
                  <w:tcW w:w="1458" w:type="pct"/>
                  <w:noWrap w:val="0"/>
                  <w:vAlign w:val="center"/>
                </w:tcPr>
                <w:p w14:paraId="439F8901">
                  <w:pPr>
                    <w:pStyle w:val="9"/>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rPr>
                    <w:t>《大气污染物综合排放标准》</w:t>
                  </w:r>
                  <w:r>
                    <w:rPr>
                      <w:rFonts w:hint="default" w:ascii="Times New Roman" w:hAnsi="Times New Roman" w:eastAsia="宋体" w:cs="Times New Roman"/>
                      <w:color w:val="auto"/>
                      <w:sz w:val="21"/>
                      <w:szCs w:val="21"/>
                      <w:lang w:eastAsia="zh-CN"/>
                    </w:rPr>
                    <w:t>（GB16297-1996）</w:t>
                  </w:r>
                  <w:r>
                    <w:rPr>
                      <w:rFonts w:hint="default" w:ascii="Times New Roman" w:hAnsi="Times New Roman" w:eastAsia="宋体" w:cs="Times New Roman"/>
                      <w:color w:val="auto"/>
                      <w:sz w:val="21"/>
                      <w:szCs w:val="21"/>
                    </w:rPr>
                    <w:t>无组织排放标准</w:t>
                  </w:r>
                </w:p>
              </w:tc>
              <w:tc>
                <w:tcPr>
                  <w:tcW w:w="714" w:type="pct"/>
                  <w:noWrap w:val="0"/>
                  <w:vAlign w:val="center"/>
                </w:tcPr>
                <w:p w14:paraId="2DA135CE">
                  <w:pPr>
                    <w:pStyle w:val="9"/>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中卫市沙坡头区自然资源局</w:t>
                  </w:r>
                </w:p>
              </w:tc>
            </w:tr>
            <w:tr w14:paraId="5B6464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noWrap w:val="0"/>
                  <w:vAlign w:val="center"/>
                </w:tcPr>
                <w:p w14:paraId="164F356A">
                  <w:pPr>
                    <w:adjustRightInd w:val="0"/>
                    <w:snapToGrid w:val="0"/>
                    <w:jc w:val="center"/>
                    <w:rPr>
                      <w:rFonts w:hint="default" w:ascii="Times New Roman" w:hAnsi="Times New Roman" w:eastAsia="宋体" w:cs="Times New Roman"/>
                      <w:b/>
                      <w:color w:val="auto"/>
                      <w:szCs w:val="21"/>
                    </w:rPr>
                  </w:pPr>
                </w:p>
              </w:tc>
              <w:tc>
                <w:tcPr>
                  <w:tcW w:w="392" w:type="pct"/>
                  <w:noWrap w:val="0"/>
                  <w:vAlign w:val="center"/>
                </w:tcPr>
                <w:p w14:paraId="08BA931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621" w:type="pct"/>
                  <w:noWrap w:val="0"/>
                  <w:vAlign w:val="center"/>
                </w:tcPr>
                <w:p w14:paraId="4EC09C8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等效连续A声级</w:t>
                  </w:r>
                </w:p>
              </w:tc>
              <w:tc>
                <w:tcPr>
                  <w:tcW w:w="648" w:type="pct"/>
                  <w:noWrap w:val="0"/>
                  <w:vAlign w:val="center"/>
                </w:tcPr>
                <w:p w14:paraId="5C3C015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施工现场</w:t>
                  </w:r>
                </w:p>
              </w:tc>
              <w:tc>
                <w:tcPr>
                  <w:tcW w:w="840" w:type="pct"/>
                  <w:noWrap w:val="0"/>
                  <w:vAlign w:val="center"/>
                </w:tcPr>
                <w:p w14:paraId="70E19D3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0"/>
                      <w:sz w:val="21"/>
                      <w:szCs w:val="21"/>
                      <w:highlight w:val="none"/>
                      <w:lang w:val="en-US" w:eastAsia="zh-CN" w:bidi="ar-SA"/>
                    </w:rPr>
                    <w:t>施工过程中每90天监测1次</w:t>
                  </w:r>
                </w:p>
              </w:tc>
              <w:tc>
                <w:tcPr>
                  <w:tcW w:w="1458" w:type="pct"/>
                  <w:noWrap w:val="0"/>
                  <w:vAlign w:val="center"/>
                </w:tcPr>
                <w:p w14:paraId="5F95F518">
                  <w:pPr>
                    <w:pStyle w:val="9"/>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rPr>
                    <w:t>《建筑施工场界环境噪声排放标准》（GB12523-2011）</w:t>
                  </w:r>
                </w:p>
              </w:tc>
              <w:tc>
                <w:tcPr>
                  <w:tcW w:w="714" w:type="pct"/>
                  <w:noWrap w:val="0"/>
                  <w:vAlign w:val="center"/>
                </w:tcPr>
                <w:p w14:paraId="4912FCBD">
                  <w:pPr>
                    <w:pStyle w:val="9"/>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中卫市沙坡头区自然资源局</w:t>
                  </w:r>
                </w:p>
              </w:tc>
            </w:tr>
          </w:tbl>
          <w:p w14:paraId="46BBB64F">
            <w:pPr>
              <w:ind w:firstLine="450" w:firstLineChars="200"/>
              <w:rPr>
                <w:rStyle w:val="31"/>
                <w:rFonts w:hint="default" w:ascii="Times New Roman" w:hAnsi="Times New Roman" w:eastAsia="宋体" w:cs="Times New Roman"/>
                <w:color w:val="auto"/>
                <w:kern w:val="0"/>
              </w:rPr>
            </w:pPr>
          </w:p>
        </w:tc>
      </w:tr>
      <w:tr w14:paraId="711D6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noWrap w:val="0"/>
            <w:tcMar>
              <w:left w:w="28" w:type="dxa"/>
              <w:right w:w="28" w:type="dxa"/>
            </w:tcMar>
            <w:vAlign w:val="center"/>
          </w:tcPr>
          <w:p w14:paraId="4B35BA7D">
            <w:pPr>
              <w:adjustRightInd w:val="0"/>
              <w:snapToGrid w:val="0"/>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运营期生态环境保护措施</w:t>
            </w:r>
          </w:p>
        </w:tc>
        <w:tc>
          <w:tcPr>
            <w:tcW w:w="8457" w:type="dxa"/>
            <w:noWrap w:val="0"/>
            <w:vAlign w:val="top"/>
          </w:tcPr>
          <w:p w14:paraId="45E86CCE">
            <w:pPr>
              <w:keepNext w:val="0"/>
              <w:keepLines w:val="0"/>
              <w:pageBreakBefore w:val="0"/>
              <w:widowControl w:val="0"/>
              <w:kinsoku/>
              <w:wordWrap/>
              <w:overflowPunct/>
              <w:topLinePunct w:val="0"/>
              <w:autoSpaceDE/>
              <w:autoSpaceDN/>
              <w:bidi w:val="0"/>
              <w:adjustRightInd/>
              <w:snapToGrid/>
              <w:spacing w:line="240" w:lineRule="auto"/>
              <w:ind w:firstLine="51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color w:val="auto"/>
                <w:sz w:val="24"/>
                <w:szCs w:val="24"/>
              </w:rPr>
              <w:t>本项目为</w:t>
            </w:r>
            <w:r>
              <w:rPr>
                <w:rFonts w:hint="default" w:ascii="Times New Roman" w:hAnsi="Times New Roman" w:cs="Times New Roman"/>
                <w:color w:val="auto"/>
                <w:sz w:val="24"/>
                <w:szCs w:val="24"/>
                <w:lang w:eastAsia="zh-CN"/>
              </w:rPr>
              <w:t>矿山生态环境恢复项目</w:t>
            </w:r>
            <w:r>
              <w:rPr>
                <w:rFonts w:hint="default" w:ascii="Times New Roman" w:hAnsi="Times New Roman" w:eastAsia="宋体" w:cs="Times New Roman"/>
                <w:color w:val="auto"/>
                <w:sz w:val="24"/>
                <w:szCs w:val="24"/>
              </w:rPr>
              <w:t>，施工期结束后其用地变更为草地，通过科学种植，使其自然恢复，显著增加植被覆盖率，强化植被固沙护土能力，使修复区内的植被覆盖率提高至</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%以上。运营期主要对种植的植物进行养护，无废气、废水、噪声及固体废弃物等的产生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运营期监测计划见表5-</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14:paraId="2016E8D4">
            <w:pPr>
              <w:keepNext w:val="0"/>
              <w:keepLines w:val="0"/>
              <w:pageBreakBefore w:val="0"/>
              <w:widowControl/>
              <w:tabs>
                <w:tab w:val="left" w:pos="1745"/>
              </w:tabs>
              <w:kinsoku w:val="0"/>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黑体" w:cs="Times New Roman"/>
                <w:bCs w:val="0"/>
                <w:color w:val="auto"/>
                <w:spacing w:val="0"/>
                <w:kern w:val="0"/>
                <w:sz w:val="24"/>
                <w:szCs w:val="24"/>
                <w:vertAlign w:val="baseline"/>
                <w:lang w:val="en-US" w:eastAsia="zh-CN"/>
              </w:rPr>
            </w:pPr>
            <w:r>
              <w:rPr>
                <w:rFonts w:hint="default" w:ascii="Times New Roman" w:hAnsi="Times New Roman" w:eastAsia="黑体" w:cs="Times New Roman"/>
                <w:b w:val="0"/>
                <w:bCs w:val="0"/>
                <w:color w:val="auto"/>
                <w:kern w:val="0"/>
                <w:sz w:val="24"/>
                <w:szCs w:val="24"/>
                <w:lang w:val="en-US" w:eastAsia="zh-CN" w:bidi="ar-SA"/>
              </w:rPr>
              <w:t>表 5-3  运营期环境监测计划表</w:t>
            </w:r>
          </w:p>
          <w:tbl>
            <w:tblPr>
              <w:tblStyle w:val="26"/>
              <w:tblW w:w="824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4328"/>
              <w:gridCol w:w="2743"/>
            </w:tblGrid>
            <w:tr w14:paraId="5C610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70" w:type="dxa"/>
                  <w:tcBorders>
                    <w:tl2br w:val="nil"/>
                    <w:tr2bl w:val="nil"/>
                  </w:tcBorders>
                  <w:noWrap w:val="0"/>
                  <w:vAlign w:val="center"/>
                </w:tcPr>
                <w:p w14:paraId="2BEC41C4">
                  <w:pPr>
                    <w:pStyle w:val="9"/>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监测项目</w:t>
                  </w:r>
                </w:p>
              </w:tc>
              <w:tc>
                <w:tcPr>
                  <w:tcW w:w="4328" w:type="dxa"/>
                  <w:tcBorders>
                    <w:tl2br w:val="nil"/>
                    <w:tr2bl w:val="nil"/>
                  </w:tcBorders>
                  <w:noWrap w:val="0"/>
                  <w:vAlign w:val="center"/>
                </w:tcPr>
                <w:p w14:paraId="66D89C76">
                  <w:pPr>
                    <w:pStyle w:val="9"/>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监测位置</w:t>
                  </w:r>
                </w:p>
              </w:tc>
              <w:tc>
                <w:tcPr>
                  <w:tcW w:w="2743" w:type="dxa"/>
                  <w:tcBorders>
                    <w:tl2br w:val="nil"/>
                    <w:tr2bl w:val="nil"/>
                  </w:tcBorders>
                  <w:noWrap w:val="0"/>
                  <w:vAlign w:val="center"/>
                </w:tcPr>
                <w:p w14:paraId="1F15198A">
                  <w:pPr>
                    <w:pStyle w:val="9"/>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监测频次</w:t>
                  </w:r>
                </w:p>
              </w:tc>
            </w:tr>
            <w:tr w14:paraId="7D663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70" w:type="dxa"/>
                  <w:tcBorders>
                    <w:tl2br w:val="nil"/>
                    <w:tr2bl w:val="nil"/>
                  </w:tcBorders>
                  <w:noWrap w:val="0"/>
                  <w:vAlign w:val="center"/>
                </w:tcPr>
                <w:p w14:paraId="2431EB47">
                  <w:pPr>
                    <w:pStyle w:val="9"/>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植被生态监测</w:t>
                  </w:r>
                </w:p>
              </w:tc>
              <w:tc>
                <w:tcPr>
                  <w:tcW w:w="4328" w:type="dxa"/>
                  <w:tcBorders>
                    <w:tl2br w:val="nil"/>
                    <w:tr2bl w:val="nil"/>
                  </w:tcBorders>
                  <w:noWrap w:val="0"/>
                  <w:vAlign w:val="center"/>
                </w:tcPr>
                <w:p w14:paraId="4FCCA04D">
                  <w:pPr>
                    <w:pStyle w:val="9"/>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采用样方调查方式监测矿山修复区内植被恢复情况，分析恢复效果。对草本植物，监测种类、株数、均高、盖度、生物量</w:t>
                  </w:r>
                </w:p>
              </w:tc>
              <w:tc>
                <w:tcPr>
                  <w:tcW w:w="2743" w:type="dxa"/>
                  <w:tcBorders>
                    <w:tl2br w:val="nil"/>
                    <w:tr2bl w:val="nil"/>
                  </w:tcBorders>
                  <w:noWrap w:val="0"/>
                  <w:vAlign w:val="center"/>
                </w:tcPr>
                <w:p w14:paraId="45E66FCA">
                  <w:pPr>
                    <w:pStyle w:val="9"/>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完工后2年，对植被成活情况实施人工监测，春、夏、秋，每个季节监测1次</w:t>
                  </w:r>
                </w:p>
              </w:tc>
            </w:tr>
            <w:tr w14:paraId="7FEC3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70" w:type="dxa"/>
                  <w:tcBorders>
                    <w:tl2br w:val="nil"/>
                    <w:tr2bl w:val="nil"/>
                  </w:tcBorders>
                  <w:noWrap w:val="0"/>
                  <w:vAlign w:val="center"/>
                </w:tcPr>
                <w:p w14:paraId="7428E4F4">
                  <w:pPr>
                    <w:pStyle w:val="9"/>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动物生态监测</w:t>
                  </w:r>
                </w:p>
              </w:tc>
              <w:tc>
                <w:tcPr>
                  <w:tcW w:w="4328" w:type="dxa"/>
                  <w:tcBorders>
                    <w:tl2br w:val="nil"/>
                    <w:tr2bl w:val="nil"/>
                  </w:tcBorders>
                  <w:noWrap w:val="0"/>
                  <w:vAlign w:val="center"/>
                </w:tcPr>
                <w:p w14:paraId="4C60F8DA">
                  <w:pPr>
                    <w:pStyle w:val="9"/>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采用样方调查方式监测矿山修复区内野生动物活动情况，并与建设前情况进行比较，分析前后变化。采用实地调查与公众调查相结合的方式，集中于野生动物分布较多的区域。重点调查动物（以鸟类与兽类为主）的种类，出现频率，并分析其栖息地环境变化与恢复状况</w:t>
                  </w:r>
                </w:p>
              </w:tc>
              <w:tc>
                <w:tcPr>
                  <w:tcW w:w="2743" w:type="dxa"/>
                  <w:tcBorders>
                    <w:tl2br w:val="nil"/>
                    <w:tr2bl w:val="nil"/>
                  </w:tcBorders>
                  <w:noWrap w:val="0"/>
                  <w:vAlign w:val="center"/>
                </w:tcPr>
                <w:p w14:paraId="552A2AD3">
                  <w:pPr>
                    <w:pStyle w:val="9"/>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完工后2年，每个季度监测1次</w:t>
                  </w:r>
                </w:p>
              </w:tc>
            </w:tr>
          </w:tbl>
          <w:p w14:paraId="14E1D141">
            <w:pPr>
              <w:ind w:firstLine="450" w:firstLineChars="200"/>
              <w:jc w:val="left"/>
              <w:rPr>
                <w:rFonts w:hint="default" w:ascii="Times New Roman" w:hAnsi="Times New Roman" w:eastAsia="宋体" w:cs="Times New Roman"/>
                <w:color w:val="auto"/>
              </w:rPr>
            </w:pPr>
          </w:p>
        </w:tc>
      </w:tr>
      <w:tr w14:paraId="4BF83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53" w:type="dxa"/>
            <w:noWrap w:val="0"/>
            <w:vAlign w:val="center"/>
          </w:tcPr>
          <w:p w14:paraId="6E4AD703">
            <w:pPr>
              <w:adjustRightInd w:val="0"/>
              <w:snapToGrid w:val="0"/>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其他</w:t>
            </w:r>
          </w:p>
        </w:tc>
        <w:tc>
          <w:tcPr>
            <w:tcW w:w="8457" w:type="dxa"/>
            <w:noWrap w:val="0"/>
            <w:vAlign w:val="center"/>
          </w:tcPr>
          <w:p w14:paraId="4C576F6B">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bCs/>
                <w:color w:val="auto"/>
                <w:sz w:val="24"/>
                <w:szCs w:val="21"/>
              </w:rPr>
              <w:t>无</w:t>
            </w:r>
          </w:p>
        </w:tc>
      </w:tr>
      <w:tr w14:paraId="66601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noWrap w:val="0"/>
            <w:vAlign w:val="center"/>
          </w:tcPr>
          <w:p w14:paraId="2513D8AE">
            <w:pPr>
              <w:adjustRightInd w:val="0"/>
              <w:snapToGrid w:val="0"/>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环保投资</w:t>
            </w:r>
          </w:p>
        </w:tc>
        <w:tc>
          <w:tcPr>
            <w:tcW w:w="8457" w:type="dxa"/>
            <w:noWrap w:val="0"/>
            <w:vAlign w:val="top"/>
          </w:tcPr>
          <w:p w14:paraId="773B42B2">
            <w:pPr>
              <w:keepNext w:val="0"/>
              <w:keepLines w:val="0"/>
              <w:pageBreakBefore w:val="0"/>
              <w:widowControl w:val="0"/>
              <w:kinsoku/>
              <w:wordWrap/>
              <w:overflowPunct/>
              <w:topLinePunct w:val="0"/>
              <w:autoSpaceDE/>
              <w:autoSpaceDN/>
              <w:bidi w:val="0"/>
              <w:adjustRightInd/>
              <w:snapToGrid/>
              <w:spacing w:line="240" w:lineRule="auto"/>
              <w:ind w:firstLine="51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本工程总投资为</w:t>
            </w:r>
            <w:r>
              <w:rPr>
                <w:rFonts w:hint="default" w:ascii="Times New Roman" w:hAnsi="Times New Roman" w:cs="Times New Roman"/>
                <w:color w:val="auto"/>
                <w:sz w:val="24"/>
                <w:szCs w:val="24"/>
                <w:lang w:val="en-US" w:eastAsia="zh-CN"/>
              </w:rPr>
              <w:t>177.32</w:t>
            </w:r>
            <w:r>
              <w:rPr>
                <w:rFonts w:hint="default" w:ascii="Times New Roman" w:hAnsi="Times New Roman" w:eastAsia="宋体" w:cs="Times New Roman"/>
                <w:color w:val="auto"/>
                <w:sz w:val="24"/>
                <w:szCs w:val="24"/>
              </w:rPr>
              <w:t>万元，项目属于环保修复项目，因此投资均属环保投资，占工程总投资的100%。具体环保投资费用估算情况详见表5-</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w:t>
            </w:r>
          </w:p>
          <w:p w14:paraId="72BCAADF">
            <w:pPr>
              <w:keepNext w:val="0"/>
              <w:keepLines w:val="0"/>
              <w:pageBreakBefore w:val="0"/>
              <w:widowControl/>
              <w:tabs>
                <w:tab w:val="left" w:pos="1745"/>
              </w:tabs>
              <w:kinsoku w:val="0"/>
              <w:wordWrap/>
              <w:overflowPunct w:val="0"/>
              <w:topLinePunct w:val="0"/>
              <w:autoSpaceDE w:val="0"/>
              <w:autoSpaceDN w:val="0"/>
              <w:bidi w:val="0"/>
              <w:adjustRightInd/>
              <w:snapToGrid/>
              <w:spacing w:line="240" w:lineRule="auto"/>
              <w:jc w:val="center"/>
              <w:textAlignment w:val="auto"/>
              <w:rPr>
                <w:rFonts w:hint="default" w:ascii="Times New Roman" w:hAnsi="Times New Roman" w:eastAsia="黑体" w:cs="Times New Roman"/>
                <w:b w:val="0"/>
                <w:bCs w:val="0"/>
                <w:color w:val="auto"/>
                <w:kern w:val="0"/>
                <w:sz w:val="24"/>
                <w:szCs w:val="24"/>
                <w:lang w:val="en-US" w:eastAsia="zh-CN" w:bidi="ar-SA"/>
              </w:rPr>
            </w:pPr>
            <w:r>
              <w:rPr>
                <w:rFonts w:hint="default" w:ascii="Times New Roman" w:hAnsi="Times New Roman" w:eastAsia="黑体" w:cs="Times New Roman"/>
                <w:b w:val="0"/>
                <w:bCs w:val="0"/>
                <w:color w:val="auto"/>
                <w:kern w:val="0"/>
                <w:sz w:val="24"/>
                <w:szCs w:val="24"/>
                <w:lang w:val="en-US" w:eastAsia="zh-CN" w:bidi="ar-SA"/>
              </w:rPr>
              <w:t>表5-4  环保投资情况表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54"/>
              <w:gridCol w:w="5004"/>
              <w:gridCol w:w="1352"/>
            </w:tblGrid>
            <w:tr w14:paraId="68CC2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4ACEF018">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1154" w:type="dxa"/>
                  <w:tcBorders>
                    <w:tl2br w:val="nil"/>
                    <w:tr2bl w:val="nil"/>
                  </w:tcBorders>
                  <w:noWrap w:val="0"/>
                  <w:vAlign w:val="center"/>
                </w:tcPr>
                <w:p w14:paraId="016F939C">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项目名称</w:t>
                  </w:r>
                </w:p>
              </w:tc>
              <w:tc>
                <w:tcPr>
                  <w:tcW w:w="5004" w:type="dxa"/>
                  <w:tcBorders>
                    <w:tl2br w:val="nil"/>
                    <w:tr2bl w:val="nil"/>
                  </w:tcBorders>
                  <w:noWrap w:val="0"/>
                  <w:vAlign w:val="center"/>
                </w:tcPr>
                <w:p w14:paraId="489ADDAB">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具体内容</w:t>
                  </w:r>
                </w:p>
              </w:tc>
              <w:tc>
                <w:tcPr>
                  <w:tcW w:w="1352" w:type="dxa"/>
                  <w:tcBorders>
                    <w:tl2br w:val="nil"/>
                    <w:tr2bl w:val="nil"/>
                  </w:tcBorders>
                  <w:noWrap w:val="0"/>
                  <w:vAlign w:val="center"/>
                </w:tcPr>
                <w:p w14:paraId="1BD39CCA">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投资（万元）</w:t>
                  </w:r>
                </w:p>
              </w:tc>
            </w:tr>
            <w:tr w14:paraId="138DE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409986F7">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154" w:type="dxa"/>
                  <w:tcBorders>
                    <w:tl2br w:val="nil"/>
                    <w:tr2bl w:val="nil"/>
                  </w:tcBorders>
                  <w:noWrap w:val="0"/>
                  <w:vAlign w:val="center"/>
                </w:tcPr>
                <w:p w14:paraId="4FCD7FEA">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废气治理</w:t>
                  </w:r>
                </w:p>
              </w:tc>
              <w:tc>
                <w:tcPr>
                  <w:tcW w:w="5004" w:type="dxa"/>
                  <w:tcBorders>
                    <w:tl2br w:val="nil"/>
                    <w:tr2bl w:val="nil"/>
                  </w:tcBorders>
                  <w:shd w:val="clear" w:color="auto" w:fill="auto"/>
                  <w:noWrap w:val="0"/>
                  <w:vAlign w:val="center"/>
                </w:tcPr>
                <w:p w14:paraId="3DABD7B0">
                  <w:pPr>
                    <w:pStyle w:val="21"/>
                    <w:adjustRightInd w:val="0"/>
                    <w:snapToGrid w:val="0"/>
                    <w:spacing w:after="0" w:line="240" w:lineRule="auto"/>
                    <w:ind w:firstLine="45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采取车辆盖篷布、施工场地洒水、围挡封闭、物料苫盖等措施以减少扬尘。</w:t>
                  </w:r>
                </w:p>
              </w:tc>
              <w:tc>
                <w:tcPr>
                  <w:tcW w:w="1352" w:type="dxa"/>
                  <w:tcBorders>
                    <w:tl2br w:val="nil"/>
                    <w:tr2bl w:val="nil"/>
                  </w:tcBorders>
                  <w:noWrap w:val="0"/>
                  <w:vAlign w:val="center"/>
                </w:tcPr>
                <w:p w14:paraId="17034DC4">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r>
            <w:tr w14:paraId="42C63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3742D15F">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154" w:type="dxa"/>
                  <w:tcBorders>
                    <w:tl2br w:val="nil"/>
                    <w:tr2bl w:val="nil"/>
                  </w:tcBorders>
                  <w:noWrap w:val="0"/>
                  <w:vAlign w:val="center"/>
                </w:tcPr>
                <w:p w14:paraId="58F16763">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废水治理</w:t>
                  </w:r>
                </w:p>
              </w:tc>
              <w:tc>
                <w:tcPr>
                  <w:tcW w:w="5004" w:type="dxa"/>
                  <w:tcBorders>
                    <w:tl2br w:val="nil"/>
                    <w:tr2bl w:val="nil"/>
                  </w:tcBorders>
                  <w:shd w:val="clear" w:color="auto" w:fill="auto"/>
                  <w:noWrap w:val="0"/>
                  <w:vAlign w:val="center"/>
                </w:tcPr>
                <w:p w14:paraId="40380D01">
                  <w:pPr>
                    <w:adjustRightInd w:val="0"/>
                    <w:snapToGrid w:val="0"/>
                    <w:ind w:firstLine="45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eastAsia="zh-CN"/>
                    </w:rPr>
                    <w:t>施工人员的洗漱废水回用于洒水抑尘，生活污水依托当地居民区旱厕处理后定期由吸污车清掏外运；</w:t>
                  </w:r>
                  <w:r>
                    <w:rPr>
                      <w:rFonts w:hint="default" w:ascii="Times New Roman" w:hAnsi="Times New Roman" w:cs="Times New Roman"/>
                      <w:color w:val="auto"/>
                      <w:sz w:val="21"/>
                      <w:szCs w:val="24"/>
                    </w:rPr>
                    <w:t>在租用民房附近新建1个10m</w:t>
                  </w:r>
                  <w:r>
                    <w:rPr>
                      <w:rFonts w:hint="default" w:ascii="Times New Roman" w:hAnsi="Times New Roman" w:cs="Times New Roman"/>
                      <w:color w:val="auto"/>
                      <w:sz w:val="21"/>
                      <w:szCs w:val="24"/>
                      <w:vertAlign w:val="superscript"/>
                    </w:rPr>
                    <w:t>3</w:t>
                  </w:r>
                  <w:r>
                    <w:rPr>
                      <w:rFonts w:hint="default" w:ascii="Times New Roman" w:hAnsi="Times New Roman" w:cs="Times New Roman"/>
                      <w:color w:val="auto"/>
                      <w:sz w:val="21"/>
                      <w:szCs w:val="24"/>
                    </w:rPr>
                    <w:t>的沉淀池，施工中冲洗砂砾石的含泥沙废水经沉淀池处理回用于项目区洒水抑尘，不外排。</w:t>
                  </w:r>
                </w:p>
              </w:tc>
              <w:tc>
                <w:tcPr>
                  <w:tcW w:w="1352" w:type="dxa"/>
                  <w:tcBorders>
                    <w:tl2br w:val="nil"/>
                    <w:tr2bl w:val="nil"/>
                  </w:tcBorders>
                  <w:noWrap w:val="0"/>
                  <w:vAlign w:val="center"/>
                </w:tcPr>
                <w:p w14:paraId="005A1FAA">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r>
            <w:tr w14:paraId="5B723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05A14B51">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154" w:type="dxa"/>
                  <w:tcBorders>
                    <w:tl2br w:val="nil"/>
                    <w:tr2bl w:val="nil"/>
                  </w:tcBorders>
                  <w:noWrap w:val="0"/>
                  <w:vAlign w:val="center"/>
                </w:tcPr>
                <w:p w14:paraId="743BD47D">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噪声治理</w:t>
                  </w:r>
                </w:p>
              </w:tc>
              <w:tc>
                <w:tcPr>
                  <w:tcW w:w="5004" w:type="dxa"/>
                  <w:tcBorders>
                    <w:tl2br w:val="nil"/>
                    <w:tr2bl w:val="nil"/>
                  </w:tcBorders>
                  <w:shd w:val="clear" w:color="auto" w:fill="auto"/>
                  <w:noWrap w:val="0"/>
                  <w:vAlign w:val="center"/>
                </w:tcPr>
                <w:p w14:paraId="4BC4A1FD">
                  <w:pPr>
                    <w:adjustRightInd w:val="0"/>
                    <w:snapToGrid w:val="0"/>
                    <w:ind w:firstLine="45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选用低噪声设备、控制施工时间、设置围栏，设置基础减振、隔声消声等措施。</w:t>
                  </w:r>
                </w:p>
              </w:tc>
              <w:tc>
                <w:tcPr>
                  <w:tcW w:w="1352" w:type="dxa"/>
                  <w:tcBorders>
                    <w:tl2br w:val="nil"/>
                    <w:tr2bl w:val="nil"/>
                  </w:tcBorders>
                  <w:noWrap w:val="0"/>
                  <w:vAlign w:val="center"/>
                </w:tcPr>
                <w:p w14:paraId="2A239E35">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w:t>
                  </w:r>
                </w:p>
              </w:tc>
            </w:tr>
            <w:tr w14:paraId="70C53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253246EF">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154" w:type="dxa"/>
                  <w:tcBorders>
                    <w:tl2br w:val="nil"/>
                    <w:tr2bl w:val="nil"/>
                  </w:tcBorders>
                  <w:noWrap w:val="0"/>
                  <w:vAlign w:val="center"/>
                </w:tcPr>
                <w:p w14:paraId="14C7AB4E">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固废治理</w:t>
                  </w:r>
                </w:p>
              </w:tc>
              <w:tc>
                <w:tcPr>
                  <w:tcW w:w="5004" w:type="dxa"/>
                  <w:tcBorders>
                    <w:tl2br w:val="nil"/>
                    <w:tr2bl w:val="nil"/>
                  </w:tcBorders>
                  <w:shd w:val="clear" w:color="auto" w:fill="auto"/>
                  <w:noWrap w:val="0"/>
                  <w:vAlign w:val="center"/>
                </w:tcPr>
                <w:p w14:paraId="36054FE4">
                  <w:pPr>
                    <w:widowControl/>
                    <w:adjustRightInd w:val="0"/>
                    <w:snapToGrid w:val="0"/>
                    <w:ind w:firstLine="45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土方开挖全部用于场地平整回填，不外运</w:t>
                  </w:r>
                  <w:r>
                    <w:rPr>
                      <w:rFonts w:hint="default" w:ascii="Times New Roman" w:hAnsi="Times New Roman" w:cs="Times New Roman"/>
                      <w:color w:val="auto"/>
                      <w:lang w:eastAsia="zh-CN"/>
                    </w:rPr>
                    <w:t>。</w:t>
                  </w:r>
                </w:p>
                <w:p w14:paraId="367E4A64">
                  <w:pPr>
                    <w:widowControl/>
                    <w:adjustRightInd w:val="0"/>
                    <w:snapToGrid w:val="0"/>
                    <w:ind w:firstLine="45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建筑废物在施工现场的金属要及时回收。不可利用的废弃构筑物运往</w:t>
                  </w:r>
                  <w:r>
                    <w:rPr>
                      <w:rFonts w:hint="default" w:ascii="Times New Roman" w:hAnsi="Times New Roman" w:cs="Times New Roman"/>
                      <w:color w:val="auto"/>
                      <w:lang w:val="en-US" w:eastAsia="zh-CN"/>
                    </w:rPr>
                    <w:t>政府指定的建筑垃圾</w:t>
                  </w:r>
                  <w:r>
                    <w:rPr>
                      <w:rFonts w:hint="default" w:ascii="Times New Roman" w:hAnsi="Times New Roman" w:eastAsia="宋体" w:cs="Times New Roman"/>
                      <w:color w:val="auto"/>
                    </w:rPr>
                    <w:t>填埋场填埋。</w:t>
                  </w:r>
                </w:p>
                <w:p w14:paraId="356BC9E5">
                  <w:pPr>
                    <w:widowControl/>
                    <w:adjustRightInd w:val="0"/>
                    <w:snapToGrid w:val="0"/>
                    <w:ind w:firstLine="45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施工人员的生活垃圾统一收集，由环卫部门清运。施工废包装材料及时收集到指定的垃圾箱（桶）内，定期集中收集外运至附近的垃圾转运站，统一由环卫部门清运。</w:t>
                  </w:r>
                </w:p>
              </w:tc>
              <w:tc>
                <w:tcPr>
                  <w:tcW w:w="1352" w:type="dxa"/>
                  <w:tcBorders>
                    <w:tl2br w:val="nil"/>
                    <w:tr2bl w:val="nil"/>
                  </w:tcBorders>
                  <w:noWrap w:val="0"/>
                  <w:vAlign w:val="center"/>
                </w:tcPr>
                <w:p w14:paraId="51976790">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14:paraId="4A58E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16FEE59E">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154" w:type="dxa"/>
                  <w:tcBorders>
                    <w:tl2br w:val="nil"/>
                    <w:tr2bl w:val="nil"/>
                  </w:tcBorders>
                  <w:noWrap w:val="0"/>
                  <w:vAlign w:val="center"/>
                </w:tcPr>
                <w:p w14:paraId="7ADC709A">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修复</w:t>
                  </w:r>
                </w:p>
              </w:tc>
              <w:tc>
                <w:tcPr>
                  <w:tcW w:w="5004" w:type="dxa"/>
                  <w:tcBorders>
                    <w:tl2br w:val="nil"/>
                    <w:tr2bl w:val="nil"/>
                  </w:tcBorders>
                  <w:noWrap w:val="0"/>
                  <w:vAlign w:val="center"/>
                </w:tcPr>
                <w:p w14:paraId="206D81E9">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矿山土地修复</w:t>
                  </w:r>
                </w:p>
              </w:tc>
              <w:tc>
                <w:tcPr>
                  <w:tcW w:w="1352" w:type="dxa"/>
                  <w:tcBorders>
                    <w:tl2br w:val="nil"/>
                    <w:tr2bl w:val="nil"/>
                  </w:tcBorders>
                  <w:noWrap w:val="0"/>
                  <w:vAlign w:val="center"/>
                </w:tcPr>
                <w:p w14:paraId="49CBBDC6">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149.32</w:t>
                  </w:r>
                </w:p>
              </w:tc>
            </w:tr>
            <w:tr w14:paraId="67B7D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4F7D6206">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1154" w:type="dxa"/>
                  <w:tcBorders>
                    <w:tl2br w:val="nil"/>
                    <w:tr2bl w:val="nil"/>
                  </w:tcBorders>
                  <w:noWrap w:val="0"/>
                  <w:vAlign w:val="center"/>
                </w:tcPr>
                <w:p w14:paraId="36CC5770">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绿化</w:t>
                  </w:r>
                </w:p>
              </w:tc>
              <w:tc>
                <w:tcPr>
                  <w:tcW w:w="5004" w:type="dxa"/>
                  <w:tcBorders>
                    <w:tl2br w:val="nil"/>
                    <w:tr2bl w:val="nil"/>
                  </w:tcBorders>
                  <w:noWrap w:val="0"/>
                  <w:vAlign w:val="center"/>
                </w:tcPr>
                <w:p w14:paraId="7421FFB2">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场地周边绿化及后期养护</w:t>
                  </w:r>
                </w:p>
              </w:tc>
              <w:tc>
                <w:tcPr>
                  <w:tcW w:w="1352" w:type="dxa"/>
                  <w:tcBorders>
                    <w:tl2br w:val="nil"/>
                    <w:tr2bl w:val="nil"/>
                  </w:tcBorders>
                  <w:noWrap w:val="0"/>
                  <w:vAlign w:val="center"/>
                </w:tcPr>
                <w:p w14:paraId="38161934">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7.3</w:t>
                  </w:r>
                </w:p>
              </w:tc>
            </w:tr>
            <w:tr w14:paraId="093F1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545A8BCA">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1154" w:type="dxa"/>
                  <w:tcBorders>
                    <w:tl2br w:val="nil"/>
                    <w:tr2bl w:val="nil"/>
                  </w:tcBorders>
                  <w:shd w:val="clear" w:color="auto" w:fill="auto"/>
                  <w:noWrap w:val="0"/>
                  <w:vAlign w:val="center"/>
                </w:tcPr>
                <w:p w14:paraId="4E0EDD12">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val="en-US" w:eastAsia="zh-CN" w:bidi="ar"/>
                    </w:rPr>
                    <w:t>生态监测</w:t>
                  </w:r>
                </w:p>
              </w:tc>
              <w:tc>
                <w:tcPr>
                  <w:tcW w:w="5004" w:type="dxa"/>
                  <w:tcBorders>
                    <w:tl2br w:val="nil"/>
                    <w:tr2bl w:val="nil"/>
                  </w:tcBorders>
                  <w:shd w:val="clear" w:color="auto" w:fill="auto"/>
                  <w:noWrap w:val="0"/>
                  <w:vAlign w:val="center"/>
                </w:tcPr>
                <w:p w14:paraId="5214E8A2">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val="en-US" w:eastAsia="zh-CN" w:bidi="ar"/>
                    </w:rPr>
                    <w:t>植被生态监测、动物生态监测</w:t>
                  </w:r>
                </w:p>
              </w:tc>
              <w:tc>
                <w:tcPr>
                  <w:tcW w:w="1352" w:type="dxa"/>
                  <w:tcBorders>
                    <w:tl2br w:val="nil"/>
                    <w:tr2bl w:val="nil"/>
                  </w:tcBorders>
                  <w:shd w:val="clear" w:color="auto" w:fill="auto"/>
                  <w:noWrap w:val="0"/>
                  <w:vAlign w:val="center"/>
                </w:tcPr>
                <w:p w14:paraId="37E972AA">
                  <w:pPr>
                    <w:widowControl/>
                    <w:adjustRightInd w:val="0"/>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val="en-US" w:eastAsia="zh-CN" w:bidi="ar"/>
                    </w:rPr>
                    <w:t>2</w:t>
                  </w:r>
                </w:p>
              </w:tc>
            </w:tr>
            <w:tr w14:paraId="6A730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Borders>
                    <w:tl2br w:val="nil"/>
                    <w:tr2bl w:val="nil"/>
                  </w:tcBorders>
                  <w:noWrap w:val="0"/>
                  <w:vAlign w:val="center"/>
                </w:tcPr>
                <w:p w14:paraId="6A331E68">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1154" w:type="dxa"/>
                  <w:tcBorders>
                    <w:tl2br w:val="nil"/>
                    <w:tr2bl w:val="nil"/>
                  </w:tcBorders>
                  <w:noWrap w:val="0"/>
                  <w:vAlign w:val="center"/>
                </w:tcPr>
                <w:p w14:paraId="537550A7">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总计</w:t>
                  </w:r>
                </w:p>
              </w:tc>
              <w:tc>
                <w:tcPr>
                  <w:tcW w:w="6356" w:type="dxa"/>
                  <w:gridSpan w:val="2"/>
                  <w:tcBorders>
                    <w:tl2br w:val="nil"/>
                    <w:tr2bl w:val="nil"/>
                  </w:tcBorders>
                  <w:noWrap w:val="0"/>
                  <w:vAlign w:val="center"/>
                </w:tcPr>
                <w:p w14:paraId="24D9D564">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177.32</w:t>
                  </w:r>
                </w:p>
              </w:tc>
            </w:tr>
          </w:tbl>
          <w:p w14:paraId="1690CD64">
            <w:pPr>
              <w:pStyle w:val="37"/>
              <w:rPr>
                <w:rFonts w:hint="default" w:ascii="Times New Roman" w:hAnsi="Times New Roman" w:eastAsia="宋体" w:cs="Times New Roman"/>
                <w:color w:val="auto"/>
              </w:rPr>
            </w:pPr>
          </w:p>
          <w:p w14:paraId="4630F2D7">
            <w:pPr>
              <w:pStyle w:val="37"/>
              <w:rPr>
                <w:rFonts w:hint="default" w:ascii="Times New Roman" w:hAnsi="Times New Roman" w:eastAsia="宋体" w:cs="Times New Roman"/>
                <w:color w:val="auto"/>
              </w:rPr>
            </w:pPr>
          </w:p>
          <w:p w14:paraId="2121C270">
            <w:pPr>
              <w:pStyle w:val="37"/>
              <w:rPr>
                <w:rFonts w:hint="default" w:ascii="Times New Roman" w:hAnsi="Times New Roman" w:eastAsia="宋体" w:cs="Times New Roman"/>
                <w:color w:val="auto"/>
              </w:rPr>
            </w:pPr>
          </w:p>
          <w:p w14:paraId="278BCF65">
            <w:pPr>
              <w:pStyle w:val="37"/>
              <w:rPr>
                <w:rFonts w:hint="default" w:ascii="Times New Roman" w:hAnsi="Times New Roman" w:eastAsia="宋体" w:cs="Times New Roman"/>
                <w:color w:val="auto"/>
              </w:rPr>
            </w:pPr>
          </w:p>
          <w:p w14:paraId="63A568AA">
            <w:pPr>
              <w:pStyle w:val="37"/>
              <w:rPr>
                <w:rFonts w:hint="default" w:ascii="Times New Roman" w:hAnsi="Times New Roman" w:eastAsia="宋体" w:cs="Times New Roman"/>
                <w:color w:val="auto"/>
              </w:rPr>
            </w:pPr>
          </w:p>
          <w:p w14:paraId="21B0CB1D">
            <w:pPr>
              <w:pStyle w:val="37"/>
              <w:rPr>
                <w:rFonts w:hint="default" w:ascii="Times New Roman" w:hAnsi="Times New Roman" w:eastAsia="宋体" w:cs="Times New Roman"/>
                <w:color w:val="auto"/>
              </w:rPr>
            </w:pPr>
          </w:p>
          <w:p w14:paraId="3CAF35DE">
            <w:pPr>
              <w:pStyle w:val="37"/>
              <w:rPr>
                <w:rFonts w:hint="default" w:ascii="Times New Roman" w:hAnsi="Times New Roman" w:eastAsia="宋体" w:cs="Times New Roman"/>
                <w:color w:val="auto"/>
              </w:rPr>
            </w:pPr>
          </w:p>
          <w:p w14:paraId="2FA59A35">
            <w:pPr>
              <w:pStyle w:val="37"/>
              <w:rPr>
                <w:rFonts w:hint="default" w:ascii="Times New Roman" w:hAnsi="Times New Roman" w:eastAsia="宋体" w:cs="Times New Roman"/>
                <w:color w:val="auto"/>
              </w:rPr>
            </w:pPr>
          </w:p>
          <w:p w14:paraId="458EFF10">
            <w:pPr>
              <w:pStyle w:val="37"/>
              <w:rPr>
                <w:rFonts w:hint="default" w:ascii="Times New Roman" w:hAnsi="Times New Roman" w:eastAsia="宋体" w:cs="Times New Roman"/>
                <w:color w:val="auto"/>
              </w:rPr>
            </w:pPr>
          </w:p>
          <w:p w14:paraId="0A5B0BC6">
            <w:pPr>
              <w:pStyle w:val="37"/>
              <w:rPr>
                <w:rFonts w:hint="default" w:ascii="Times New Roman" w:hAnsi="Times New Roman" w:eastAsia="宋体" w:cs="Times New Roman"/>
                <w:color w:val="auto"/>
              </w:rPr>
            </w:pPr>
          </w:p>
          <w:p w14:paraId="370E1B95">
            <w:pPr>
              <w:pStyle w:val="37"/>
              <w:rPr>
                <w:rFonts w:hint="default" w:ascii="Times New Roman" w:hAnsi="Times New Roman" w:eastAsia="宋体" w:cs="Times New Roman"/>
                <w:color w:val="auto"/>
              </w:rPr>
            </w:pPr>
          </w:p>
          <w:p w14:paraId="4B2A1985">
            <w:pPr>
              <w:pStyle w:val="37"/>
              <w:rPr>
                <w:rFonts w:hint="default" w:ascii="Times New Roman" w:hAnsi="Times New Roman" w:eastAsia="宋体" w:cs="Times New Roman"/>
                <w:color w:val="auto"/>
              </w:rPr>
            </w:pPr>
          </w:p>
          <w:p w14:paraId="3A35DB4D">
            <w:pPr>
              <w:pStyle w:val="37"/>
              <w:rPr>
                <w:rFonts w:hint="default" w:ascii="Times New Roman" w:hAnsi="Times New Roman" w:eastAsia="宋体" w:cs="Times New Roman"/>
                <w:color w:val="auto"/>
              </w:rPr>
            </w:pPr>
          </w:p>
        </w:tc>
      </w:tr>
    </w:tbl>
    <w:p w14:paraId="552F66E3">
      <w:pPr>
        <w:rPr>
          <w:rFonts w:hint="default" w:ascii="Times New Roman" w:hAnsi="Times New Roman" w:cs="Times New Roman"/>
          <w:color w:val="auto"/>
        </w:rPr>
        <w:sectPr>
          <w:pgSz w:w="11905" w:h="16838"/>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276"/>
        </w:sectPr>
      </w:pPr>
    </w:p>
    <w:p w14:paraId="1C3CAD3F">
      <w:pPr>
        <w:pStyle w:val="22"/>
        <w:keepNext w:val="0"/>
        <w:keepLines w:val="0"/>
        <w:widowControl/>
        <w:numPr>
          <w:ilvl w:val="0"/>
          <w:numId w:val="2"/>
        </w:numPr>
        <w:spacing w:line="360" w:lineRule="auto"/>
        <w:jc w:val="center"/>
        <w:rPr>
          <w:rFonts w:hint="default" w:ascii="Times New Roman" w:hAnsi="Times New Roman" w:eastAsia="黑体" w:cs="Times New Roman"/>
          <w:b w:val="0"/>
          <w:bCs w:val="0"/>
          <w:snapToGrid w:val="0"/>
          <w:color w:val="auto"/>
          <w:kern w:val="0"/>
          <w:sz w:val="30"/>
          <w:szCs w:val="30"/>
          <w:lang w:val="en-US" w:eastAsia="zh-CN" w:bidi="ar-SA"/>
        </w:rPr>
      </w:pPr>
      <w:bookmarkStart w:id="18" w:name="_Toc6925"/>
      <w:bookmarkStart w:id="19" w:name="_Toc7117"/>
      <w:r>
        <w:rPr>
          <w:rFonts w:hint="default" w:ascii="Times New Roman" w:hAnsi="Times New Roman" w:eastAsia="黑体" w:cs="Times New Roman"/>
          <w:b w:val="0"/>
          <w:bCs w:val="0"/>
          <w:snapToGrid w:val="0"/>
          <w:color w:val="auto"/>
          <w:kern w:val="0"/>
          <w:sz w:val="30"/>
          <w:szCs w:val="30"/>
          <w:lang w:val="en-US" w:eastAsia="zh-CN" w:bidi="ar-SA"/>
        </w:rPr>
        <w:t>生态环境保护措施监督检查清单</w:t>
      </w:r>
    </w:p>
    <w:bookmarkEnd w:id="18"/>
    <w:bookmarkEnd w:id="19"/>
    <w:tbl>
      <w:tblPr>
        <w:tblStyle w:val="25"/>
        <w:tblW w:w="50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2634"/>
        <w:gridCol w:w="2077"/>
        <w:gridCol w:w="1620"/>
        <w:gridCol w:w="1594"/>
      </w:tblGrid>
      <w:tr w14:paraId="1412E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restart"/>
            <w:noWrap w:val="0"/>
            <w:vAlign w:val="center"/>
          </w:tcPr>
          <w:p w14:paraId="3169A4B7">
            <w:pPr>
              <w:pStyle w:val="22"/>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要素</w:t>
            </w:r>
          </w:p>
          <w:p w14:paraId="2E783CEC">
            <w:pPr>
              <w:pStyle w:val="22"/>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内容</w:t>
            </w:r>
          </w:p>
        </w:tc>
        <w:tc>
          <w:tcPr>
            <w:tcW w:w="2527" w:type="pct"/>
            <w:gridSpan w:val="2"/>
            <w:noWrap w:val="0"/>
            <w:vAlign w:val="center"/>
          </w:tcPr>
          <w:p w14:paraId="57E88B2A">
            <w:pPr>
              <w:pStyle w:val="22"/>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施工期</w:t>
            </w:r>
          </w:p>
        </w:tc>
        <w:tc>
          <w:tcPr>
            <w:tcW w:w="1724" w:type="pct"/>
            <w:gridSpan w:val="2"/>
            <w:noWrap w:val="0"/>
            <w:vAlign w:val="center"/>
          </w:tcPr>
          <w:p w14:paraId="0A9CF0C4">
            <w:pPr>
              <w:pStyle w:val="22"/>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运营期</w:t>
            </w:r>
          </w:p>
        </w:tc>
      </w:tr>
      <w:tr w14:paraId="26808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noWrap w:val="0"/>
            <w:vAlign w:val="top"/>
          </w:tcPr>
          <w:p w14:paraId="27845905">
            <w:pPr>
              <w:pStyle w:val="22"/>
              <w:adjustRightInd w:val="0"/>
              <w:snapToGrid w:val="0"/>
              <w:spacing w:before="0" w:beforeAutospacing="0" w:after="0" w:afterAutospacing="0"/>
              <w:ind w:firstLine="840"/>
              <w:jc w:val="center"/>
              <w:rPr>
                <w:rFonts w:hint="default" w:ascii="Times New Roman" w:hAnsi="Times New Roman" w:eastAsia="黑体" w:cs="Times New Roman"/>
                <w:b/>
                <w:bCs/>
                <w:color w:val="auto"/>
                <w:kern w:val="2"/>
                <w:sz w:val="21"/>
                <w:szCs w:val="21"/>
              </w:rPr>
            </w:pPr>
          </w:p>
        </w:tc>
        <w:tc>
          <w:tcPr>
            <w:tcW w:w="1413" w:type="pct"/>
            <w:noWrap w:val="0"/>
            <w:vAlign w:val="center"/>
          </w:tcPr>
          <w:p w14:paraId="67E706E6">
            <w:pPr>
              <w:pStyle w:val="22"/>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环境保护措施</w:t>
            </w:r>
          </w:p>
        </w:tc>
        <w:tc>
          <w:tcPr>
            <w:tcW w:w="1114" w:type="pct"/>
            <w:noWrap w:val="0"/>
            <w:vAlign w:val="center"/>
          </w:tcPr>
          <w:p w14:paraId="54C4A809">
            <w:pPr>
              <w:pStyle w:val="22"/>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验收要求</w:t>
            </w:r>
          </w:p>
        </w:tc>
        <w:tc>
          <w:tcPr>
            <w:tcW w:w="869" w:type="pct"/>
            <w:noWrap w:val="0"/>
            <w:vAlign w:val="center"/>
          </w:tcPr>
          <w:p w14:paraId="4CB90638">
            <w:pPr>
              <w:pStyle w:val="22"/>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环境保护措施</w:t>
            </w:r>
          </w:p>
        </w:tc>
        <w:tc>
          <w:tcPr>
            <w:tcW w:w="855" w:type="pct"/>
            <w:noWrap w:val="0"/>
            <w:vAlign w:val="center"/>
          </w:tcPr>
          <w:p w14:paraId="36EDE4A6">
            <w:pPr>
              <w:pStyle w:val="22"/>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验收要求</w:t>
            </w:r>
          </w:p>
        </w:tc>
      </w:tr>
      <w:tr w14:paraId="4892B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noWrap w:val="0"/>
            <w:vAlign w:val="center"/>
          </w:tcPr>
          <w:p w14:paraId="38DE254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陆生生态</w:t>
            </w:r>
          </w:p>
        </w:tc>
        <w:tc>
          <w:tcPr>
            <w:tcW w:w="1413" w:type="pct"/>
            <w:noWrap w:val="0"/>
            <w:vAlign w:val="center"/>
          </w:tcPr>
          <w:p w14:paraId="5F179849">
            <w:pPr>
              <w:adjustRightInd w:val="0"/>
              <w:snapToGrid w:val="0"/>
              <w:ind w:firstLine="476"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开挖、回填时应尽量避开雨季，采取必要的临时防护措施，加强施工人员教育，项目施工结束后进行迹地恢复和复垦，场地平整，种植绿化</w:t>
            </w:r>
            <w:r>
              <w:rPr>
                <w:rFonts w:hint="default" w:ascii="Times New Roman" w:hAnsi="Times New Roman" w:eastAsia="宋体" w:cs="Times New Roman"/>
                <w:color w:val="auto"/>
                <w:sz w:val="21"/>
                <w:szCs w:val="21"/>
                <w:lang w:eastAsia="zh-CN"/>
              </w:rPr>
              <w:t>。</w:t>
            </w:r>
          </w:p>
        </w:tc>
        <w:tc>
          <w:tcPr>
            <w:tcW w:w="1114" w:type="pct"/>
            <w:noWrap w:val="0"/>
            <w:vAlign w:val="center"/>
          </w:tcPr>
          <w:p w14:paraId="642DB589">
            <w:pPr>
              <w:adjustRightInd w:val="0"/>
              <w:snapToGrid w:val="0"/>
              <w:ind w:firstLine="476"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施工临时占地进行</w:t>
            </w:r>
            <w:r>
              <w:rPr>
                <w:rFonts w:hint="default" w:ascii="Times New Roman" w:hAnsi="Times New Roman" w:eastAsia="宋体" w:cs="Times New Roman"/>
                <w:color w:val="auto"/>
                <w:sz w:val="21"/>
                <w:szCs w:val="21"/>
                <w:lang w:val="en-US" w:eastAsia="zh-CN"/>
              </w:rPr>
              <w:t>草地</w:t>
            </w:r>
            <w:r>
              <w:rPr>
                <w:rFonts w:hint="default" w:ascii="Times New Roman" w:hAnsi="Times New Roman" w:eastAsia="宋体" w:cs="Times New Roman"/>
                <w:color w:val="auto"/>
                <w:sz w:val="21"/>
                <w:szCs w:val="21"/>
              </w:rPr>
              <w:t>恢复和复垦</w:t>
            </w:r>
            <w:r>
              <w:rPr>
                <w:rFonts w:hint="default" w:ascii="Times New Roman" w:hAnsi="Times New Roman" w:eastAsia="宋体" w:cs="Times New Roman"/>
                <w:color w:val="auto"/>
                <w:sz w:val="21"/>
                <w:szCs w:val="21"/>
                <w:lang w:eastAsia="zh-CN"/>
              </w:rPr>
              <w:t>。</w:t>
            </w:r>
          </w:p>
        </w:tc>
        <w:tc>
          <w:tcPr>
            <w:tcW w:w="869" w:type="pct"/>
            <w:noWrap w:val="0"/>
            <w:vAlign w:val="center"/>
          </w:tcPr>
          <w:p w14:paraId="6473C989">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建设单位应按照有关部门</w:t>
            </w:r>
            <w:r>
              <w:rPr>
                <w:rFonts w:hint="default" w:ascii="Times New Roman" w:hAnsi="Times New Roman" w:eastAsia="宋体" w:cs="Times New Roman"/>
                <w:color w:val="auto"/>
                <w:sz w:val="21"/>
                <w:szCs w:val="21"/>
                <w:lang w:val="en-US" w:eastAsia="zh-CN"/>
              </w:rPr>
              <w:t>要求</w:t>
            </w:r>
            <w:r>
              <w:rPr>
                <w:rFonts w:hint="default" w:ascii="Times New Roman" w:hAnsi="Times New Roman" w:eastAsia="宋体" w:cs="Times New Roman"/>
                <w:color w:val="auto"/>
                <w:sz w:val="21"/>
                <w:szCs w:val="21"/>
              </w:rPr>
              <w:t>做好沿岸的水土保持工程和绿化工程的维护和管理工作。</w:t>
            </w:r>
          </w:p>
        </w:tc>
        <w:tc>
          <w:tcPr>
            <w:tcW w:w="855" w:type="pct"/>
            <w:noWrap w:val="0"/>
            <w:vAlign w:val="center"/>
          </w:tcPr>
          <w:p w14:paraId="54420DC4">
            <w:pPr>
              <w:adjustRightInd w:val="0"/>
              <w:snapToGrid w:val="0"/>
              <w:ind w:firstLine="476"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做好沿岸的水土保持工程和绿化工程的维护和管理工作</w:t>
            </w:r>
            <w:r>
              <w:rPr>
                <w:rFonts w:hint="default" w:ascii="Times New Roman" w:hAnsi="Times New Roman" w:eastAsia="宋体" w:cs="Times New Roman"/>
                <w:color w:val="auto"/>
                <w:sz w:val="21"/>
                <w:szCs w:val="21"/>
                <w:lang w:eastAsia="zh-CN"/>
              </w:rPr>
              <w:t>。</w:t>
            </w:r>
          </w:p>
        </w:tc>
      </w:tr>
      <w:tr w14:paraId="00884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noWrap w:val="0"/>
            <w:vAlign w:val="center"/>
          </w:tcPr>
          <w:p w14:paraId="3779FB6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水生生态</w:t>
            </w:r>
          </w:p>
        </w:tc>
        <w:tc>
          <w:tcPr>
            <w:tcW w:w="1413" w:type="pct"/>
            <w:noWrap w:val="0"/>
            <w:vAlign w:val="center"/>
          </w:tcPr>
          <w:p w14:paraId="7A8B07B0">
            <w:pPr>
              <w:keepNext w:val="0"/>
              <w:keepLines w:val="0"/>
              <w:pageBreakBefore w:val="0"/>
              <w:widowControl w:val="0"/>
              <w:kinsoku/>
              <w:wordWrap/>
              <w:overflowPunct/>
              <w:topLinePunct w:val="0"/>
              <w:autoSpaceDE/>
              <w:autoSpaceDN/>
              <w:bidi w:val="0"/>
              <w:adjustRightInd w:val="0"/>
              <w:snapToGrid w:val="0"/>
              <w:ind w:firstLine="476"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114" w:type="pct"/>
            <w:noWrap w:val="0"/>
            <w:vAlign w:val="center"/>
          </w:tcPr>
          <w:p w14:paraId="66EC076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869" w:type="pct"/>
            <w:noWrap w:val="0"/>
            <w:vAlign w:val="center"/>
          </w:tcPr>
          <w:p w14:paraId="5D2B3EAD">
            <w:pPr>
              <w:adjustRightInd w:val="0"/>
              <w:snapToGrid w:val="0"/>
              <w:ind w:firstLine="476"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55" w:type="pct"/>
            <w:noWrap w:val="0"/>
            <w:vAlign w:val="center"/>
          </w:tcPr>
          <w:p w14:paraId="5E65B344">
            <w:pPr>
              <w:adjustRightInd w:val="0"/>
              <w:snapToGrid w:val="0"/>
              <w:ind w:firstLine="476"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r w14:paraId="48385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noWrap w:val="0"/>
            <w:vAlign w:val="center"/>
          </w:tcPr>
          <w:p w14:paraId="2855483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413" w:type="pct"/>
            <w:noWrap w:val="0"/>
            <w:vAlign w:val="center"/>
          </w:tcPr>
          <w:p w14:paraId="38294225">
            <w:pPr>
              <w:adjustRightInd w:val="0"/>
              <w:snapToGrid w:val="0"/>
              <w:ind w:firstLine="476" w:firstLineChars="20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lang w:val="en-US" w:eastAsia="zh-CN"/>
              </w:rPr>
              <w:t>本项目废水为</w:t>
            </w:r>
            <w:r>
              <w:rPr>
                <w:rFonts w:hint="default" w:ascii="Times New Roman" w:hAnsi="Times New Roman" w:cs="Times New Roman"/>
                <w:color w:val="auto"/>
              </w:rPr>
              <w:t>生活污水</w:t>
            </w:r>
            <w:r>
              <w:rPr>
                <w:rFonts w:hint="default" w:ascii="Times New Roman" w:hAnsi="Times New Roman" w:cs="Times New Roman"/>
                <w:color w:val="auto"/>
                <w:lang w:eastAsia="zh-CN"/>
              </w:rPr>
              <w:t>，施工人员的洗漱废水回用于洒水抑尘，生活污水依托当地居民区旱厕处理后定期由吸污车清掏外运。</w:t>
            </w:r>
          </w:p>
        </w:tc>
        <w:tc>
          <w:tcPr>
            <w:tcW w:w="1114" w:type="pct"/>
            <w:noWrap w:val="0"/>
            <w:vAlign w:val="center"/>
          </w:tcPr>
          <w:p w14:paraId="0B2466F3">
            <w:pPr>
              <w:adjustRightInd w:val="0"/>
              <w:snapToGrid w:val="0"/>
              <w:ind w:firstLine="476"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无废水外排</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不对地表水体造成污染</w:t>
            </w:r>
            <w:r>
              <w:rPr>
                <w:rFonts w:hint="default" w:ascii="Times New Roman" w:hAnsi="Times New Roman" w:eastAsia="宋体" w:cs="Times New Roman"/>
                <w:color w:val="auto"/>
                <w:sz w:val="21"/>
                <w:szCs w:val="21"/>
                <w:lang w:eastAsia="zh-CN"/>
              </w:rPr>
              <w:t>。</w:t>
            </w:r>
          </w:p>
        </w:tc>
        <w:tc>
          <w:tcPr>
            <w:tcW w:w="869" w:type="pct"/>
            <w:noWrap w:val="0"/>
            <w:vAlign w:val="center"/>
          </w:tcPr>
          <w:p w14:paraId="51868D1D">
            <w:pPr>
              <w:adjustRightInd w:val="0"/>
              <w:snapToGrid w:val="0"/>
              <w:ind w:firstLine="476"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无废水产生</w:t>
            </w:r>
          </w:p>
        </w:tc>
        <w:tc>
          <w:tcPr>
            <w:tcW w:w="855" w:type="pct"/>
            <w:noWrap w:val="0"/>
            <w:vAlign w:val="center"/>
          </w:tcPr>
          <w:p w14:paraId="1BDE745E">
            <w:pPr>
              <w:adjustRightInd w:val="0"/>
              <w:snapToGrid w:val="0"/>
              <w:ind w:firstLine="476"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无废水</w:t>
            </w:r>
            <w:r>
              <w:rPr>
                <w:rFonts w:hint="default" w:ascii="Times New Roman" w:hAnsi="Times New Roman" w:eastAsia="宋体" w:cs="Times New Roman"/>
                <w:color w:val="auto"/>
                <w:sz w:val="21"/>
                <w:szCs w:val="21"/>
                <w:lang w:val="en-US" w:eastAsia="zh-CN"/>
              </w:rPr>
              <w:t>产生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不对地表水体造成污染</w:t>
            </w:r>
            <w:r>
              <w:rPr>
                <w:rFonts w:hint="default" w:ascii="Times New Roman" w:hAnsi="Times New Roman" w:eastAsia="宋体" w:cs="Times New Roman"/>
                <w:color w:val="auto"/>
                <w:sz w:val="21"/>
                <w:szCs w:val="21"/>
                <w:lang w:eastAsia="zh-CN"/>
              </w:rPr>
              <w:t>。</w:t>
            </w:r>
          </w:p>
        </w:tc>
      </w:tr>
      <w:tr w14:paraId="28014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47" w:type="pct"/>
            <w:noWrap w:val="0"/>
            <w:vAlign w:val="center"/>
          </w:tcPr>
          <w:p w14:paraId="4FA51BE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地下水及土壤环境</w:t>
            </w:r>
          </w:p>
        </w:tc>
        <w:tc>
          <w:tcPr>
            <w:tcW w:w="1413" w:type="pct"/>
            <w:noWrap w:val="0"/>
            <w:vAlign w:val="center"/>
          </w:tcPr>
          <w:p w14:paraId="61631C2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14" w:type="pct"/>
            <w:noWrap w:val="0"/>
            <w:vAlign w:val="center"/>
          </w:tcPr>
          <w:p w14:paraId="67DC2A5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9" w:type="pct"/>
            <w:noWrap w:val="0"/>
            <w:vAlign w:val="center"/>
          </w:tcPr>
          <w:p w14:paraId="77FC74B8">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55" w:type="pct"/>
            <w:noWrap w:val="0"/>
            <w:vAlign w:val="center"/>
          </w:tcPr>
          <w:p w14:paraId="4580061C">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D0CD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noWrap w:val="0"/>
            <w:vAlign w:val="center"/>
          </w:tcPr>
          <w:p w14:paraId="1F518A1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413" w:type="pct"/>
            <w:noWrap w:val="0"/>
            <w:vAlign w:val="center"/>
          </w:tcPr>
          <w:p w14:paraId="0B038E40">
            <w:pPr>
              <w:adjustRightInd w:val="0"/>
              <w:snapToGrid w:val="0"/>
              <w:ind w:firstLine="476"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施工机械选用符合国家规定要求的机械，加强设备的维护和保养，保持机械润滑，减少运行噪声，设置围栏</w:t>
            </w:r>
            <w:r>
              <w:rPr>
                <w:rFonts w:hint="default" w:ascii="Times New Roman" w:hAnsi="Times New Roman" w:eastAsia="宋体" w:cs="Times New Roman"/>
                <w:color w:val="auto"/>
                <w:sz w:val="21"/>
                <w:szCs w:val="21"/>
                <w:lang w:eastAsia="zh-CN"/>
              </w:rPr>
              <w:t>。</w:t>
            </w:r>
          </w:p>
        </w:tc>
        <w:tc>
          <w:tcPr>
            <w:tcW w:w="1114" w:type="pct"/>
            <w:noWrap w:val="0"/>
            <w:vAlign w:val="center"/>
          </w:tcPr>
          <w:p w14:paraId="3D6F0730">
            <w:pPr>
              <w:wordWrap w:val="0"/>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r>
              <w:rPr>
                <w:rFonts w:hint="default" w:ascii="Times New Roman" w:hAnsi="Times New Roman" w:eastAsia="宋体" w:cs="Times New Roman"/>
                <w:color w:val="auto"/>
                <w:sz w:val="21"/>
                <w:szCs w:val="21"/>
                <w:lang w:eastAsia="zh-CN"/>
              </w:rPr>
              <w:t>《建筑施工场界环境噪声排放标准》</w:t>
            </w:r>
            <w:r>
              <w:rPr>
                <w:rFonts w:hint="default" w:ascii="Times New Roman" w:hAnsi="Times New Roman" w:eastAsia="宋体" w:cs="Times New Roman"/>
                <w:color w:val="auto"/>
                <w:sz w:val="21"/>
                <w:szCs w:val="21"/>
              </w:rPr>
              <w:t>（GB12523-2011）</w:t>
            </w:r>
          </w:p>
        </w:tc>
        <w:tc>
          <w:tcPr>
            <w:tcW w:w="869" w:type="pct"/>
            <w:noWrap w:val="0"/>
            <w:vAlign w:val="center"/>
          </w:tcPr>
          <w:p w14:paraId="4C48AC0F">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55" w:type="pct"/>
            <w:noWrap w:val="0"/>
            <w:vAlign w:val="center"/>
          </w:tcPr>
          <w:p w14:paraId="01DC9706">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2E95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7" w:type="pct"/>
            <w:noWrap w:val="0"/>
            <w:vAlign w:val="center"/>
          </w:tcPr>
          <w:p w14:paraId="195FC28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w:t>
            </w:r>
          </w:p>
        </w:tc>
        <w:tc>
          <w:tcPr>
            <w:tcW w:w="1413" w:type="pct"/>
            <w:noWrap w:val="0"/>
            <w:vAlign w:val="center"/>
          </w:tcPr>
          <w:p w14:paraId="6093409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14" w:type="pct"/>
            <w:noWrap w:val="0"/>
            <w:vAlign w:val="center"/>
          </w:tcPr>
          <w:p w14:paraId="46E74CC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9" w:type="pct"/>
            <w:noWrap w:val="0"/>
            <w:vAlign w:val="center"/>
          </w:tcPr>
          <w:p w14:paraId="596C97FB">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55" w:type="pct"/>
            <w:noWrap w:val="0"/>
            <w:vAlign w:val="center"/>
          </w:tcPr>
          <w:p w14:paraId="254E3920">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8E87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noWrap w:val="0"/>
            <w:vAlign w:val="center"/>
          </w:tcPr>
          <w:p w14:paraId="41422FC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413" w:type="pct"/>
            <w:noWrap w:val="0"/>
            <w:vAlign w:val="center"/>
          </w:tcPr>
          <w:p w14:paraId="07B41043">
            <w:pPr>
              <w:adjustRightInd w:val="0"/>
              <w:snapToGrid w:val="0"/>
              <w:ind w:firstLine="476"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采取车辆盖篷布、施工场地洒水、围挡封闭、物料苫盖等措施以减少扬尘。</w:t>
            </w:r>
          </w:p>
        </w:tc>
        <w:tc>
          <w:tcPr>
            <w:tcW w:w="1114" w:type="pct"/>
            <w:noWrap w:val="0"/>
            <w:vAlign w:val="center"/>
          </w:tcPr>
          <w:p w14:paraId="320A6CCA">
            <w:pPr>
              <w:adjustRightInd w:val="0"/>
              <w:snapToGrid w:val="0"/>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Cs w:val="21"/>
              </w:rPr>
              <w:t>《大气污染物综合排放标准》（GB16297-1996）中颗粒物的无组织排放监控浓度限值</w:t>
            </w:r>
          </w:p>
        </w:tc>
        <w:tc>
          <w:tcPr>
            <w:tcW w:w="869" w:type="pct"/>
            <w:noWrap w:val="0"/>
            <w:vAlign w:val="center"/>
          </w:tcPr>
          <w:p w14:paraId="0340A280">
            <w:pPr>
              <w:adjustRightInd w:val="0"/>
              <w:snapToGrid w:val="0"/>
              <w:ind w:firstLine="476"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855" w:type="pct"/>
            <w:noWrap w:val="0"/>
            <w:vAlign w:val="center"/>
          </w:tcPr>
          <w:p w14:paraId="7E8AF9DF">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1286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noWrap w:val="0"/>
            <w:vAlign w:val="center"/>
          </w:tcPr>
          <w:p w14:paraId="595B24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413" w:type="pct"/>
            <w:noWrap w:val="0"/>
            <w:vAlign w:val="center"/>
          </w:tcPr>
          <w:p w14:paraId="1B210E92">
            <w:pPr>
              <w:widowControl/>
              <w:adjustRightInd w:val="0"/>
              <w:snapToGrid w:val="0"/>
              <w:ind w:firstLine="476"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建筑废物在施工现场的金属要及时回收。不可利用的废弃构筑物运往填埋场填埋。</w:t>
            </w:r>
          </w:p>
          <w:p w14:paraId="726521A2">
            <w:pPr>
              <w:widowControl/>
              <w:adjustRightInd w:val="0"/>
              <w:snapToGrid w:val="0"/>
              <w:ind w:firstLine="476"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施工人员的生活垃圾统一收集，由环卫部门清运。</w:t>
            </w:r>
          </w:p>
          <w:p w14:paraId="17643075">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施工</w:t>
            </w:r>
            <w:r>
              <w:rPr>
                <w:rFonts w:hint="default" w:ascii="Times New Roman" w:hAnsi="Times New Roman" w:cs="Times New Roman"/>
                <w:color w:val="auto"/>
                <w:lang w:val="en-US" w:eastAsia="zh-CN"/>
              </w:rPr>
              <w:t>种子</w:t>
            </w:r>
            <w:r>
              <w:rPr>
                <w:rFonts w:hint="default" w:ascii="Times New Roman" w:hAnsi="Times New Roman" w:eastAsia="宋体" w:cs="Times New Roman"/>
                <w:color w:val="auto"/>
              </w:rPr>
              <w:t>废包装材料及时收集到指定的垃圾箱（桶）内，定期集中收集外运至附近的垃圾转运站，统一由环卫部门清运。</w:t>
            </w:r>
          </w:p>
        </w:tc>
        <w:tc>
          <w:tcPr>
            <w:tcW w:w="1114" w:type="pct"/>
            <w:noWrap w:val="0"/>
            <w:vAlign w:val="center"/>
          </w:tcPr>
          <w:p w14:paraId="7EAA4A8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妥善处置</w:t>
            </w:r>
          </w:p>
        </w:tc>
        <w:tc>
          <w:tcPr>
            <w:tcW w:w="869" w:type="pct"/>
            <w:noWrap w:val="0"/>
            <w:vAlign w:val="center"/>
          </w:tcPr>
          <w:p w14:paraId="2A7CDDE6">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55" w:type="pct"/>
            <w:noWrap w:val="0"/>
            <w:vAlign w:val="center"/>
          </w:tcPr>
          <w:p w14:paraId="78EDEA41">
            <w:pPr>
              <w:adjustRightInd w:val="0"/>
              <w:snapToGrid w:val="0"/>
              <w:ind w:firstLine="476"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12D1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7" w:type="pct"/>
            <w:noWrap w:val="0"/>
            <w:vAlign w:val="center"/>
          </w:tcPr>
          <w:p w14:paraId="10AF407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电磁环境</w:t>
            </w:r>
          </w:p>
        </w:tc>
        <w:tc>
          <w:tcPr>
            <w:tcW w:w="1413" w:type="pct"/>
            <w:noWrap w:val="0"/>
            <w:vAlign w:val="center"/>
          </w:tcPr>
          <w:p w14:paraId="15D6328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14" w:type="pct"/>
            <w:noWrap w:val="0"/>
            <w:vAlign w:val="center"/>
          </w:tcPr>
          <w:p w14:paraId="6F6AAE9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9" w:type="pct"/>
            <w:noWrap w:val="0"/>
            <w:vAlign w:val="center"/>
          </w:tcPr>
          <w:p w14:paraId="07C72129">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55" w:type="pct"/>
            <w:noWrap w:val="0"/>
            <w:vAlign w:val="center"/>
          </w:tcPr>
          <w:p w14:paraId="5EA9EFDA">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3BCF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47" w:type="pct"/>
            <w:noWrap w:val="0"/>
            <w:vAlign w:val="center"/>
          </w:tcPr>
          <w:p w14:paraId="319A2AB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1413" w:type="pct"/>
            <w:noWrap w:val="0"/>
            <w:vAlign w:val="center"/>
          </w:tcPr>
          <w:p w14:paraId="4C4E239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14" w:type="pct"/>
            <w:noWrap w:val="0"/>
            <w:vAlign w:val="center"/>
          </w:tcPr>
          <w:p w14:paraId="7268C80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9" w:type="pct"/>
            <w:noWrap w:val="0"/>
            <w:vAlign w:val="center"/>
          </w:tcPr>
          <w:p w14:paraId="7D07D7CF">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55" w:type="pct"/>
            <w:noWrap w:val="0"/>
            <w:vAlign w:val="center"/>
          </w:tcPr>
          <w:p w14:paraId="0F439248">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B772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restart"/>
            <w:noWrap w:val="0"/>
            <w:vAlign w:val="center"/>
          </w:tcPr>
          <w:p w14:paraId="3BB47A9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w:t>
            </w:r>
          </w:p>
        </w:tc>
        <w:tc>
          <w:tcPr>
            <w:tcW w:w="1413" w:type="pct"/>
            <w:noWrap w:val="0"/>
            <w:vAlign w:val="center"/>
          </w:tcPr>
          <w:p w14:paraId="2DEA747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14" w:type="pct"/>
            <w:noWrap w:val="0"/>
            <w:vAlign w:val="center"/>
          </w:tcPr>
          <w:p w14:paraId="67829A3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9" w:type="pct"/>
            <w:noWrap w:val="0"/>
            <w:vAlign w:val="center"/>
          </w:tcPr>
          <w:p w14:paraId="026DB1C6">
            <w:pPr>
              <w:adjustRightInd w:val="0"/>
              <w:snapToGrid w:val="0"/>
              <w:ind w:firstLine="476"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监测植被生长情况、野生动物活动情况</w:t>
            </w:r>
          </w:p>
        </w:tc>
        <w:tc>
          <w:tcPr>
            <w:tcW w:w="855" w:type="pct"/>
            <w:noWrap w:val="0"/>
            <w:vAlign w:val="center"/>
          </w:tcPr>
          <w:p w14:paraId="58EBFF8A">
            <w:pPr>
              <w:adjustRightInd w:val="0"/>
              <w:snapToGrid w:val="0"/>
              <w:ind w:firstLine="476"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植被生长情况：完工后2年，对植被成活情况实施人工监测，春、夏、秋，每个季节监测1次</w:t>
            </w:r>
          </w:p>
          <w:p w14:paraId="67EB324B">
            <w:pPr>
              <w:adjustRightInd w:val="0"/>
              <w:snapToGrid w:val="0"/>
              <w:ind w:firstLine="476"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野生动物：完工后2年，每个季度监测1次</w:t>
            </w:r>
          </w:p>
        </w:tc>
      </w:tr>
      <w:tr w14:paraId="5272F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noWrap w:val="0"/>
            <w:vAlign w:val="center"/>
          </w:tcPr>
          <w:p w14:paraId="2922D82F">
            <w:pPr>
              <w:adjustRightInd w:val="0"/>
              <w:snapToGrid w:val="0"/>
              <w:jc w:val="center"/>
              <w:rPr>
                <w:rFonts w:hint="default" w:ascii="Times New Roman" w:hAnsi="Times New Roman" w:eastAsia="宋体" w:cs="Times New Roman"/>
                <w:color w:val="auto"/>
                <w:sz w:val="21"/>
                <w:szCs w:val="21"/>
              </w:rPr>
            </w:pPr>
          </w:p>
        </w:tc>
        <w:tc>
          <w:tcPr>
            <w:tcW w:w="1413" w:type="pct"/>
            <w:noWrap w:val="0"/>
            <w:vAlign w:val="center"/>
          </w:tcPr>
          <w:p w14:paraId="7A6795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声环境：Leq（A）</w:t>
            </w:r>
          </w:p>
          <w:p w14:paraId="430BC079">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监测点：</w:t>
            </w:r>
            <w:r>
              <w:rPr>
                <w:rFonts w:hint="default" w:ascii="Times New Roman" w:hAnsi="Times New Roman" w:cs="Times New Roman"/>
                <w:color w:val="auto"/>
                <w:szCs w:val="21"/>
                <w:lang w:val="en-US" w:eastAsia="zh-CN"/>
              </w:rPr>
              <w:t>施工现场</w:t>
            </w:r>
          </w:p>
          <w:p w14:paraId="75B4C2B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施工过程中每90天监测1次</w:t>
            </w:r>
          </w:p>
        </w:tc>
        <w:tc>
          <w:tcPr>
            <w:tcW w:w="1114" w:type="pct"/>
            <w:noWrap w:val="0"/>
            <w:vAlign w:val="center"/>
          </w:tcPr>
          <w:p w14:paraId="13B19EEF">
            <w:pPr>
              <w:pStyle w:val="9"/>
              <w:adjustRightInd w:val="0"/>
              <w:snapToGrid w:val="0"/>
              <w:ind w:left="0" w:leftChars="0" w:right="0" w:right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rPr>
              <w:t>《大气污染物综合排放标准》</w:t>
            </w:r>
            <w:r>
              <w:rPr>
                <w:rFonts w:hint="default" w:ascii="Times New Roman" w:hAnsi="Times New Roman" w:eastAsia="宋体" w:cs="Times New Roman"/>
                <w:color w:val="auto"/>
                <w:sz w:val="21"/>
                <w:szCs w:val="21"/>
                <w:lang w:eastAsia="zh-CN"/>
              </w:rPr>
              <w:t>（GB16297-1996）</w:t>
            </w:r>
            <w:r>
              <w:rPr>
                <w:rFonts w:hint="default" w:ascii="Times New Roman" w:hAnsi="Times New Roman" w:eastAsia="宋体" w:cs="Times New Roman"/>
                <w:color w:val="auto"/>
                <w:sz w:val="21"/>
                <w:szCs w:val="21"/>
              </w:rPr>
              <w:t>无组织排放标准</w:t>
            </w:r>
          </w:p>
        </w:tc>
        <w:tc>
          <w:tcPr>
            <w:tcW w:w="869" w:type="pct"/>
            <w:noWrap w:val="0"/>
            <w:vAlign w:val="center"/>
          </w:tcPr>
          <w:p w14:paraId="41D88094">
            <w:pPr>
              <w:adjustRightInd w:val="0"/>
              <w:snapToGrid w:val="0"/>
              <w:ind w:firstLine="476" w:firstLineChars="200"/>
              <w:rPr>
                <w:rFonts w:hint="default" w:ascii="Times New Roman" w:hAnsi="Times New Roman" w:eastAsia="宋体" w:cs="Times New Roman"/>
                <w:color w:val="auto"/>
                <w:sz w:val="21"/>
                <w:szCs w:val="21"/>
              </w:rPr>
            </w:pPr>
          </w:p>
        </w:tc>
        <w:tc>
          <w:tcPr>
            <w:tcW w:w="855" w:type="pct"/>
            <w:shd w:val="clear" w:color="auto" w:fill="auto"/>
            <w:noWrap w:val="0"/>
            <w:vAlign w:val="center"/>
          </w:tcPr>
          <w:p w14:paraId="02EEC939">
            <w:pPr>
              <w:pStyle w:val="9"/>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p>
        </w:tc>
      </w:tr>
      <w:tr w14:paraId="649E0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noWrap w:val="0"/>
            <w:vAlign w:val="center"/>
          </w:tcPr>
          <w:p w14:paraId="31C16D6D">
            <w:pPr>
              <w:adjustRightInd w:val="0"/>
              <w:snapToGrid w:val="0"/>
              <w:jc w:val="center"/>
              <w:rPr>
                <w:rFonts w:hint="default" w:ascii="Times New Roman" w:hAnsi="Times New Roman" w:eastAsia="宋体" w:cs="Times New Roman"/>
                <w:color w:val="auto"/>
                <w:sz w:val="21"/>
                <w:szCs w:val="21"/>
              </w:rPr>
            </w:pPr>
          </w:p>
        </w:tc>
        <w:tc>
          <w:tcPr>
            <w:tcW w:w="1413" w:type="pct"/>
            <w:noWrap w:val="0"/>
            <w:vAlign w:val="center"/>
          </w:tcPr>
          <w:p w14:paraId="13F64917">
            <w:pPr>
              <w:adjustRightInd w:val="0"/>
              <w:snapToGrid w:val="0"/>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Cs w:val="21"/>
                <w:lang w:val="en-US" w:eastAsia="zh-CN"/>
              </w:rPr>
              <w:t>大气：</w:t>
            </w:r>
            <w:r>
              <w:rPr>
                <w:rFonts w:hint="default" w:ascii="Times New Roman" w:hAnsi="Times New Roman" w:cs="Times New Roman"/>
                <w:color w:val="auto"/>
                <w:sz w:val="21"/>
                <w:szCs w:val="21"/>
              </w:rPr>
              <w:t>TSP</w:t>
            </w:r>
          </w:p>
          <w:p w14:paraId="29BDE8BE">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监测点：施工现场</w:t>
            </w:r>
          </w:p>
          <w:p w14:paraId="315CD30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施工过程中每90天监测1次</w:t>
            </w:r>
          </w:p>
        </w:tc>
        <w:tc>
          <w:tcPr>
            <w:tcW w:w="1114" w:type="pct"/>
            <w:noWrap w:val="0"/>
            <w:vAlign w:val="center"/>
          </w:tcPr>
          <w:p w14:paraId="3AF65B80">
            <w:pPr>
              <w:pStyle w:val="9"/>
              <w:adjustRightInd w:val="0"/>
              <w:snapToGrid w:val="0"/>
              <w:ind w:left="0" w:leftChars="0" w:right="0" w:right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rPr>
              <w:t>《建筑施工场界环境噪声排放标准》（GB12523-2011）</w:t>
            </w:r>
          </w:p>
        </w:tc>
        <w:tc>
          <w:tcPr>
            <w:tcW w:w="869" w:type="pct"/>
            <w:noWrap w:val="0"/>
            <w:vAlign w:val="center"/>
          </w:tcPr>
          <w:p w14:paraId="36594146">
            <w:pPr>
              <w:adjustRightInd w:val="0"/>
              <w:snapToGrid w:val="0"/>
              <w:ind w:firstLine="476" w:firstLineChars="200"/>
              <w:rPr>
                <w:rFonts w:hint="default" w:ascii="Times New Roman" w:hAnsi="Times New Roman" w:eastAsia="宋体" w:cs="Times New Roman"/>
                <w:color w:val="auto"/>
                <w:sz w:val="21"/>
                <w:szCs w:val="21"/>
              </w:rPr>
            </w:pPr>
          </w:p>
        </w:tc>
        <w:tc>
          <w:tcPr>
            <w:tcW w:w="855" w:type="pct"/>
            <w:noWrap w:val="0"/>
            <w:vAlign w:val="center"/>
          </w:tcPr>
          <w:p w14:paraId="30D209BC">
            <w:pPr>
              <w:keepNext w:val="0"/>
              <w:keepLines w:val="0"/>
              <w:pageBreakBefore w:val="0"/>
              <w:widowControl w:val="0"/>
              <w:kinsoku/>
              <w:wordWrap/>
              <w:overflowPunct/>
              <w:topLinePunct w:val="0"/>
              <w:autoSpaceDE/>
              <w:autoSpaceDN/>
              <w:bidi w:val="0"/>
              <w:adjustRightInd w:val="0"/>
              <w:snapToGrid w:val="0"/>
              <w:ind w:firstLine="476" w:firstLineChars="200"/>
              <w:jc w:val="left"/>
              <w:textAlignment w:val="auto"/>
              <w:rPr>
                <w:rFonts w:hint="default" w:ascii="Times New Roman" w:hAnsi="Times New Roman" w:eastAsia="宋体" w:cs="Times New Roman"/>
                <w:color w:val="auto"/>
                <w:sz w:val="21"/>
                <w:szCs w:val="21"/>
                <w:lang w:val="en-US" w:eastAsia="zh-CN"/>
              </w:rPr>
            </w:pPr>
          </w:p>
        </w:tc>
      </w:tr>
      <w:tr w14:paraId="08429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47" w:type="pct"/>
            <w:noWrap w:val="0"/>
            <w:vAlign w:val="center"/>
          </w:tcPr>
          <w:p w14:paraId="580422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1413" w:type="pct"/>
            <w:noWrap w:val="0"/>
            <w:vAlign w:val="center"/>
          </w:tcPr>
          <w:p w14:paraId="66972E4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14" w:type="pct"/>
            <w:noWrap w:val="0"/>
            <w:vAlign w:val="center"/>
          </w:tcPr>
          <w:p w14:paraId="76BE733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9" w:type="pct"/>
            <w:noWrap w:val="0"/>
            <w:vAlign w:val="center"/>
          </w:tcPr>
          <w:p w14:paraId="33C15D3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55" w:type="pct"/>
            <w:noWrap w:val="0"/>
            <w:vAlign w:val="center"/>
          </w:tcPr>
          <w:p w14:paraId="08F2A46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3C0D5FBD">
      <w:pPr>
        <w:pStyle w:val="22"/>
        <w:keepNext w:val="0"/>
        <w:keepLines w:val="0"/>
        <w:widowControl/>
        <w:numPr>
          <w:ilvl w:val="0"/>
          <w:numId w:val="2"/>
        </w:numPr>
        <w:spacing w:line="360" w:lineRule="auto"/>
        <w:jc w:val="center"/>
        <w:rPr>
          <w:rFonts w:hint="default" w:ascii="Times New Roman" w:hAnsi="Times New Roman" w:eastAsia="黑体" w:cs="Times New Roman"/>
          <w:b w:val="0"/>
          <w:bCs w:val="0"/>
          <w:snapToGrid w:val="0"/>
          <w:color w:val="auto"/>
          <w:kern w:val="0"/>
          <w:sz w:val="30"/>
          <w:szCs w:val="30"/>
          <w:lang w:val="en-US" w:eastAsia="zh-CN" w:bidi="ar-SA"/>
        </w:rPr>
      </w:pPr>
      <w:r>
        <w:rPr>
          <w:rFonts w:hint="default" w:ascii="Times New Roman" w:hAnsi="Times New Roman" w:eastAsia="黑体" w:cs="Times New Roman"/>
          <w:snapToGrid w:val="0"/>
          <w:color w:val="auto"/>
          <w:sz w:val="30"/>
          <w:szCs w:val="30"/>
        </w:rPr>
        <w:br w:type="page"/>
      </w:r>
      <w:bookmarkStart w:id="20" w:name="_Toc26056"/>
      <w:bookmarkStart w:id="21" w:name="_Toc1300"/>
      <w:r>
        <w:rPr>
          <w:rFonts w:hint="default" w:ascii="Times New Roman" w:hAnsi="Times New Roman" w:eastAsia="黑体" w:cs="Times New Roman"/>
          <w:b w:val="0"/>
          <w:bCs w:val="0"/>
          <w:snapToGrid w:val="0"/>
          <w:color w:val="auto"/>
          <w:kern w:val="0"/>
          <w:sz w:val="30"/>
          <w:szCs w:val="30"/>
          <w:lang w:val="en-US" w:eastAsia="zh-CN" w:bidi="ar-SA"/>
        </w:rPr>
        <w:t>结论</w:t>
      </w:r>
    </w:p>
    <w:bookmarkEnd w:id="20"/>
    <w:bookmarkEnd w:id="21"/>
    <w:tbl>
      <w:tblPr>
        <w:tblStyle w:val="25"/>
        <w:tblW w:w="9289"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289"/>
      </w:tblGrid>
      <w:tr w14:paraId="7BCB521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000" w:hRule="atLeast"/>
          <w:jc w:val="center"/>
        </w:trPr>
        <w:tc>
          <w:tcPr>
            <w:tcW w:w="9289" w:type="dxa"/>
            <w:noWrap w:val="0"/>
            <w:vAlign w:val="top"/>
          </w:tcPr>
          <w:p w14:paraId="78AC0C47">
            <w:pPr>
              <w:tabs>
                <w:tab w:val="left" w:pos="406"/>
              </w:tabs>
              <w:ind w:firstLine="536"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从环境保护角度分析，建设单位在严格实施环保对策措施的条件下，</w:t>
            </w:r>
            <w:r>
              <w:rPr>
                <w:rFonts w:hint="default" w:ascii="Times New Roman" w:hAnsi="Times New Roman" w:eastAsia="宋体" w:cs="Times New Roman"/>
                <w:color w:val="auto"/>
                <w:sz w:val="24"/>
                <w:szCs w:val="21"/>
                <w:lang w:val="en-US" w:eastAsia="zh-CN"/>
              </w:rPr>
              <w:t>本项目的建设是可行的。</w:t>
            </w:r>
          </w:p>
          <w:p w14:paraId="432BAE34">
            <w:pPr>
              <w:tabs>
                <w:tab w:val="left" w:pos="406"/>
              </w:tabs>
              <w:ind w:firstLine="536" w:firstLineChars="200"/>
              <w:rPr>
                <w:rFonts w:hint="default" w:ascii="Times New Roman" w:hAnsi="Times New Roman" w:eastAsia="宋体" w:cs="Times New Roman"/>
                <w:color w:val="auto"/>
                <w:sz w:val="24"/>
                <w:szCs w:val="21"/>
                <w:lang w:val="en-US" w:eastAsia="zh-CN"/>
              </w:rPr>
            </w:pPr>
          </w:p>
          <w:p w14:paraId="2E8DE562">
            <w:pPr>
              <w:ind w:firstLine="536" w:firstLineChars="200"/>
              <w:rPr>
                <w:rFonts w:hint="default" w:ascii="Times New Roman" w:hAnsi="Times New Roman" w:eastAsia="宋体" w:cs="Times New Roman"/>
                <w:color w:val="auto"/>
                <w:sz w:val="24"/>
                <w:szCs w:val="21"/>
              </w:rPr>
            </w:pPr>
          </w:p>
          <w:p w14:paraId="5A9F2442">
            <w:pPr>
              <w:tabs>
                <w:tab w:val="left" w:pos="406"/>
              </w:tabs>
              <w:ind w:firstLine="536" w:firstLineChars="200"/>
              <w:rPr>
                <w:rFonts w:hint="default" w:ascii="Times New Roman" w:hAnsi="Times New Roman" w:eastAsia="宋体" w:cs="Times New Roman"/>
                <w:color w:val="auto"/>
                <w:sz w:val="24"/>
                <w:szCs w:val="21"/>
              </w:rPr>
            </w:pPr>
          </w:p>
          <w:p w14:paraId="440BF6BB">
            <w:pPr>
              <w:tabs>
                <w:tab w:val="left" w:pos="406"/>
              </w:tabs>
              <w:ind w:firstLine="536" w:firstLineChars="200"/>
              <w:rPr>
                <w:rFonts w:hint="default" w:ascii="Times New Roman" w:hAnsi="Times New Roman" w:eastAsia="宋体" w:cs="Times New Roman"/>
                <w:color w:val="auto"/>
                <w:sz w:val="24"/>
                <w:szCs w:val="21"/>
              </w:rPr>
            </w:pPr>
          </w:p>
          <w:p w14:paraId="4608C4ED">
            <w:pPr>
              <w:tabs>
                <w:tab w:val="left" w:pos="406"/>
              </w:tabs>
              <w:ind w:firstLine="536" w:firstLineChars="200"/>
              <w:rPr>
                <w:rFonts w:hint="default" w:ascii="Times New Roman" w:hAnsi="Times New Roman" w:eastAsia="宋体" w:cs="Times New Roman"/>
                <w:color w:val="auto"/>
                <w:sz w:val="24"/>
                <w:szCs w:val="21"/>
              </w:rPr>
            </w:pPr>
          </w:p>
          <w:p w14:paraId="2B2F61B2">
            <w:pPr>
              <w:tabs>
                <w:tab w:val="left" w:pos="406"/>
              </w:tabs>
              <w:ind w:firstLine="536" w:firstLineChars="200"/>
              <w:rPr>
                <w:rFonts w:hint="default" w:ascii="Times New Roman" w:hAnsi="Times New Roman" w:eastAsia="宋体" w:cs="Times New Roman"/>
                <w:color w:val="auto"/>
                <w:sz w:val="24"/>
                <w:szCs w:val="21"/>
              </w:rPr>
            </w:pPr>
          </w:p>
          <w:p w14:paraId="2BEA7E69">
            <w:pPr>
              <w:tabs>
                <w:tab w:val="left" w:pos="406"/>
              </w:tabs>
              <w:ind w:firstLine="536" w:firstLineChars="200"/>
              <w:rPr>
                <w:rFonts w:hint="default" w:ascii="Times New Roman" w:hAnsi="Times New Roman" w:eastAsia="宋体" w:cs="Times New Roman"/>
                <w:color w:val="auto"/>
                <w:sz w:val="24"/>
                <w:szCs w:val="21"/>
              </w:rPr>
            </w:pPr>
          </w:p>
          <w:p w14:paraId="33A5F541">
            <w:pPr>
              <w:tabs>
                <w:tab w:val="left" w:pos="406"/>
              </w:tabs>
              <w:ind w:firstLine="536" w:firstLineChars="200"/>
              <w:rPr>
                <w:rFonts w:hint="default" w:ascii="Times New Roman" w:hAnsi="Times New Roman" w:eastAsia="宋体" w:cs="Times New Roman"/>
                <w:color w:val="auto"/>
                <w:sz w:val="24"/>
                <w:szCs w:val="21"/>
              </w:rPr>
            </w:pPr>
          </w:p>
          <w:p w14:paraId="42CF2A8A">
            <w:pPr>
              <w:tabs>
                <w:tab w:val="left" w:pos="406"/>
              </w:tabs>
              <w:ind w:firstLine="536" w:firstLineChars="200"/>
              <w:rPr>
                <w:rFonts w:hint="default" w:ascii="Times New Roman" w:hAnsi="Times New Roman" w:eastAsia="宋体" w:cs="Times New Roman"/>
                <w:color w:val="auto"/>
                <w:sz w:val="24"/>
                <w:szCs w:val="21"/>
              </w:rPr>
            </w:pPr>
          </w:p>
          <w:p w14:paraId="3466DAE3">
            <w:pPr>
              <w:tabs>
                <w:tab w:val="left" w:pos="406"/>
              </w:tabs>
              <w:ind w:firstLine="536" w:firstLineChars="200"/>
              <w:rPr>
                <w:rFonts w:hint="default" w:ascii="Times New Roman" w:hAnsi="Times New Roman" w:eastAsia="宋体" w:cs="Times New Roman"/>
                <w:color w:val="auto"/>
                <w:sz w:val="24"/>
                <w:szCs w:val="21"/>
              </w:rPr>
            </w:pPr>
          </w:p>
          <w:p w14:paraId="610E8349">
            <w:pPr>
              <w:tabs>
                <w:tab w:val="left" w:pos="406"/>
              </w:tabs>
              <w:ind w:firstLine="536" w:firstLineChars="200"/>
              <w:rPr>
                <w:rFonts w:hint="default" w:ascii="Times New Roman" w:hAnsi="Times New Roman" w:eastAsia="宋体" w:cs="Times New Roman"/>
                <w:color w:val="auto"/>
                <w:sz w:val="24"/>
                <w:szCs w:val="21"/>
              </w:rPr>
            </w:pPr>
          </w:p>
          <w:p w14:paraId="5BBA916A">
            <w:pPr>
              <w:tabs>
                <w:tab w:val="left" w:pos="406"/>
              </w:tabs>
              <w:rPr>
                <w:rFonts w:hint="default" w:ascii="Times New Roman" w:hAnsi="Times New Roman" w:eastAsia="宋体" w:cs="Times New Roman"/>
                <w:color w:val="auto"/>
                <w:szCs w:val="21"/>
              </w:rPr>
            </w:pPr>
          </w:p>
        </w:tc>
      </w:tr>
    </w:tbl>
    <w:p w14:paraId="7CD8B244">
      <w:pPr>
        <w:rPr>
          <w:rFonts w:hint="default" w:ascii="Times New Roman" w:hAnsi="Times New Roman" w:cs="Times New Roman"/>
          <w:color w:val="auto"/>
        </w:rPr>
      </w:pPr>
    </w:p>
    <w:sectPr>
      <w:headerReference r:id="rId9" w:type="default"/>
      <w:footerReference r:id="rId10" w:type="default"/>
      <w:pgSz w:w="11906" w:h="16838"/>
      <w:pgMar w:top="1417" w:right="1417" w:bottom="1417" w:left="1417" w:header="851" w:footer="964" w:gutter="0"/>
      <w:pgBorders>
        <w:top w:val="none" w:sz="0" w:space="0"/>
        <w:left w:val="none" w:sz="0" w:space="0"/>
        <w:bottom w:val="none" w:sz="0" w:space="0"/>
        <w:right w:val="none" w:sz="0" w:space="0"/>
      </w:pgBorders>
      <w:pgNumType w:fmt="decimal" w:start="1"/>
      <w:cols w:space="720" w:num="1"/>
      <w:docGrid w:type="linesAndChars" w:linePitch="560" w:charSpace="58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ADAFC">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96F5F">
    <w:pPr>
      <w:pStyle w:val="13"/>
      <w:framePr w:wrap="around" w:vAnchor="text" w:hAnchor="margin" w:xAlign="center" w:y="1"/>
      <w:ind w:firstLine="360"/>
      <w:rPr>
        <w:rStyle w:val="29"/>
      </w:rPr>
    </w:pPr>
    <w:r>
      <w:fldChar w:fldCharType="begin"/>
    </w:r>
    <w:r>
      <w:rPr>
        <w:rStyle w:val="29"/>
      </w:rPr>
      <w:instrText xml:space="preserve">PAGE  </w:instrText>
    </w:r>
    <w:r>
      <w:fldChar w:fldCharType="end"/>
    </w:r>
  </w:p>
  <w:p w14:paraId="51A288A1">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8076E">
    <w:pPr>
      <w:pStyle w:val="13"/>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51660288" behindDoc="0" locked="0" layoutInCell="1" allowOverlap="1">
              <wp:simplePos x="0" y="0"/>
              <wp:positionH relativeFrom="margin">
                <wp:posOffset>2851150</wp:posOffset>
              </wp:positionH>
              <wp:positionV relativeFrom="paragraph">
                <wp:posOffset>-30480</wp:posOffset>
              </wp:positionV>
              <wp:extent cx="346710" cy="1701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46710" cy="170180"/>
                      </a:xfrm>
                      <a:prstGeom prst="rect">
                        <a:avLst/>
                      </a:prstGeom>
                      <a:noFill/>
                      <a:ln>
                        <a:noFill/>
                      </a:ln>
                    </wps:spPr>
                    <wps:txbx>
                      <w:txbxContent>
                        <w:p w14:paraId="6C9C3426">
                          <w:pPr>
                            <w:pStyle w:val="13"/>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2</w:t>
                          </w:r>
                          <w:r>
                            <w:rPr>
                              <w:rFonts w:ascii="Times New Roman" w:hAnsi="Times New Roman" w:eastAsia="宋体" w:cs="Times New Roman"/>
                            </w:rPr>
                            <w:fldChar w:fldCharType="end"/>
                          </w:r>
                          <w:r>
                            <w:rPr>
                              <w:rFonts w:hint="eastAsia" w:ascii="Times New Roman" w:hAnsi="Times New Roman" w:eastAsia="宋体" w:cs="Times New Roman"/>
                            </w:rPr>
                            <w:t xml:space="preserve"> -</w:t>
                          </w:r>
                        </w:p>
                      </w:txbxContent>
                    </wps:txbx>
                    <wps:bodyPr lIns="0" tIns="0" rIns="0" bIns="0" upright="0"/>
                  </wps:wsp>
                </a:graphicData>
              </a:graphic>
            </wp:anchor>
          </w:drawing>
        </mc:Choice>
        <mc:Fallback>
          <w:pict>
            <v:shape id="_x0000_s1026" o:spid="_x0000_s1026" o:spt="202" type="#_x0000_t202" style="position:absolute;left:0pt;margin-left:224.5pt;margin-top:-2.4pt;height:13.4pt;width:27.3pt;mso-position-horizontal-relative:margin;z-index:251660288;mso-width-relative:page;mso-height-relative:page;" filled="f" stroked="f" coordsize="21600,21600" o:gfxdata="UEsDBAoAAAAAAIdO4kAAAAAAAAAAAAAAAAAEAAAAZHJzL1BLAwQUAAAACACHTuJAPCCzItkAAAAJ&#10;AQAADwAAAGRycy9kb3ducmV2LnhtbE2Py07DMBBF90j8gzVI7Fq7IUQ0xKkQghUSIg0Llk48TaLG&#10;4xC7D/6eYVWWo7m695xic3ajOOIcBk8aVksFAqn1dqBOw2f9ungAEaIha0ZPqOEHA2zK66vC5Naf&#10;qMLjNnaCSyjkRkMf45RLGdoenQlLPyHxb+dnZyKfcyftbE5c7kaZKJVJZwbihd5M+Nxju98enIan&#10;L6pehu/35qPaVUNdrxW9ZXutb29W6hFExHO8hOEPn9GhZKbGH8gGMWpI0zW7RA2LlBU4cK/uMhCN&#10;hiRRIMtC/jcofwFQSwMEFAAAAAgAh07iQGjSZV27AQAAcwMAAA4AAABkcnMvZTJvRG9jLnhtbK1T&#10;S27bMBDdF+gdCO5rSm6RBILlAIWRIEDRFkhzAJoiLQL8YUhb8gXaG3TVTfc9l8/RIW05n26y6IYa&#10;zYwe33szWlyP1pCdhKi9a2k9qyiRTvhOu01LH77dvLuiJCbuOm68ky3dy0ivl2/fLIbQyLnvvekk&#10;EARxsRlCS/uUQsNYFL20PM58kA6LyoPlCV9hwzrgA6Jbw+ZVdcEGD10AL2SMmF0di/SECK8B9Epp&#10;IVdebK106YgK0vCEkmKvQ6TLwlYpKdIXpaJMxLQUlaZy4iUYr/PJlgvebICHXosTBf4aCi80Wa4d&#10;XnqGWvHEyRb0P1BWC/DRqzQT3rKjkOIIqqirF97c9zzIogWtjuFsevx/sOLz7isQ3bV0jnN33OLE&#10;Dz9/HH79Ofz+TjCHBg0hNth3H7AzjR/9iGsz5SMms+5Rgc1PVESwjvbuz/bKMRGByfcfLi5rrAgs&#10;1ZdVfVXsZ48fB4jpVnpLctBSwOkVU/nuU0xIBFunlnyX8zfamDJB454lsDFnWGZ+ZJijNK7Hk5y1&#10;7/aoxtw59DLvxRTAFKynYBtAb/qyOJlCBsJZFDKnvcnDfvpeuh7/l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CCzItkAAAAJAQAADwAAAAAAAAABACAAAAAiAAAAZHJzL2Rvd25yZXYueG1sUEsB&#10;AhQAFAAAAAgAh07iQGjSZV27AQAAcwMAAA4AAAAAAAAAAQAgAAAAKAEAAGRycy9lMm9Eb2MueG1s&#10;UEsFBgAAAAAGAAYAWQEAAFUFAAAAAA==&#10;">
              <v:fill on="f" focussize="0,0"/>
              <v:stroke on="f"/>
              <v:imagedata o:title=""/>
              <o:lock v:ext="edit" aspectratio="f"/>
              <v:textbox inset="0mm,0mm,0mm,0mm">
                <w:txbxContent>
                  <w:p w14:paraId="6C9C3426">
                    <w:pPr>
                      <w:pStyle w:val="13"/>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2</w:t>
                    </w:r>
                    <w:r>
                      <w:rPr>
                        <w:rFonts w:ascii="Times New Roman" w:hAnsi="Times New Roman" w:eastAsia="宋体" w:cs="Times New Roman"/>
                      </w:rPr>
                      <w:fldChar w:fldCharType="end"/>
                    </w:r>
                    <w:r>
                      <w:rPr>
                        <w:rFonts w:hint="eastAsia" w:ascii="Times New Roman" w:hAnsi="Times New Roman" w:eastAsia="宋体" w:cs="Times New Roma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3524C">
    <w:pPr>
      <w:pStyle w:val="13"/>
      <w:ind w:right="360" w:firstLine="360"/>
      <w:jc w:val="center"/>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9EE190">
                          <w:pPr>
                            <w:pStyle w:val="13"/>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9</w:t>
                          </w:r>
                          <w:r>
                            <w:rPr>
                              <w:rFonts w:ascii="Times New Roman" w:hAnsi="Times New Roman" w:eastAsia="宋体" w:cs="Times New Roma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NVT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gI1VOyQEAAJsDAAAOAAAAAAAAAAEAIAAAAB4BAABkcnMvZTJvRG9j&#10;LnhtbFBLBQYAAAAABgAGAFkBAABZBQAAAAA=&#10;">
              <v:fill on="f" focussize="0,0"/>
              <v:stroke on="f"/>
              <v:imagedata o:title=""/>
              <o:lock v:ext="edit" aspectratio="f"/>
              <v:textbox inset="0mm,0mm,0mm,0mm" style="mso-fit-shape-to-text:t;">
                <w:txbxContent>
                  <w:p w14:paraId="4F9EE190">
                    <w:pPr>
                      <w:pStyle w:val="13"/>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9</w:t>
                    </w:r>
                    <w:r>
                      <w:rPr>
                        <w:rFonts w:ascii="Times New Roman" w:hAnsi="Times New Roman" w:eastAsia="宋体"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97910">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17342">
    <w:pPr>
      <w:pStyle w:val="14"/>
      <w:pBdr>
        <w:bottom w:val="none" w:color="auto" w:sz="0" w:space="1"/>
      </w:pBdr>
      <w:rPr>
        <w:rFonts w:hint="eastAsia" w:ascii="Times New Roman" w:hAnsi="Times New Roman" w:eastAsia="宋体"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58134">
    <w:pPr>
      <w:pStyle w:val="14"/>
      <w:pBdr>
        <w:bottom w:val="none" w:color="auto" w:sz="0" w:space="1"/>
      </w:pBdr>
      <w:rPr>
        <w:rFonts w:hint="eastAsia" w:ascii="Times New Roman" w:hAnsi="Times New Roman" w:eastAsia="宋体"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DB6AB">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hint="eastAsia" w:ascii="Calibri" w:hAnsi="Calibri"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EE5841"/>
    <w:multiLevelType w:val="singleLevel"/>
    <w:tmpl w:val="BDEE5841"/>
    <w:lvl w:ilvl="0" w:tentative="0">
      <w:start w:val="1"/>
      <w:numFmt w:val="decimal"/>
      <w:suff w:val="space"/>
      <w:lvlText w:val="%1、"/>
      <w:lvlJc w:val="left"/>
    </w:lvl>
  </w:abstractNum>
  <w:abstractNum w:abstractNumId="1">
    <w:nsid w:val="CA78075E"/>
    <w:multiLevelType w:val="singleLevel"/>
    <w:tmpl w:val="CA78075E"/>
    <w:lvl w:ilvl="0" w:tentative="0">
      <w:start w:val="1"/>
      <w:numFmt w:val="decimal"/>
      <w:suff w:val="space"/>
      <w:lvlText w:val="%1、"/>
      <w:lvlJc w:val="left"/>
    </w:lvl>
  </w:abstractNum>
  <w:abstractNum w:abstractNumId="2">
    <w:nsid w:val="D0759D42"/>
    <w:multiLevelType w:val="singleLevel"/>
    <w:tmpl w:val="D0759D42"/>
    <w:lvl w:ilvl="0" w:tentative="0">
      <w:start w:val="1"/>
      <w:numFmt w:val="decimal"/>
      <w:suff w:val="space"/>
      <w:lvlText w:val="%1、"/>
      <w:lvlJc w:val="left"/>
    </w:lvl>
  </w:abstractNum>
  <w:abstractNum w:abstractNumId="3">
    <w:nsid w:val="DA6012E2"/>
    <w:multiLevelType w:val="singleLevel"/>
    <w:tmpl w:val="DA6012E2"/>
    <w:lvl w:ilvl="0" w:tentative="0">
      <w:start w:val="1"/>
      <w:numFmt w:val="decimal"/>
      <w:suff w:val="space"/>
      <w:lvlText w:val="%1、"/>
      <w:lvlJc w:val="left"/>
    </w:lvl>
  </w:abstractNum>
  <w:abstractNum w:abstractNumId="4">
    <w:nsid w:val="F058247B"/>
    <w:multiLevelType w:val="singleLevel"/>
    <w:tmpl w:val="F058247B"/>
    <w:lvl w:ilvl="0" w:tentative="0">
      <w:start w:val="1"/>
      <w:numFmt w:val="decimal"/>
      <w:suff w:val="space"/>
      <w:lvlText w:val="%1、"/>
      <w:lvlJc w:val="left"/>
    </w:lvl>
  </w:abstractNum>
  <w:abstractNum w:abstractNumId="5">
    <w:nsid w:val="0B1E129E"/>
    <w:multiLevelType w:val="singleLevel"/>
    <w:tmpl w:val="0B1E129E"/>
    <w:lvl w:ilvl="0" w:tentative="0">
      <w:start w:val="1"/>
      <w:numFmt w:val="decimal"/>
      <w:suff w:val="space"/>
      <w:lvlText w:val="%1、"/>
      <w:lvlJc w:val="left"/>
    </w:lvl>
  </w:abstractNum>
  <w:abstractNum w:abstractNumId="6">
    <w:nsid w:val="0F74722F"/>
    <w:multiLevelType w:val="singleLevel"/>
    <w:tmpl w:val="0F74722F"/>
    <w:lvl w:ilvl="0" w:tentative="0">
      <w:start w:val="1"/>
      <w:numFmt w:val="decimal"/>
      <w:suff w:val="space"/>
      <w:lvlText w:val="%1、"/>
      <w:lvlJc w:val="left"/>
    </w:lvl>
  </w:abstractNum>
  <w:abstractNum w:abstractNumId="7">
    <w:nsid w:val="265D727E"/>
    <w:multiLevelType w:val="multilevel"/>
    <w:tmpl w:val="265D727E"/>
    <w:lvl w:ilvl="0" w:tentative="0">
      <w:start w:val="1"/>
      <w:numFmt w:val="decimal"/>
      <w:suff w:val="space"/>
      <w:lvlText w:val="%1 "/>
      <w:lvlJc w:val="left"/>
      <w:pPr>
        <w:ind w:left="0" w:firstLine="0"/>
      </w:pPr>
      <w:rPr>
        <w:rFonts w:hint="eastAsia" w:ascii="方正大标宋简体" w:hAnsi="Times New Roman" w:eastAsia="方正大标宋简体" w:cs="Times New Roman"/>
        <w:bCs w:val="0"/>
        <w:i w:val="0"/>
        <w:iCs w:val="0"/>
        <w:caps w:val="0"/>
        <w:smallCaps w:val="0"/>
        <w:strike w:val="0"/>
        <w:dstrike w:val="0"/>
        <w:vanish w:val="0"/>
        <w:spacing w:val="0"/>
        <w:kern w:val="0"/>
        <w:position w:val="0"/>
        <w:sz w:val="44"/>
        <w:szCs w:val="44"/>
        <w:u w:val="none"/>
        <w:vertAlign w:val="baseline"/>
      </w:rPr>
    </w:lvl>
    <w:lvl w:ilvl="1" w:tentative="0">
      <w:start w:val="1"/>
      <w:numFmt w:val="decimal"/>
      <w:suff w:val="space"/>
      <w:lvlText w:val="%1.%2 "/>
      <w:lvlJc w:val="left"/>
      <w:pPr>
        <w:ind w:left="0" w:firstLine="0"/>
      </w:pPr>
      <w:rPr>
        <w:rFonts w:hint="eastAsia" w:ascii="方正大标宋简体" w:hAnsi="Times New Roman" w:eastAsia="方正大标宋简体" w:cs="Times New Roman"/>
        <w:bCs w:val="0"/>
        <w:i w:val="0"/>
        <w:iCs w:val="0"/>
        <w:caps w:val="0"/>
        <w:smallCaps w:val="0"/>
        <w:strike w:val="0"/>
        <w:dstrike w:val="0"/>
        <w:vanish w:val="0"/>
        <w:spacing w:val="0"/>
        <w:kern w:val="0"/>
        <w:position w:val="0"/>
        <w:sz w:val="30"/>
        <w:szCs w:val="30"/>
        <w:u w:val="none"/>
        <w:vertAlign w:val="baseline"/>
      </w:rPr>
    </w:lvl>
    <w:lvl w:ilvl="2" w:tentative="0">
      <w:start w:val="1"/>
      <w:numFmt w:val="decimal"/>
      <w:suff w:val="space"/>
      <w:lvlText w:val="%1.%2.%3 "/>
      <w:lvlJc w:val="left"/>
      <w:pPr>
        <w:ind w:left="0" w:firstLine="0"/>
      </w:pPr>
      <w:rPr>
        <w:rFonts w:hint="eastAsia" w:ascii="Times New Roman" w:hAnsi="Times New Roman" w:cs="Times New Roman"/>
        <w:bCs w:val="0"/>
        <w:i w:val="0"/>
        <w:iCs w:val="0"/>
        <w:caps w:val="0"/>
        <w:smallCaps w:val="0"/>
        <w:strike w:val="0"/>
        <w:dstrike w:val="0"/>
        <w:vanish w:val="0"/>
        <w:spacing w:val="0"/>
        <w:kern w:val="0"/>
        <w:position w:val="0"/>
        <w:u w:val="none"/>
        <w:vertAlign w:val="baseline"/>
      </w:rPr>
    </w:lvl>
    <w:lvl w:ilvl="3" w:tentative="0">
      <w:start w:val="1"/>
      <w:numFmt w:val="decimal"/>
      <w:pStyle w:val="5"/>
      <w:suff w:val="space"/>
      <w:lvlText w:val="%1.%2.%3.%4 "/>
      <w:lvlJc w:val="left"/>
      <w:pPr>
        <w:ind w:left="0" w:firstLine="0"/>
      </w:pPr>
      <w:rPr>
        <w:rFonts w:hint="eastAsia" w:ascii="Times New Roman" w:hAnsi="Times New Roman" w:cs="Times New Roman"/>
        <w:b/>
        <w:bCs w:val="0"/>
        <w:i w:val="0"/>
        <w:iCs w:val="0"/>
        <w:caps w:val="0"/>
        <w:smallCaps w:val="0"/>
        <w:strike w:val="0"/>
        <w:dstrike w:val="0"/>
        <w:snapToGrid w:val="0"/>
        <w:vanish w:val="0"/>
        <w:color w:val="auto"/>
        <w:spacing w:val="0"/>
        <w:kern w:val="0"/>
        <w:position w:val="0"/>
        <w:u w:val="none"/>
        <w:vertAlign w:val="baseline"/>
      </w:rPr>
    </w:lvl>
    <w:lvl w:ilvl="4" w:tentative="0">
      <w:start w:val="1"/>
      <w:numFmt w:val="decimal"/>
      <w:suff w:val="space"/>
      <w:lvlText w:val="%1.%2.%3.%4.%5 "/>
      <w:lvlJc w:val="left"/>
      <w:pPr>
        <w:ind w:left="0" w:firstLine="0"/>
      </w:pPr>
      <w:rPr>
        <w:rFonts w:hint="default" w:ascii="Times New Roman" w:hAnsi="Times New Roman" w:cs="Times New Roman"/>
        <w:bCs w:val="0"/>
        <w:i w:val="0"/>
        <w:iCs w:val="0"/>
        <w:caps w:val="0"/>
        <w:smallCaps w:val="0"/>
        <w:strike w:val="0"/>
        <w:dstrike w:val="0"/>
        <w:vanish w:val="0"/>
        <w:spacing w:val="0"/>
        <w:kern w:val="0"/>
        <w:position w:val="0"/>
        <w:sz w:val="24"/>
        <w:u w:val="none"/>
        <w:vertAlign w:val="baseline"/>
      </w:rPr>
    </w:lvl>
    <w:lvl w:ilvl="5" w:tentative="0">
      <w:start w:val="1"/>
      <w:numFmt w:val="decimal"/>
      <w:lvlText w:val="%1.%2.%3.%4.%5"/>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2BAB3D96"/>
    <w:multiLevelType w:val="singleLevel"/>
    <w:tmpl w:val="2BAB3D96"/>
    <w:lvl w:ilvl="0" w:tentative="0">
      <w:start w:val="1"/>
      <w:numFmt w:val="decimal"/>
      <w:suff w:val="space"/>
      <w:lvlText w:val="%1、"/>
      <w:lvlJc w:val="left"/>
    </w:lvl>
  </w:abstractNum>
  <w:abstractNum w:abstractNumId="9">
    <w:nsid w:val="4BD65C7B"/>
    <w:multiLevelType w:val="singleLevel"/>
    <w:tmpl w:val="4BD65C7B"/>
    <w:lvl w:ilvl="0" w:tentative="0">
      <w:start w:val="1"/>
      <w:numFmt w:val="chineseCounting"/>
      <w:suff w:val="space"/>
      <w:lvlText w:val="%1、"/>
      <w:lvlJc w:val="left"/>
      <w:rPr>
        <w:rFonts w:hint="eastAsia"/>
      </w:rPr>
    </w:lvl>
  </w:abstractNum>
  <w:abstractNum w:abstractNumId="10">
    <w:nsid w:val="505386EE"/>
    <w:multiLevelType w:val="singleLevel"/>
    <w:tmpl w:val="505386EE"/>
    <w:lvl w:ilvl="0" w:tentative="0">
      <w:start w:val="1"/>
      <w:numFmt w:val="decimal"/>
      <w:suff w:val="space"/>
      <w:lvlText w:val="%1、"/>
      <w:lvlJc w:val="left"/>
    </w:lvl>
  </w:abstractNum>
  <w:abstractNum w:abstractNumId="11">
    <w:nsid w:val="535C7890"/>
    <w:multiLevelType w:val="singleLevel"/>
    <w:tmpl w:val="535C7890"/>
    <w:lvl w:ilvl="0" w:tentative="0">
      <w:start w:val="1"/>
      <w:numFmt w:val="decimal"/>
      <w:suff w:val="space"/>
      <w:lvlText w:val="%1、"/>
      <w:lvlJc w:val="left"/>
    </w:lvl>
  </w:abstractNum>
  <w:abstractNum w:abstractNumId="12">
    <w:nsid w:val="57B03238"/>
    <w:multiLevelType w:val="singleLevel"/>
    <w:tmpl w:val="57B03238"/>
    <w:lvl w:ilvl="0" w:tentative="0">
      <w:start w:val="1"/>
      <w:numFmt w:val="decimal"/>
      <w:suff w:val="space"/>
      <w:lvlText w:val="%1、"/>
      <w:lvlJc w:val="left"/>
    </w:lvl>
  </w:abstractNum>
  <w:num w:numId="1">
    <w:abstractNumId w:val="7"/>
  </w:num>
  <w:num w:numId="2">
    <w:abstractNumId w:val="9"/>
  </w:num>
  <w:num w:numId="3">
    <w:abstractNumId w:val="12"/>
  </w:num>
  <w:num w:numId="4">
    <w:abstractNumId w:val="3"/>
  </w:num>
  <w:num w:numId="5">
    <w:abstractNumId w:val="4"/>
  </w:num>
  <w:num w:numId="6">
    <w:abstractNumId w:val="1"/>
  </w:num>
  <w:num w:numId="7">
    <w:abstractNumId w:val="2"/>
  </w:num>
  <w:num w:numId="8">
    <w:abstractNumId w:val="5"/>
  </w:num>
  <w:num w:numId="9">
    <w:abstractNumId w:val="8"/>
  </w:num>
  <w:num w:numId="10">
    <w:abstractNumId w:val="11"/>
  </w:num>
  <w:num w:numId="11">
    <w:abstractNumId w:val="0"/>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5NWYyYjBhYzUzNDkzNmE4NTcxZWQzMGZjYWFhZjIifQ=="/>
  </w:docVars>
  <w:rsids>
    <w:rsidRoot w:val="00172A27"/>
    <w:rsid w:val="00627E6B"/>
    <w:rsid w:val="00692FA7"/>
    <w:rsid w:val="007C621E"/>
    <w:rsid w:val="00834612"/>
    <w:rsid w:val="00C00AF9"/>
    <w:rsid w:val="00CD1C4F"/>
    <w:rsid w:val="01273190"/>
    <w:rsid w:val="01316291"/>
    <w:rsid w:val="016E1EC3"/>
    <w:rsid w:val="01826A17"/>
    <w:rsid w:val="019B1224"/>
    <w:rsid w:val="01F210DC"/>
    <w:rsid w:val="03172F8C"/>
    <w:rsid w:val="03214337"/>
    <w:rsid w:val="03655CA8"/>
    <w:rsid w:val="036C4D6E"/>
    <w:rsid w:val="040824AC"/>
    <w:rsid w:val="040A684F"/>
    <w:rsid w:val="044611D6"/>
    <w:rsid w:val="04995B68"/>
    <w:rsid w:val="04B537BA"/>
    <w:rsid w:val="04DA76EC"/>
    <w:rsid w:val="052963D3"/>
    <w:rsid w:val="053A40DA"/>
    <w:rsid w:val="054102E4"/>
    <w:rsid w:val="0551776F"/>
    <w:rsid w:val="056C013B"/>
    <w:rsid w:val="05B41169"/>
    <w:rsid w:val="05DE0BFD"/>
    <w:rsid w:val="060A229C"/>
    <w:rsid w:val="062639CE"/>
    <w:rsid w:val="066B65F3"/>
    <w:rsid w:val="067A5F0E"/>
    <w:rsid w:val="06D67B90"/>
    <w:rsid w:val="06E847B3"/>
    <w:rsid w:val="06F27FA6"/>
    <w:rsid w:val="07A70F85"/>
    <w:rsid w:val="07C709D0"/>
    <w:rsid w:val="07E41C2A"/>
    <w:rsid w:val="08EC3869"/>
    <w:rsid w:val="092A5E4E"/>
    <w:rsid w:val="098E116A"/>
    <w:rsid w:val="099C3EAC"/>
    <w:rsid w:val="09A92667"/>
    <w:rsid w:val="09D12F6E"/>
    <w:rsid w:val="0A104F13"/>
    <w:rsid w:val="0A3E6DFF"/>
    <w:rsid w:val="0A5627EE"/>
    <w:rsid w:val="0A77170E"/>
    <w:rsid w:val="0AAD0A09"/>
    <w:rsid w:val="0B2E471E"/>
    <w:rsid w:val="0BB2024E"/>
    <w:rsid w:val="0C3026BD"/>
    <w:rsid w:val="0CDD16B4"/>
    <w:rsid w:val="0D7A51D3"/>
    <w:rsid w:val="0DA3127A"/>
    <w:rsid w:val="0DE33BAC"/>
    <w:rsid w:val="0DE70136"/>
    <w:rsid w:val="0E070F5E"/>
    <w:rsid w:val="0E261ED9"/>
    <w:rsid w:val="0E8071AE"/>
    <w:rsid w:val="0E8C473C"/>
    <w:rsid w:val="0F497356"/>
    <w:rsid w:val="101B1510"/>
    <w:rsid w:val="106F460A"/>
    <w:rsid w:val="10895537"/>
    <w:rsid w:val="10AC13BA"/>
    <w:rsid w:val="10DF2396"/>
    <w:rsid w:val="111F12B9"/>
    <w:rsid w:val="116263B8"/>
    <w:rsid w:val="127F18B0"/>
    <w:rsid w:val="12C75A67"/>
    <w:rsid w:val="136D3FBA"/>
    <w:rsid w:val="138D6BE8"/>
    <w:rsid w:val="141649B0"/>
    <w:rsid w:val="142B67CA"/>
    <w:rsid w:val="144601C0"/>
    <w:rsid w:val="14560E9A"/>
    <w:rsid w:val="14643D5A"/>
    <w:rsid w:val="14741EAA"/>
    <w:rsid w:val="148461AA"/>
    <w:rsid w:val="14BC5944"/>
    <w:rsid w:val="14C63062"/>
    <w:rsid w:val="14CA1913"/>
    <w:rsid w:val="15244079"/>
    <w:rsid w:val="1590724B"/>
    <w:rsid w:val="160F065B"/>
    <w:rsid w:val="163E79F0"/>
    <w:rsid w:val="16865105"/>
    <w:rsid w:val="16AC1486"/>
    <w:rsid w:val="170D313A"/>
    <w:rsid w:val="1732013F"/>
    <w:rsid w:val="17824970"/>
    <w:rsid w:val="17824C23"/>
    <w:rsid w:val="179E2010"/>
    <w:rsid w:val="17BE0504"/>
    <w:rsid w:val="17E3225C"/>
    <w:rsid w:val="182E21BD"/>
    <w:rsid w:val="182F3545"/>
    <w:rsid w:val="18A03600"/>
    <w:rsid w:val="19514818"/>
    <w:rsid w:val="195B4CF4"/>
    <w:rsid w:val="1A116EA2"/>
    <w:rsid w:val="1AE6371B"/>
    <w:rsid w:val="1B126D73"/>
    <w:rsid w:val="1B46026B"/>
    <w:rsid w:val="1B4E010B"/>
    <w:rsid w:val="1B672720"/>
    <w:rsid w:val="1BD039E1"/>
    <w:rsid w:val="1BDA14D9"/>
    <w:rsid w:val="1BE66100"/>
    <w:rsid w:val="1BF719A3"/>
    <w:rsid w:val="1C655BDF"/>
    <w:rsid w:val="1C890E69"/>
    <w:rsid w:val="1CAC44F0"/>
    <w:rsid w:val="1DE02A0A"/>
    <w:rsid w:val="1DE2466D"/>
    <w:rsid w:val="1DF57CCD"/>
    <w:rsid w:val="1E016D4A"/>
    <w:rsid w:val="1E0372DC"/>
    <w:rsid w:val="1E0D1C19"/>
    <w:rsid w:val="1E385545"/>
    <w:rsid w:val="1E5906A7"/>
    <w:rsid w:val="1EFA1543"/>
    <w:rsid w:val="1F444EB4"/>
    <w:rsid w:val="1F577A53"/>
    <w:rsid w:val="1FB40671"/>
    <w:rsid w:val="1FE83A91"/>
    <w:rsid w:val="1FF70178"/>
    <w:rsid w:val="206A39D3"/>
    <w:rsid w:val="20C44D94"/>
    <w:rsid w:val="20D115BE"/>
    <w:rsid w:val="210809A1"/>
    <w:rsid w:val="21257B66"/>
    <w:rsid w:val="21E837DA"/>
    <w:rsid w:val="21F53D83"/>
    <w:rsid w:val="21F903AC"/>
    <w:rsid w:val="220F79FB"/>
    <w:rsid w:val="2221328A"/>
    <w:rsid w:val="2285290F"/>
    <w:rsid w:val="22963C78"/>
    <w:rsid w:val="22E15FC7"/>
    <w:rsid w:val="22F679D4"/>
    <w:rsid w:val="22FA160E"/>
    <w:rsid w:val="2382716F"/>
    <w:rsid w:val="23AE0A31"/>
    <w:rsid w:val="23AF6B11"/>
    <w:rsid w:val="23CC508D"/>
    <w:rsid w:val="23F9471E"/>
    <w:rsid w:val="24473DAA"/>
    <w:rsid w:val="250D79CA"/>
    <w:rsid w:val="2522299D"/>
    <w:rsid w:val="25571607"/>
    <w:rsid w:val="255F50A7"/>
    <w:rsid w:val="256917A9"/>
    <w:rsid w:val="25D012C6"/>
    <w:rsid w:val="25FC0D85"/>
    <w:rsid w:val="26442481"/>
    <w:rsid w:val="26573321"/>
    <w:rsid w:val="26CB1A16"/>
    <w:rsid w:val="272C0399"/>
    <w:rsid w:val="2765630A"/>
    <w:rsid w:val="27B77ACB"/>
    <w:rsid w:val="27B9304D"/>
    <w:rsid w:val="27EB411E"/>
    <w:rsid w:val="28177439"/>
    <w:rsid w:val="28395CB8"/>
    <w:rsid w:val="28585AFD"/>
    <w:rsid w:val="287118E6"/>
    <w:rsid w:val="297245B9"/>
    <w:rsid w:val="29D32151"/>
    <w:rsid w:val="2A361E51"/>
    <w:rsid w:val="2A362F3F"/>
    <w:rsid w:val="2A866380"/>
    <w:rsid w:val="2AAC7F30"/>
    <w:rsid w:val="2AC7224A"/>
    <w:rsid w:val="2B086C32"/>
    <w:rsid w:val="2B125E66"/>
    <w:rsid w:val="2B5438A1"/>
    <w:rsid w:val="2B717030"/>
    <w:rsid w:val="2C19528B"/>
    <w:rsid w:val="2C1A4AC4"/>
    <w:rsid w:val="2C3C4C0F"/>
    <w:rsid w:val="2C6C63FC"/>
    <w:rsid w:val="2CEB2E12"/>
    <w:rsid w:val="2CF0667B"/>
    <w:rsid w:val="2D042046"/>
    <w:rsid w:val="2D262C00"/>
    <w:rsid w:val="2D42192E"/>
    <w:rsid w:val="2D4F48BA"/>
    <w:rsid w:val="2D962D7E"/>
    <w:rsid w:val="2DDB2E52"/>
    <w:rsid w:val="2DF45CF7"/>
    <w:rsid w:val="2ED0406E"/>
    <w:rsid w:val="2F401782"/>
    <w:rsid w:val="2FCD5663"/>
    <w:rsid w:val="2FED2083"/>
    <w:rsid w:val="304112CF"/>
    <w:rsid w:val="30966B70"/>
    <w:rsid w:val="312A232E"/>
    <w:rsid w:val="31303F97"/>
    <w:rsid w:val="314B0E46"/>
    <w:rsid w:val="316D0482"/>
    <w:rsid w:val="31A2487C"/>
    <w:rsid w:val="31F67EDC"/>
    <w:rsid w:val="3248050D"/>
    <w:rsid w:val="32686CD9"/>
    <w:rsid w:val="32B44C73"/>
    <w:rsid w:val="337665AD"/>
    <w:rsid w:val="33784CD4"/>
    <w:rsid w:val="33AF1935"/>
    <w:rsid w:val="33B07C43"/>
    <w:rsid w:val="33B17D2D"/>
    <w:rsid w:val="345457EF"/>
    <w:rsid w:val="34713BFD"/>
    <w:rsid w:val="347D2001"/>
    <w:rsid w:val="34882F86"/>
    <w:rsid w:val="34A6053A"/>
    <w:rsid w:val="34CC2CDC"/>
    <w:rsid w:val="34DA207D"/>
    <w:rsid w:val="34ED7250"/>
    <w:rsid w:val="34FF1ECE"/>
    <w:rsid w:val="35690D78"/>
    <w:rsid w:val="35C81F43"/>
    <w:rsid w:val="35CF32D1"/>
    <w:rsid w:val="36B6533D"/>
    <w:rsid w:val="36C26D87"/>
    <w:rsid w:val="36D1273B"/>
    <w:rsid w:val="36DF5796"/>
    <w:rsid w:val="37092813"/>
    <w:rsid w:val="377977C1"/>
    <w:rsid w:val="378F142A"/>
    <w:rsid w:val="37C645D7"/>
    <w:rsid w:val="382C24AB"/>
    <w:rsid w:val="388365F5"/>
    <w:rsid w:val="38A90C96"/>
    <w:rsid w:val="38C16C82"/>
    <w:rsid w:val="38D45E9D"/>
    <w:rsid w:val="38DF6D77"/>
    <w:rsid w:val="38F117B0"/>
    <w:rsid w:val="390019F4"/>
    <w:rsid w:val="393C45F5"/>
    <w:rsid w:val="39400042"/>
    <w:rsid w:val="395B76F7"/>
    <w:rsid w:val="39931846"/>
    <w:rsid w:val="3A0D795F"/>
    <w:rsid w:val="3A791A5E"/>
    <w:rsid w:val="3A9B5EBD"/>
    <w:rsid w:val="3B20637D"/>
    <w:rsid w:val="3B264B22"/>
    <w:rsid w:val="3BCF5FDB"/>
    <w:rsid w:val="3BE57256"/>
    <w:rsid w:val="3BF2490B"/>
    <w:rsid w:val="3C6A6F82"/>
    <w:rsid w:val="3C6F0A58"/>
    <w:rsid w:val="3D521369"/>
    <w:rsid w:val="3D5B2C26"/>
    <w:rsid w:val="3E1675C3"/>
    <w:rsid w:val="3E330175"/>
    <w:rsid w:val="3E384E8A"/>
    <w:rsid w:val="3F251E6C"/>
    <w:rsid w:val="3F573B90"/>
    <w:rsid w:val="3F8B4A3E"/>
    <w:rsid w:val="40130956"/>
    <w:rsid w:val="40477626"/>
    <w:rsid w:val="40603802"/>
    <w:rsid w:val="408742A0"/>
    <w:rsid w:val="40AA7EA8"/>
    <w:rsid w:val="40B2679C"/>
    <w:rsid w:val="415058B4"/>
    <w:rsid w:val="4182744A"/>
    <w:rsid w:val="41A63B69"/>
    <w:rsid w:val="41E17C58"/>
    <w:rsid w:val="4200046A"/>
    <w:rsid w:val="42287FF1"/>
    <w:rsid w:val="425966C0"/>
    <w:rsid w:val="42A706A9"/>
    <w:rsid w:val="42E25C46"/>
    <w:rsid w:val="43083C8D"/>
    <w:rsid w:val="433C7ACC"/>
    <w:rsid w:val="435E20EE"/>
    <w:rsid w:val="43E048FB"/>
    <w:rsid w:val="44550E45"/>
    <w:rsid w:val="445541F9"/>
    <w:rsid w:val="452F62C1"/>
    <w:rsid w:val="45812A47"/>
    <w:rsid w:val="45A858ED"/>
    <w:rsid w:val="45E5793D"/>
    <w:rsid w:val="45EE77A4"/>
    <w:rsid w:val="46625A9C"/>
    <w:rsid w:val="4707219F"/>
    <w:rsid w:val="470B3A79"/>
    <w:rsid w:val="47156F84"/>
    <w:rsid w:val="47174AD8"/>
    <w:rsid w:val="47257F66"/>
    <w:rsid w:val="4744377A"/>
    <w:rsid w:val="47517D3A"/>
    <w:rsid w:val="47AA76FA"/>
    <w:rsid w:val="4831664F"/>
    <w:rsid w:val="48AF3B53"/>
    <w:rsid w:val="48D000AA"/>
    <w:rsid w:val="48E46C3C"/>
    <w:rsid w:val="49AE2DA6"/>
    <w:rsid w:val="4AD03762"/>
    <w:rsid w:val="4AE42F23"/>
    <w:rsid w:val="4B771520"/>
    <w:rsid w:val="4B9A7A86"/>
    <w:rsid w:val="4BBA58C7"/>
    <w:rsid w:val="4BD51A25"/>
    <w:rsid w:val="4BE66C5C"/>
    <w:rsid w:val="4C0804CF"/>
    <w:rsid w:val="4C6023E1"/>
    <w:rsid w:val="4C6F6185"/>
    <w:rsid w:val="4D0070EB"/>
    <w:rsid w:val="4D062959"/>
    <w:rsid w:val="4DE1509F"/>
    <w:rsid w:val="4DF12415"/>
    <w:rsid w:val="4E497E8D"/>
    <w:rsid w:val="4EA62EA4"/>
    <w:rsid w:val="4EC41F31"/>
    <w:rsid w:val="4EDC2811"/>
    <w:rsid w:val="4F0158B8"/>
    <w:rsid w:val="4F0E056F"/>
    <w:rsid w:val="4F213AF0"/>
    <w:rsid w:val="4F617740"/>
    <w:rsid w:val="4F920264"/>
    <w:rsid w:val="4FB758F2"/>
    <w:rsid w:val="500F1F33"/>
    <w:rsid w:val="5032039B"/>
    <w:rsid w:val="507765E7"/>
    <w:rsid w:val="508C5757"/>
    <w:rsid w:val="50B213CE"/>
    <w:rsid w:val="516C5A20"/>
    <w:rsid w:val="5184761D"/>
    <w:rsid w:val="51980732"/>
    <w:rsid w:val="51A67184"/>
    <w:rsid w:val="51B85163"/>
    <w:rsid w:val="51D27BF1"/>
    <w:rsid w:val="526B5CD8"/>
    <w:rsid w:val="52895F09"/>
    <w:rsid w:val="52B94F80"/>
    <w:rsid w:val="52F3154A"/>
    <w:rsid w:val="530C5FCB"/>
    <w:rsid w:val="53240936"/>
    <w:rsid w:val="53366E7E"/>
    <w:rsid w:val="53780AA4"/>
    <w:rsid w:val="53926328"/>
    <w:rsid w:val="53B1384B"/>
    <w:rsid w:val="53D91E35"/>
    <w:rsid w:val="54331760"/>
    <w:rsid w:val="5445159A"/>
    <w:rsid w:val="5457008B"/>
    <w:rsid w:val="547E7FB3"/>
    <w:rsid w:val="54F46ED2"/>
    <w:rsid w:val="55287EB0"/>
    <w:rsid w:val="55450A62"/>
    <w:rsid w:val="55A82C6E"/>
    <w:rsid w:val="55F03353"/>
    <w:rsid w:val="562A32FE"/>
    <w:rsid w:val="562F1B1E"/>
    <w:rsid w:val="563D3B6E"/>
    <w:rsid w:val="564675C6"/>
    <w:rsid w:val="5647129A"/>
    <w:rsid w:val="56486D36"/>
    <w:rsid w:val="56CE0F04"/>
    <w:rsid w:val="570D1A54"/>
    <w:rsid w:val="572C3772"/>
    <w:rsid w:val="572F3778"/>
    <w:rsid w:val="57802226"/>
    <w:rsid w:val="57E30C41"/>
    <w:rsid w:val="586B149F"/>
    <w:rsid w:val="58AF2528"/>
    <w:rsid w:val="590D2151"/>
    <w:rsid w:val="59380150"/>
    <w:rsid w:val="59613991"/>
    <w:rsid w:val="59B461B6"/>
    <w:rsid w:val="59CB35F1"/>
    <w:rsid w:val="5A00764E"/>
    <w:rsid w:val="5A4D49BF"/>
    <w:rsid w:val="5A5553B7"/>
    <w:rsid w:val="5A5D05FC"/>
    <w:rsid w:val="5A8E224C"/>
    <w:rsid w:val="5AB9748C"/>
    <w:rsid w:val="5AE2190C"/>
    <w:rsid w:val="5B590DE4"/>
    <w:rsid w:val="5C161AB5"/>
    <w:rsid w:val="5C541FBB"/>
    <w:rsid w:val="5C9E69C1"/>
    <w:rsid w:val="5CEB2676"/>
    <w:rsid w:val="5CEB4AB9"/>
    <w:rsid w:val="5D1A6C78"/>
    <w:rsid w:val="5D2D5BDC"/>
    <w:rsid w:val="5D2E3A1B"/>
    <w:rsid w:val="5DC838F2"/>
    <w:rsid w:val="5E604109"/>
    <w:rsid w:val="5E8427F6"/>
    <w:rsid w:val="5ECF68DF"/>
    <w:rsid w:val="5F3523B2"/>
    <w:rsid w:val="5F3A538F"/>
    <w:rsid w:val="5F3A79C5"/>
    <w:rsid w:val="5FE926EA"/>
    <w:rsid w:val="6005151A"/>
    <w:rsid w:val="602B6AA7"/>
    <w:rsid w:val="606049A2"/>
    <w:rsid w:val="607458D3"/>
    <w:rsid w:val="607A46D6"/>
    <w:rsid w:val="60B91E8F"/>
    <w:rsid w:val="60F137E2"/>
    <w:rsid w:val="6138591F"/>
    <w:rsid w:val="6162299C"/>
    <w:rsid w:val="61753349"/>
    <w:rsid w:val="61B6114F"/>
    <w:rsid w:val="61BE6D19"/>
    <w:rsid w:val="622A34BA"/>
    <w:rsid w:val="6310019E"/>
    <w:rsid w:val="634931F4"/>
    <w:rsid w:val="63A9658E"/>
    <w:rsid w:val="63B86B82"/>
    <w:rsid w:val="643A54E9"/>
    <w:rsid w:val="645E38EF"/>
    <w:rsid w:val="64601415"/>
    <w:rsid w:val="64E62129"/>
    <w:rsid w:val="65600099"/>
    <w:rsid w:val="65A76C1F"/>
    <w:rsid w:val="65FA31A3"/>
    <w:rsid w:val="661111DF"/>
    <w:rsid w:val="661A0A16"/>
    <w:rsid w:val="66200E09"/>
    <w:rsid w:val="664163C7"/>
    <w:rsid w:val="66570BF7"/>
    <w:rsid w:val="66A23A65"/>
    <w:rsid w:val="66AB0941"/>
    <w:rsid w:val="6732696D"/>
    <w:rsid w:val="67C945EB"/>
    <w:rsid w:val="67DC271F"/>
    <w:rsid w:val="68875B37"/>
    <w:rsid w:val="6898534D"/>
    <w:rsid w:val="68DF26D6"/>
    <w:rsid w:val="6927029E"/>
    <w:rsid w:val="695558C2"/>
    <w:rsid w:val="699F21E3"/>
    <w:rsid w:val="69F61ED3"/>
    <w:rsid w:val="6A3368E3"/>
    <w:rsid w:val="6A5720C7"/>
    <w:rsid w:val="6AB618E6"/>
    <w:rsid w:val="6ACD27B5"/>
    <w:rsid w:val="6AD32955"/>
    <w:rsid w:val="6AD95A7D"/>
    <w:rsid w:val="6B234783"/>
    <w:rsid w:val="6B4B5C9F"/>
    <w:rsid w:val="6B567BB2"/>
    <w:rsid w:val="6B6A4927"/>
    <w:rsid w:val="6B903DD1"/>
    <w:rsid w:val="6C033CC0"/>
    <w:rsid w:val="6C164AAF"/>
    <w:rsid w:val="6C37029F"/>
    <w:rsid w:val="6D19440C"/>
    <w:rsid w:val="6D76773C"/>
    <w:rsid w:val="6DD41699"/>
    <w:rsid w:val="6DD9555F"/>
    <w:rsid w:val="6E0D6F64"/>
    <w:rsid w:val="6E5213BC"/>
    <w:rsid w:val="6EA21229"/>
    <w:rsid w:val="6EAC6506"/>
    <w:rsid w:val="6F3E69A6"/>
    <w:rsid w:val="6FA714FE"/>
    <w:rsid w:val="6FBE7937"/>
    <w:rsid w:val="70521241"/>
    <w:rsid w:val="70CD6084"/>
    <w:rsid w:val="70F80C27"/>
    <w:rsid w:val="71813C76"/>
    <w:rsid w:val="71972D4F"/>
    <w:rsid w:val="71A94D21"/>
    <w:rsid w:val="71BA358E"/>
    <w:rsid w:val="721B429A"/>
    <w:rsid w:val="72660DD9"/>
    <w:rsid w:val="72663EBE"/>
    <w:rsid w:val="72AA5A12"/>
    <w:rsid w:val="72B03567"/>
    <w:rsid w:val="72B82F69"/>
    <w:rsid w:val="73275B21"/>
    <w:rsid w:val="733263F8"/>
    <w:rsid w:val="739C30EA"/>
    <w:rsid w:val="73B54BAD"/>
    <w:rsid w:val="73F732D0"/>
    <w:rsid w:val="74AE401E"/>
    <w:rsid w:val="74C444B5"/>
    <w:rsid w:val="750140D3"/>
    <w:rsid w:val="759F641A"/>
    <w:rsid w:val="75AC651C"/>
    <w:rsid w:val="75EC0CE0"/>
    <w:rsid w:val="7706409E"/>
    <w:rsid w:val="77652872"/>
    <w:rsid w:val="779161B1"/>
    <w:rsid w:val="7798425C"/>
    <w:rsid w:val="77F2017E"/>
    <w:rsid w:val="78112CFA"/>
    <w:rsid w:val="787B31CC"/>
    <w:rsid w:val="78DD0E2E"/>
    <w:rsid w:val="78E9053D"/>
    <w:rsid w:val="78FE478C"/>
    <w:rsid w:val="791A3E30"/>
    <w:rsid w:val="79270567"/>
    <w:rsid w:val="797A03D1"/>
    <w:rsid w:val="79E34F13"/>
    <w:rsid w:val="79E6745F"/>
    <w:rsid w:val="7A122D59"/>
    <w:rsid w:val="7A7632E8"/>
    <w:rsid w:val="7A873A9C"/>
    <w:rsid w:val="7A963CE2"/>
    <w:rsid w:val="7AAA4397"/>
    <w:rsid w:val="7AC758D4"/>
    <w:rsid w:val="7AD86FC8"/>
    <w:rsid w:val="7AFB3756"/>
    <w:rsid w:val="7BEE0DD6"/>
    <w:rsid w:val="7BF63B54"/>
    <w:rsid w:val="7C5E2286"/>
    <w:rsid w:val="7C5E7BE0"/>
    <w:rsid w:val="7CD76423"/>
    <w:rsid w:val="7D29549A"/>
    <w:rsid w:val="7D6F57C3"/>
    <w:rsid w:val="7DD1182F"/>
    <w:rsid w:val="7DEC0816"/>
    <w:rsid w:val="7E542C8C"/>
    <w:rsid w:val="7E746F23"/>
    <w:rsid w:val="7E896A68"/>
    <w:rsid w:val="7F020E80"/>
    <w:rsid w:val="7F1F3911"/>
    <w:rsid w:val="7F543B30"/>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60" w:line="240" w:lineRule="auto"/>
      <w:jc w:val="left"/>
      <w:outlineLvl w:val="0"/>
    </w:pPr>
    <w:rPr>
      <w:rFonts w:ascii="Times New Roman" w:hAnsi="Times New Roman" w:eastAsia="黑体"/>
      <w:bCs/>
      <w:kern w:val="44"/>
      <w:sz w:val="30"/>
      <w:szCs w:val="44"/>
    </w:rPr>
  </w:style>
  <w:style w:type="paragraph" w:styleId="3">
    <w:name w:val="heading 2"/>
    <w:basedOn w:val="1"/>
    <w:next w:val="1"/>
    <w:semiHidden/>
    <w:unhideWhenUsed/>
    <w:qFormat/>
    <w:uiPriority w:val="0"/>
    <w:pPr>
      <w:keepNext/>
      <w:keepLines/>
      <w:spacing w:before="240" w:after="60" w:line="240" w:lineRule="auto"/>
      <w:jc w:val="left"/>
      <w:outlineLvl w:val="1"/>
    </w:pPr>
    <w:rPr>
      <w:rFonts w:ascii="Times New Roman" w:hAnsi="Times New Roman" w:eastAsia="黑体"/>
      <w:bCs/>
      <w:kern w:val="0"/>
      <w:sz w:val="28"/>
      <w:szCs w:val="32"/>
    </w:rPr>
  </w:style>
  <w:style w:type="paragraph" w:styleId="4">
    <w:name w:val="heading 3"/>
    <w:basedOn w:val="1"/>
    <w:next w:val="1"/>
    <w:semiHidden/>
    <w:unhideWhenUsed/>
    <w:qFormat/>
    <w:uiPriority w:val="0"/>
    <w:pPr>
      <w:keepNext/>
      <w:keepLines/>
      <w:spacing w:before="240" w:after="60" w:line="240" w:lineRule="auto"/>
      <w:outlineLvl w:val="2"/>
    </w:pPr>
    <w:rPr>
      <w:rFonts w:ascii="Times New Roman" w:hAnsi="Times New Roman" w:eastAsia="黑体"/>
      <w:bCs/>
      <w:kern w:val="0"/>
      <w:sz w:val="24"/>
      <w:szCs w:val="32"/>
    </w:rPr>
  </w:style>
  <w:style w:type="paragraph" w:styleId="5">
    <w:name w:val="heading 4"/>
    <w:basedOn w:val="1"/>
    <w:next w:val="1"/>
    <w:qFormat/>
    <w:uiPriority w:val="0"/>
    <w:pPr>
      <w:keepNext/>
      <w:keepLines/>
      <w:numPr>
        <w:ilvl w:val="3"/>
        <w:numId w:val="1"/>
      </w:numPr>
      <w:adjustRightInd w:val="0"/>
      <w:snapToGrid w:val="0"/>
      <w:spacing w:line="360" w:lineRule="auto"/>
      <w:outlineLvl w:val="3"/>
    </w:pPr>
    <w:rPr>
      <w:b/>
      <w:sz w:val="24"/>
    </w:rPr>
  </w:style>
  <w:style w:type="character" w:default="1" w:styleId="27">
    <w:name w:val="Default Paragraph Font"/>
    <w:semiHidden/>
    <w:qFormat/>
    <w:uiPriority w:val="0"/>
    <w:rPr>
      <w:rFonts w:ascii="Times New Roman" w:hAnsi="Times New Roman" w:eastAsia="宋体"/>
      <w:sz w:val="21"/>
    </w:rPr>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7">
    <w:name w:val="Body Text First Indent 2"/>
    <w:basedOn w:val="8"/>
    <w:next w:val="1"/>
    <w:qFormat/>
    <w:uiPriority w:val="99"/>
    <w:pPr>
      <w:widowControl w:val="0"/>
      <w:spacing w:after="120" w:line="240" w:lineRule="auto"/>
      <w:ind w:left="420" w:leftChars="200" w:firstLine="420"/>
      <w:jc w:val="both"/>
    </w:pPr>
    <w:rPr>
      <w:rFonts w:ascii="Times New Roman" w:hAnsi="Times New Roman" w:eastAsia="宋体" w:cs="Times New Roman"/>
      <w:kern w:val="2"/>
      <w:sz w:val="21"/>
      <w:szCs w:val="24"/>
      <w:lang w:val="en-US" w:eastAsia="zh-CN" w:bidi="ar-SA"/>
    </w:rPr>
  </w:style>
  <w:style w:type="paragraph" w:styleId="8">
    <w:name w:val="Body Text Indent"/>
    <w:basedOn w:val="1"/>
    <w:next w:val="7"/>
    <w:semiHidden/>
    <w:qFormat/>
    <w:uiPriority w:val="0"/>
    <w:pPr>
      <w:spacing w:after="120"/>
      <w:ind w:left="420" w:leftChars="200"/>
    </w:pPr>
  </w:style>
  <w:style w:type="paragraph" w:styleId="9">
    <w:name w:val="annotation text"/>
    <w:basedOn w:val="1"/>
    <w:semiHidden/>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0"/>
      <w:sz w:val="20"/>
      <w:szCs w:val="20"/>
      <w:lang w:val="en-US" w:eastAsia="zh-CN" w:bidi="ar"/>
    </w:rPr>
  </w:style>
  <w:style w:type="paragraph" w:styleId="10">
    <w:name w:val="Body Text"/>
    <w:basedOn w:val="1"/>
    <w:next w:val="1"/>
    <w:qFormat/>
    <w:uiPriority w:val="0"/>
    <w:pPr>
      <w:widowControl/>
      <w:snapToGrid w:val="0"/>
      <w:spacing w:before="60" w:after="160" w:line="259" w:lineRule="auto"/>
      <w:ind w:right="113"/>
      <w:jc w:val="both"/>
    </w:pPr>
    <w:rPr>
      <w:rFonts w:ascii="Times New Roman" w:hAnsi="Times New Roman" w:eastAsia="宋体" w:cs="Times New Roman"/>
      <w:kern w:val="0"/>
      <w:sz w:val="18"/>
      <w:szCs w:val="18"/>
      <w:lang w:val="en-US" w:eastAsia="zh-CN" w:bidi="ar-SA"/>
    </w:rPr>
  </w:style>
  <w:style w:type="paragraph" w:styleId="11">
    <w:name w:val="Plain Text"/>
    <w:basedOn w:val="1"/>
    <w:next w:val="12"/>
    <w:qFormat/>
    <w:uiPriority w:val="0"/>
    <w:rPr>
      <w:rFonts w:ascii="宋体" w:hAnsi="Courier New"/>
    </w:rPr>
  </w:style>
  <w:style w:type="paragraph" w:styleId="12">
    <w:name w:val="toc 1"/>
    <w:basedOn w:val="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3">
    <w:name w:val="footer"/>
    <w:basedOn w:val="1"/>
    <w:next w:val="1"/>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4">
    <w:name w:val="header"/>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5">
    <w:name w:val="toc 4"/>
    <w:basedOn w:val="1"/>
    <w:next w:val="1"/>
    <w:qFormat/>
    <w:uiPriority w:val="39"/>
    <w:pPr>
      <w:ind w:left="630"/>
      <w:jc w:val="left"/>
    </w:pPr>
    <w:rPr>
      <w:rFonts w:ascii="Calibri" w:hAnsi="Calibri" w:cs="Calibri"/>
      <w:sz w:val="18"/>
      <w:szCs w:val="18"/>
    </w:rPr>
  </w:style>
  <w:style w:type="paragraph" w:styleId="16">
    <w:name w:val="index heading"/>
    <w:basedOn w:val="1"/>
    <w:next w:val="17"/>
    <w:qFormat/>
    <w:uiPriority w:val="99"/>
    <w:rPr>
      <w:rFonts w:ascii="Arial" w:hAnsi="Arial"/>
      <w:b/>
    </w:rPr>
  </w:style>
  <w:style w:type="paragraph" w:styleId="17">
    <w:name w:val="index 1"/>
    <w:basedOn w:val="1"/>
    <w:next w:val="1"/>
    <w:qFormat/>
    <w:uiPriority w:val="0"/>
  </w:style>
  <w:style w:type="paragraph" w:styleId="18">
    <w:name w:val="List"/>
    <w:basedOn w:val="1"/>
    <w:qFormat/>
    <w:uiPriority w:val="99"/>
    <w:pPr>
      <w:ind w:left="200" w:hanging="200" w:hangingChars="200"/>
    </w:pPr>
  </w:style>
  <w:style w:type="paragraph" w:styleId="19">
    <w:name w:val="Body Text Indent 3"/>
    <w:basedOn w:val="1"/>
    <w:qFormat/>
    <w:uiPriority w:val="0"/>
    <w:pPr>
      <w:spacing w:after="120"/>
      <w:ind w:left="420" w:leftChars="200"/>
    </w:pPr>
    <w:rPr>
      <w:sz w:val="16"/>
      <w:szCs w:val="16"/>
    </w:rPr>
  </w:style>
  <w:style w:type="paragraph" w:styleId="20">
    <w:name w:val="toc 2"/>
    <w:next w:val="1"/>
    <w:unhideWhenUsed/>
    <w:qFormat/>
    <w:uiPriority w:val="39"/>
    <w:pPr>
      <w:widowControl w:val="0"/>
      <w:spacing w:line="360" w:lineRule="auto"/>
      <w:ind w:left="200" w:leftChars="200"/>
      <w:jc w:val="both"/>
    </w:pPr>
    <w:rPr>
      <w:rFonts w:ascii="Times New Roman" w:hAnsi="Times New Roman" w:eastAsia="宋体" w:cs="Times New Roman"/>
      <w:spacing w:val="10"/>
      <w:kern w:val="2"/>
      <w:sz w:val="24"/>
      <w:szCs w:val="24"/>
      <w:lang w:val="en-US" w:eastAsia="zh-CN" w:bidi="ar-SA"/>
    </w:rPr>
  </w:style>
  <w:style w:type="paragraph" w:styleId="21">
    <w:name w:val="Body Text 2"/>
    <w:basedOn w:val="1"/>
    <w:qFormat/>
    <w:uiPriority w:val="0"/>
    <w:pPr>
      <w:widowControl w:val="0"/>
      <w:spacing w:after="120" w:line="480" w:lineRule="auto"/>
      <w:jc w:val="both"/>
    </w:pPr>
    <w:rPr>
      <w:rFonts w:ascii="Times New Roman" w:hAnsi="Times New Roman" w:eastAsia="宋体" w:cs="Times New Roman"/>
      <w:kern w:val="2"/>
      <w:sz w:val="21"/>
      <w:szCs w:val="24"/>
      <w:lang w:val="en-US" w:eastAsia="zh-CN" w:bidi="ar-SA"/>
    </w:rPr>
  </w:style>
  <w:style w:type="paragraph" w:styleId="22">
    <w:name w:val="Normal (Web)"/>
    <w:basedOn w:val="1"/>
    <w:qFormat/>
    <w:uiPriority w:val="99"/>
    <w:pPr>
      <w:widowControl/>
      <w:spacing w:before="100" w:beforeAutospacing="1" w:after="100" w:afterAutospacing="1"/>
      <w:jc w:val="left"/>
    </w:pPr>
    <w:rPr>
      <w:rFonts w:ascii="宋体" w:hAnsi="宋体" w:eastAsia="宋体" w:cs="Times New Roman"/>
      <w:kern w:val="0"/>
      <w:sz w:val="24"/>
      <w:szCs w:val="24"/>
      <w:lang w:val="en-US" w:eastAsia="zh-CN" w:bidi="ar-SA"/>
    </w:rPr>
  </w:style>
  <w:style w:type="paragraph" w:styleId="23">
    <w:name w:val="Title"/>
    <w:basedOn w:val="1"/>
    <w:next w:val="1"/>
    <w:qFormat/>
    <w:uiPriority w:val="10"/>
    <w:pPr>
      <w:adjustRightInd w:val="0"/>
      <w:snapToGrid w:val="0"/>
      <w:jc w:val="center"/>
      <w:outlineLvl w:val="0"/>
    </w:pPr>
    <w:rPr>
      <w:rFonts w:cs="Times New Roman"/>
      <w:b/>
      <w:bCs/>
      <w:sz w:val="24"/>
      <w:szCs w:val="32"/>
    </w:rPr>
  </w:style>
  <w:style w:type="paragraph" w:styleId="24">
    <w:name w:val="Body Text First Indent"/>
    <w:basedOn w:val="10"/>
    <w:qFormat/>
    <w:uiPriority w:val="99"/>
    <w:pPr>
      <w:ind w:firstLine="420" w:firstLineChars="100"/>
    </w:pPr>
    <w:rPr>
      <w:kern w:val="0"/>
      <w:sz w:val="20"/>
      <w:szCs w:val="20"/>
    </w:rPr>
  </w:style>
  <w:style w:type="table" w:styleId="26">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Hyperlink"/>
    <w:qFormat/>
    <w:uiPriority w:val="99"/>
    <w:rPr>
      <w:color w:val="000000"/>
      <w:u w:val="none"/>
    </w:rPr>
  </w:style>
  <w:style w:type="character" w:styleId="31">
    <w:name w:val="annotation reference"/>
    <w:semiHidden/>
    <w:qFormat/>
    <w:uiPriority w:val="0"/>
    <w:rPr>
      <w:sz w:val="21"/>
    </w:rPr>
  </w:style>
  <w:style w:type="paragraph" w:customStyle="1" w:styleId="32">
    <w:name w:val="三级标题"/>
    <w:basedOn w:val="1"/>
    <w:qFormat/>
    <w:uiPriority w:val="0"/>
    <w:pPr>
      <w:spacing w:before="240" w:after="60" w:line="240" w:lineRule="auto"/>
      <w:outlineLvl w:val="2"/>
    </w:pPr>
    <w:rPr>
      <w:rFonts w:ascii="Times New Roman" w:hAnsi="Times New Roman" w:eastAsia="黑体"/>
      <w:sz w:val="24"/>
      <w:szCs w:val="28"/>
    </w:rPr>
  </w:style>
  <w:style w:type="paragraph" w:customStyle="1" w:styleId="33">
    <w:name w:val="样式 正文缩进正文缩进2正文缩进 Char Char正文缩进 Char Char Char Char正文缩进 Char ..."/>
    <w:basedOn w:val="6"/>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customStyle="1" w:styleId="34">
    <w:name w:val="Default"/>
    <w:basedOn w:val="35"/>
    <w:next w:val="36"/>
    <w:qFormat/>
    <w:uiPriority w:val="0"/>
    <w:pPr>
      <w:widowControl w:val="0"/>
      <w:tabs>
        <w:tab w:val="left" w:pos="0"/>
      </w:tabs>
      <w:autoSpaceDE w:val="0"/>
      <w:autoSpaceDN w:val="0"/>
      <w:adjustRightInd w:val="0"/>
      <w:jc w:val="both"/>
    </w:pPr>
    <w:rPr>
      <w:rFonts w:ascii="Times New Roman" w:hAnsi="Times New Roman" w:eastAsia="宋体" w:cs="Times New Roman"/>
      <w:color w:val="000000"/>
      <w:kern w:val="2"/>
      <w:sz w:val="24"/>
      <w:szCs w:val="24"/>
      <w:lang w:val="en-US" w:eastAsia="zh-CN" w:bidi="ar-SA"/>
    </w:rPr>
  </w:style>
  <w:style w:type="paragraph" w:customStyle="1" w:styleId="35">
    <w:name w:val="纯文本1"/>
    <w:basedOn w:val="1"/>
    <w:qFormat/>
    <w:uiPriority w:val="0"/>
    <w:rPr>
      <w:rFonts w:ascii="宋体" w:hAnsi="Courier New" w:eastAsia="Times New Roman"/>
      <w:szCs w:val="21"/>
    </w:rPr>
  </w:style>
  <w:style w:type="paragraph" w:customStyle="1" w:styleId="36">
    <w:name w:val="样式35"/>
    <w:basedOn w:val="1"/>
    <w:next w:val="1"/>
    <w:qFormat/>
    <w:uiPriority w:val="0"/>
    <w:pPr>
      <w:spacing w:line="312" w:lineRule="auto"/>
      <w:ind w:firstLine="567"/>
    </w:pPr>
    <w:rPr>
      <w:rFonts w:ascii="宋体"/>
      <w:sz w:val="28"/>
      <w:szCs w:val="20"/>
    </w:rPr>
  </w:style>
  <w:style w:type="paragraph" w:customStyle="1" w:styleId="37">
    <w:name w:val="正文."/>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表头"/>
    <w:basedOn w:val="18"/>
    <w:next w:val="1"/>
    <w:qFormat/>
    <w:uiPriority w:val="0"/>
    <w:pPr>
      <w:adjustRightInd w:val="0"/>
      <w:snapToGrid w:val="0"/>
      <w:spacing w:beforeLines="25"/>
      <w:jc w:val="center"/>
      <w:textAlignment w:val="baseline"/>
    </w:pPr>
    <w:rPr>
      <w:rFonts w:hAnsi="宋体" w:eastAsia="仿宋_GB2312"/>
      <w:b/>
      <w:kern w:val="0"/>
      <w:sz w:val="28"/>
      <w:szCs w:val="28"/>
    </w:rPr>
  </w:style>
  <w:style w:type="paragraph" w:customStyle="1" w:styleId="39">
    <w:name w:val="表格"/>
    <w:basedOn w:val="40"/>
    <w:next w:val="1"/>
    <w:qFormat/>
    <w:uiPriority w:val="0"/>
    <w:pPr>
      <w:widowControl w:val="0"/>
      <w:adjustRightInd w:val="0"/>
      <w:snapToGrid w:val="0"/>
      <w:spacing w:beforeLines="10" w:afterLines="10" w:line="259" w:lineRule="auto"/>
      <w:ind w:firstLine="420"/>
      <w:jc w:val="center"/>
    </w:pPr>
    <w:rPr>
      <w:rFonts w:ascii="宋体" w:hAnsi="Times New Roman" w:eastAsia="宋体" w:cs="Times New Roman"/>
      <w:kern w:val="0"/>
      <w:sz w:val="20"/>
      <w:szCs w:val="21"/>
      <w:lang w:val="en-US" w:eastAsia="zh-CN" w:bidi="ar-SA"/>
    </w:rPr>
  </w:style>
  <w:style w:type="paragraph" w:customStyle="1" w:styleId="40">
    <w:name w:val="Normal Indent1"/>
    <w:basedOn w:val="1"/>
    <w:qFormat/>
    <w:uiPriority w:val="0"/>
    <w:pPr>
      <w:spacing w:line="600" w:lineRule="exact"/>
      <w:ind w:firstLine="420"/>
    </w:pPr>
    <w:rPr>
      <w:rFonts w:ascii="宋体"/>
      <w:sz w:val="32"/>
      <w:szCs w:val="20"/>
    </w:rPr>
  </w:style>
  <w:style w:type="paragraph" w:customStyle="1" w:styleId="41">
    <w:name w:val="正文（缩进）"/>
    <w:next w:val="1"/>
    <w:qFormat/>
    <w:uiPriority w:val="99"/>
    <w:pPr>
      <w:widowControl w:val="0"/>
      <w:spacing w:line="360" w:lineRule="auto"/>
      <w:ind w:firstLine="480" w:firstLineChars="200"/>
      <w:jc w:val="both"/>
    </w:pPr>
    <w:rPr>
      <w:rFonts w:ascii="宋体" w:hAnsi="宋体" w:eastAsia="宋体" w:cs="Times New Roman"/>
      <w:snapToGrid w:val="0"/>
      <w:color w:val="000000"/>
      <w:kern w:val="0"/>
      <w:sz w:val="24"/>
      <w:szCs w:val="20"/>
      <w:lang w:val="en-US" w:eastAsia="zh-CN" w:bidi="ar-SA"/>
    </w:rPr>
  </w:style>
  <w:style w:type="paragraph" w:customStyle="1" w:styleId="42">
    <w:name w:val="[1]正文"/>
    <w:qFormat/>
    <w:uiPriority w:val="0"/>
    <w:pPr>
      <w:widowControl w:val="0"/>
      <w:autoSpaceDE w:val="0"/>
      <w:autoSpaceDN w:val="0"/>
      <w:ind w:left="0" w:leftChars="0" w:firstLine="200" w:firstLineChars="200"/>
      <w:jc w:val="both"/>
    </w:pPr>
    <w:rPr>
      <w:rFonts w:ascii="Times New Roman" w:hAnsi="Times New Roman" w:eastAsia="宋体" w:cs="Times New Roman"/>
      <w:color w:val="000000"/>
      <w:kern w:val="0"/>
      <w:sz w:val="21"/>
      <w:szCs w:val="24"/>
      <w:lang w:val="zh-CN" w:eastAsia="zh-CN" w:bidi="ar-SA"/>
    </w:rPr>
  </w:style>
  <w:style w:type="paragraph" w:customStyle="1" w:styleId="43">
    <w:name w:val="表内文字"/>
    <w:qFormat/>
    <w:uiPriority w:val="0"/>
    <w:pPr>
      <w:widowControl w:val="0"/>
      <w:ind w:left="-105" w:leftChars="-50" w:right="-105" w:rightChars="-50"/>
      <w:jc w:val="center"/>
    </w:pPr>
    <w:rPr>
      <w:rFonts w:ascii="宋体" w:hAnsi="宋体" w:eastAsia="宋体" w:cs="Times New Roman"/>
      <w:kern w:val="2"/>
      <w:sz w:val="18"/>
      <w:szCs w:val="18"/>
      <w:lang w:val="en-US" w:eastAsia="zh-CN" w:bidi="ar-SA"/>
    </w:rPr>
  </w:style>
  <w:style w:type="paragraph" w:customStyle="1" w:styleId="44">
    <w:name w:val="表格名称"/>
    <w:qFormat/>
    <w:uiPriority w:val="0"/>
    <w:pPr>
      <w:widowControl w:val="0"/>
      <w:spacing w:line="360" w:lineRule="auto"/>
      <w:jc w:val="center"/>
    </w:pPr>
    <w:rPr>
      <w:rFonts w:ascii="宋体" w:hAnsi="宋体" w:eastAsia="宋体" w:cs="Times New Roman"/>
      <w:b/>
      <w:kern w:val="2"/>
      <w:sz w:val="24"/>
      <w:szCs w:val="24"/>
      <w:lang w:val="en-US" w:eastAsia="zh-CN" w:bidi="ar-SA"/>
    </w:rPr>
  </w:style>
  <w:style w:type="paragraph" w:customStyle="1" w:styleId="45">
    <w:name w:val="Table Paragraph"/>
    <w:qFormat/>
    <w:uiPriority w:val="1"/>
    <w:pPr>
      <w:widowControl w:val="0"/>
      <w:jc w:val="both"/>
    </w:pPr>
    <w:rPr>
      <w:rFonts w:ascii="Times New Roman" w:hAnsi="Times New Roman" w:eastAsia="Times New Roman" w:cs="Times New Roman"/>
      <w:kern w:val="2"/>
      <w:sz w:val="21"/>
      <w:szCs w:val="24"/>
      <w:lang w:val="zh-CN" w:eastAsia="zh-CN" w:bidi="zh-CN"/>
    </w:rPr>
  </w:style>
  <w:style w:type="paragraph" w:customStyle="1" w:styleId="46">
    <w:name w:val="正文（首行缩进两字）"/>
    <w:qFormat/>
    <w:uiPriority w:val="0"/>
    <w:pPr>
      <w:widowControl w:val="0"/>
      <w:spacing w:line="360" w:lineRule="auto"/>
      <w:ind w:firstLine="420"/>
      <w:jc w:val="both"/>
    </w:pPr>
    <w:rPr>
      <w:rFonts w:ascii="Times New Roman" w:hAnsi="Times New Roman" w:eastAsia="宋体" w:cs="Times New Roman"/>
      <w:kern w:val="2"/>
      <w:sz w:val="28"/>
      <w:szCs w:val="21"/>
      <w:lang w:val="en-US" w:eastAsia="zh-CN" w:bidi="ar-SA"/>
    </w:rPr>
  </w:style>
  <w:style w:type="paragraph" w:customStyle="1" w:styleId="47">
    <w:name w:val="正文3"/>
    <w:next w:val="1"/>
    <w:qFormat/>
    <w:uiPriority w:val="0"/>
    <w:pPr>
      <w:widowControl w:val="0"/>
      <w:adjustRightInd w:val="0"/>
      <w:snapToGrid w:val="0"/>
      <w:spacing w:line="360" w:lineRule="auto"/>
      <w:ind w:firstLine="480" w:firstLineChars="200"/>
      <w:jc w:val="both"/>
    </w:pPr>
    <w:rPr>
      <w:rFonts w:ascii="宋体" w:hAnsi="宋体" w:eastAsia="宋体" w:cs="Times New Roman"/>
      <w:kern w:val="0"/>
      <w:sz w:val="24"/>
      <w:szCs w:val="24"/>
      <w:lang w:val="en-US" w:eastAsia="zh-CN" w:bidi="ar-SA"/>
    </w:rPr>
  </w:style>
  <w:style w:type="paragraph" w:customStyle="1" w:styleId="48">
    <w:name w:val="表格1"/>
    <w:qFormat/>
    <w:uiPriority w:val="0"/>
    <w:pPr>
      <w:widowControl w:val="0"/>
      <w:adjustRightInd w:val="0"/>
      <w:snapToGrid w:val="0"/>
      <w:jc w:val="center"/>
      <w:textAlignment w:val="baseline"/>
    </w:pPr>
    <w:rPr>
      <w:rFonts w:ascii="Times New Roman" w:hAnsi="Times New Roman" w:eastAsia="宋体" w:cs="Times New Roman"/>
      <w:kern w:val="0"/>
      <w:sz w:val="21"/>
      <w:szCs w:val="21"/>
      <w:lang w:val="en-US" w:eastAsia="zh-CN" w:bidi="ar-SA"/>
    </w:rPr>
  </w:style>
  <w:style w:type="paragraph" w:customStyle="1" w:styleId="49">
    <w:name w:val="表格内容"/>
    <w:qFormat/>
    <w:uiPriority w:val="0"/>
    <w:pPr>
      <w:widowControl/>
      <w:spacing w:line="240" w:lineRule="auto"/>
      <w:ind w:firstLine="0" w:firstLineChars="0"/>
      <w:jc w:val="center"/>
    </w:pPr>
    <w:rPr>
      <w:rFonts w:hint="eastAsia" w:ascii="Times New Roman" w:hAnsi="Times New Roman" w:eastAsia="宋体" w:cs="Times New Roman"/>
      <w:color w:val="000000"/>
      <w:kern w:val="0"/>
      <w:sz w:val="21"/>
      <w:szCs w:val="21"/>
      <w:lang w:val="en-US" w:eastAsia="zh-CN" w:bidi="ar"/>
    </w:rPr>
  </w:style>
  <w:style w:type="paragraph" w:customStyle="1" w:styleId="50">
    <w:name w:val="环评正文"/>
    <w:next w:val="1"/>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1">
    <w:name w:val="报告表格"/>
    <w:qFormat/>
    <w:uiPriority w:val="0"/>
    <w:pPr>
      <w:widowControl w:val="0"/>
      <w:autoSpaceDE w:val="0"/>
      <w:autoSpaceDN w:val="0"/>
      <w:adjustRightInd w:val="0"/>
      <w:spacing w:line="240" w:lineRule="auto"/>
      <w:ind w:firstLine="0" w:firstLineChars="0"/>
      <w:jc w:val="center"/>
      <w:textAlignment w:val="baseline"/>
    </w:pPr>
    <w:rPr>
      <w:rFonts w:ascii="Times New Roman" w:hAnsi="Times New Roman" w:eastAsia="宋体" w:cs="Times New Roman"/>
      <w:kern w:val="0"/>
      <w:sz w:val="21"/>
      <w:szCs w:val="20"/>
      <w:lang w:val="en-US" w:eastAsia="zh-CN" w:bidi="ar-SA"/>
    </w:rPr>
  </w:style>
  <w:style w:type="paragraph" w:customStyle="1" w:styleId="52">
    <w:name w:val="其他"/>
    <w:link w:val="53"/>
    <w:unhideWhenUsed/>
    <w:qFormat/>
    <w:uiPriority w:val="99"/>
    <w:pPr>
      <w:widowControl w:val="0"/>
      <w:shd w:val="clear" w:color="auto" w:fill="FFFFFF"/>
      <w:spacing w:line="437" w:lineRule="auto"/>
      <w:ind w:firstLine="400"/>
      <w:jc w:val="both"/>
    </w:pPr>
    <w:rPr>
      <w:rFonts w:hint="eastAsia" w:ascii="黑体" w:hAnsi="Times New Roman" w:eastAsia="黑体" w:cs="Times New Roman"/>
      <w:kern w:val="2"/>
      <w:sz w:val="22"/>
      <w:szCs w:val="24"/>
      <w:lang w:val="zh-CN" w:eastAsia="zh-CN" w:bidi="ar-SA"/>
    </w:rPr>
  </w:style>
  <w:style w:type="character" w:customStyle="1" w:styleId="53">
    <w:name w:val="其他_"/>
    <w:link w:val="52"/>
    <w:unhideWhenUsed/>
    <w:qFormat/>
    <w:locked/>
    <w:uiPriority w:val="99"/>
    <w:rPr>
      <w:rFonts w:hint="eastAsia" w:ascii="黑体" w:hAnsi="Times New Roman" w:eastAsia="黑体" w:cs="Times New Roman"/>
      <w:kern w:val="2"/>
      <w:sz w:val="22"/>
      <w:szCs w:val="24"/>
      <w:lang w:val="zh-CN" w:eastAsia="zh-CN" w:bidi="ar-SA"/>
    </w:rPr>
  </w:style>
  <w:style w:type="paragraph" w:customStyle="1" w:styleId="54">
    <w:name w:val="正文12"/>
    <w:basedOn w:val="55"/>
    <w:qFormat/>
    <w:uiPriority w:val="0"/>
    <w:pPr>
      <w:adjustRightInd w:val="0"/>
      <w:snapToGrid w:val="0"/>
      <w:spacing w:line="360" w:lineRule="auto"/>
      <w:ind w:firstLine="200" w:firstLineChars="200"/>
      <w:jc w:val="left"/>
    </w:pPr>
    <w:rPr>
      <w:kern w:val="0"/>
      <w:szCs w:val="21"/>
    </w:rPr>
  </w:style>
  <w:style w:type="paragraph" w:customStyle="1" w:styleId="55">
    <w:name w:val="1-1文"/>
    <w:basedOn w:val="56"/>
    <w:qFormat/>
    <w:uiPriority w:val="0"/>
    <w:pPr>
      <w:ind w:firstLine="480"/>
    </w:pPr>
    <w:rPr>
      <w:color w:val="000000"/>
      <w:sz w:val="24"/>
      <w:szCs w:val="24"/>
    </w:rPr>
  </w:style>
  <w:style w:type="paragraph" w:customStyle="1" w:styleId="56">
    <w:name w:val="1-1正文"/>
    <w:basedOn w:val="57"/>
    <w:qFormat/>
    <w:uiPriority w:val="0"/>
    <w:pPr>
      <w:ind w:firstLine="420"/>
    </w:pPr>
    <w:rPr>
      <w:sz w:val="21"/>
      <w:szCs w:val="21"/>
    </w:rPr>
  </w:style>
  <w:style w:type="paragraph" w:customStyle="1" w:styleId="57">
    <w:name w:val="1-正文"/>
    <w:basedOn w:val="1"/>
    <w:qFormat/>
    <w:uiPriority w:val="0"/>
    <w:pPr>
      <w:spacing w:line="360" w:lineRule="auto"/>
      <w:ind w:firstLine="480" w:firstLineChars="200"/>
    </w:pPr>
    <w:rPr>
      <w:rFonts w:ascii="宋体" w:hAnsi="宋体"/>
      <w:sz w:val="24"/>
      <w:szCs w:val="24"/>
    </w:rPr>
  </w:style>
  <w:style w:type="paragraph" w:customStyle="1" w:styleId="58">
    <w:name w:val="正文120"/>
    <w:basedOn w:val="1"/>
    <w:qFormat/>
    <w:uiPriority w:val="0"/>
    <w:pPr>
      <w:spacing w:line="360" w:lineRule="auto"/>
      <w:ind w:firstLine="720" w:firstLineChars="200"/>
    </w:pPr>
    <w:rPr>
      <w:rFonts w:ascii="Times New Roman" w:hAnsi="Times New Roman" w:eastAsia="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7.wmf"/><Relationship Id="rId31" Type="http://schemas.openxmlformats.org/officeDocument/2006/relationships/oleObject" Target="embeddings/oleObject4.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15.wmf"/><Relationship Id="rId27" Type="http://schemas.openxmlformats.org/officeDocument/2006/relationships/oleObject" Target="embeddings/oleObject2.bin"/><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YyMDg3NDE4NzM2IiwKCSJHcm91cElkIiA6ICIyNDIxNTk3MDI2IiwKCSJJbWFnZSIgOiAiaVZCT1J3MEtHZ29BQUFBTlNVaEVVZ0FBQlQ0QUFBTFpDQVlBQUFDZVNENFZBQUFBQVhOU1IwSUFyczRjNlFBQUlBQkpSRUZVZUp6czNYZDhWRlgrLy9GM2tra2xDbWpvTVlBUUthS1VnQXNXRUJWUWxMQzZJb2dDMGtGQml2U09yQlJOcUNJZ1FSZDBJeWhyZ1pXdmlJZ29DQ3B0S1FrWVNpZ0JBZ0VDWVZOSW1kOGYrZVZ1QWlremsweG1NcnllajhmMzhiMHo5NXg3UDluZGN6ajNNK2VlSXd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xPWG02QUFBQU5hclhxZlJQVjZlcGpxT2pnTmxWMXBhMm9seko2SlBPam9PWjBUN1FuSFJ2Z0Q3b1k5R2NkRkhGNHoyaGVKeXh2WkY0aE1BeXBnYWRSOE05RFM1ZlNJMzFYZDBMQ2pUVGluRnJXdHM3TDVZUndmaVRHclZhbEpMUHVhUGFWOG9KdG9YWUFlTWdWQkM2S1B6d1JnSUpjVHAycGZKMFFFQUFLempLUVhLVGZYZDVGYlYxOWRYSnBPSG8wTkNHWktaa2FtVTFGUmxtYzArOGxFdFNVNHpLSEVLUHFxVjA3NzhmSDNsUWZ1Q0ZXaGZnSDB4QmtKeDBFY1hnVEVRaXNHWjJ4ZUpUd0Fvby94OGZUVms4QUExZWJDUm8wTkJHUklWZlVTTGxueW94R3ZYSEIyS1UvUHo5ZFhJTjk5UXd3YjFIQjBLeWhEYUYxQTZHQVBCRnZUUmxtRU1CRnM0Yy9zaThRa0FaWlNIeVVNTjZnV3I1VVBOSFIwS3loaFBUMDlIaCtEMFBFd2VhdGlnSHUwTFZxTjlBZmJIR0FpMm9vOHVHbU1nMk1wWjI1ZTdvd01BQUFBQUFBQUFnSkpHNGhNQUFBQUFBQUNBeXlIeENRQUFBQUFBQU1EbGtQZ0VBQUFBQUFBQTRISklmQUlBQUFBQUFBQndPU1ErQVFBQUFBQUFBTGdjRXA4QUFBQUFBQUFBWEE2SlR3QUFBQUFBQUFBdWg4UW5BQUFBQUFBQUFKZEQ0aE1BQUFBQUFBQ0F5eUh4Q1FBQUFBQUFBTURsa1BnRUFBQUFBQUFBNEhKSWZBSUFBQUFBQUFCd09TUStBUUFBQUFBQUFMZ2NFcDhBQUFBQUFBQUFYQTZKVHdBQUFBQUFBQUF1aDhRbkFBQUFBQUFBQUpkRDRoTUFBQUFBQUFDQXl5SHhDUURBLzJjMm03Vmx5eGIxN05sVCsvYnRjM1E0QUFBQUFNbzRuakVjaThRbkFBRC8zODZkT3pWcTFDZ2RPblJJNGVIaE1wdk5qZzRKQUFBQVFCbkdNNFpqa2ZnRUFEaVZ6ei8vWENFaElRb0pDZEZ6enoybjVPVGtVcnQzcTFhdDFLUkpFMGxTVkZTVU5tN2NXR3IzQmdBQXNJZTB0RFJqYkhYZ3dBR3I2cTVkdTFZaElTRjY0WVVYN0JRZDRQcDR4bkFzRXA4QUFLY1JGUldsdVhQbkdwOHZYTGlnUTRjT2xXb01nd2NQTm80WEwxNnM5UFQwVXIwL1VGWXRYTGhRQ3hjdTFKa3paNnlxdDMvL2ZyMzIybXM2ZnZ5NG5TSURBQUMzZzNmZWVVZWpSNC9XanovK2VNdTVoUXNYRnBuRWI5T21qVUpDUWhRWkdWbmlzZkdNNFRnbVJ3Y0FBSUFrblQ5L1hpTkdqRkI2ZXJyS2x5K3Z1KysrVzhlUEg5ZllzV08xYXRVcUJRWUdsa29jelpzM1Y5T21UYlYzNzE2ZFBYdFdQL3p3ZzU1NTVwbFN1VGRnclpDUWtGSzkzNisvL2lwdmIrOTh6NjFjdVZLUzlQREREMXZjWHBPVGt6VjgrSEJkdlhwVkV5Wk0wQ2VmZkNKUFQ4OFNpeGNBSEducTFLbjY5Ny8vWFNyM2F0T21UWjRmajRIYnpYLy8rMTl0MkxCQnFhbXBTazVPMWhOUFBPSG9rUExnR2NOeFNId0NBQnp1OHVYTGV1T05ONVNRa0NBUER3L05tVE5IZ1lHQjZ0R2poNjVjdWFMaHc0ZHI1Y3FWS2xldVhLbkUwN2R2WDgyZVBWdERoZ3hSdTNidFN1V2V3TzNJejg5UG8wYU4wdVRKa3hVVEU2T0lpSWc4TXlJQUFQWVRHeHVydi8zdGJ4YVZQWG55WkpFL3RnVUhCMnYxNnRVbEVScGd0WTBiTnlvMU5WV1M5TkpMTHprNG12enhqT0VZSkQ0QkFBNTErZkpsRFJ3NFVMR3hzWktrMGFOSHEwV0xGcEtrdVhQbmF2RGd3VHB4NG9SR2poeXB1WFBuV3B6OFRFdEwwOE1QUDF5czJNYU5HNmR4NDhaWlhXL2p4bzBLQ0FnbzFyMEJTd3daTWlUZjcrUGo0L1hGRjE5SWtqcDA2S0RnNE9BaXI3Vml4UXFscEtRb09EaFlIVHAweUxlTXlWVHlROGVPSFR2cTIyKy8xYzZkTy9YMTExK3JkKy9lOHZIeEtmSDdBSUFqaFlXRjJlVzZreVpOTXBJOTFuSjNkNWUvdjMraFpkTFQwNVdXbGlZM043Y2l4MkNsOVFNMWtKK3Z2dnBLa2xTMWFsVTkrdWlqZHJzUHp4aGxENGxQQUlERG5ENTlXa09HRERIV0JIempqVGZVcFVzWDQveUREejZvc0xBd0RSOCtYTHQyN2RMQWdRTzFhTkVpVmF4WTBWRWhBMDZsZCsvZStYNS80TUFCSS9IWnBrMmJBaE9adVVWR1Jpb2xKVVcxYTljdThMcjI4dFpiYjJuUm9rV2FPSEVpU1U4QUxxbHQyN1oydVc1eGZwQUtDZ3JTMXExYkN5MnpkdTFhelpvMVMwRkJRZnJ5eXk5dHZoZGdUenQzN2xSVVZKU2s3Tm1lSGg0ZUNnc0wwMmVmZlhaTFdVdG1MNGVIaHlzOFBEelBkNUdSa2FwWHIxN0pCWTFTUStJVEFPQVFlL2JzMGVqUm81V1ltQ2hKR2pod29QcjA2WE5MdVZhdFd1bmRkOS9WMkxGakZSMGRyZDY5ZSt1RER6NVE5ZXJWQzcyK3lXVFMxS2xUQ3kyemVmTm1iZHUyVFpJMGJOZ3dWYWhRd2NhL0pxK2laazhBdDVNalI0Nm9lL2Z1RnBYOStlZWZDejNmcUZFall5MVJBQUFBS2Z1dEZTbDdEUDdpaXkvYTlWNDhZNVE5SkQ0QkFLWHVrMDgrMGFKRmk1U1ptU2xKR2pObWpMcDI3VnBnK1RadDJtalJva1VhT1hLa1RwOCtyVjY5ZW1uYXRHbDY1SkZIQ3F6ajRlR2gwTkRRUXVPSWlZa3hqanQyN01pckk0QVZldlhxcFlNSEQ5N3kvY0NCQTQzakFRTUc2UEhISHkvTnNBQUFWckxrQjZyQ1pzbTkvUExMR2pWcWxEMUNBNHEwZCs5ZTdkbXpSNUxVdFd0WFk4bUYvdjM3NS9uZjlULys4US85NjEvL1VvMGFOYlIwNmRKOHI5VzFhMWNsSnllclg3OSs2dHk1YzU1emxTcFZrc1F6UmxsRTRoTUFVR291WHJ5bzZkT25hOGVPSFpJa1gxOWZ2ZjMyMnhidHV0aWlSUXQ5K09HSGV1dXR0eFFmSDY4MzMzeFRMN3p3Z2thTUdDRS9QeitiNHNtOUpoYXYxd0wyRnhFUllWTjdYYmR1SFJ0bUFFQXBzR1JONkJ6bno1OVhVbEtTSGFNQkNtYzJtelYzN2x6amMrNUVaL255NVZXK2ZIbmpjODVzU1pQSlZPQ2JZKzd1N2tiZG90NHVLd3pQR002RnhDY0F3TzdNWnJQV3IxK3Z1WFBuR2dQa3dNQkFoWWVIcTI3ZHVoWmZwMEdEQnZyMDAwODFac3dZN2QyN1YxOSsrYVYrKyswM1RaNDgyZGdReVJvTVNnRGJ6Wmd4UXlrcEtjYm5uSWVOU1pNbXFXSERocEtrdSsrK1c1Y3VYVExLMUsxYlYzZmNjWWNrNmVEQmc3cjMzbnZ6VFlSR1IwZXJmdjM2Y25Oemt5Um1TZ0J3T1ZPblR0Vy8vLzF2cStxMGI5OWVzMmJOS3JKY1lidTF2L2JhYThheHY3Ly9MV3Q4V3ZNamt5MS9BMUNTMXExYlo2enRLYW5FWGlrdkxwNHhuQXVKVHdDQVhmMzU1NSthTTJlTzl1M2JaM3puN2UydE0yZk9GUHA2ZTFFQ0FnSjA1Y29WeGNYRmFkQ2dRWHJvb1ljMGFOQWdOVzdjMk9KcjVDUnRUQ2FUWFhhckJseFpVRkJRdnQvZmM4ODllUmIvejUzNHpKR3ozRVc5ZXZXMGFOR2lQQThxNjlhdDAvVHAwOVdxVlN0Tm16Wk5BUUVCY25kM2w3dTd1enc4UEVyK0R3RUFBR1hPOWV2WDlmNzc3enM2akh6eGpPRmMrRzhBQUdBWDU4K2YxNUlsUy9UdHQ5L0tiRFpMa2lwWHJxeng0OGZyNjYrL0xuSVgwYUkwYTlaTVBYcjAwTVNKRTNYcTFDbjkvdnZ2K3YzMzM5V3laVXVOSERsU2RlclVLZklhMTY5Zmw1VDl5ajBBKzZoVHA0NDJidHdvU1hKemM5UG8wYVAxNDQ4L1NzcitFU1E5UFQxUCtZc1hMOHJkM1YwN2R1eFExNjVkTldYS0ZQWHExVXU5ZXZVcTlkZ0J3TjZDZ29JMGUvYnNRc3RNbVRKRlI0OGV0ZmlhMWFwVjB6Lys4US9qYzNwNnV2cjM3eTlKbWp4NXNqRkd5dS9IcEtKMnV3YWN4ZHk1YzNYNTh1Vjh6M1hyMWkzUE9wdTUyYnFydXlTRmhZV3BiZHUyUmNiR000WnpJZkVKQUxDTGhJUUVmZmZkZHpLYnpUS1pUT3JTcFlzR0R4NnNjdVhLNlk0NzdsQ0hEaDN5clplUmthRXBVNlpJa3A1NDRnazk5ZFJUK1phclZxMmFHalpzcU04KysweUxGeS9XbWpWcmxKbVpxY09IRDF1ODQySE9vQ1FwS2NubWdiNm5wNmQyN3R4cFUxM2dkbUF5bVJRUUVLQmR1M2JwN2JmZlZseGNuQ1NwZCsvZUdqeDQ4QzBQM24zNzlsV3paczAwYWRJa25UOS9YaU5IanRSTEw3MmtFU05HeU12THl4Ri9BZ0RZamJlM2Q1NVo4dm14OWxWWmIyOXZQZkRBQThibnRMUTA0N2hPblRwNXp0MnNXYk5tRnQ4bk5qYTJ3TVFUWUU4Ly8veXp2dm5tRzBuWjQ0eU1qQXdIUjVRWHp4ak9oY1FuQU1BdUdqVnFwTGZlZWt1Ly92cXJoZzhmcmxxMWFobm5talp0V21DOXRMUTBJL0ZadDI3ZEFoT2tPWHg4ZlBUV1cyOHBORFJVNzczM25ucjM3cTBxVmFwWUZPTzFhOWNzS2xlWW5KMGpBZVF2T1RsWkN4Y3UxQmRmZkNFcGUrYjM5T25UOWRCRER4VllwMm5UcHZyc3M4ODBiZG8wYmQyNlZaOS8vcm4yNzkrdk9YUG1LREF3c0xSQ0I0RGJ6dkxseXkwdXl4cWZjSVFyVjY1b3hvd1prcktUL04yN2Q5ZkhIMytjcDh5aVJZdHVlYU9rSk54MTExMFdsZU1adzdtUStBUUEyTTFMTDcya2wxNTZxVlR1RlJ3Y3JBOC8vTkNxT2psckR6Wm8wRUE5ZXZTd3F1NzgrZk4xNGNJRmkyZVhBaVVwWngxTVMweVlNRUVUSmt5dytOcmZmLys5dnYvKyt3TFBUNTA2VmFHaG9VVmU1OGFORzBwSlNkR0lFU1Awbi8vOFIxTDJ4aHdUSmt3d05qZ3F6SjEzM3FudzhIQXRYYnBVRVJFUk9uejRzUHIyN2F0dnZ2bUdqUUlBQUxoTjdkNjkyNWhwUEhUbzBId1RoSlVxVlNydHNQTGdHY081a1BnRUFOeVdybDY5YXV5NDJMQmh3eUpubHQ1czRjS0ZrdmcxRnJqWi92Mzd0V0hEQm0zZXZGbWpSNC9Xc0dIRDlPYWJiNnBidDI2S2lJZ29OS2w2czFhdFd1bjk5OS9YZmZmZHA1a3paK3J2Zi84N1NVOEFzQ1BXK0lTemUreXh4MVN1WERtRmhJU29XN2R1V3I5K3ZhTkR5b05uRE9kRDRoTUFZRGZXekVyTHo0Y2ZmbWoxTEU1TFo2T2RPWFBHT0s1ZXZiclZzU1VuSjBzU3Y4YkNJUm8wYUtBaFE0WVVlRDR1TGs1ZmZmV1ZKS2xqeDQ2Njk5NTdpN3ptaWhVcmxKS1NvdURnNEVJSDZRMGFOTWp6K2VUSmszazJLMXU4ZUxGeG5KcWFxc2FORzJ2RGhnMjZldldxSWlJaWlvd2pQMDgrK2FRZWVlUVJrcDRBWUdlczhRbG41KzN0clZkZmZWWGR1M2VYbTV0Ym9XWFhybDJyV2JObUZldCs0OGVQMTRzdnZtaHhlWjR4bkErSlR3REFiZW5Rb1VQR3NTVkpvWnZsREVvc2VXVVhLR25Cd2NFS0RnNHU4UHd2di94aUpENmZmZlpadFd6WnNzaHJSa1pHS2lVbFJiVnIxMWJ2M3IyTExMOW8wU0p0MmJKRkowK2V6UE85bTV1Ym1qVnJwcWVmZmxydDI3ZVhsRDFyd2N2TFM1R1JrWVZlTXlvcVNnc1hMalRXeHFwUW9ZSnhqcVFuQU5nZmEzeWlMQmd3WUlDalF5Z1F6eGpPaDhRbkFNQnVRa0pDTkhQbVRLdnFXTHFyZTBFYU5XcGtVYm45Ky9jYng0WHRicHFmbEpRVVkvZElCaVZ3UmptRFpzbCtyMHA5Ly8zM09udjI3QzNmejVzM1Q0ODk5dGd0MzN0NmVoYTRjM0ZxYXFvV0wxNnMxYXRYS3lzclN6NCtQaG80Y0tCZWVlV1ZFbzhiQUFEY1hrd21rL0dEc0tXZWYvNTVtM2FMNXhuRCtaRDRCQURZVFkwYU5WU2pSbzFidmo5eDRvVGVlZWNkalI4L1huWHExTWx6cnJCZDNXTmlZdlR1dSs5cTVzeVp4VnEwUENNalE5dTJiWk1rQlFVRnFXTEZpbGJWdjM3OXVuSE1vQVRPNk1LRkM4YXhwVHVRV3F0Mjdkb0tDQWhRNjlhdDFicDFhMk1qTTE5Zlg2dXVFeFVWcFVtVEpoa3pSMXUyYkttSkV5ZmE5SG9ZQUpRMU1URXhEbHRYTXlFaDRaWSttelUrNFlyYzNOeXNIbGNVOVJwOWZuakdjRTRrUGdFQXBTb2pJME9USjA5V2RIUzB1bmZ2cm84KytrajMzMzkva2ZVU0VoSTBZTUFBWGJ0MlRYMzc5dFdTSlV2eVRhcGE0cmZmZmxOU1VwSWs2ZkhISDdlNi90V3JWNDNqTysrODA2WVlBSHM2ZGVxVXBPd1pEbFdyVnJYTFBlYk9uU3VUcVhoRHlWV3JWdW45OTk5WFptYW1mSHg4Tkh6NGNIWHAwcVdFSWdRQTNNeHNObXZIamgzNjE3LytwWjkvL2xuTGx5L1BzNVFJYTN3Q3R1TVp3em1SK0FRQWxLb1BQdmhBMGRIUmtySjNiRzdZc0tGRjlRSUNBdlRxcTYvcWd3OCtVRnhjblByMjdhdWxTNWVxVnExYVZzZXdaczBhNHpobkRVSnI1S3cvS0VubHk1ZTN1ajVnYndjUEhwU1VQZHZBdzhQREx2Y29UdEx6di8vOXI2Wk1tYUtmZnZwSlV2YUdTYk5temRJOTk5eVRiL21jMTc2S20yZ0ZBR2NURkJTazJiTm5GMXBteXBRcE9ucjBhSW5jNzgwMzN6UVNNNUlVSHgrdm1qVnJHcDlaNHhPdUtEMDl2VlJtTS9PTTRad1lQUUlBU3MzbXpadTFjdVZLU2RtN0hNNllNY09xMTBqNjl1MHJUMDlQTFZpd1FCY3ZYbFQvL3YyMVpNa1MxYTFiMStKckhEMTZWTnUzYjVlVXZVSE16VHRVV3lJeE1kRTRabEFDWjNQeDRrWDkrZWVma3FUbXpaczdPSnBiblQ5L1hzT0hEMWRNVEl3azZXOS8rNXRHalJvbEx5K3ZBdXNjUDM1Y1E0Y08xZE5QUDYxZXZYclo3ZlY5QUNodDN0N2VCYTUvbk1QV3pkMHVYTGlnVFpzMjZidnZ2ak8rUzBwS2twdWJtLzd5bDc4b05EUlViZHEwVVd4c3JFM1hCL0EvUEdNNEx4S2ZBSUJTRVJNVG82bFRwMHJLSHNDSGg0ZmJ0SFpOejU0OVpUS1pGQjRlcnN1WEwydmd3SUZhdW5ScG9UdGM1elovL256anVGZXZYbGJmWDVLdVhMbGlIT2ZlZFJwd0J2Lzg1eitONC93MkdYS2treWRQYXVEQWdicDQ4YUpNSnBNbVRweW8wTkRRSXV0ZHVuUkpDUWtKK3ZUVFQvWE1NOCtRK0FSUTVrMmZQbDNUcDArM3FHek9qOGFXMnJWcmw1WXRXNmE5ZS9mS2JEWWIzd2NHQmlvME5GVFBQZmVjcmwyN3BuNzkrbW5tekpuS3pNdzB5clJwMDhiaSs2U21wa3FTdnZqaUM2MWZ2MTZTOU5wcnI2bDM3OTVXeFF2WW02ZW5welp0Mm1SVm5YYnQyaWs5UGQzaThqeGpPQzhTbndBQXU0dUxpOU9RSVVPVWtwSWlLWHV3Zjk5OTk5bDh2ZTdkdTh2VDAxT3paODlXWW1LaUJnNGNxR1hMbGhXWi9OeTBhWk4yN05naFNhcFpzNlpOcjZCSTJUUFdjakFvZ1RNNWRPaVFQdnZzTTBuWnIwKzJhdFhLd1JIOXo2VkxsNHlrWjdseTVmVGVlKy9wTDMvNWkwVjFjNjhoWjY4MVN3SEFWZmo1K1duUG5qM0c1NGNmZmxqZHVuWFR3dzgvYkx4cGs1aVltR2NqbFJ6NWZWZVVqSXdNbzk2Tkd6ZHNqQnF3TDN0dUZzUXpobk1qOFFrQXNLc0xGeTdvOWRkZlYwSkNnaVJwMEtCQmV1cXBwd29zbi91WDFjSmVnKy9TcFl0dTNMaWh1WFBuNnVyVnF4bzRjS0ErL1BEREFsOTdQM2Z1bkdiTm1tVjhIajkrdk0xckgrYXNVU3BKVmFwVXNla2FRRWs3ZmZxMFJvOGViYXlIT1hyMGFKdDJKTFdYdi8vOTc3cDQ4YUw4L1B5MGRPbFNpOWYzbGJLVHBsTDJiSEVlQkFDZ2NBMGJOdFJqanoybXdNQkFkZTNhTmQvMWsrdlZxNmZkdTNmZjhuMUdSb1lpSXlPMWVmTm1oWVdGcVZLbFNzYTU2OWV2YThpUUlXcmV2TGxlZmZWVittTkFQR09VQmU2T0RnQUE0THJPbmoycmZ2MzY2Y3laTTVLa3pwMDdxMy8vL29YV3lmMFB2cisvZjZGbFgzbmxGZU42VjY5ZTFlREJnM1h5NU1sYnlxV21wbXJVcUZIR1RvbWRPblZTaXhZdHJQcGJjcHc4ZVZKLy9QR0hKS2xTcFVvTSt1RVVEaHc0b0Q1OStpZytQbDVTOXF6b2h4OSsyTUZSL1U5c2JLeCsvdmxuU2RLSUVTT3NTbnBLTWpiMUtHanpJd0JBWHZQbno5ZW9VYU9zNmpkMzd0eXBybDI3YXNHQ0JUcDQ4S0JXcjE2ZDUvejI3ZHNWRXhPamp6LytXTTgrKzZ3V0xGaVFaMDFDNEhiRE0wYlp3SXhQQUlEZC9QampqNHFMaTVNa3RXN2RXaE1tVERET1pXWm1hdmJzMmFwWXNhSXFWS2dnWDE5ZkpTWW01aGxrTjJyVXFNaDdEQm8wU0VsSlNWcTllclV1WDc2czdkdTM1OW1kTkMwdFRTTkhqdFRodzRjbFpTODJQbTdjdUh5dmxaS1NvdUhEaDZ0Qmd3YXFVNmVPYXRXcXBTcFZxcWg4K2ZMS3lzclN3WU1ITlhQbVRHTkdYZHUyYmEzL0R3VW9RUmtaR2ZyNDQ0KzFmUGx5WTQyMkYxNTRRU05Iaml6MU9ITGtOOHMwS2lyS09MWjJzZjl6NTg1cDY5YXROdFVGQUdkUkdqdEsyeW82T2xvclZxelFsaTFiSkVuMzNudXZ4bzRkZThzR2VSMDZkRkJJU0loV3JGaWhMNy84VXF0V3JkTGF0V3ZWdlh0MzllalJvOGdmckFGSHNjZXU3anhqbEIwa1BnRUFkdlBxcTYrcWN1WEsyckJoZytiTW1TT1Q2WC8vN0hoNGVHajc5dTNHRExXYnRXalJRZzgrK0tCRjl4azFhcFJTVWxMVXNHRkR2ZmppaThiM3ljbkpHak5takg3NzdUZEpVc1dLRlJVV0ZsYmc3cWkrdnI0NmZmcTBkdTNhVmVROS9mMzliVjY0SENnSjI3WnQwN3g1ODR6ZGVEMDhQRFIwNkZEMTZOR2pWTzRmRXhPamhJUUVtYzFtWTRhQ0pOMTU1NTIzbFBYMTlUV09KMCtlckc3ZHVxbEdqUnJ5OVBRczhQcHBhV2s2ZHV5WUlpTWpqYlhqYkYwekN3QndxMTkvL1ZXclZxMHkrbkEvUHovMTc5OWYzYnQzenpObXl5MGdJRUJqeDQ3Vks2KzhvdmZmZjErYk5tMVNSRVNFdnZqaUMvWHYzMTlkdW5RcHNDN2dLbmpHS0Z2b2tRQUFkdFcrZmZzQ2t4WDE2OWRYWW1LaU1qSXlsSm1aS1E4UEQxV3VYRmxQUHZta0JnMGFaUEU5M056Y05HWEtsRHpmeGNYRmFjU0lFVHAyN0ppazdBSEpzbVhMRkJnWVdPaTFhdGFzV1dBeU5rZEFRSUJtejU3TkppdHdtTXpNVEgzeHhSZEcwak1vS0VqVHBrMVQ0OGFOU3kyRzlldlg1OWxCWHNwdUc3bG5YT2RvMmJLbHFsV3JwblBuenVuRWlSTjUxc0t5Vk1lT0haMXFzeVlBc01heVpjdnNjdDFodzRZWnU2dGJJeXdzek5nTXo4L1BUMTI3ZHJWcTNjN0F3RURObmoxYkw3Lzhzc0xDd2hRVkZhV3dzREJkdm54WmI3enhodFh4QVBaa01wbjAxVmRmV1ZYbitlZWZ6L05HU3c2ZU1jb2VFcDhBQUllWk8zZXUzYTRkRlJXbEV5ZE9TSktxVjYrdWhRc1hxbmJ0MmtYV1c3QmdnZUxpNGhRWEY2Y0xGeTRvSVNGQlNVbEpTazlQVjdseTVWU3ZYajIxYnQyNndGOTBnZExnNGVHaE9YUG1hTVNJRVFvSkNWR3ZYcjBLblQxcEQ4SEJ3Y2F4eVdSU2NIQ3dSbzhlTFM4dnIxdksrdnI2NnFPUFB0S0hIMzZvSFR0MktDRWhJZCtIaVp2NStmbXBUcDA2Q2cwTjFWLy8rdGNTalI4QVN0UE5yNDJYRkZ0blZ3NGFORWdIRHg1VWl4WXQ5T3FycjZwOCtmSTJYYWR4NDhaYXRXcVZ2dm5tRzYxYnQwNTkrdlN4NlRxQVBibTV1YWw2OWVwVzE4a1B6eGhsRDRsUEFJQkxhdGV1bmN4bXM5YXRXNmQzM25uSDRnRzlsNWVYYXRldWJkRUFCbkFrSHg4ZkxWbXlwTVN1dDJuVEpxdktkK3JVU1owNmRiSzRmT1hLbFRWcDBpUnJ3d0tBTW12NjlPbWFQbjI2WGUrUnN3YXl0Zno5L2ZXUGYveWpSR0p3YzNQVFgvLzZWMzZnZ2tPRWhvWXFORFEwMzNNdnZ2aGlubVd3ckxGejU4NTh2K2Nabyt3aDhRa0FjRm1GdldZUEFBQUFBTmJpR2FOc2NYZDBBQUFBQUFBQUFBQlEwa2g4QWdBQUFBQUFBSEE1SkQ0QkFBQUFBQUFBdUJ3U253QUFBQUFBQUFCY0RvbFBBQUFBQUFBQUFDNkh4Q2NBQUFBQUFBQUFsMFBpRXdBQUFBQUFBSURMSWZFSkFBQUFBQUFBd09XUStBUUFBQUFBQUFEZ2NraDhBZ0FBQUFBQUFIQTVKRDRCQUFBQUFBQUF1QndTbndBQUFBQUFBQUJjRG9sUEFBQUFBQUFBQUM2SHhDY0FBQUFBQUFBQWwwUGlFd0FBQUFBQUFJRExJZkVKQUFBQUFBQUF3T1dRK0FRQUFBQUFBQURnY2toOEFnQUFBQUFBQUhBNUpENEJBQUFBQUFBQXVCd1Nud0FBQUFBQUFBQmNEb2xQQUFBQUFBQUFBQzZIeENjQUFBQUFBQUFBbDBQaUV3QUFBQUFBQUlETE1UazZBQUNBYlRJek1oVjlKRWJlM3Q2T0RnVmxTRlQwRWFXbnB6czZES2VYbVpHcHFPZ2pqZzREWlF6dEN5Z2RqSUZnQy9wb3l6QUdnaTJjdVgyUitBU0FNaW9sTlZWTEl6NlNsNmVYbzBOQkdaS2VucTVyU1VtT0RzUHBwYVNtYXRHU0QrWHA2ZW5vVUZDRzBMNkEwc0VZQ0xhZ2o3WU1ZeURZd3BuYkY0bFBBQ2hqc3R6TUY5emxkaTdMYlBhNWVzMDUvM0ZCR1dBMng5OHdtODg1T2d4bmM4T2NkYzdMTGJ0OUpWNjc1dWh3VUZiUnZnQzdZQXlFRWtFZm5TL0dRQ2dSVHRpKzNCd2RBQURBYXU1QmRlK3Y3Mjd5ck96b1FGQjJaYnBsSlp5TzNoOGxLY3ZSc1RnWjJoZUtqZllGMkExOU5JcU5QcnBBdEM4VUcrMEx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uNCtib0FQSlR2VTZqZTd3OFRYVWNIUWNBeDhreUsvMTY1dlVEbDQ4ZXZlYm9XSnhSelpvTnFybDVldFowZEJ3b3V6TGNVMCtmK2ZQUE9FZkg0WXdZaDZDNDB0TFNUcHc3RVgzUzBYRUFyb2crR3NWRkgxMHcyaGVLeXhuYmw5TWxQbXZWYWxKTFB1YVA1YWI2am80RmdBT1ozYklrODZyWXc2WXAwdTUwUjRmalRPNjVwMTUxRHovZjVYSlRRMGZIZ3JMTWZPTEdqZlRYemg2UE91WG9TSndKNHhDVWtGTktjZXNhRzdzdjF0R0JBSzZrUnQwSEF6MU5icC9RUjZPWTZLUHp3UmdJSmNUcDJwZkowUUhjd2tlMTVLYjZibktyNnVmckt3K1RoNk1qQWxESzB0SnU2TWFOR3pLYjFTUW82SWIvcVZPNjR1aVluSW1IdDNlUTNNM04zT1JXMWRmWFZ5YjZTVmdoTXlOVEthbXB5aktyZ3BlWDE3MlNTSHpteGpnRXhmQy85bVgya1k5cVNYS2FRVC9nQ2p5bHdKdyttakVRckVVZlhRVEdRQ2dHWjI1ZnpwZjQvUC84ZkgwMThzMDMxTEJCUFVlSEFxQ1VyZjdpUzYzNzl2OGtTZTd1SG1ZSGgrTzBmSDE5TmFoZmJ6M1lpSW1mc0Z6MGtSZ3RqZmhJVjY4bE9Ub1VwOFk0QkxhSWlqNmlSVXMrVk9JMVZta0I3TW5QMTFkREJnOVFrd2NiT1RyYVpDemhBQUFnQUVsRVFWUVVsQ0gwMFpaaERBUmJPSFA3Y3RyRXA0ZkpRdzBiMUZQTGg1bzdPaFFBcGV5WDdUdU00NnlzVEtkYmtzTlptRXdlZXJCUlE3VjU3QkZIaDRJeXhOdmJXMTZlWG80T3cra3hEb0d0UEQwOUhSMEM0UEk4VEI1cVVDK1lQaHBXbzQ4dUdtTWcyTXBaMjVlN293TUFBQUFBQUFBQWdKSkc0aE1BQUFBQUFBQ0F5eUh4Q1FBQUFBQUFBTURsa1BnRUFBQUFBQUFBNEhKSWZBSUFBQUFBQUFCd09TUStBUUFBQUFBQUFMZ2NFcDhBQUFBQUFBQUFYQTZKVHdBQUFBQUFBQUF1aDhRbkFBQUFBQUFBQUpkRDRoTUFBQUFBQUFDQXl5SHhDUUFBQUFBQUFNRGxrUGdFQUFBQUFBQUE0SEpJZkFJQUFBQUFBQUJ3T1NRK0FRQUFBQUFBQUxnY0VwOEFBQUFBQUFBQVhBNkpUd0FBQUFBQUFBQXVoOFFuQUFBQUFBQUFBSmRENGhNQUFBQUFBQUNBeXlIeENRQUFBQUFBQU1EbGtQaEVpVEdiemRxeVpZdDY5dXlwZmZ2Mk9Ub2NBQUFBQUFBQTNNWklmS0xFN055NVU2TkdqZEtoUTRjVUhoNHVzOW5zNkpBQUFBQUFBQUJ3bXlMeGlSTFRxbFVyTlduU1JKSVVGUldsalJzM09qZ2krMGhNVE5UV3JWdTFZTUVDOWVuVFIxT25UblYwU0FBQUFBQUFBTGlKeWRFQndMVU1IanhZQXdjT2xDUXRYcnhZVHo3NXBEdzlQUjBjbFcwU0VoSjA2dFFwblQ1OTJ2ai9SNDhlMWNtVEovT1VPM3IwcUNaTm1sUm0vMDRBQUFBQUFBQlhST0xUaVVWR1JpbzhQTHhVNzFtMWFsVjkrKzIzTnRkdjNyeTVtalp0cXIxNzkrcnMyYlA2NFljZjlNd3p6OWg4dlMxYnRtalVxRkUyMTdkR1dGaVkyclp0S3lsN1Z1ZlRUejlkNE92NlhsNWVxbCsvdmhvMWFxUUhIbmhBV1ZsWjJyVnJsNUgwdGNXeVpjdlV2SGx6bStzREFBQUFBQURnZjBoOG9zVDE3ZHRYczJmUDFwQWhROVN1WFR0SGgyT1RDaFVxNk1FSEg5U2hRNGRVbzBZTkJRVUY2Y0tGQ3pweTVJaWFObTJxcFV1WHltU2krUUFBQUFBQUFEZ3JNamRPckhYcjFxcFdyVnFSNVRadTNLaE5telpKeW43VnZFNmRPamJmMDhmSFI1S1VscGFtaHg5KzJPYnJTTks0Y2VNMGJ0dzRxK3R0M0xoUkFRRUJrcVRhdFd0cndJQUJGdGVOaW9yU3RtM2JKRWxQUFBHRTZ0YXRhM0hkMnJWcjUvazhmLzU4K2ZuNUdRbk9oUXNYNnNpUkkvTHg4U2t5NlJrUkVhRXFWYW9VZWMvNCtIajE2OWZQNGhnQkFIQ1VqSXdNYmR1MlRTZE9uTkJkZDkybFJ4OTlWSGZmZmJland3SUFoemx6NW94Ky9mVlhwYVdscVg3OSttcmV2TG5jM053Y0haYWs3TmgyNzk2dHk1Y3Y2KzY3NzFhclZxMVVxVktsWWwzejZOR2ppbzZPVmtKQ2dtclZxbVc4TFFmWUErMkw5bFZTU0h3NnNjREFRQVVHQmhaYUppTWpRMkZoWVpLazZ0V3JxM2Z2M3ZMdzhDaU44RXBGclZxMXJIcDlmTzNhdFViaTg2bW5ubEtIRGgxc3Z2ZWRkOTVwYzkwcVZhcW9ldlhxTnRjSEFNQ1pIRGh3UUpNbVRWSnFhcW9lZWVRUi9mSEhINW8xYTVaZWYvMTE5ZXpaMDlIaEFVQ3B5c2pJMEx4NTg3Um16UnExYk5sU1ZhdFcxYXBWcTFTbFNoWE5uajI3eUdjNFMyVmxaZW03Nzc3VDh1WExOWHIwYUlzbXBseTllbFd6WnMzU0w3Lzhvclp0MjhyYjIxdWZmLzY1WnN5WW9XN2R1bW5Zc0dGV3ZibVduSnlzVHovOVZGOS8vYlZNSnBNNmRPaWd4bzBicTBHREJvWFc2OVdybHc0ZVBKanZ1Y2NlZTB6ejU4KzNPQWJjWG1oZnRLK1NSdUt6alB1Ly8vcy9uVDkvWHBMMDhzc3ZsMWpTMDJReUZibGIrZWJObTQwazQ3Qmh3MVNoUW9VU3ViZS92MytKWEFjQUFCVGZ2bjM3OVBycnJ5c29LRWdyVjY0MC9yM1BXWXM4S1NsSmI3enhob09qQklEU2taV1ZwVEZqeG1qcjFxMmFOR21Tbm4vK2VVblNrQ0ZEMUxOblQvWHQyMWNyVjY1VTFhcFZiYjZIMld6V3BrMmJ0R3paTXNYR3hscGM3L3IxNityZnY3K3VYcjJxeU1oSTFheFowL2grekpneGlveU1WRnhjbk1MQ3d1VHU3bDdrOWZidTNhc0pFeVlvTVRGUlE0Y09WZGV1WFMxNjN2empqejhLVE1wSTBpdXZ2R0x4MzRUYkMrMkw5bVVQSkQ3TE1MUFpyRldyVmttU3lwVXJwOURRMEJLN3RvZUhSNUhYaTRtSk1ZNDdkdXhvdko0T0FBQmNRMUpTa3NhTUdhTzB0RFJObWpRcHo0K2NMNy84c3RhdFc2ZVBQdnBJelpvMVU2dFdyUndZS1FDVWpwVXJWMnJyMXExNjVKRkhqS1NNbEwxSHdQRGh3elY2OUdoTm1EQkJLMWFzc09tMTNQUG56MnZod29VeW1VeEtTRWl3cXU2TUdUTjA3Tmd4dmZ2dXUwWlNSc3FlV0RKejVreTk4TUlMMnJwMXF6Nzk5Tk1pWit0djJMQkIwNlpOazYrdnJ6NzQ0QU0xYmRyVTRqZysvdmhqQlFjSDU3djAxMTEzM2FVV0xWcFkva2ZodGtMN0tocnR5M29rUHN1d1gzNzVSY2VQSDVjay9mV3ZmeTMxbVpLcHFhbkdjYzdhb0FBQXdIVXNYNzVjbHk1ZFV2MzY5ZFdvVWFNODU5emMzQlFhR3FydzhIRE5tVE5IYTlldVplTS9BQzd0MHFWTFdyNTh1U1RweFJkZnZPVjg2OWF0VmI1OGVmM25QLy9SK3ZYcmJacVlVcVZLRmMyY09WT1N0R3JWS2kxWXNNQ2lldnYzNzljUFAvd2dQejgvUGY3NDQ3ZWNyMUNoZ2pwMTZxUlBQLzFVUzVjdVZXaG9hSUZ2N1AzMDAwK2FNbVdLUER3OE5IZnVYS3VTTXRIUjBkcXpaNC9XcjE5ZjdEVVBjWHVoZlJXTjltVWJScWRsVkVaR2h0NS8vMzFKa3ArZm4xNTc3YlZTajhHVkU1OXIxNjdWckZtejhqMjNZOGNPaFlTRTVQbnVwNTkreXZPNVU2ZE9kb3NOQUlEU2NQMzZkZjNyWC8rU3BBSm5jejcwMEVPU3BOT25UeHZyWFFHQXEvcjg4OCtWbHBZbWQzZDNvLy9MeldReUtTUWtSRC8rK0tNaUl5TnRTc3prbnNWMnp6MzNXRnp2NjYrL2xwUzlSMEpCcjh1MmE5ZE9uMzc2cWRMUzB2VGxsMStxVDU4K3Q1UTVmUGl3Sms2Y0tMUFpyS0ZEaDk3eTNGT1Vqejc2U0owNmRTSXBBNnZSdm9wRys3Sk4wUXNQd0NtdFhyMWF4NDRka3lTOTl0cHJ1dXV1dTBvOWhwU1VGRW5aSFJBelBBQUFjQzAvLy95ejhTUG5mZmZkbDIrWmUrKzlWMTVlWHBLa2I3Lzl0dFJpQXdCSCtPNjc3eVJKUVVGQkJVNzh5Tm1VSkNZbUpzL1NZTGF3Wm5MSjNyMTdKVW0rdnI0RmxxbGZ2NzY4dmIwbFNkdTNiNy9sZkVaR2hzYU5HNmZVMUZRRkJ3ZnI1WmRmdGlyZTJOaFliZG15UmZmZWU2OFNFeE90cWd2UXZncEgrN0lkMmFveUtDRWhRY3VXTFpNa0JRUUVPR3p4MnV2WHIwc3F2UEdYVlowN2Q4NnpJM3hzYkt3eHE3WkZpeFo2NzczMzhwUy9lWm1CaUlpSWZOZmN1Rmw4Zkx6NjlldFhBaEVEQUZDeWR1ellZUnhYcjE0OTN6THU3dTRLREF6VThlUEh0WHYzN3RJS0RRQkszWmt6WjNUbXpCbEpCZmVKVW5iU0pzZnUzYnNWSEJ4czh6MHQyU0FsUjN4OHZLVC9UVTdKajhsa1V1WEtsWFg2OUdrZE9uUklXVmxaZWU3eHhSZGY2UFRwMDVLazNyMTdXNzF4N3NxVksyVTJteFVXRnFhd3NEQTk4TUFEZXVHRkY5U3hZMGNteXFCUXRLK2kwYjVzeDM4NlpkRGN1WE9Wbkp3c1NYcjk5ZGNkOXBwNVR1SXpLU25KNmluYU9UdzlQYlZ6NTg2U0RLdEVlSHA2eXRQVDAvaWM4d3VQbE4yaDNYSEhIYmZVYWQ2OHVkVVBmZFdyVitkQkVRRGdsS0tpb296andsNnB1dnZ1dTNYOCtIRmR1M1pONTg2ZFU3VnExVW9qUEFBb1ZkYjBpVGtPSHo1czE1aHlNNXZOa3FTelo4OFdXaTVud2taNmVycVNrcEpVdm54NVNka0puWWlJQ0VsU3hZb1Y5ZVNUVHhwMWtwS1M1T3ZyVzJoeUpUNCtYaHMyYk1qejNZRURCM1Rnd0FIOTg1Ly8xTFJwMDR6WmVzRE5hRiswTDNzaThWbkdiTnUyVFJzM2JqUSt2LzMyMjNyNzdiZUxmZDNJeUVqVnExZlBxanJYcmwwcjluM0xsU3RYN0d1VWhtM2J0ams2QkFBQVNsWHV3WDN1QjQyYjVYN3JJUzR1anNRbkFKY1VGeGRuSEFjRUJCUlk3dVkrc2JSVXFsUkpjWEZ4U2t4TTFKa3paeFFZR0podnVkd3oxcEtUazQzRXpJOC8vbWk4UHR1NmRXc2RQSGhRbjMzMm1YYnMyS0gvL3ZlL3hycUx3NFlOeTNmNWs0U0VCUFh1M1Z1WEwxOVdiR3lzRGg0OHFMUzBORW5TMGFOSDFhOWZQODJaTTBlUFB2cG9TZi9wY0FHMEw5cVhQWkg0TEVQT256K3ZLVk9tT0RvTXc2VkxseVJscjdQUm8wY1BxK3JPbno5ZkZ5NWNLUFdkNkcxeDVjb1Y3ZHUzTDg5M3k1WXRVNDBhTmZUY2M4OUprc2FQSDYvdnYvKysyUGQ2K2VXWE5XclVxR0pmQndDQTRyaCsvYnB1M0xnaFNmTHk4aXAwRmtMT0dwODU5UURBRlYyK2ZOazQ5dlB6SzdDY28vckVrSkFRSXhIMHpUZmY2STAzM3NpM1hNNHpuSlQzNzlpNmRhdHh2SHYzYmgwOWVsUlBQLzIwMnJkdnIzMzc5dW56enovWHpwMDd0WGZ2WHMyZlAvK1d6V2Z1di85KzNYLy8vY2JuNU9Sa3JWNjlXaXRXckZCcWFxcFNVMU0xZHV4WXJWeTVVblhyMWkyUnZ4bXVnL1pGKzdJbkVwOWxSRVpHaHNhT0hhdXJWNjhhMzFXclZrMXZ2ZldXemRjOGR1eVlsaXhaWWxQZHExZXZHaHNlTkd6WU1NOTZtSlpZdUhDaHBMSXg0M1BEaGczS3pNeVV1N3U3c3JLeWRPREFBZTNZc1VNbWswazFhdFJRMDZaTkhSMGlBQUFsS3VmZmVFbkdRdjBGeVhuOVM1S3hGQThBdUJwTCswVkg5WWxkdTNiVit2WHJaVGFiRlJrWnFlZWVlMDQxYTliTVUrYkVpUk5LU2txU2xQMDM1RjYrYS8vKy9jWnh2Mzc5MUtsVEorUHprMDgrcWViTm0ydmt5SkZLUzB2VCtQSGp0WGJ0V2xXc1dMSEFlUHo4L05TblR4ODkrK3l6R2pKa2lJNGZQNjdVMUZUTm1UTkh5NWN2TDZrL0d5NkM5a1g3c2ljU24yWEUvUG56ZGZEZ1FVblp2M0xjdUhGRC92NythdHUycmMzWHpHK2RTa3ZsTER3c0ZiNzRjRUZ5T3FteU1PTnovZnIxa3JKLzVmbmpqejlVdVhKbGVYaDQ2T3JWcXhvOWVyVCsrYzkvYXVMRWlZVW1vUWNQSHF6ang0K3JWYXRXbWpadFdvSGxYSEdqS0FCQTJaTjd3ZjJpRnQvUHlNZ3dqbGxjSDRDcnNyUmZkRlNmV0w5K2ZiMysrdXRhdkhpeFVsTlROV0RBQUEwYk5rd05HelpVZkh5OE5tL2VyQjkvL05Fb1g3ZHVYV1BqbFpTVUZGMjhlRkZTOWs3WHVaTXlPZHEwYWFPbm5ucEtQL3p3Z3hJVEU3VjY5V29OSGp5NHlMaXFWS21pSlV1V3FHL2Z2anB6NW96MjdObWptSmlZWW0xS0E5ZEQrNko5MlpQbDIxakJZZGF0VzZmUFB2dE1rdFN5WlVzOTlkUlREbzVJT25Ub2tIRjg3NzMzV2wwL0ovRlpuT1JyYWRpM2I1OWlZbUpVclZvMU5XellVRkoyNXpKNzlteTV1N3ZyeXBVckdqVnFsTHk4dkJRUUVGRGcvK1YwM2tXVkt3c3pZQUVBcmkvM0QzSHA2ZW1GbHMxNUpWNHFHMjl5QUlBdExPMFhIZGtuOXVuVFI1TW1UVktGQ2hXVWtKQ2d5Wk1uNjI5Lys1dG16WnFsNE9CZ1BmUE1NMGJadi96bEw4Wng3cmNLQzF0ZnNVdVhMc1p4N2xkM2l4SVFFSkJuOHNjZmYveGhjVjNjSG1oZnRDOTc0bWQ1Si9mRER6OW94b3daa3FSNzdybEhzMmJOVW5oNHVJT2p5anRWKzRFSEhyQ3Fia3BLaXZGTGpiTW5Qai82NkNOSlVvY09IZkpNcTMvb29ZYzBkT2hRTFZpd1FGRlJVZHE2ZGF2YXRXdm5xREFCQUNoUlBqNCt1dlBPTzNYdDJqV2xwcWJLYkRiTHpjMHQzN0s1Tnp1c1hMbHlhWVVJQUtXcVNwVXF4bkh1MTNKdjV1Zys4Zm5ubjFlblRwMFVIUjJ0YTlldXFVYU5HcXBWcTVZa3FYUG56a2E1OXUzYkc4YzVNOU9rd3BOSlRabzBrWStQajFKVFUzWHk1RW1yNG1yYXRLa2FOV3FrZ3djUEdyUGZnQnkwTDlxWFBUSGowNGx0Mzc1ZEV5ZE9WRlpXbHNxVks2ZDU4K2Jwemp2dmRIUll5c2pJTUhZNUR3b0tLblR0aWZ6a1hvVFltUk9mZi83NXA3WnYzeTRwdTRPN1djK2VQZFd4WTBlOS9mYmJKRDBCQUM0bjU0Mk96TXpNUExNVmJwYnpFT0xoNGFGNzdybW5WR0lEZ05LVyt5MjNoSVNFQXN2bFRzelVybDNicmpFVnhHUXk2WUVISHRBamp6eGlKR1dpbzZPTjVjcGF0R2lSNTFYWUNoVXFHTWU1SjN2a2Q5MmNkUTF2M0xpaHpNeE1xK0pxM3J5NUpNblQwOU9xZW5COXRDL2FsejB4NDlOSjdkdTNUNk5IajFaR1JvYTh2YjAxZCs1Y2h6WHNtLzMyMjIvR29yMlBQLzY0MWZWelB6dzVReUszSVBQbXpaTWt0V3JWU29HQmdmbVd5Wm1OSzBudDJyWExzeHRkZnJadTNhcVFrSkI4enpWcTFFZ3JWNjYwTVZvQUFFcFc0OGFOdFcvZlBrblN1WFBuOGd6Y2N6dDM3cHdrNmI3NzdwT1BqMCtweFFjQXBlbisrKytYeVdSU1JrYUcwZS9sNSt6WnM4YnhndzgrV0JxaFdlU0REejZRSkxtNXVkMnlJN1dYbDVjcVZhcWtpeGN2RnZrOFU3NThlVW5aRTFpS1dnUDZabmZkZFpja0ZmaHNoZHNYN1NzYjdjcyttUEhwcFB6OS9aV1ptU21UeWFSMzMzM1h5TjQ3Z3pWcjFoakh1YWR3V3lyM3J6UTVEZHZaYk42OFdiLy8vcnNrNmJYWFhuTndOQUFBbEw3V3JWc2J4My8rK1dlK1pjNmZQNiswdExSYnlnT0FxeWxYcnB5YU5Xc21xZUErVVpMeGlxcVBqNDlhdEdoUktyRVZaZmZ1M2ZyMTExOGxaZTlPbmQ5U1pTMWJ0cFNVUGR2dTBxVkxSVjZ6UVlNR1ZzZVJrSkFnZDNkM1Bmcm9vMWJYaFd1amZlVkYreXBaelBoMFVuWHIxdFhBZ1FNVkZCVGtWUC9EUFhyMHFQSDZkM0J3c0UwTk1qRXgwVGgyMXNUbkR6LzhJQ2w3clF4TGs4NmZmLzU1Z2RQUkxkblZuU25wQUFCbjBxUkpFd1VIQnlzbUprWjc5dXpKczNaVmpwek5EajA4UEJRYUdscmFJUUpBcWVyU3BZdCsvLzEzeGNmSDYrelpzNnBldmZvdFpYTDZ4WTRkT3pyRkxQalUxRlRObWpWTFV2WU11ZUhEaCtkYnJrT0hEbHEvZnIyazdNMVJubjc2Nlh6TDVhd2ZhTzFTWDJheldiLzg4b3VlZnZwcFkyWWFrQnZ0aS9abEw4ejRkR0o5K3ZSeGloM2NjNXMvZjc1eDNLdFhMNXV1Y2VYS0ZlTzRvTmZtSEsxRGh3NXljM01yc09QS1Q4V0tGWXUxcTd1ekpvRUJBTGV2QVFNR1NKSzJiZHRtYkV5WVc4NnVvNTA3ZDFiVnFsVkxOVFlBS0cyUFAvNjRzWGJmbGkxYmJqbC81c3daSFR0MlRGNWVYdm0rTlphV2xxYkl5RWg5L2ZYWHlzcktLdkoraGEwSGFBbXoyYXdaTTJib3hJa1RhdENnZ2ViUG4xL2daSXRXclZxcFNaTW1rcVN2dnZvcTN6SUpDUW1LalkxVjFhcFYxYkZqeHp6bjR1UGpGUmNYVjJBc2E5YXMwWlVyVnpSMDZGQWIveHE0T3RvWDdjdGVTSHpDWXBzMmJkS09IVHNrU1RWcjFyVHBOWGNwKzdXNEhNNmErSHowMFVjMWFOQWdOV3JVeU5HaEFBRGdNRTg4OFlUYXRtMnJ4TVJFclZ1M0xzKzVreWRQNnZ2dnYxZjE2dFVaYUFPNExiaTd1MnZxMUtueThQRFFtalZyaktVK2NxeFlzVUtTTkhUb1VOV29VZU9XK29zV0xWSjRlTGhtekppUlovbXdncVNucHh2SE4yN2NzQ3JXakl3TXpaZ3hROTk5OTUxYXQyNnRwVXVYRmpuUll2TGt5ZkwzOTlldVhidU16V3h6aTRpSWtMdTd1eVpQbnB4bnRsMWNYSnc2ZCs2czBOQlF2ZjMyMjNrbXVtUm1adXFUVHo3UjBxVkxGUjRlN3BDZHVGRTIwTDVvWC9aQzRoTVdPWGZ1bkRHRlc1TEdqeDl2OVdLN09hS2pvNDNqS2xXcUZEczJlekNaVE9yWHI1K2p3d0FBd09HbVQ1K3VwazJiS2p3OFhKczNiMVp5Y3JKMjdOaWgxMTkvWFZXcVZORUhIM3pnMUpzVkFrQkphdENnZ1diT25LbjQrSGlOSHo5ZTU4K2ZWMEpDZ3ViTW1hTjE2OWFwZi8vKzZ0NjllNzUxVDU4K2JSeWZPbldxeUh2RnhNUVl4OGVPSGJNb3ZveU1ERzNldkZrOWV2VFFsaTFiTkhic1dNMmJOMC8rL3Y1RjFxMVZxNWJlZSs4OStmajRhTXFVS2RxeFk0Zk1ack5TVTFPMVpNa1NyVnUzVHRPbVRUUFdLOHpoNStkblBCdCs4ODAzNnRTcGs0WU1HYUl4WThibzJXZWYxY2FORzdWaXhRcGp4aHRRRU5vWDdjc2VXT01UUlVwTlRkV29VYU9NM2RnN2RlcGs4MExDSjArZTFCOS8vQ0ZKcWxTcGt0UE8rQVFBQU5uS2xTdW54WXNYYTgyYU5WcXlaSWttVFpxa3lwVXJxM1BuenVyUm80ZDhmWDBkSFNJQWxLcW5ubnBLZ1lHQldyWnNtVjU1NVJXbHBhV3BXYk5tUlNZZit2VHBveU5IanNqUHowL2R1blVyc055Y09YTjA1c3daN2R5NTAvaHU2ZEtsMnJWcmwyclhycTB4WThiY1V1ZWJiNzdSeG8wYmRlblNKVldxVkVuUFAvKzhPbmJzYUZGQ0pyZUhIbnBJa1pHUmlvaUkwSlFwVTVTWm1ha0tGU3FvYWRPbWlveU1WSzFhdFc2cFU3RmlSYjMvL3Z0YXZIaXhEaDgrckl5TURKMDZkVXIzMzMrL0prNmNxRWNlZVVUdTdzeTVnbVZvWDNuUnZvcVB4R2NaRmhNVG81Q1FFTHZlSXkwdFRTTkhqdFRodzRjbFpXOW9ORzdjdUh6THBxU2thUGp3NFdyUW9JSHExS21qV3JWcXFVcVZLaXBmdnJ5eXNySjA4T0JCelp3NTAxZ2pyRzNidGdYZU55RWhRUjA2ZENoVzdCTW1UTkNFQ1JPc3J2ZlRUei9wamp2dXNMaDgvLzc5dFdmUEhvdktidDI2dGNqL3pwNTc3amxObno3ZDR2c0RBR0J2M3Q3ZTZ0bXpwM3IyN09ub1VBREFLZFN2WDEvejVzMnpxazdqeG8zMTNYZmZGVmx1N05peFZzZlR1WFBuZkRlaHMwWE5talUxWThZTXErbzBiZHBVRVJFUkpYSi9nUGFWRisycmVFaDhva0RKeWNrYU0yYU1mdnZ0TjBuWnZ6U0VoWVVWdUh1YXI2K3ZUcDgrclYyN2RoVjViWDkvZjVzM1J3SUFBQUFBQUFDS1F1S3pES3RXclpyZWV1c3RtK3NmTzNaTVM1WXN5ZmRjWEZ5Y1Jvd1lZYXgxVWJGaVJTMWJ0a3lCZ1lHRlhyTm16WnFLajQ4dnRFeEFRSUJtejU1ZDZPNnYvdjcreGZyYmlzUGIyOXVxOG1GaFlYa1dSaTZ1Z2hMTEFBQUFBQUFBc0J5Snp6TE0zOSsvME5mRmkxTFk2OXhSVVZFNmNlS0VKS2w2OWVwYXVIQ2hhdGV1WGVRMUZ5eFlvTGk0T01YRnhlbkNoUXRLU0VoUVVsS1MwdFBUVmE1Y09kV3JWMCt0VzdjdU1ybm40K05UNEtMRnpxYW8zZHNBQUFBQUFBQlEra2g4SWwvdDJyV1QyV3pXdW5YcjlNNDc3MWljM1BQeThsTHQyclV0U3BLV05XKysrYWJlZlBOTlI0Y0JBQUFBQUFBQUM1RDRMSU9tVDU5ZUlwdmZORy9lWEx0Mzd5N3dmUHYyN2RXK2ZmdGkzd2NBQUFBQUFBQW9iZXg1RHdBQUFBQUFBTURsa1BnRUFBQUFBQUFBNEhKSWZBSUFBQUFBQUFCd09TUStBUUFBQUFBQUFMZ2NFcDhBQUFBQUFBQUFYQTZKVHdBQUFBQUFBQUF1aDhRbkFBQUFBQUFBQUpkRDRoTUFBQUFBQUFDQXl5SHhDUUFBQUFBQUFNRGxrUGdFQUFBQUFBQUE0SEpJZkFJQUFBQUFBQUJ3T1NRK0FRQUFBQUFBQUxnY0VwOEFBQUFBQUFBQVhBNkpUd0FBQUFBQUFBQXVoOFFuQUFBQUFBQUFBSmRENGhNQUFBQUFBQUNBeXlIeENRQUFBQUFBQU1EbGtQZ0VBQUFBQUFBQTRISklmQUlBQUFBQUFBQndPU1ErQVFBQUFBQUFBTGdjRXA4QUFBQUFBQUFBWEE2SlR3QUFBQUFBQUFBdXgrVG9BQXFTbVpHcHFPZ2pqZzREZ0FQRW5UMW5ITHU3ZTVnZEdBcUEyeFRqRU5naUt2cUkwdFBUSFIwRzRQSXlNeklWZlNSRzN0N2VqZzRGWlFoOXRHVVlBOEVXenR5K25EYnhtWkthcWtWTFBwU25wNmVqUXdGUXl2NmJuR3djWjJWbHVqa3dGQUMzS2NZaHNFVjZlcnF1SlNVNU9nekE1YVdrcG1wcHhFZnk4dlJ5ZENnb1EraWpMY01ZQ0xadzV2YmxkSW5QRythc2MxNXVidWV5ekdhZnhHdlhIQjBPQUljeG0rV20yRlB1U1NtT2pnVEE3WU54Q0VxRTJSeC93MncrVjNSQkFOYkljak5mY0ZkMkgzMzFtbk0rWUtNTW9JL09GMk1nbEFnbmJGOU9sL2c4ZTJSL1RGRGQrMTkxTjNsV2RuUXNBQnduTTh1YzZaNldmbFFuWTFNZEhRdUEyd2ZqRUpTRVREZHp3dG5EKzJNY0hRZmdhazdGSElpbGowWngwVWZuanpFUVNvSXp0aStuUzN4S3lqcDE5RkNVcENoSEJ3SUFBRzQ3akVNQXdIblJSd1AyUS91Q1MySlhkd0FBQUFBQUFBQXVoOFFuQUFBQUFBQUFBSmRENGhNQUFBQUFBQUNBeXlIeENRQUFBQUFBQU1EbGtQZ0VBQUFBQUFBQTRISklmQUlBQUFBQUFBQndPU1ErQVFBQUFBQUFBTGdjRXA4QUFBQUFBQUFBWEE2SlR3QUFBQUFBQUFBdWg4UW5BQUFBQUFBQUFKZEQ0aE1BQUFBQUFBQ0F5eUh4Q1FBQUFBQUFBTURsa1BnRUFBQUFBQUFBNEhKSWZBSUFBQUFBQUFCd09TUStBUUFBQUFBQUFMZ2NFcDhBQUFBQUFBQUFYQTZKVHdBQUFBQUFBQUF1aDhRbkFBQUFBQUFBQUpkRDRoTUFBQUFBQUFDQXl5SHhDUUFBQUFBQUFNRGxrUGdFQUFBQUFBQUE0SEpJZkFJQUFBQUFBQUJ3T1NRK0FRQUFBQUFBQUxnY0VwOEFBQUFBQUFBQVhBNkpUd0FBQUFBQUFBQXVoOFFuQUFBQUFBQUFBSmRENGhNQUFBQUFBQUNBeXlIeENRQUFBQUFBQU1EbGtQZ0VBQUFBQUFBQTRISklmQUlBQUFBQUFBQndPU1ErQVFENGYremRkM3hUNWVMSDhXODZvQzFiSzBNUW1USmtnMWNSeFExY0VQU25Ja3RBQkZrQ3NwRWhVMlMxaUNDeWthR0FnSXVsZ29ySVZKQlZoa2d2dTh3Q2hkYk90UG45MGR2Y2xpWnBrb2FtSEQ3djErdSticHFjOFJUelBEM25lNTRCQUFBQUFEQWNnazhBQUFBQUFBQUFoa1B3Q1FBQUFBQUFBTUJ3Q0Q0QkFBQUFBQUFBR0E3Qkp3QUFBQUFBQUFERElmZ0VBQUFBQUFBQVlEZ0Vud0FBQUFBQUFBQU1oK0FUQUFBQUFBQUFnT0VRZkFJQUFBQUFBQUF3SElKUEFBQUFBQUFBQUlaRDhBa0FBQUFBQUFEQWNBZytBUUFBQUFBQUFCZ093U2NBQUFBQUFBQUF3eUg0QkFBQUFBQUFBR0E0Qko4QUFBQUFBQUFBRElmZ0V3QUFBQUFBQUlEaEVId0NBQUFBQUFBQU1CeUNUd0FBQUFBQUFBQ0dRL0FKQUFBQUFBQUF3SEFJUGdFQUFBQUFBQUFZRHNFbkFBQUFBQUFBQU1NaCtBUUFBQUFBQUFCZ09BU2ZBQUFBQUFBQUFBeUg0Qk1BQUFBQUFBQ0E0UkI4QWdBQUFBQUFBREFjZ2s4QUFBQUFBQUFBaGtQd0NRQUFBQUFBQU1Cdy9MeGRBRnZ1TDEvdGdUeitmdVc5WFE0QTNwTmlVVkpNY2t6WXRmRHdtOTR1QzRDN0M5Y2h5SzZFaElTVEYwNGVQZTN0Y2dCR1JCdU43S0tOdG8vNmhlektqZlVyMXdXZlpjclVLaU4veTJjeVdTcDd1eXdBdk1kSHBwU0Nmdm1XWEZQZGtkS2ZTZDR1RDRDN0E5Y2g4SVM4QVhuT2xDbFRxOVdwVS90UGVic3NnSkdVckZDamxMK2ZhUWx0TkxLRE50bzJyb0hnQ2JteGZ1VzY0Rk1CS2lPVEtwdGtLaDRVR0NoZlAxOXZsd2hBRGt0SVNGUmlZcUlzRnRVcVhUb3gvNWt6dXU3dE1nRzRTM0FkZ214SU5pY3JMajVlS1JaTGdBSlVSbEt1dWVnSGpNQmZLcFhXUmdjR0JzcVBOaG91b0kzT0F0ZEF5SWJjWEw5eVgvRDVYMEdCZ2VyZjV4MVZyVkxKMjBVQmtNTldyUHBhYTlaL0wwbnk4ZkcxZUxrNEFPNUNYSWZBSFVlT0h0T01XWE1WZFpOWldvRGJLU2d3VUwxNmRGV3RHdFc4WFJUY1FXaWpuY00xRU55Um0rdFhyZzArZmYxOFZiVktKVDMycjNyZUxncUFITFoxKzA3cjY1U1VaSk1YaXdMZ0xzVjFDTnpsNysvdjdTSUFodWZyNTZzcWxTclNSc05sdE5GWjR4b0k3c3F0OVl0VjNRRUFBQUFBQUFBWURzRW5BQUFBQUFBQUFNTWgrQVFBQUFBQUFBQmdPQVNmQUFBQUFBQUFBQXlINEJNQUFBQUFBQUNBNFJCOEFnQUFBQUFBQURBY2drOEFBQUFBQUFBQWhrUHdDUUFBQUFBQUFNQndDRDRCQUFBQUFBQUFHQTdCSndBQUFBQUFBQURESWZnRUFBQUFBQUFBWURnRW53QUFBQUFBQUFBTWgrQVRBQUFBQUFBQWdPRVFmQUlBQUFBQUFBQXdISUpQQUFBQUFBQUFBSVpEOEFrQUFBQUFBQURBY0FnK0FRQUFBQUFBQUJnT3dTY0FBQUFBQUFBQXd5SDRCQUFBQUFBQUFHQTRCSitBUVZnc0ZtM2V2RmtkT25UUS92Mzd2VjBjNEs1RVBRUUFBQUNBM0lQZ0V6Q0lYVDRKeFd3QUFDQUFTVVJCVkx0MmFlREFnVHA4K0xCQ1EwTmxzVmk4WFNUZ3JrTTlCQUFBQUlEY2crQVRkNFNFaEFUVnJWdFhkZXZXVlZoWW1FdjdybDY5V25YcjF0VXJyN3h5bTBxWE85U3ZYMSsxYXRXU0pCMDVja1EvL3Zpamwwc0VlTWZLbFN1dDdjV0xMNzZvMk5qWUhEczM5UkFBQUFBQWNnK0N6enZJOU9uVE5YMzZkSjA3ZDg2bC9RNGVQS2czMzN4VEowNmN1RTBsUTVxMGtMVnUzYnBhdlhwMWpwKy9SNDhlMXRjelo4NVVVbEpTanBjQjhLWWpSNDVvNnRTcDFwOHZYNzZzdzRjUDUyZ1pxSWNBQUFBQWtEdjRlYnNBdVYzZHVuVno5SHc3ZHV4UTNyeDViWDYyZVBGaVNkTGpqeit1VXFWS09YVzgyTmhZOWUzYlZ6ZHUzTkN3WWNPMGRPbFMrZnY3TzEyZVVhTkdhZDI2ZFU1dm54MVBQZlZVaHNBQ3JxdFhyNTVxMTY2dGZmdjI2Zno1OC9ycHA1LzA3My8vMjl2RmdnSGtSRnRRcDA0ZHpaczN6KzM5TDE2OHFINzkraWtwS1VtRkNoWFN2ZmZlcXhNblRtaklrQ0Zhc21TSjArMW1kbEVQQVFBQUFDQjNJUGcwdUtDZ0lBMGNPRkR2di8rK2poOC9ydm56NTJmb2pYU25PM1hxbEY1OTlWV250ajE5K25TV1FYYkZpaFcxWXNVS1R4VE5henAzN3F5SkV5ZXFWNjllZXVHRkY3eGRIQ0JIWEx0MlRlKzg4NDRpSXlQbDYrdXJTWk1tcVZTcFVtcmZ2cjJ1WDcrdXZuMzdhdkhpeGNxWEwxK09sSWQ2Q0FBQUFBRGVSL0NaaFY2OWV0bDgvOUtsUzFxMWFwVWtxWEhqeHFwWXNXS1d4MXF3WUlIaTR1SlVzV0pGTlc3YzJPWTJmbjZlLzAvU3RHbFRyVisvWHJ0MjdkSzMzMzZyVHAwNktTQWd3T1hqaElTRWVMeHNralJpeEFqRng4ZTd0YStQajQveTU4L3ZjSnVrcENRbEpDVElaREpsR1hya1ZDaVNsWVNFQkQzKytPUFpPc1o3Nzcybjk5NTd6K1g5ZnZ6eFJ3VUhCMmZyM0RDZUprMmFxRktsU2s1dEd4b2FLa21xVXFXS21qWnQ2dlE1aWhZdDZsYlpybDI3cG03ZHV1blVxVk9TcEVHREJ1bVJSeDZSSkUyZE9sVTlldlRReVpNbjFiOS9mMDJkT3RYcGVrNDlSRzRRRmhhbXYvNzZTN0d4c1NwWnNxUWFOR2lnd01EQWJCL1hZckhvNE1HRE9uTGtpT0xqNDFXOGVIRTk5dGhqS2xLa2lOUEhNSnZOMnJadG0wNmVQS2w3N3JsSFR6enhoTzY5OTk1c2x3MEFBT0IyQ2dzTFUxaFltQklTRWxTaVJBblZyMTlmaFFvVnlySHozN3g1VTF1MmJOSFZxMWRWc21SSk5XelkwTzdJMzF1ZE8zZE9mL3p4aDZLaW9sUzRjR0g5NjEvL3lyR1JiWGNxZ3M4c2RPclV5ZWI3WVdGaDF1RHpxYWVlc2h0a3ByZHMyVExGeGNXcGJObXlkbzk3dXd3WU1FQXpac3pROE9IRDNRbzlKZW1aWjU3eGNLbFNaU2ZzTFYyNnRMWnMyZUp3bTlXclYydkNoQWtxWGJxMHZ2NzZhN2ZQQmR6TjZ0ZXZyL3IxNjJlNVhYeDh2RFg0ckZHamh0cTJiWHRieTNYMjdGbjE2dFhMT3ZmeE8rKzhvNVl0VzFvL3IxR2poa0pDUXRTM2IxL3QyYk5IM2JwMTA0d1pNMXdLZHdCdkNBOFAxOGlSSTNYMTZsVTkvZlRUdW5uenB1Yk9uU3MvUHo4TkdEQkFMVnEwY1B2WXAwNmQwdkRody9YWFgzOWxlTi9mMzEvdDJyVlR6NTQ5NWV2cjYvQVlZV0ZoMWdlWERSbzAwTzdkdXpWaHdnVDE3TmxUSFRwMGNLb2NIMy84c1pZc1dXTHpzOEtGQzJ2RGhnMVozZ1FjT0hCQXMyYk4wc01QUDZ6ZXZYczdkVjRBY01YNTgrYzFmLzU4blQ1OVdnc1dMSEQ3T0xHeHNXclZxcFhPbnordkRSczJxRml4WXRrcTEvYnQyOVduVHgrN24zLysrZWVxVXFXSzNjK3oyd1ozN05oUmh3NGRzdm5aazA4K3FXblRwdG5kOTFiSGpoMVRodzRkVkx4NGNYMzMzWGRPN3dkajgrUjNMTTNseTVjMWJOZ3c3ZHUzTDhQN1FVRkJHakpraUY1ODhVV25qcE9kK3JkbXpScE5tVEpGSlV1V1ZQWHExZlg5OTk5cjh1VEpHanQyck1QN3JhU2tKRTJlUEZuZmZQT05MQmFMOVgyVHlhVFdyVnVyZi8vKzh2RmhHUjliQ0Q0TjROaXhZMDZIQzcvOTlwdkR6NnRWcTJhZFN4VGU0K2ZucDFHalJqbmM1dWVmZjlhMmJkc2tTZSsrKzY0S0Z5N3NrWE5uMVlNV2NDUTZPdHI2MmxQZlNYdjI3dDJyUVlNR0tTb3FTcExVclZzM3ZmWFdXNW0ycTErL3ZpWlBucXdoUTRibzZOR2o2dFNwa3o3OTlGUGRmLy85RG85UFBZUzNIRHQyVEYyNmRGSGx5cFUxYjk0OGF5L2wwNmRQcTN2Mzdob3pab3h1M0xpaDl1M2J1M3pzYytmT3FWT25UcnA1ODZZa0tTQWd3RHJxSWlrcFNZc1dMZExaczJjMWFkSWttVXdtbThmWXYzKy9ldmJzcWRLbFMydng0c1hXNy8yeVpjc1VHaHFxNk9ob3ZmUE9PdzdMRVJNVG82Kysrc3J1NXkxYnRuUjR3eDBXRnFiWnMyZHIxNjVka3FTcVZhczZQQjhBdU9yaXhZdGFzR0NCMXF4Wkk3UFpyR3JWcW1YcmVGT25UdFg1OCtjOVZEcnBzODgrcy90WjdkcTFIWWFlMlcyRGQrL2ViVGVRa3FSMjdkclovZXhXU1VsSkdqbHlwTXhtczlQN3dQZzgrUjFMRXgwZHJhNWR1K3JLbFN1cVY2K2VBZ01EZGZEZ1FkMjRjVU94c2JFYU5XcVVDaFVxcENlZmZETExZN2xiL3o3Ly9ITjk5TkZIYXRhc21VYU5HaVZmWDErbHBLUm84T0RCZXZmZGR6VnQyalM3STg1R2pCaWhuMzc2U1E4Ly9MRHV1KzgraFllSDY5eTVjN0pZTEZxK2ZMbjgvZjMxN3J2dk92ZVBjWmNoK016RjdEM2g2TmF0bS9WMTE2NWQ5ZlRUVCtka3NYSWxaOEpmUjNOOHRtblRSZ01IRHJ3ZFJYT0xyNjl2bHIxNWpoOC9ibjNkdEdsVGhzVWlWMGdMVTZUYkczd3VYYnBVTTJiTVVISnlzaVJwOE9EQmF0V3FsZDN0bjNycUtjMllNVVA5Ky9mWDJiTm4xYkZqUjQwZVBWb05HalN3dXcvMUVONFFIeCt2QVFNR0tERXhVUjkrK0dHR3FSa2VmUEJCalJzM1R0MjZkZFAwNmROVnExWXRWYTllM2FYamp4czNUaWFUU1VPR0RGR2pSbzFVdUhCaFhiNThXZlBtemJPT2l2ajU1NS8xMVZkZjZiWFhYc3UwZjNSMHRBWVBIcXlFaEFTTkdERWlRejF2MDZhTjFxeFpvNFVMRjZwT25Ub09leTJzWExsU1FVRkJxbDI3ZHFiUFRDYVRYbi85ZFp2N1dTd1dUWmd3UVltSmlkYWUzZ0RnYVN0V3JOQ2hRNGQwNGNJRmp3UnlPM2JzMERmZmZPT0JrcVU2Y09DQURoOCtyQ2VlZU1MbTUxbUZRdTYyd1drKysrd3pWYXhZMFdhdjFYdnV1Y2M2NVpBelpzMmFwZkR3Y0tlM3g5M0JrOSt4TktHaG9hcFVxWklXTFZwa3ZYNkppNHZUbURGanRHblRKa25TOU9uVHN3dyszYTEvQnc0YzBMUnAwMVM0Y0dFTkd6Yk1PcnJHeDhkSDc3MzNuclp1M2FxaFE0ZnFtMisrMFQzMzNKTmgzN1ZyMStyRWlSTmF0V3FWeXBVckp5bjFtdWlMTDc3UVJ4OTlKQ24xQVhTN2R1MjRIN0dCNE5OZzVzK2ZyNkNnSUpmM1c3Tm16UjIvcUU4YVorWmJUWFB4NHNVTVBkVHVKT25uUlhWMytnTEEwOUo2WDBxNkxYUDlYYmx5UldQR2pOSE9uVHNsU1lHQmdSbzdkcXllZmZiWkxQZDk1SkZITkhmdVhBMFlNRUNYTGwxU256NTk5TW9ycjZoZnYzNXV0WnNTOVJDZXQyelpNbDI0Y0VHUFAvNjQ3cnZ2dmt5ZjE2dFhUMVdxVk5IUm8wYzFlZkprTFYyNjFPbGpIenQyVEgvOTlaY1dMRmlnQ2hVcVdOOHZXclNvaGc4ZnJ2ejU4MXVIUFM1ZHV0Um04RGx2M2p4ZHZYcFZsU3RYenRUN3lXUXlxVVdMRmdvTkRkV2tTWk8wZXZWcW05UFp4TWZIYTlteVpSbzZkS2llZSs0NXA4dWZkbzZoUTRmS1pETHA4T0hEVGcrckJ3Qlh0R3JWU3ExYnQ1YlpiTlp6enoybm1KZ1l0NDhWSFIydHNXUEhxblRwMGpwejVveEh5dmZaWjUvcDVaZGYxcEFoUTF6ZU56dHRzQ1FkUFhwVWUvZnUxZHExYTIzK25YSkZXRmlZdnZqaUM1VXNXVklSRVJIWk9oYU13NVBmc1RTblRwM1N6WnMzRlJvYW1tRkVTMkJnb0VhT0hLbURCdy9xMHFWTE9uSGloRzdldkttQ0JRdmFQWmE3OVcveTVNbXlXQ3hxMXF4WnB2dUc0T0JnTldqUVFGdTJiTkhISDMrc01XUEdXRDh6bTgzNjl0dHZOWC8rL0F6emtKcE1KcjN4eGh2YXYzKy9ObS9lTExQWnJMQ3dzTnMyUmVHZGpPQXpGeHMzYnB6aTR1S3NQNmYxYUJ3eFlvUjFTTmU5OTk2cnExZXZXcmVwVUtHQ0NoUW9JRWs2ZE9pUXlwVXJaL09HL3VqUm82cGN1YksxMHJ2elZHRFVxRkZhdDI2ZFMvczBhdFJJRXlaTXlISTdSNnUxdi9ubW05YlgrZlBuenpUSHB5c0JyanUvUTI1QjRJTGM2T3paczliWEpVdVc5Tmh4TFJhTDFxNWRxNmxUcDFvZlZwUXFWVXFob2FFWkFweXNWS2xTUlo5Ly9ya0dEeDZzZmZ2MjZldXZ2OWJ2di8rdTk5OS8zNjBueDlSRGVGcmEzR2FPdnRjdnZQQ0NqaDQ5cWlOSGp1amd3WU9xVWFPR1U4Zis3YmZmOU82Nzc5bzlkcytlUGJWaHd3WkZSa2JxM0xsenVucjFhb1lIR09tSFJ0cnJ6Zm12Zi8xTFVtcGJzSFhyVnBzWDM5OTk5NTBLRlNyazlvVjUyclhMQXc4ODROYitBSkNWdEhiR3o4OVBKVXFVeUREQ3cxV1RKazFTaVJJbDlNSUxMMWpuUWMrTzQ4ZVBhK2ZPblc3UGhabmRObmpod29WcTNyeDV0Z09wK1BoNGpSdzVVdTNhdGRQWnMyY0pQbUhscWU5WWV2ZmVlNjlHang1dGN4cWZvS0FnTldqUVFGOS8vYlZNSnBQRGEzcDM2OS91M2J1dGM2dmJ1NFo2OU5GSHRXWExGdjN3d3cvcTI3ZXZkVTBDazhtazhlUEgyMTE4NllVWFh0RG16WnV0dndzeVkrYlRYS3gwNmRLcVZLbVM5WDlwSG5qZ0FldDc5Z0xMcFV1WDZxMjMzbEszYnQweTlNQ1NVbnQzdnZIR0crcmR1N2NpSXlNbHBYYXY5dkh4eVhJeEErUWVhYUc0bjU5ZnRoYUlBandwZlU4R1Q0VVNmLy85dDdwMDZhSXhZOFpZUTgrOGVmUHEzTGx6YXRXcWxlcldyZXZTLzE1NDRRWHQyN2RQd2NIQjh2WDFWVVJFaExwMzc2NGVQWHJvd0lFRExwV05lZ2hQU2dzY0pUbGN1YjFtelpyVzEybHp6RG9qWDc1OERpZnQ5L2YzenpEOVEvcUhyMUpxY0pvVzlqLzAwRU0yajFHdVhEbmx5Wk5Ia3JSKy9mcE1uNXZOWmkxWnNrVFZxbFhUaFFzWG5DNjdMVHhzQU80TXBVcVZDcXllT2kvSEhmbUhNanR0emViTm03VjU4MmFOR3pmT1kvZFppeFl0VXJseTVYVHo1azNybEQvT3ltNGJmT3JVS1czZXZGbmx5cFhMZEkvcHF1blRweXR2M3J6cTBhTkh0bzREWS9Ia2R5eTlBZ1VLT096RldiUm9VVWxTM2JwMXJkY3h0cmhiLzc3Ly9udnI2L1RaVG5xVksxZVdsRnBQZi9qaEIrdjd2cjYrS2w2OGVKWmx6NWN2WDdibklqYXFPL0tQRHpJcVg3Njhmdnp4UjBtcFR3TUdEUnFrWDM3NVJWSnFPSkNVbEpSaCt5dFhyc2pIeDBjN2QrNVVxMWF0TkhMa1NIWHMyRkVkTzNaMDYveWxTNWZXeElrVEhXNHpjdVJJbCtadUtWR2loQll0V21UOU9Ta3BTVysvL2JZazZmMzMzMWY1OHVVbHllWUZoTDE1UE4yUmtKQmdkM0xockV5WU1NR3AzcTFwMXE1ZG0rVmlLK21sRGJseGRITU01TFMwNExOSWtTSVo1aVoweDhXTEZ6VnIxaXl0WDcvZXVuSmgwYUpGTlhUb1VIMzc3YmVaZW51N3FrNmRPbXJmdnIyR0R4K3VNMmZPNkk4Ly90QWZmL3loeHg1N1RQMzc5N2UyTTQ1UUQrRkpGeTlldEw2K05YUk1MMzF2YWtjVC85L0ttWVVRMDE5WTMvcHdOVzJLQ1VsMi8xNzUrUGlvVktsU09uSGloUDc4ODg5TW4vL3d3dys2ZVBHaTFxMWJwM1hyMXFsa3laSnEwYUtGWG4vOWRZYzNKUGJPQlNEM0sxaXdZQ0UvUDcvcHRXdlhyaVJwZVhKeThoZUppWW1uZlh4OG9vOGNPWkxvN2ZKbHhkMjI1dnIxNi9yZ2d3L1VyMTgvbFNwVnlpTmxpWWlJME1hTkc1V1NrcUkyYmRxb1FJRUNhdEtraVZxM2JxMHlaY3BrdVg5MjIrREZpeGZMWXJFb0pDUkVJU0VocWw2OXVsNTU1UlUxYmRyVXBRZkF1M2Z2MWpmZmZLTWxTNWJJMzkvZjZmMWdmSjc2anJucS9QbnpNcGxNR2RaVHVWVjI2bC9hWW94NTgrYk5OSDlubWdjZmZORDYrczgvLzFTYk5tMmNMcnVVdWtaTWR1Ky9qSXJnMHdEOC9Qd1VIQnlzUFh2MmFPellzZFpoQXAwNmRWS1BIajB5aFlPZE8zZFduVHAxTkdMRUNGMjhlRkg5Ky9mWDY2Ky9ybjc5K2psOHVtRlAzcng1N1Q2MVNPUHFrOUs4ZWZObVdMQWhJU0hCK3JwOCtmSU9GM09vVTZlTzArYzVkZXFVcmwyNzVsTFpjb3Uwd0NVNk90cnRzTmZmMzkvYUNBTzJ1UHZkdW43OWVyWWVRcXhkdTFiWHJsM1REei84SUl2RklqOC9QN1ZzMlZJOWV2UlF2bno1VktCQUFUVnUzTmptdm1heldTTkhqcFFrUGZ2c3MzcisrZWR0YmxlaVJBbFZyVnBWeTVjdjE4eVpNL1hsbDE4cU9UbFpmLzMxbDlPcnFsTVA0VWxwQWI4a2h5di9wcitvVFQvZGpTZkV4c1pLU3UzUmVldmY3aU5IamxoZk94cCtkdSs5OTFybnlMcHc0WUpLbENnaEtmWDNTLzlRVTBxOWlaZzFhNWFXTDErdUFRTUdxR25UcHA3NlZRRGtNaWFUcVlTay9uNStmajM5L1B5T1dpeVczMnZYcnIxSDBwNTkrL2E1TnVUaURqQisvSGhWcVZMRjVueko3bHE4ZUxGU1VsS3NQMGRIUjJ2VnFsWDY1cHR2MUs1ZE8vWHMyZE51T0pUZE52alNwVXZhc0dGRGh2ZkN3c0tzODNTT0hqM2E0VXJ5YWY3NTV4K05IajFhWGJ0MmRXbHRCaGlmcDc1anJvcU5qZFd2di82cTd0MjdPOHdTM0sxLzE2NWQwNlZMbHlRNXZuNHFWS2lRZkgxOXJmY2p6bHEvZnIwZWZmVFJERk1DSWlPQ1R3T0lqWTNWOU9uVHRXclZLa21wUGFMR2pCbGpuV2ZMbHRxMWEydjU4dVVhUFhxMHRtelpvcFVyVityZ3dZT2FOR21TeDU1SWVzdThlZk9jM2phck9UNTlmWDJkZnRJaVNlSGg0ZHE5ZTdlazFJVlVYSmw3ME5Xbk0rbFh6M1lYVDRTUW0xV3JWazBEQmd6UWpoMDcxTGR2M3d4UFVtMnRRcG9tSVNIQkdueFdxRkRCYmtDYUppQWdRQU1HREZDTEZpMDBaY29VZGVyVXllWUtrclpRRCtGSjZTK0d3OExDWkxGWWJNNUZsWDV1MlgvKytjZWpaVGg1OHFRa3FVbVRKcGsrU3gvR09scThMUDJEZzRpSUNHdndlZjM2ZFRWcTFFZzNiOTdVdVhQbkZCWVdaaDNHRmhVVnBmZmZmMTluejU1MTJOc0N3SjN0disxYWdLVGFrbXBKYW04eW1TSnIxNjU5eEdLeHJFeE1URng5NU1nUjkxY1N5aVhXcjErdlBYdjJXTy9QUEtWVXFWTHEwS0dETGw2OHFNT0hEMXM3dkpqTlppMWV2RmpIangvWGxDbFRiSFk2eVc0YkhCa1pxVTZkT3VuYXRXczZkZXFVRGgwNlpPMmNFaDRlcmk1ZHVtalNwRWwyVjdwT0V4SVNvcUpGaTdvOTJoREc1YW52bUN1U2s1TTFidHc0UGYvODgrclNwWXZEYmQydGYrbm5yM1cwdG9ySlpGSytmUG1zRDQ1VFVsS3k3SEcrY3VWS1JVVkZhZUhDaFV4YjZBREJweDFyMXF6SnNKS1dJOE9HRGRPd1ljT2NQdmJHalJ1MWNlTkd1NStQR2pWS0xWcTB5UEk0aVltSmlvdUxVNzkrL2F6ejBqVnExRWpEaGcyekxuRGtTTUdDQlJVYUdxclpzMmRyL3Z6NSt1dXZ2OVM1YzJkOTk5MTN6SnYxWDM1K2ZobzRjS0RUMjY5ZXZkb2FmRDcvL1BNZWZjSjdxN1JlUGxXcVZGSDc5dTFkMm5mYXRHbTZmUG15MDczYWNQY2FNR0NBMDlzZU9IQkFQLzMwa3lTcGRldlcyVnJjS0cyNDFldXZ2NjdYWDMvZDdlTzRvbUxGaXBvN2Q2NUwrMUFQNFVuRml4ZTNybXg3NmRJbC9mSEhIM3IwMFVjemJaZStsNmNuZy9QNCtIanQyYk5IK2ZMbDAvLzkzLzlsK0N3bUprYUppYWtqVXZQa3llTnd1Rm42MFNQcFYwSys1NTU3MUxWclYrdlB5Y25KK3Zubm4vWHh4eDliaC9uUG5UdFhKVXFVY09vNkNNQ2R4MlF5cGUvZGJwS1V6Mkt4NURPWlRBK2FUS1ovNTgyYmQwYnQyclZYSmljbmY1R1Nrbkw0MnJWcjBlZlBuNCtUWkxGLzFOemw4dVhMbWp4NXNvWU5HK2JSeFZra3FVT0hEaGwrUG5Ub2tLWk9uV3E5Rjl5eFk0Y21USmhnOHo0MnUyM3d3dzgvckljZmZ0ajZjMnhzckZhc1dLRUZDeFlvUGo1ZThmSHhHakpraUJZdlhteTM4OGUyYmR1MGNlTkdmZm5sbDB4WGdrdzg4UjF6UlZwUStlZWZmMXFIb0wvOTl0dDJyM0hjclgvcFI1aG1OVDFXK211bzJOaFl1L2NKVjY5ZTFkeTVjN1Y2OVdwSjBwZ3hZelJ3NEVDSEQ2YnZaZ1NmZDZDREJ3OXF3NFlOK3Zubm56Vm8wQ0M5Kys2NzZ0T25qMXEzYnEzNTgrYzdERlZ2VmI5K2ZYM3l5U2Q2NktHSDlPR0hIK3FERHo2NDQwTlBUODd4bVZ2ZHVISEQydU9uYXRXcVdmWm91OVgwNmRNbDBkTU1XWE5tVHNBMCsvYnRrNVE2ZEx0Mzc5NTNmRnVTRmVvaGJvZldyVnRiVi8yZE9uV3FGaTllbktrdTdkKy8zL3Jha3pmVjY5YXRVM3g4dlByMDZaTnBycmYwdlV6ejVzM3I4RGpwaCt5bkRaMjN4ZGZYVjQwYU5WTERoZzAxZHV4WTYzemxvYUdoZXVhWlo1eDZpSnRiV1ZJczh2ZE5MbGVyVnEzL3ZXZXhaTzYrYStPejlEZGNEdlp4NmxpdWZKYittTGYwR3JHNWp5Zk80MmcvWjhyZzZGeTNvUXgyOTNQblhPNysrL242K3VaSUdlenRJMGsrUGo0dUhjOWtNaFdTVkR6ZHoybmJwOTgzN1dWK2s4bjBscCtmMzFzV2krVmtzV0xGZmk5V3JOaGhpOFd5T1RFeGNYZHNycDhSVkJvN2Rxd2VmL3h4bDY4TDNGR3RXalV0V0xCQXk1Y3Z0Lzd0V0xkdW5WcTBhSkhsUFZGMjIrQ2dvQ0M5OWRaYmF0YXNtWHIxNnFVVEowNG9QajVla3laTnNqa0M3OGFOR3hvM2JweEg1enlGc2JuNkhYUFdwVXVYTkduU0pHM2Z2bDFtczFsUzZvaXgrZlBuNjl5NWN4bzNicHhUd2J5ejlTLzlOVlJXOTBmcDI4Vi8vdm5IWnZBNWZ2eDRiZHk0TWNQRDVZMGJOeW84UEZ6ejVzMVQ0Y0tGc3l6NzNZYmcwNDRxVmFxb1Y2OWVkaitQaUlqUU45OThJMGxxMnJTcHlwVXJsK1V4Rnl4WW9MaTRPRldzV05IaEg4SmI1NjA0ZmZwMGhrVThaczZjYVgwZEh4K3ZtalZyYXNPR0RicHg0NGJtejUrZlpUbHNlZTY1NTlTZ1FRTkRCQlYzd3h5ZmFhditTdllYbUhBazdVYVVubWJ3bEgvKytVZmJ0MitYSk5XcVZjdGpiWWtydmU5dG1UdDNyc3U5T0ozdGRVODl4TzNRdW5WcjdkaXhRenQzN2xSNGVMaTZkKyt1N3QyN3Ezang0Z29QRDllNmRldTBkKzllNi9hZW1oOHRJU0ZCaXhjdlZzV0tGZFd1WGJ0TW42Y1BnTElhU3BWMkV5SEpxWVVJQWdJQ05IYnNXTVhIeDJ2TGxpMktpWW5SK3ZYcjFicDFheGQrZzl6RkpDbkkzNyt0ajQvcDRTdzNUc2Rpc1pqUzMvUzRkVzViOHlQODd6T255NUdkTXR4eXc1aXRZMlYxREh1LzA2M3ZPL3M3cGQvUHdYK0xiUDlPbnZqdmxMNGNMdXhqN3p5MzdYZXlXQ3ltL3c1dnQzdCtXeUdveVdRcUs2bXNwR1JKUGZMbXpYdksxemRsVjB5U0pkZDJGZnpxcTY5MC9QaHhyVnk1TXNmT2FUS1oxTFp0VzVuTlpuMzg4Y2VTcE9YTGx6dmRHU1M3YlhDeFlzVTBhOVlzZGU3Y1dlZk9uZFBldlh0MS9QanhUSCtmSms2Y3FJb1ZLOTdXRVhFd0ptZS9ZNjRjYityVXFZcVBqOWV2di82cStmUG5XNmY2K2VHSEgvVFlZNCtwZWZQbVRoM0xtZnFYL20raUs5ZFE5aGIrR2o1OHVJWU9IYXE5ZS9kcThlTEYyckZqaHlUcHhJa1Rtalp0bWthUEh1MVUyZThtQko5MlZLeFkwV0ZGMnJwMXF6WDRiTmFzbVI1NzdMRXNqN2xzMlRMRnhjV3BiTm15NnRTcFU1YmJ6NWd4UTVzM2I5YnAwNmN6dkc4eW1WU25UaDAxYWRKRWpSbzFrcFRhWXloUG5qeGF0bXladzJNZU9YSkUwNmRQdDg1TGwvNXBnQkZDVDhtemMzem1Wb2NQSDdhK2RpWjB2MVZhNEhJbjk2WkI3dkxkZDk5WjUrQkphNWVrLy9YQTd0aXhvL3IwNmVPVnN0MHUxRVBjRGo0K1BwbzZkYXBtekppaGxTdFhLaXdzVE8rODg0NmsxTGx0TzNmdXJNaklTQjA5ZWxTU25McitjTWJpeFl0MTllcFZUWnMyeldaWW1YNW9WbEpTa3NOanBRMkpsNXp2MGV6bjU2ZlJvMGZyNVpkZjFvMGJON1I3OSs0N092aVVKSmtzL2hhTGJGMWM1ZVNRM1J3NWw4bGt5dlcvazV0bGRHcWY3SWJWenA3SEErZktzZjlPdC94Nysxb3Nsanp1aExQL1paRVVZREtaQ3FaSWVXVzd3Nm5YUlVSRWFOcTBhWm8wYVpJS0ZTcVU0K2Z2MEtHRGR1ellvZDI3ZDF1bjNuSldkdHZnNE9CZ2pSNDkyanBINHU3ZHV6UGNTLy8wMDAvYXRXdFhqZ2JDTUphc3ZtUHVDQWdJVUpNbVRmVGNjODlwekpneCt2Nzc3eVZKWDN6eGhkUEJaeHBIOVM4b0tNajZPdjAxa2kzcEYzVk92OSt0Zkh4OFZLOWVQZFdyVjA4clY2N1VwRW1USkVuZmYvKzkrdlRwWTNmbCtMc1Z3YWViMGcvZHVsM0RGRGR1M0doelZkZVBQdnBJVHo3NVpLYjMvZjM5N2E2dUhoOGZyNWt6WjJyRmloVktTVWxSUUVDQXVuWHJack5YQjNLL2d3Y1BXbDg3V3VIZWxyaTRPT3VUSkFJWGVFSnljckwxb1V0Z1lLRE5SVkhjVmJkdVhYMzQ0WWN1N2VQc3F1NzJWS3RXemFudHFJZTRYZkxreWFNQkF3YW9XN2R1T25yMHFKS1RrMVdoUWdVRkJ3ZnIwcVZMMXRDelNKRWlIcG5lNWVqUm8xcXdZSUhHakJtajh1WEwyOXdtSUNCQUJRc1cxTTJiTnhVZkgyOTM0U1VwNDZKZlJZc1dkYm9jQlFzVzFNc3Z2NnpGaXhmcjh1WExydjBTdVl4RlVteWllWEgrUEg0bnBDeEROL3ZkQ3Uzc2w1eWNiUE45VDUvSDBXZG1zOW5sZmR3NVQxYWYyU3ZIblZvR0h4K2ZiSmN2L1kyMU83K1RKOHFYL3ViZHg4Y24yTS9QNzJOSkdTWXR0aGZpcGhzS2YxTFNIeGFMWlU5eWN2TDI1T1RrUDJNVC9lckkzL1NxdlRKNGk4VmkwZWpSbzlXa1NSTTkvdmpqWGl0SGh3NGR0SHYzYnNYRXhDZ3VMaTdMK1FUVHkyNGJYTHQyYlZXclZrMkhEaDNTbFN0WHJPOWZ2WHBWRXlaTTBIdnZ2ZWZ4T1U5eGQ3SDNIY3N1ZjM5L2pSbzFTZ2NQSGxSRVJJVEN3OE5sTnB1ZEdyV1NucjM2bC81YUtQMnc5MXVaeldicjV3VUxGblM2WTlycnI3K3VzTEF3YmRpd1FXYXpXZUhoNFE0WHVyNGJFWHk2S2YwZmc5dVZwcGN0VzFiQndjRnEyTENoR2pac2FGM2d3NVUvWUZKcUw4OFJJMFpZZTQ0Kzl0aGpHajU4dUZ0RE0yMDVmdnk0MStiVmpJeU16UFR2WWZRNVBzMW1zN1p0MnlaSktsMjZ0SW9VS2VMUy91bm5BaUZ3Z1NkODg4MDN1bkRoZ2lTcGVmUG1EcDlPdXFwa3laSTJGMGs2ZWZLa3hvOGZyNkZEaDJZS2FoeXQ2bjc4K0hGTm5qeFpIMzc0WWJZdXZxbUh5QW41OCtmWEk0ODhrdUc5OVBONHQyN2QydVdMOGx2RnhNVG92ZmZlVThlT0hiTjhhRkd1WERudDM3OWZ5Y25KdW5Iamh0MDVwTktDVDE5Zlh6M3d3QU11bGVlUlJ4N1I0c1dMTTB6dWZ5Y3krWmhrVHZFN3NYLy8vbCs5WFJiQTI2cFdyZnFQcjY5dm5LMjVQZE9rZTVBU2E3Rll2clZZTEt2TVpuTlliR3hzNUlrVEoyN3F2OEY5bVFvMWNxalVyamx3NElEMjd0MnJ2WHYzNnV1dnY4NXkrNlpObTBwS3ZZL2N0R21UeDhwUnAwNGQ2d0pTOW9iSk9wTGROcmhldlhvNmRPaFFobk4vKysyM2lvcUtjbXBCNEhQbnpsbnY1Um8xYXFRSkV5YTRWUTRZbDYzdm1DZjQrL3ZyNVpkZjFzeVpNMld4V0JRWkdhbml4WXRudldNNjl1cmZndzgrS0I4Zkg2V2twQ2d5TXRMdS9qZHUzTEMrTGxPbWpFdm5idG15cFRaczJDQkpIZzJGallMZzAwMW56cHlSbERvc3dOVUs0YXlwVTZkbSs0Wm15WklsK3VTVFQ1U2NuS3lBZ0FEMTdkdFhMVnUyOUZBSnZjTmlzV2puenAzNjZxdXY5TnR2djJuZXZIa1pub1lZZlk3UDMzLy9YZEhSMFpLa3A1OSsydVg5MHplb3R5NWVBYmpxeG8wYit2VFRUeVdsOWdqcjNMbnpiVCtuMld6VysrKy9yNk5IajZwdDI3WmF1SEJoaGhVZzdZbU1qRlRYcmwxMTgrWk5kZTdjV2JObXpYSjc1WG5xSWJ3aE5qWldpeGN2bHBRNjVDdTdROEhOWnJPR0RCbWlhdFdxcVVlUEhsbHVYN05tVGV2Q1NoY3VYTEFiZktZOUNIbm9vWWRjbmtZbk0va1hkUUFBSUFCSlJFRlU3U0dDdTNVVFFPNldidjVPV1ZKL1NEU1pUTkVXaStXWXBDOWlZMk0vUDNic1dMUlhDK21HOVBQeWVWTkFRSUNDZ29KVW9FQUJ0KzRqczlzR3AzVUlTcjk0VVc3NXQ0RXgyUHFPZVVyNkhNR2RqZ24yNmwrZVBIbFV0V3BWSFRwMFNCY3ZYclE3YWliOWFOOGFOVng3eUZPOWVuWDUrZm5KYkRiVHFjSUdnazgzSFRwMFNGSnFUNStzSnFoMVYzWkN6My8rK1VjalI0N1VyNyttZGpTb1VxV0tKa3lZWUxmblJkb2ZKSGZPV2JwMGFVMmNPTkhoTmlOSGpsUjRlTGpMeDdhbFQ1OCsxc0JCU2wyVjdjRUhIN1QrYlBRNVByLzg4a3ZyNi9SektUb3IvUkJFYjh3L0JHT1pQSG15TmNScjM3Njlnb09EYi9zNVAvMzBVK3RRMy9yMTY2dHExYXBPN1JjY0hLdzMzbmhEbjM3NnFTSWlJdFM1YzJmTm5qM2I1U2VxRXZVUTN2SDU1NS9yK3ZYcmtxUWhRNFprZTJHc0tWT21LREV4VWFOSGozWnFZWlNHRFJ0YWc5ZS8vLzQ3MDJLTWtuVHg0a1hyRU5lR0RSdTZYS2FyVjY5S2twNTY2aW1YOXdXUSsvMjNyWW0zV0N4L1NmcmRZckhza2JSNzM3NTlCN3hic3V5cFZLbVM1c3laNDNDYnpaczNhOFdLRlpKU0Yvb3BVcVNJeDN1dHhjZkg2NTkvL2xHelpzM2Myais3YlhCa1pLUjhmSHoweEJOUFdOOXIzcng1bGlQeVpzK2VyWDM3OWlrNE9Gamp4NCtYZFB0R1ZlTE9adXM3NWlscG5SRWVlT0FCdDZZemRGVC9HalpzcUVPSERpazJObFlSRVJFMmc5djBhN3U0V2dkTkpwUHk1OCt2cUtnb205ZG5kenVDVHpkY3VYSkZmLy85dDZUVXJ0YTV6Y1dMRjlXM2IxOGRQMzVja3ZUcXE2OXE0TUNCRG9jc25EaHhRcjE3OTFhVEprM1VzV05IbC83UTVNMmIxKzdjb21uY1hUanA4dVhMMnJScGszNzQ0UWZyZTlIUjBUS1pUSHIwMFVmVm9rVUxQZlhVVXpwMTZwUmJ4Ny9UaEllSFcxZk9ybGl4b2x1TldsUlVsUFUxZ1F1eTQ5dHZ2N1hXemZMbHkrdXR0OTdLMXZGT25UcWxVYU5HcVhIanhtclNwSW5OZHVqbm4zKzJCaS8zMzMrL3hvMGI1OUpLdHAwN2Q1YS92NzgrL3ZoalhibHlSVysvL2JabXpacWxDaFVxT0gwTTZpRzg0ZVRKazlidmZ2djI3Zlhzczg5bTYzaXpaOC9XM3IxN3RYRGhRcnMzM3ZIeDhZcVBqN2YyN0t4VnE1WXFWcXlvNDhlUGErL2V2WHJwcFpjeTdaTzI2SmV2cjY5YXRHamhjcm0yYk5taVVxVkt1UldhQXNqZExCYkxKVWxmV3l5V2xXYXorVDlSVVZHUjU4NmRpL04ydVR5aFFJRUNXZDRYL3VjLy83RytybEdqaG9vVksrYnhjdnoyMjIveTlmVlZxMWF0M05vL08yMnd4V0xSMXExYk0xM0QzWC8vL1ZsT3NaYlcwelFnSUNCWDNsOGpkN0QzSGZPVWMrZk9TWkxiNnhVNHFuOHZ2ZlNTNXM2ZEs3UFpyTDE3OTlvTVB0T3VvY3FVS2FQYXRXdTdkTzdvNkdqZHVIRkR0V3ZYWmk1ZEd3ZyszZkRGRjE5WVg5dGFaTWliVHA4K3JXN2R1dW5LbFN2eTgvUFQ4T0hEbmJyeHVIcjFxaUlqSS9YNTU1L3IzLy8rdDFNTnlaZ3hZelJtekJpbnlwVjJzK2FzUFh2MmFNNmNPZHEzYjErR2VZQktsU3FsRmkxYTZNVVhYOVRObXpmVnBVc1hmZmpoaDBwT1RyWnU0OHJUa2JUSmcxZXRXcVcxYTlkS2t0NTg4MDExNnRUSnBmTG1sR25UcGxsZmQrelkwYTFqcFBVV2ttUjNtQ0tRbGQyN2QxdDdldnY3KzJ2OCtQSFpucFB2NXMyYk9uVG9rQTRkT2lTVHlhUTJiZHBrK1B6NDhlTWFOV3FVcE5RTDQ5RFFVTGVHY25UbzBFRitmbjRLRFEzVnRXdlgxSzFiTjgyZVBkdnBsU0dwaDhocE4yL2UxTUNCQXhVZkg2K1hYMzVaZmZyMGNiajl4bzBiRlJFUm9aWXRXOXJzRmJwczJUS3RYYnRXQ3hjdXRGdUhVbEpTTkc3Y09MVnYzejdEZDdScjE2NGFOR2lRdG0zYlpuUGkveTFidGtoS3ZjQy9kU3FnbUpnWVhiaHdRUlVxVkxENXdPTG8wYU5hdDI2ZFFrSkNQTjRMQ29EM1JFVkYzYnp2dnZ2Nkh6aHc0SkNrSkcrWHgxWDJGbUc2SFJJU0V2VFZWMThwS0NoSUxWcTBrSStQai9VenM5bXMvL3puUDNyd3dRZHRkaXFKam83V3pKa3oxYkZqUjV1aldiTGJCbCs2ZEVsbXM5bnVNUGd2di94UzE2OWZWKy9ldlYzNWxRR3I3SDdISE5VZlo2eGF0VXJCd2NHWjdrR2s3TmUvNE9CZ3ZmcnFxL3J5eXkrMWVmUG1UQmxOU2txS3RtN2RLaW4xV3N1VmpoMlNySE1Mdi9QT095N3RkN2NnK0hUUjRjT0h0WHo1Y2ttcFE3enIxNi92NVJMOXo5V3JWNjJoWjc1OCtUUmx5aFE5K3VpaldlOG9aWmpuOG5iTldlcUtvS0FnN2QyNzEvcno0NDgvcnRhdFcrdnh4eCszTmdKUlVWRVpGZ2hKWSt1OXJKak5adXQrNlZmQ3pFMDJiZHFrblR0M1NrcWRJTm1kNGJWU2FvL2dOQVF1Y01laFE0ZlV2MzkvSlNXbDNydU1HalhLNmREUWtmVHpYdDdhRGtWRVJLaFhyMTZLaTB2dEdESm16Qmc5OU5CRGJwK3JiZHUyOHZmMzE4U0pFeFVWRmFWdTNicHB6cHc1V2Y0ZTFFUGt0R3ZYcnFsUG56NDZmZnEwdW5idG11WEY4T2JObXpWMDZGQkpxZGNzSVNFaEdUNWZ1WEtsUWtORDFhNWRPK3NGZG5wbXMxblhyMS9YcjcvK3FzVEVSRld1WERuRDU4OCsrNnllZWVZWmJkNjhXV3ZXck5FcnI3eGkvZXowNmRQYXVIR2o3ci8vZnBzM0plM2J0OWVaTTJkVXMyWk5EUjA2TkVOOTI3bHpwMGFNR0tIZXZYczd2U0p5K3IvWGFlMFJnTnpuL1BuenNlZlBuOS9uN1hLNEs2MTl5WWw3aEJrelpsanZOZVBpNGpJRU1KTW1UZExYWDMrdFlzV0thY2lRSVJrNmU1dytmVnJEaGcxVDVjcVY3YzdabkowMk9DSWlRcSsrK3FxU2twTDAwa3N2cVhmdjN0WmVtc25KeVZxMmJKa1dMRmlnYWRPbVpWakJHbkNXSjc1amp1clA1czJiOWVtbm42cFNwVXJxMHFWTHBuQnkvdno1MnJkdm4yYk1tR0Z6TkZaMjY1OGs5ZXJWUzF1MmJORzJiZHQwNnRTcERHWFlzR0dETGx5NG9LZWZmanJEd3F4cHh4OCtmTGdLRlNxa045NTRJMU1HOWZ2dnYydjI3Tm5xMTYrZnl6MUY3eFlFbnk0NGUvYXNCZzBhWkowUGM5Q2dRUzRuOGJmVEJ4OThvQ3RYcmlnb0tFaXpaODkyZXQ0NzZYL3p1UVFFQk9TS20vQ3FWYXZxeVNlZlZLbFNwZFNxVlN1YmM1TldxbFJKZi83NVo2YjN6V2F6bGkxYnBwOS8vbGtoSVNFWnVuckh4TVNvVjY5ZXFsZXZudDU0NDQxYzhiczY0OEtGQ3hsV05SdzZkS2piYzh1bXpZMG82YllNc1lHeGJkMjZWZSs5OTU2MXQzU2ZQbjMwNzMvL084djkwdmZLdGlkOUdGaWlSQW5yNjh1WEw2dG56NTdXVlJDN2QrK3U1NTkvM3U1eDBnY2dqdHJvbGkxYktqRXhVVk9uVHRXTkd6ZlVyVnMzelowNzErNndkK29oY2xKTVRJeldyVnVuZWZQbXFYRGh3cG8xYTFhbUZkNXRPWHYyclBWMTJrS01hVmF1WEtsSmt5Wkp5amg2eFo2dVhidmFmSC9NbURHS2lvcFNhR2lvQ2hVcXBQcjE2K3ZBZ1FQNjRJTVBWS3hZTVgzeXlTYzJGKzFLNjMxNjRNQUJ0V25UUnRXclYxZng0c1YxOHVSSlhiOStYU05Hak5Benp6eVRaYm5TcEo4N1BQMFFVZ0R3bExpNE9FVkVSRWhLWFhna0xpNU9nWUdCdCsxOGp0cnd0RGIwMHFWTDZ0Ky92OHFVS2FPS0ZTdnE2dFdyT25yMHFEcDA2S0F1WGJyWTdlV1duVFk0S0NoSXZyNitTa3BLMG5mZmZhZU5HemVxVnExYUNnb0swc0dEQnhVY0hLd0ZDeGFvZlBueW52aG53RjNJRTk4eFIvWG4xMTkvMVlrVEozVGl4QW45K09PUGV2NzU1MVc5ZW5WSjBpKy8vS0xyMTY5cjl1elpxbGF0bXMxalo3ZitwZjJPbjN6eWlicDM3NjRCQXdabzdOaXhldkRCQi9YOTk5L3JvNDgrMGhOUFBLRVBQdmdnMDM0SERoeXczanZzMnJWTHRXclZVb01HRFZTd1lFSHQzNzlmTzNmdTFMQmh3OVM4ZVhPNzU3N2JFWHc2S1N3c1RQMzc5N2Yyakd6YnRxM1RQUkp5d3FsVHAvVGJiNzlKa3ZyMTYrZFM2Q245NytiQjN1SkgzcEIrT0ttemR1M2FwU2xUcGxqbi9GeXhZa1dHWGlmYnQyL1g4ZVBIRlJZV3B1WExsK3YxMTE5WHg0NGRjM1VBR2g4ZnI0RURCMXA3d3pWdjN0eXBtMTliVHA4K3JkMjdkMHVTN3J2dnZsejlleU4zc1Znc1dycDBxV2JNbUtHVWxCUkpxYUZuVmtPOUF3SUNGQjhmbjJHeWJudE9uRGhoZlowMjc4MzU4K2ZWdlh0MzYwM0hTeSs5cExmZmZ0dmhjZEtIaWxrdC90S3VYVHRGUjBkcjNyeDV1bkhqaG5yMDZLSDU4K2RuV0RCTm9oNGk1NFNHaHVydnYvL1d0V3ZYVktGQ0JRMGZQbHdOR3paMGV2SEI1czJiYTlPbVRZcUlpTWpRNitEUFAvKzBocDdPdXJYSFFacDgrZkpwNXN5Wit2TExMelZyMWl5TkdERkNSWXNXMVVzdnZhVDI3ZHZiRFFWQ1FrSTBkZXBVN2RtelI5SFIwVHAvL3J3Q0FnTFVxbFVyTlc3Y1dFRkJRVTZWNjhzdnY5U2ZmLzZwMzMvLzNmcmU3Ny8vcm5idDJxbGN1WEo2OTkxM2MyU2hOUURHOWZ2dnYydk5talVLQ3d1ekxrZ1lFeE9qMTE1N1RUVnExTkNycjc1NlcrYWlmT3V0dDNUczJERUZCUVdwZGV2V0dUN3IyYk9uVWxKUzlOTlBQK25LbFN1NmZ2MjZJaUlpOVBUVFQxc2ZQRG1TblRhNFNKRWkrdVNUVHpSejVrejk5ZGRmTXB2Tk9uUG1qQjUrK0dFTkh6NWNEUm8wY0hsWU1aQ2VKNzVqanVwUDc5NjlGUnNicTMzNzl1bkdqUnZhdW5XckRoOCtyQ3BWcXVpVlYxNVJvMGFOSEY1clpiZitwU2xidHF5KytPSUx6WjgvWDRNSEQ5YlZxMWRWc1dKRkRSczJUTTJhTmJQWmFhTnAwNllLRHcvWEw3LzhvaXRYcnVqdzRjTTZmLzY4eXBRcG93WU5HbWp3NE1FMkh6ampmd2crczJBMm0vWFpaNTlwM3J4NTFoNUxyN3p5aXZyMzc1L2o1VWhqcXpJY09YTEUrdHJWaFRZdVhMaGduWlBMMGI1WnJjYm5UVWVQSHRXQ0JRdTBlZk5tU1ZLNWN1VTBaTWlRVEJja2pSczNWdDI2ZGJWZ3dRSjkvZlhYV3JKa2lWYXZYcTIyYmR1cWZmdjIxcEJreDQ0ZDJaNmZac0tFQ1JsNmh6a3JKQ1RFK3JRMUlTRkIvZnYzMTE5Ly9TVXBkU0dWOTk1N3orWitjWEZ4NnR1M3I2cFVxYUx5NWN1clRKa3lLbGFzbUFvVktxU1VsQlFkT25SSUgzNzRvZlc3NUVxdkd0emRMbDY4cUZHalJtblBuajJTNU5MOHdlWEtsZE9SSTBlMGJkczJyVm16UnM4OTkxeW1WUkxqNHVLMGZmdDJyVm16UmxKcTZKbFdGMy81NVJkcjZObXdZVU1OR3piTXVsOXljckoxVmRUQ2hRc3JNREJRVVZGUjFoVlRKZGw5YXB0ZTkrN2RGUjBkclJVclZ1amF0V3Zhdm4xN2h1Q1Rlb2ljTkdEQWdHenRYNlJJRVMxZHVqVFQrM1hyMXJVNVNzSmRlZlBtVlljT0hkU2hRd2VuOXlsV3JKakw0YXN0clZxMWNudmhEZ0J3eHFPUFB1cjBsR0hPY3FidHFsbXpab1pGWGRQejkvZFh2Mzc5MUs5ZlA3Zk9uOTAydUhidDJwby9mNzdiK3pzeVpjcVUyM0pjM0ZteSt4MXpWSCtDZzRPejlUM0xidjI3dFN6dnZmZWUzZnVKVy9uNSthbC8vLzQ1bmtFWkNjR25BOXUyYmROSEgzMWs3VDNvNit1cjNyMTdxMzM3OWpseS91UEhqeXN5TWxJV2k4WGFPMGlTelRRL2ZlK0s5OTkvWDYxYnQxYkpraVVkTGc2UWtKQ2cvL3puUDFxMmJKbDFma3QzNTZ2emxoMDdkbWpKa2lYV2Y1K2dvQ0M5L2ZiYmF0dTJyZDBuTnNIQndSb3laSWphdFd1blR6NzVSSnMyYmRMOCtmTzFhdFVxdmYzMjIyclpzbVZPL2dwMnhjYkdhdkRnd2RZZUxVV0tGRkZJU0lqTnlaU2wxTy9BMmJObnJlR1VJL256NTNkN1VSYmNQZUxqNDdWbzBTSXRXYkpFQ1FrSmtsSlg1cHd3WVlKVGdhSWt2ZmJhYXhvN2Rxd3NGb3ZUQzZLOS9QTEwxdGR2dlBHR2loWXRxZzBiTm1qU3BFa1o2cld2cjYrMmI5K3VTNWN1MlR6T0k0ODhvaG8xYWpoVnpvRURCeW91TGs1VnExYlZhNis5Wm4yZmVnZ0FBQUFBZHk2Q1R6dVNrNU8xYXRVcWEraFp1blJwalI0OVdqVnIxc3l4TXF4ZHV6YlRIRnpCd2NHWmhtQkswbU9QUGFZU0pVcm93b1VMT25ueXBGczlEWnMyYmVwd3NhWTVjK2E0ZkV4bnZQdnV1OWI1QWwwUkVoSmluYnc0S0NoSXJWcTFjbW5lemxLbFNtbml4SWxxMDZhTlFrSkNkT1RJRVlXRWhPamF0V3RxMGFLRjNibk5icmV5WmNzcUlpSkMvZnIxczg1WlZxUklFYzJaTThjNi9OZWVCeDk4MEc0SWxDWTRPRmdUSjA3TUZZdFlJWGVMaW9yU3Q5OSthdzA5bXpWcnBzR0RCMmM1ZkR5OWwxNTZTVmV1WE5Gbm4zMldaVDB2WExpd1dyVnFwVGZmZkRQRCs0MGFOYkw3VUtaeTVjcUtpb3FTMld4V2NuS3lmSDE5VmJSb1VUMzMzSFBxM3IyNzArVTBtVXdhT1hKa2h2ZW9od0FBQUFCd1p5UDR0TVBYMTFlVEprMVN2Mzc5VkxkdVhYWHMyTkZoNzhuYklmMUtlMzUrZnFwWXNhSUdEUnFrUEhueVpObzJNREJRQ3hjdTFOeTVjN1Z6NTA1RlJrWm1HQjV2VDFCUWtNcVhMNjhXTFZwazZHVmx5KzJZeDBhUzAvT1czYXA3OSs0NmRPaVFIbm5rRWIzeHhoczJWMTl6UnMyYU5iVmt5Uko5OTkxM1dyTm1qZDU2NnkwRkJnYXFXN2R1YmgzUEV6WnQycVNUSjA5S1N1MWhOMzM2ZEpVdFd6YkwvVDcrK0dORlJFUW9JaUpDbHk5ZlZtUmtwS0tqbzVXVWxLUjgrZktwVXFWS2F0aXdvZDNlYWtCNnhZc1gxOGNmZjZ3UFB2aEEvZnIxVTUwNmRkdzZUcGN1WGRTaFF3ZWRQbjNhWnZqcDYrdXJlKzY1UjhIQndTNjNCMU9uVG5XclRNNDRjdVFJOVJBQUFBQUE3bUFFbnc0RUJBUm8xcXhaSGp2ZXBrMmJYTnErZWZQbUxxM01WYlJvVVkwWU1jTFZZam5rN05EVTdFaWJYOVJWK2ZQbjE2SkZpenhTQnBQSnBKZGZmam5MOERlbnZQRENDN0pZTEZxelpvM0dqeC92ZEtpYkowOGVsUzFiMXFsd0JuQkdwVXFWYk00WDZLbzhlZkprZUpoeko2QWVBZ0FBQU1DZGplQVR5S1VjRGU4RmtET29od0FBQUFCdzUvTHhkZ0VBQUFBQUFBQUF3Tk1JUGdFQUFBQUFBQUFZRHNFbkFBQUFBQUFBQU1NaCtBUUFBQUFBQUFCZ09BU2ZBQUFBQUFBQUFBeUg0Qk1BQUFBQUFBQ0E0UkI4QWdBQUFBQUFBREFjZ2s4QUFBQUFBQUFBaGtQd0NRQUFBQUFBQU1Cd0NENEJBQUFBQUFBQUdBN0JKd0FBQUFBQUFBRERJZmdFQUFBQUFBQUFZRGdFbndBQUFBQUFBQUFNaCtBVEFBQUFBQUFBZ09FUWZBSUFBQUFBQUFBd0hJSlBBQUFBQUFBQUFJWkQ4QWtBQUFBQUFBREFjQWcrQVFBQUFBQUFBQmdPd1NjQUFBQUFBQUFBd3lINEJBQUFBQUFBQUdBNEJKOEFBQUFBQUFBQURJZmdFd0FBQUFBQUFJRGgrSG03QVBZa201TjE1T2d4YnhjRGdCZEVuTDlnZmUzajQydnhZbEVBM0tXNERvRTdqaHc5cHFTa0pHOFhBekM4WkhPeWpoNDdycng1ODNxN0tMaUQwRVk3aDJzZ3VDTTMxNjljRzN6R3hjZHJ4cXk1OHZmMzkzWlJBT1N3ZjJKanJhOVRVcEpOWGl3S2dMc1UxeUZ3UjFKU2ttNUdSM3U3R0lEaHhjWEhhL2I4aGNyam44ZmJSY0VkaERiYU9Wd0R3UjI1dVg3bHV1QXowWkp5SVkvSmRDSEZZZ21JdW5uVDI4VUI0RFVXaTB3NmRjWW5PczdiSlFGdzkrQTZCQjVoc1Z4S3RGZ3VaTDBoQUZla21DeVhmWlRhUnQrNG1UdHZzSEVIb0kyMmlXc2dlRVF1ckYrNUx2ZzhmK3pnOGRJVkhuN0R4OCsvcUxmTEFzQjdrbE1zeVQ0SlNlRTZmU3JlMjJVQmNQZmdPZ1Nla0d5eVJKNy82K0J4YjVjRE1Kb3p4OE5PMFVZanUyaWpiZU1hQ0o2UUcrdFhyZ3MrSmFXY0NUOThSTklSYnhjRUFBRGNkYmdPQVlEY2l6WWF1SDJvWHpBa1ZuVUhBQUFBQUFBQVlEZ0Vud0FBQUFBQUFBQU1oK0FUQUFBQUFBQUFnT0VRZkFJQUFBQUFBQUF3SElKUEFBQUFBQUFBQUlaRDhBa0FBQUFBQUFEQWNBZytBUUFBQUFBQUFCZ093U2NBQUFBQUFBQUF3eUg0QkFBQUFBQUFBR0E0Qko4QUFBQUFBQUFBRElmZ0V3QUFBQUFBQUlEaEVId0NBQUFBQUFBQU1CeUNUd0FBQUFBQUFBQ0dRL0FKQUFBQUFBQUF3SEFJUGdFQUFBQUFBQUFZRHNFbkFBQUFBQUFBQU1NaCtBUUFBQUFBQUFCZ09BU2ZBQUFBQUFBQUFBeUg0Qk1BQUFBQUFBQ0E0UkI4QWdBQUFBQUFBREFjZ2s4QUFBQUFBQUFBaGtQd0NRQUFBQUFBQU1Cd0NENEJBQUFBQUFBQUdBN0JKd0FBQUFBQUFBRERJZmdFQUFBQUFBQUFZRGdFbndBQUFBQUFBQUFNaCtBVEFBQUFBQUFBZ09FUWZBSUFBQUFBQUFBd0hJSlBBQUFBQUFBQUFJWkQ4QWtBQUFBQUFBREFjQWcrQVFBQUFBQUFBQmdPd1NjQUFBQUFBQUFBd3lINEJBQUFBQUFBQUdBNEJKOEFBQUFBQUFBQURJZmdFd0FBQUFBQUFJRGhFSHdDQUFBQUFBQUFNQnlDVHdBQUFBQUFBQUNHUS9BSkFBQUFBQUFBd0hBSVBnRUFBQUFBQUFBWURzRW5BQUFBQUFBQUFNTWgrQVFBQUFBQUFBQmdPQVNmQUFBQUFBQUFBQXlINEJNQUFBQUFBQUNBNFJCOEFnQUFBQUFBQURBY2drOEFBQUFBQUFBQWhrUHdDUUFBQUFBQUFNQndDRDRCQUFBQUFBQUFHQTdCSndBQUFBQUFBQURESWZnRUFBQUFBQUFBWURnRW53QUFBQUFBQUFBTWgrQVRBQUFBQUFBQWdPRVFmQUlBQUFBQUFBQXdISUpQQUFBQUFBQUFBSVpEOEFrQUFBQUFBQURBY0FnK0FRQUFBQUFBQUJnT3dTY0FBQUFBQUFBQXd5SDRCQUFBQUFBQUFHQTRCSjhBQUFBQUFBQUFETWZQMndXdzVmN3kxUjdJNCs5WDN0dmxBT0E5S1JZbHhTVEhoRjBMRDcvcDdiSUF1THR3SFlMc1NraElPSG5oNU5IVDNpNEhZRVMwMGNndTJtamc3cExyZ3M4eVpXcVZrYi9sTTVrc2xiMWRGZ0RlNHlOVFNrRy9mRXV1cWU1STZjOGtiNWNId04yQjZ4QjRRdDZBUEdmS2xLblY2dFNwL2FlOFhSYkFTRXBXcUZISzM4KzBoRFlhMlVFYkRkeGRjbDN3cVFDVmtVbVZUVElWRHdvTWxLK2ZyN2RMQkNDSEpTUWtLakV4VVJhTGFwVXVuWmovekJsZDkzYVpBTndsdUE1Qk5pU2JreFVYSDY4VWl5VkFBU29qaVp0cXdJUDhwVkpwYlhSZ1lLRDhhS1BoQXRwbzRPNlUrNExQL3dvS0RGVC9QdStvYXBWSzNpNEtnQnkyWXRYWFdyUCtlMG1TajQrdnhjdkZBWEFYNGpvRTdqaHk5SmhtekpxcnFKdk0wZ0xjVGtHQmdlclZvNnRxMWFqbTdhTGdEa0liRGR5ZGNtM3c2ZXZucTZwVkt1bXhmOVh6ZGxFQTVMQ3QyM2RhWDZla0pKdThXQlFBZHltdVErQXVmMzkvYnhjQk1EeGZQMTlWcVZTUk5ob3VvNDBHN2o2czZnNEFBQUFBQUFEQWNBZytBUUFBQUFBQUFCZ093U2NBQUFBQUFBQUF3eUg0QkFBQUFBQUFBR0E0Qko4QUFBQUFBQUFBRElmZ0V3QUFBQUFBQUlEaEVId0NBQUFBQUFBQU1CeUNUd0FBQUFBQUFBQ0dRL0FKQUFBQUFBQUF3SEFJUGdFQUFBQUFBQUFZRHNFbkFBQUFBQUFBQU1NaCtBUUFBQUFBQUFCZ09BU2ZBQUFBQUFBQUFBeUg0Qk1BQUFBQUFBQ0E0UkI4QWdBQUFBQUFBREFjZ2s4QUFBQUFBQUFBaGtQd0NRQUFBQUFBQU1Cd0NENEJBQUFBQUFBQUdBN0JKd0FBQUFBQUFBRERJZmdFQUFBQUFBQUFZRGgrM2k3QTNXTFpzbVVLRFExVi92ejV0V1hMRm04WEIzZXdxS2dvSFRod1FQdjM3OWVCQXdmMHdBTVBhTXlZTWQ0dUZnQUFBQUFBUUs1QzhPbEFZbUtpWW1KaUZCTVRveHMzYmlncUtrclhyMS9YdFd2WGRPWEtGVjI1Y2tVWExselErZlBuRlJJU290cTFhOSsyc2lRa0pPanh4eCtYSkMxYXRFalZxMWQzZXQrUWtCQXRYNzVjRlN0VzFJb1ZLMjVYRVhPRjFhdFhhOEtFQ1pLa29VT0g2clhYWHZOeWlkd1hHUm1wTTJmTzZPelpzOWIvRHc4UDErblRwek5zRng0ZXJoRWpSc2pmMzk5TEpRVUFBQUFBQU1oOUNENGRhTjY4dVNJakk1M2FkdCsrZmJjMStQU0dPWFBtYU83Y3VUbDZ6alp0Mm1qZ3dJRTVlazVITm0vZW5HUGxDUWtKMFRQUFBDTXB0VmRua3laTlpMRlliRzZiSjA4ZVZhNWNXZFdxVlZQMTZ0V1ZrcEtpUFh2MnFGdTNibTZmZjg2Y09hcFhyNTdiK3dNQUFBQUFBT1FtQko4T1ZLMWFWYi85OWx1bTkzMTlmVld6WmszZGM4ODkxdjlWcTFiTkN5Vzh2Y3FVS2FPbm5ub3F5KzEyN2RxbGhJUUVOV2pRUUg1K0diOVNLU2twMnJwMXEvejkvYTA5VmgycFVLR0MyK1Uxa3NLRkM2dEdqUm82ZlBpd1NwWXNxZEtsUyt2eTVjczZkdXlZYXRldXJkbXpaMmY2dHdZQUFBQUFBTUQva0p3NDBLOWZQM1h1M0ZtRkNoVlN3WUlGdFhIalJrMmNPRkdGQ2hYU3ZIbnp2RjA4cTZlZWVrb3hNVEZaYm5mOCtISFZyVnZYNFRZdnZ2aWlkYjdJeG8wYnEzSGp4bGtldDFtelpycDQ4YUxHangrdkFnVUtaUGdzYlloK2dRSUZOSFhxMUN5UGxkdVVMVnRXWGJ0MmRYcjdJMGVPYU51MmJaS2taNTk5MXFVZ3QyelpzaGwrbmpadG1vS0NncXdCNS9UcDAzWHMyREVGQkFSa0dYck9uejlmeFlvVnkvS2NseTVkVXBjdVhad3VJd0FBYWN4bXM3WnQyNmFUSjAvcW5udnUwUk5QUEtGNzc3M1hxWDFUVWxKMDRNQUJIVHQyVExHeHNTcGN1TEJxMWFxbGN1WEszZVpTQThEZGdUWWFBRklSZkRwUXVuVHBERCtiVENZdmxjUzdYbm5sbFV6elN0cnk5Tk5QMi8zczJyVnJEa1BYNHNXTGEvMzY5VzZWNzNZcVU2YU1TOFBIVjY5ZWJRMCtuMy8rZWFlQ1kzc0tGaXpvOXI3RmloWFQvZmZmNy9iK0FBRGpPSERnZ0diTm1xV0hIMzVZdlh2MzlzZ3h3OExDTkdMRUNNWEh4NnRCZ3diYXZYdTNKa3lZb0o0OWU2cERodzRPOXoxNDhLQkdqeDZ0Zi83NVI4OCsrNnlLRlN1bXNMQXdUWmt5UlhYcjF0V29VYU4wMzMzM2VhU2NBSkNicGFTazZJY2ZmdEM4ZWZNMGFOQWdwMGJJT1lNMkdnRCtoK0RUZzV5WkV6TW1Kc1poQUxoanh3N2x6WnZYcGZNdVhicFVLU2twZGo5ZnVIQ2gxcTlmcnpKbHlpZzBOTlRoc2ZMbnorL1N1UUVBUU80VUZoYW0yYk5uYTlldVhaSlNwL0R4aFAzNzk2dG56NTRxWGJxMEZpOWVyTUtGQzB1U2xpMWJwdERRVUVWSFIrdWRkOTZ4dWUvQmd3ZlZ0V3RYVmE5ZVhVdVdMTWx3M2RHK2ZYdDE3TmhSWGJwMDBaSWxTMVNvVUNHUGxCY0FjaHVMeGFKTm16WnB6cHc1T25YcWxFZVBUUnNOQUJrUmZPWlNPM2Jzc05zcjQ4MDMzOHp3YzFhTDBxVDFIUFQzOTFlWk1tWGNMbFBMbGkxdERwOWV0R2lSWW1KaTFMVnJWK1hKa3lmRFo4bkp5Wm8xYTVZQ0F3UFZ1WFBuVFB0R1JrWWFmcVY1QUFCeWtzVmkwWVFKRTVTWW1LaHo1ODU1OU5qUjBkRWFQSGl3RWhJU05HTEVDT3NOdFpTNlFPR2FOV3UwY09GQzFhbFRSL1hyMTg5VXJqRmp4aWdwS1VtalI0L085TEMxWExseTZ0Q2hnMmJQbnEzWnMyZHJ5SkFoSGkwN0FPUUdGeTllMVBUcDArWG41K2YwUXJyT29vMEdnTXdJUHUxWXZYcTFKa3lZWVBNelc4TzJSNDBhWlgxZHRXcFZqUnMzTHNQbjY5YXQwMmVmZmFhZ29DQXRYYm8wdzJkLy8vMjNoZzRkNnFHUzN6N05talZUOWVyVk03Mi9ldlZxeGNURXFHM2J0amJuK0V3TFBqdDE2cFJwMzJQSGpoRjhBZ0RnUVNhVFNVT0hEcFhKWk5MaHc0ZXpITmJvaW5uejV1bnExYXVxWExseXBvVWRUU2FUV3JSbzhmL3MzWGw4VFBmK3gvSDNKQk9KUkZGVTFOS2kxVkxVcnBTcmU5MXJxVXVWb3RYYWFXMk50bXFucU5yM1hheWw1S0szcUtyZnBVV0xOclkyS2xWYVFTSm9FRWxrVCtiM1IrN016U1F6eVdRenlYZzlIdytQeDhtYzd6bm5NekhmYjg1OHpuZlI3Tm16TlgzNmRHM2R1dFZxVHVyZzRHQ0ZoSVNvZE9uU3FsU3BrczN6bTg5NTRNQUJ2bFFEY0VtK3ZyNzY1Sk5QSkVucjE2L1gvUG56OCszY3RORUFrQm1KendMZzVlV1ZxV2RsbVRKbEpFbHVibTZaOWtWSFIyYzZSOU9tVGZYZGQ5OVpmajUwNkpER2pSc25TVnF5WkluVmNMWGl4WXNyT2pvNnl6azJwYXdYTjZwUm8wYTJDY2lNUFUwenlzc2NuN0NXVmVMOXlKRWptWDZVVG50REFBQWdBRWxFUVZTWDZUOHJrdFMrZmZzQ2l3MEFVUGlaNXlXdlVxVkt2cDB6SmlaRzI3WnRrNlJNUFlYTW1qWnRLa202ZlBteURoMDZwT2VlZTg2eTc4cVZLNUxTN250aVltSnNUcTlqL2hLZWxKU1ViM0VEUUdHU2Z0MEkybWdBS0hna1B1MTQvdm5uOWZqamoxdTlObUhDQkYyOGVGRWxTNWJVZ2dVTHJQWlZybHhaQVFFQitYWjlvOUZvMVh2eTFLbFRsbTF2Yis5TVBTc0JBQUF5OHZMeXlyZHpIVHg0VVBIeDhaS2t4eDU3ekdhWjZ0V3JxMWl4WWtwTVROUlhYMzFsOWFYYVBPUXlKU1ZGVzdkdXRmbEE5ZXpaczVLa2V2WHE1VnZjQUp5cmN1WEt4ZSsvLy81SGc0S0NnaVVsT3p1ZXdvUTJHZ0FLSG9sUE84cVVLV1BwcFNsSmtaR1J1blRwa3FTMHBLU3RJZDhGNmNpUkl3NlhuVGx6cHA1ODhrbUh5bTdZc0VHZmZmYVpRMlZmZmZWVnkxUEUrdlhycTJYTGxwWjl3Y0hCMnJkdm55U3BkKy9lOHZiMmR1aWMyYzN4bVpDUWtPdlZEYWRObTJhMzE2UXRPM2Z1TERRcm9YZm8wTUZxUmZpUWtCREx6VWVUSmswMGMrWk1xL0labjhpdVdyWEs1bnlzR1YyN2RrMTkrL2JOaDRnQkFJV1JtNXRidnAwci9iMkl2YitYYm01dXFseTVzdjc4ODA4ZFAzN2NhbC90MnJYbDQrT2pPM2Z1YVBueTVhcGZ2NzdxMTY5djJaK1VsS1R0MjdmTHpjMU52WHYzenJlNEFUaFh5WklsU3htTnhnVU5HalI0WE5MbktTa3BHeE1URXkrNnVibEZuemx6SnRIWjhUa1RiVFFBRkR3U253NzY0WWNmWkRLWm5ITHRjK2ZPV1lZZW1OMitmZHZ1U25vbFM1WlV1WExsSERxM0l3bktOOTU0UTdkdjM5YnZ2Lzh1U1NwYnRxdysvdmhqcTdsZjBpOWN0SHIxYW9ldW5kN1ZxMWZWcjE4L3JWeTVNc2ZIdWlJUER3OTVlSGhZZmo1NThxUmxPMk52WUxQR2pSdG51b0hKVHNXS0ZYTjhEQURnM25UbXpCbkw5Z01QUEdDM1hObXlaZlhubjM4cUtpcEs0ZUhoZXZEQkJ5V2xUYzNUdFd0WHJWNjlXb21KaVhyMzNYYzFkZXBVeTFRNW4zenlpUzVldktneFk4Ymsyd3IwQUFvUGc4SHdvQ1EvbzlINGp0Rm9ERGFaVEQ4MmFORGdtS1JqSjArZS9Oblo4UlYxdE5FQVlCdUpUd2Q5Ly8zM1ZqL3YzcjFiNTgrZjE5Q2hRd3Y4Mmw5Ly9iVU1Cb01sOGVydjc2K1RKMDlxeVpJbHFsMjdkcWJ5QXdZTXlOZnJkK3JVU1FzWEx0VGV2WHZsNCtPamhRc1hXaVU5OSs3ZGF6VVVQeis1dTd1clc3ZHVEcGMvZi82OEFnTURKYVgxakh6MDBVY2RQdGJIeHlmSDhkMHRHVDkvQUFEY2Jla2Z3cFl0VzladXVmU2pFTUxDd2l4ZnFxVzBlNVRUcDAvcnA1OStVbng4dk41Ly8zMzUrZmtwTkRSVSsvZnYxOXk1YzlXcVZhdUNlUU1Bbk01a01zbGdNSGhKYWlDcHZxUTNEUVpEUklNR0RjNllUS2FBeE1URXJXZk9uSWx4Y3BoRkVtMDBBTmhHNHRNQmNYRnhPbmp3b09YbjI3ZHZhOXk0Y1hKemM5TkxMNzJrV3JWcUZkaTFUU2FUdnZubUc5V3BVMGRCUVVHUzBoWUtpb21KMFR2dnZLTmx5NVlWNlBXVGs1TTFmZnAwYmQrK1hSNGVIcG96WjQ3VjNLZFhyMTdWakJrejVPbnBxWC8rODUrcVhMbHlycTlWdm56NVRLOFpqVWE5Ly83N0RwOWo2OWF0bHNUbml5KytxTTZkTytjNm5zTGkxcTFibVJMTHk1Y3ZWNlZLbGRTdVhUdEowcWhSbzdSMzc5NDhYNnRidDI0NStuMERBTzROTVRFeFNreE1HNUZhckZneHE1V0FNeXBXckpqVmNla1pqVWJOblR0WHc0Y1BWMkJnb0V3bWsyYlBucTFTcFVwcDgrYk5WbC9BQWJpZTlKMDVKQmtrK1poTUpoK0R3ZkN3d1dENGg2ZW41OElHRFJvRXBLU2tiRXhOVGYzMTVzMmIwVmV1WEltVDVKeWhkMFVFYlRRQTJFZmkwd0g3OXUxVGZIeTh2THk4RkI4ZnIxS2xTcWxHalJyNjhjY2Y5ZW1ubjJydDJyVldxL1BscDZOSGorcnExYXZxMUttVEpmSHA1K2VuZGV2VzZlREJnM3IzM1hlMWF0VXFxK0VNaXhZdFVzT0dEUjA2LzZwVnErd09UWStJaU5EWXNXTVZHQmdvYjI5dnpaZ3hRNDBiTjdic2o0dUwwL0RodzNYcjFpMUowcFl0VzNMN05yVnAwNlpNaTBraHplN2R1NVdTa2lJM056ZWxwcVlxS0NoSVI0NGNrZEZvVktWS2xkU2dRUU5uaHdnQWNISG1CVE1reWRQVE04dXk2YWNHaW8yTnpiVGZ5OHRMQ3hjdTFLQkJneXhUdWR5K2ZWdlRwMC9YdEduVFZMeDQ4WHlLMm5sTXFTWjV1S2RVcjErL3Znd0dRL3FFemY4eVB1bGVUMGxKc2ZsNlZzZGsvRGs1T2RtaGN2YTJjM044eHArVGtwSWNPczdOelMzTGN1WUVqaU54Wnp5ZmVWOUNRa0t1amt2L2VseGNuRldack9LMlZjNzgrYy9xdmFmLzJkM2QzV2E1TzNmdTJDeVQxZkVaZjc1OSs3WkQ1WXhHbzJYYnc4UERzbjN0MmpXYlpUTCtYS3hZTWF0OXhZc1hOeVVsSlJtVmx1U1U5TDlWemRPM0ZlbTJTeGdNaHQ1R283RzN5V1M2NE92cisyUDU4dVdQcHFhbUhrMU9UajRaZTAvUENHb2ZiVFFBMkVmaTB3RmZmZldWSk9ucHA1L1cvdjM3SlVuRGhnMVQ5KzdkZGZyMGFlM2F0VXZ0MjdjdmtHdHYyclJKa3RTcVZTc3RXYkpFVXRydzcyblRwcWxQbno3NjdiZmZOSDc4ZUMxZHV0UnlqSWVIUjdaLzhNenNQUTJNajQ5WHIxNjlkT1hLRlpVclYwNExGaXl3SkNaalltTGs2ZW1wR1RObTZOeTVjMnJXckptT0hqMmFsN2VKTE96Y3VWT1MxS2hSSXdVR0JxcDgrZkp5ZDNmWDdkdTM5Y0VISDJqanhvMGFNMmFNUm93WVlmY2Nnd1lOMHA5Ly9xbm16WnRyNHNTSmRzdHhJd01Bc01YZDNkM210aTNKeWY5YnRObmVmY2JHalJ2MXh4OS9xRjI3ZHRxMWE1Y2s2ZENoUXhvd1lJQVdMVnFra2lWTDVrUFV6bU9RNU8zaDBkM056V0Nla3lqTDNtcnU3dTR5WlQrWmZLYjk2US81Ny85THRyM2liQ1JXSlZuOVh6bmFzeTVUT1J2LzN3NjlwNHdKc0l6bnNSZXpyZXVZejVXK1Y1dTlXR3o4eWsyU2xKcWFLc2x1QWluTFdBd0dnK1cvTW92N3FteC94K2svRDk3ZTN2YldHc2p5UFA5OUh5WkpOdWVITjdQMyswMTNUWk90a1ZtT3hHTXltZVR1N202VTlKQ042OXE2bG1YYllEQlVrMVROWUREODAyQXdSTGk3dTE5eWQwODlHcE5reXI4VmdWd0ViVFFBMkVmaU14dVhMbDFTWUdDZ1NwWXNxY2FORzFzU240OC8vcmphdEdtajNidDNhOUdpUlhyeHhSZnovZG9YTDE3VTRjT0hWYXRXTFQzMGtQVzlncGVYbCtiT25hdHg0OFpwd29RSitYNXRMeTh2VFo4K1hYUG16TkdVS1ZOVW9VSUZ5NzR4WThiby9Qbno2dG16cDI3ZHVxVytmZnZxNk5HaktsKyt2TlVpUjQ3dzkvZlg5ZXZYOHp0OGwzSHExQ21kTzNkT0R6NzRvSjU0NGdrRkJnYksxOWRYSDN6d2dkNTk5MTNkdW5WTDc3Ly92dno5L1RPdDdKNmUrUWFvV0xGaURpOThCUUNBV2ZvRVRsSlNVcFpsemIzMUpOdnpaOCtiTjArYk5tM1N5cFVyVmE5ZVBkV3BVMGZUcDArWHlXVFNyNy8rcWlGRGhtakZpaFVPUDhRdHRBd21ENU5KWGpaM1pSNHBaTWpoNktIY0RqWEs4WEVta3lrMzE4clptL25mZXkvd2E2VS9KcWNqdGh6NVhkaElVT1k0UGxzZkJnZGl2VnUvdTd2eW1jaHdQVTlKUGdhRG9XU3E1Q20zZ2hscFY1VFJSZ09BZlNRK3M3Rng0MGFaVENhOThNSUxtWjZlOWUvZlgzdjI3RkZFUklUV3JWdG51U0U1Y2VLRUdqVnFaUE44TVRFeGR2ZGx0SHo1Y2tsU216WnRiTzR2WDc2OHBVeDBkTFRsOWZ4YTNPaUpKNTdRcWxXcnJGN2J2bjI3dnYvK2V6MzQ0SU5xM2JxMXVuYnRxck5uejBxU3JsKy9ybW5UcHVYTHRaSEdQQTFCNjlhdHJXNmttelp0cWlGRGhtaisvUGs2YythTURodzRvSmRlZXNsWllRSUFYSnlYbDVkS2xpeXBxS2dveGNmSG14Y29zVmsyS2lyS3NwMnhsMWhBUUlBMmJOaWdIajE2cUY2OWVwS2sxMTU3VGFWTGw5YllzV09Wbkp5czA2ZFBhL0hpeGZMejh5dTROMVRBVEpKaUU1UFhsU2htL0ROOWtzaThiVFFhYlNXUE1wV3o4N01oM1QycDNYSVpqOG40dXExelpIRjhwbklaN29zZHZxNnRjN3U3dXp0OFhWdXZTNUtibTF1T1lzakI4Yms2UjhaOU9ZbnB2M1hMb2VOdDdYTnpjM09vWEZhdjJ6cEhMbU9ReVdTNlQxSlhTZFV5SENOYjBnMkZ2eURwSjBsbms1T1Q5NldrcEJ5TlRUUTJsSWZoVlpzSDNzTm9vd0hBUGhLZldZaU1qTFIwN2UvUW9ZTWx3V2RXcFVvVi9lTWYvOUJYWDMybEkwZU82T21ubjg2M2E1ODdkMDU3OSs1VnNXTEY3Q1krNzdiZmYvOWRzMmZQbHJlM3QrYk1tYVBTcFVzN095U1g5dnZ2dit1SEgzNlFKSFhzMkZIYnQyKzMydCt6WjAvTFZBTWtQUUVBQmExNjllbzZkZXFVVWxKU2RQdjJiYnYzQWVZdjFlN3U3cXBTcFlybDlaaVlHQzFldkZpUzFLVkxGNnRqWG5ycEphV21wbXIwNk5HUzByNTg5KzdkdThqZWF4amNERXBPTmY1NTZ0U3A3NXdkQytCc1R6enhSQVZQVDg5bSttL2kwMWJDTTEyU0x0WmtNdjNiWkRMOUt6azVPU2cyTmpiaXp6Ly9qTkovaDlGWGZmVEp1eFIxMFVNYkRRQzJrZmpNZ3IrL3YrTGo0L1hvbzQrcWJ0MjZtUktma3RTdlh6L0Z4Y1ZwMHFSSjJyQmhnNlMwbnBLVEowKzJLcmRyMXk2dFdiTkczdDdlbG5KbXYvLyt1MGFOR21YMTJwRWpSMlF5bWZTUGYveERwVXVYdGt6UTdvajhXdHdvdmNqSVNQbjUrU2twS1VrTEZpelFZNDg5bHFuTWd3OCttT1U4azdiTW5qMWI0ZUhoT1RybVhqRjM3bHhKVXZQbXpWVzVjbVdiWmRKL3psNTY2U1hkdkhrenkzTWVPSERBYm8vak9uWHFhTjI2ZGJtTUZnRGc2dXJWcTZkVHAwNUprc0xEdysxKzRUWC9YWC9zc2NmazVmVy9rZDU3OSs1VlRFeU1mSDE5YmY1ZGE5MjZ0YzZmUDYvVnExY3JLU2xKeDQ4ZjF3c3Z2RkFBN3dTQXM2U2J2OU04ajJtaXdXQ0lOcGxNWnlWdGpJMk4vZXpzMmJQUldaNEVOdEZHQTRCdEpEN3RDQTBOVlVCQWdDVHBqVGZlc0Z1dVNwVXFtamx6cHRWclhsNWVxbHExcXRWclpjcVVrWlEyYkNUanZ2VEQxTTJlZWVZWkxWeTRVRDE3OXN4eDdQbXh1RkY2Y1hGeGV1Kzk5eFFlSHE0S0ZTcW9XYk5tTnN1Rmg0ZnIvZmZmejFHc3NHM2Z2bjM2NmFlZkpFbHZ2LzIyazZNQkFDQnRvVVh6QTdMZmYvOWR0V3JWeWxUbTZ0V3Jsb2UxclZxMXN0b1hFaElpU1NwYnRxemRhL1RxMVV1Yk4yOVdiR3hzdGcvekFCUTkvKzNaR1c4eW1YNlQ5S1BKWkRvbUtmRGt5Wk0vT3pleW9vODJHZ0JzSS9GcHg4R0RCNVdjbkN4ZlgxLzk0eC8vY09pWUFRTUc1R3AremJwMTYrcjQ4ZU5XcnozODhNUHk4L1BMbENTOTJ4SVNFdlRlZSsvcGwxOStjV29jOTVyLy9PYy9rcVFHRFJxb2NlUEdEaDBURUJDZ2xKUVVtL3NjV2RYZHc4TWpkOEVDQU80SjlldlhWNDBhTlhUdTNEbWRPSEZDSFRwMHlGVG0xMTkvbFpRMmhQS1ZWMTZ4Mm1kZVJDTTJOdGJ1TmJ5OXZWVzllbldkUG4yYXhmZ0FGMk15bWE1SjJtNHltUUtTazVQL2lJeU1qQWdORFkxemRseXVnallhQUd3ajhXbkh5eSsvckhuejVtbmd3SUVPOVlvc0NOMjZkWFBLZGMyaW82UGw1K2VuRXlkT3FIVHAwb3FNakxSWnp0ZlhWNk5HamRMWnMyZTFjK2RPbFN0WFR1M2F0WFBvanlHcnV0dld1blZyL2QvLy9aK0dEeC91OERIMzMzKy8zWDJzNmc0QWNFUkNRb0syYmRzbWIyOXZ2ZkxLSytrWE9KR1V0ckRqQng5OG9PKy8vMTdKeWNtWjdwRU9IRGdnS1cxdTlBb1ZLbGp0YTlHaWhWYXNXS0ZMbHk0cE1qTFM3akRNbXpkdnlzdkx5K0VIZndBS3Q4akl5S2dISG5qQTcrZWZmejR0S2VzbHgrOHg5aFo0c3VmNjlldjY4c3N2VmJkdVhadWo4R2lqQVNBekVwOTJsQ3RYVGdNR0RGQzdkdTJjSFlwVDNMbHpSNzE2OWRLRkN4ZFVxMVl0ZmZUUlIzcnJyYmN5bFl1UGo5ZlJvMGYxelRmZjZNU0pFNUxTaHJ5dlhMblM0V3VWS0ZGQ2p6LytlTDdGN2dwYXRteXBnUU1IcWs2ZE9zNE9CUUJRaENVbUpscTJrNUt5enpjc1hMaFFuMy8rdWFTMHFXNHlQb1I5L3ZubjlkeHp6K25iYjcvVmpoMDcxS2xUSjh1K2l4Y3ZhdS9ldmFwWXNhS0dEQm1TNmR4MTZ0VFI4ODgvci8zNzk4dmYzOS9tdk9CSGp4N1ZsU3RYOU82NzcrcSsrKzV6K0gwQ0tMeXVYTGtTZStYS2xaUE9qcU13U3Q4dXAyK3Y3Ums2ZEtqT25Uc25TZHEwYVZPbTcxQzAwUUNRR1luUExQVHAwOGZaSWVSS2JvYmJaK1RqNDZQZXZYdnJtMisrMGJScDB6TDE5Z3dORGRXU0pVdDA2TkNoTElkRElIZU1ScVA2OXUzcjdEQUFBRVhjK2ZQbkxkdC8vUEZIdHVVdlg3NXMyYjUwNlpMTk1wTW1UVkprWktSbXo1NnRVcVZLcVhuejV2cjU1NTgxWmNvVStmcjZhdEdpUlNwWnNxVE5ZeWRPbktpb3FDaHQyclJKbnA2ZWV2dnR0MVdpUkFrbEp5ZnJQLy81ajJiT25La3VYYnFvVjY5ZU9YeW5BRkQwbUpPWVVsb2IvZXl6ejJaWlBqUTAxR3JiVnVjUjJtZ0FzRWJpRTNhMWFkTkdiZHEwa2FSTWljOUtsU3JKeDhkSFhsNWVxbFdybHFwV3JhcExseTRwTURCUUpVcVVVUHYyN1cydS9DNmxmYW5hdTNldjVRODN3eVFBQU1oZlc3WnMwZkhqeC9Yamp6OWFYdnZ4eHgvVm8wY1BWYTllWGNPR0RiTTU5VW52M3IxMTl1eFplWHQ3Ni9YWFg3ZDViaDhmSHkxZXZGaGJ0bXpSMHFWTE5YYnNXSlV2WDE0ZE9uVFFtMisrcWVMRmk5dU55OGZIUjB1WEx0WE9uVHYxMVZkZnFWT25UdkwwOUZSS1NvcWVlT0lKVFpzMlRVMmJOczM3THdBQUNySHAwNmNyTkRSVVI0OGV0YnkyYk5reUhUdDJUTldxVmRPSEgzNW84N2loUTRkcTBhSkZxbHUzcmxxMmJHbXpERzAwQUZnajhWbUVKU1VsS1N3c1RGTGEwSFN6c1dQSDZva25ubkRvSEZ1M2J0WDI3ZHVWbEpSa1djbnZ2dnZ1eTNJMVB5bHRSY1l4WThab3pKZ3hsdGNTRXhQbDUrZW5JMGVPNlBQUFAxZXRXclhVcWxVclBmWFVVNHFPanRheFk4ZDA5T2hSeTVOTmc4R2cvdjM3cTErL2Zwbk9mL2p3WVp0RE1ISmkyclJwbWpadFdvNlBtelZybHVyV3JhdldyVnZuNmZxalI0L1c2TkdqYzN6Y2Q5OTlsNk9oSS8zNjliTk1NNUNkQXdjT3FGR2pSbG1XYWRldW5TWk5tdVR3OVFFQWhVL1hybDNWdFd2WEhCOVhyMTQ5N2Rteko5dHlucDZlNnRtenAzcjI3Sm5qYTdpNXVhbERodzQyRjk0QWdIdkJ5SkVqYzNWY2x5NWQxS1ZMbDJ6TDBVWUR3UCtRK0N6Q3dzTEM5T3FycjJaNmZjcVVLVGsrVjBoSWlPVmNuVHAxc2twbzJoSWZINjgxYTlhb1RKa3lldWloaDFTalJnMlZLMWRPczJmUDF0aXhZN1YvLzM0RkJ3Y3JPRGhZeTVjdnozUjhwVXFWTkhyMGFKdVRjZ01BQUFBQUFBQjVSZUlUdWVMbDVhVUtGU3BveXBRcE1ocU5NaHFOS2xldW5CbzJiS2hubm5sRzFhdFgxNzU5KytUbTVxWml4WW9wSWlKQ2YvMzFsNHhHbzU1NzdqbTFhTkZDcDArZjFwNDllM1Q5K25YZHZIbFRrWkdSaW8yTjFZd1pNMVNsU2hYMTc5L2ZLZSt0V3JWcUtsR2loTTBKdmU4R1QwL1BISldmTld1V1F3dFdPTXJMeXl2ZnpnVUFBQUFBQU9Bc0pENXpvSFBuenVyY3VYT3VqdTNldmJ1NmQrK2VyL0ZVclZwVng0OGZ6OWR6MmxPeFlzVk0xK3JZc2FNNmR1eG85NWhCZ3daWi9Sd1pHYWtMRnk3bzh1WExDZ3NMMC9YcjEzWHIxaTFGUjBjclBqNWV5Y25KcWxtenBxVVhhSDRzMHBRWCtmMy9WVkJLbFNybDdCQUFBQUFBQUFBS0hSS2ZSWVNucCtkZFMzSVdsTktsUzZ0Qmd3WnEwS0NCczBNcGtvWU9IYXFoUTRjNk93d0FBQUFBQUlBaXdjM1pBUUFBQUFBQUFBQkFmaVB4Q1FBQUFBQUFBTURsa1BnRUFBQUFBQUFBNEhKSWZBSUFBQUFBQUFCd09TUStBUUFBQUFBQUFMZ2NFcDhBQUFBQUFBQUFYQTZKVHdBQUFBQUFBQUF1aDhRbkFBQUFBQUFBQUpkRDRoTUFBQUFBQUFDQXl5SHhDUUFBQUFBQUFNRGxrUGdFQUFBQUFBQUE0SEpJZkFJQUFBQUFBQUJ3T1NRK0FRQUFBQUFBQUxnY0VwOEFBQUFBQUFBQVhBNkpUd0FBQUFBQUFBQXVoOFFuQUFBQUFBQUFBSmRENGhNQUFBQUFBQUNBeXlIeENRQUFBQUFBQU1EbGtQZ0VBQUFBQUFBQTRISklmQUlBQUFBQUFBQndPU1ErQVFBQUFBQUFBTGdjRXA4QUFBQUFBQUFBWEE2SlR3QUFBQUFBQUFBdWg4UW5BQUFBQUFBQUFKZGpkSFlBOXFRa3AraE04RmxuaHdIQUNjS3VoRnUyM2R6Y1RVNE1wVkF6cFpyMFY4UU5oWVpkY1hZb0tFTCsraXRDcWFrcHpnNmowT00rQkxseEp2aXNrcEtTbkIwRzRQSlNrbE1VZlBhY1BEMDluUjBLaWhEYWFPRGVWR2dUbjNIeDhWcTRkSVU4UER5Y0hRcUF1K3hPYkt4bE96VTF4ZURFVUFxMU83R3htalZ2b1lvWEwrN3NVRkNFeE1mSEsvSjJsTFBES1BTNEQwRnVKQ1VsS1NvNjJ0bGhBQzR2TGo1ZXkxYXRWakdQWXM0T0JVVUliVFJ3YnlwMGljOUVVMnA0TVlNaFBOVms4b3FNNG9zWmNPOHltV1JReUNXMzZEaG5SMUxZSkxycmxxZEpmNWxNcVNXdVgvL0wyZUdnaURJWURCRkppU2szbkIxSFljTjlDUEtGeVhRdDBXUUt6NzRnZ0p4SU5aaXV1eW10amI0ZFJRSUx1VVFiRGR4VENtTlBLcmVISHExZDA4M29VZDdaZ1FCd25wVFUxQlMzaEtUekZ5OEdjMU9TbWNkRE5lbzg2K1p1ck9Uc1FGQjBtVkpUcmwwMHB1elRtVE9Kem82bGtPRStCSG1XWWtpTnVCejh5eGxKcWM2T0JYQXh0TkhJTTlwb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zRHNNemc3QWxvcVAxS2xTek1QNGlMUGpBT0E4cVNZbHhhVEVCTjA4Zno3SzJiRVVSclNUeUt1RWhJUUw0UmVDTHpvN2pzS0krb1c4b240QkJZYzJHbmxGRzIwZjlRdDVWUmpyVjZGTGZGYXRXcitxdkV4clpGQk5aOGNDd0lsTWhsVEp0RDdrTitONDZYaVNzOE1wVEdnbmtVOHVLYzdRTlNUa1ZJaXpBeWxNcUYvSUo5UXZvQURRUmlPZjBFYmJRUDFDUGlsMDljdm83QUF5OFZKVkdWVFRJRU1GNytMRjVXNTBkM1pFQU82eWhJUkVKU1lteW1SUy9ZY2VTaXh4NlpKdU9UdW1Rb1YyRW5tUWtweWl1UGg0cFpwTVh2SlNWVW1GNXFha1VLQitJUStvWDBBQm80MUdIdEJHWjRQNmhUd296UFdyOENVKy84dTdlSEg1RFgxWFQ5UjYzTm1oQUxqTE52OXJ1M1o4OWJVa3ljM04zZVRrY0FvdDJrbmt4cG5nczFxNGRJVWlvNWhGSWl2VUwrUUc5UXU0TzJpamtSdTAwWTZoZmlFM0NuUDlLclNKVDNlanU1Nm85YmlhTlczczdGQUEzR1dIZmpoaTJVNU5UU2wwVTNJVUZyU1R5QzBQRHc5bmgxRG9VYitRVzlRdm9PRFJSaU8zYUtPelIvMUNiaFhXK3VYbTdBQUFBQUFBQUFBQUlMK1IrQVFBQUFBQUFBRGdja2g4QWdBQUFBQUFBSEE1SkQ0QkFBQUFBQUFBdUJ3U253QUFBQUFBQUFCY0RvbFBBQUFBQUFBQUFDNkh4Q2NBQUFBQUFBQUFsMFBpRXdBQUFBQUFBSURMSWZFSkFBQUFBQUFBd09XUStBUUFBQUFBQUFEZ2NraDhBZ0FBQUFBQUFIQTVKRDRCQUFBQUFBQUF1QndTbndBQUFBQUFBQUJjRG9sUEFBQUFBQUFBQUM2SHhDY0FBQUFBQUFBQWwwUGlFd0FBQUFBQUFJRExJZkVKQUFBQUFBQUF3T1dRK0FRQUFBQUFBQURnY2toOEFnQUFBQUFBQUhBNUpENEJBQUFBQUFBQXVCd1Nud0FBQUFBQUFBQmNEb2xQRkdvM2J0elF3SUVERlJJU2t1dHpiTjI2VlkwYU5WS2pSbzEwK1BEaGZJd09BQUFBQUFBQWhSV0pUeFJhZCs3YzBWdHZ2YVhBd0VENStma3BKaWJHMlNFQkFBQUFBQUNnaUNEeGlYeTFmdjE2UysvS1o1NTVSbUZoWWJrK2w0K1BqNTU5OWxsSjBzV0xGelY2OUdpbHBxYm1WNmdBQUFBQUFBQndZU1Era1crMmJkdW0rZlBuVzM2T2lZblJOOTk4azZkekRoOCtYUFhxMVpNay9mREREMXE4ZUhHZXpnY0FBQUFBQUlCN2c5SFpBY0ExckYrLzNwTDByRnExcWlwV3JLakRodzlyOGVMRlNrMU5WZCsrZlhOMVhxUFJxT25UcDZ0NzkrNjZlZk9tMXE1ZHExcTFhdW5GRjEvTXovQUJ1SkNvcUNnZE9IQkFOMjdjVUtWS2xkU3FWU3Q1ZW5vNk95eWdRSVNHaHVydzRjTktTRWhRelpvMTFiaHhZeGtNaGp5ZjEyUXk2WmRmZnRHWk0yY1VIeCt2Q2hVcXFGbXpacnIvL3ZzZFBzZUZDeGQwOHVSSlJVWkdxbmp4NHFwWnM2YnExYXNuTnplZXV3TkFYdVdsamIxOSs3WU9IejZzOFBCd2VYdDdxMDZkT3FwVHA4NWRpRHBOZEhTMERoOCtyS3RYcjZwNDhlSnEwS0NCYXRTb2NkZXVEeFJHNTgrZlYzQndzQ0lpSWxTMWFsVTk5OXh6TnN2RnhjWHAyTEZqQ2drSlVYSnlzbng5ZmRXMGFWT1ZLMWZ1TGtkY2RKRDRSSjRrSnlmcjAwOC8xUmRmZkNFcExlbTVmUGx5bFNwVlNoOTg4SUVPSFRxa3BVdVhLaUVoUWUrODgwNnV2b3c5OE1BRG1qQmhnb1lOR3laSm1qaHhvaDU1NUJGVnExWXRYOThMZ0tKdng0NGRtamx6cGlwVnFxUzZkZXZxNjYrLzFvd1pNL1R4eHgrcmVmUG16ZzRQc09uS2xTdGF0V3FWTGw2OEtIOS9mNGVPU1U1TzF0eTVjN1ZseXhZMWE5Wk1GU3BVMFByMTYrWHI2NnRQUC8xVWxTdFh6blU4SVNFaEdqTm1qSDc3N1RlcjF6MDhQTlNqUncrOTg4NDdjbmQzdDN0OFJFU0VKazZjcU9QSGordmxsMTlXdFdyVkZCb2FxclZyMThySHgwY1RKMDdVazA4K21XMGM4K2ZQMS9yMTYyM3VLMTI2dEhidjNwM3RRNDJmZi81WlM1Y3VWZTNhdFRWa3lKQnNyd2tBR2VXbWpUWjc2NjIzZFByMGFadjcvdmEzdjJuZXZIazVqaWV2YmV6V3JWczFkKzVjeGNmSFc3M2VwRWtUZmZycHB5cGR1clREc2VTMGpVMUpTWkcvdjcvV3JsMnJSbzBhcVhMbHlqcDE2cFNtVDUrdTVzMmJhK0xFaVNSdllGRVE5Y2NzTWpKU2JkdTJ6VlFQek41Nzd6Mjk4Y1liRHA5dnk1WXRtakZqaGpwMDZLRHg0OGM3ZkZ4c2JLdysrK3d6L2Z2Zi81YlJhRlRyMXExVnIxNDkxYXBWeTJiNUw3NzRRZ3NXTEZDRkNoWFV2SGx6ZVh0N2ErL2V2Wm8wYVpKZWUrMDFEUnMyVEI0ZUhnNWYvMTVCNGhPNWR1WEtGWTBlUFZwQlFVR1NwTnExYTJ2ZXZIa3FVNmFNSkdubXpKbWFOR21TdnY3NmE2MWV2VnBuenB6UmxDbFRjdFJieEt4bHk1YnExS21UdG0vZkxuZDNkOTI0Y1lQRUp3QXJuMzMybWViT25hdTJiZHRxd29RSmNuZDNWMnBxcWo3ODhFTU5HelpNOCtiTjA5TlBQKzNzTUFHTHExZXZ5dC9mWHp0MjdGQnljckxEdlczTW4rc0RCdzVvN05peDZ0aXhveVJwOE9EQjZ0bXpwL3IwNmFOMTY5YXBRb1VLT1k0cE5EUlV2WHIxVWxSVWxDVEp5OHZMOHFVZ0tiRnF2TkFBQUNBQVNVUkJWQ2xKYTlldTFlWExselY5K25TYkR6TWpJeVBWdTNkdnhjYkdhdlBtelhyNDRZY3Qrd1lPSEtoQmd3WnA0TUNCV3I1OHVlcldyV3MzanBpWUdHM2J0czN1L3RkZWV5M0xwR2RRVUpDV0xWdW1vMGVQU3BLZWVPS0pyTjg0QUdTUTJ6YmFMREF3MEc3U1JwSjY5T2lSNDVqeTJzWUdCQVJvK3ZUcGV1aWhoMVN0V2pYOTlkZGZPblBtakNYZTRjT0h5OS9mUDh1SFcxTHUyMWp6ZDhNWk0yWlllck9aVENZdFdyUklhOWV1Vlo4K2ZiUjY5V3FWTFZ2V29mUEJkUlZFL1VsdjgrYk5kcE9lM3Q3ZSt1Yy8vK253dVM1ZnZxd0ZDeGJrT0lhVEowOXE5T2pSaW95TTFKQWhROVMxYTljczY5N0dqUnMxWjg0YzllalJROE9IRDdmcTNiMTc5MjZOR3pkT1Y2OWUxYXhaczNJY2k2c2o4WWxjMmJGamgyYlBubTFaYWYzNTU1L1g1TW1UNWVYbFpTbmo0ZUdoS1ZPbXFFcVZLbHF4WW9XT0hqMnExMTkvWFo5ODhva2FOV3FVNDJ2Nitma3BMQ3hNSDN6d0FVbFBBRlorL3ZsbnpaczNUNlZMbDlibzBhTXROdzF1Ym03NjZLT1BkT2pRSVkwYU5VcGZmUEdGNWVFTTRFeWJOMi9XNmRPbkZSNGVydVRrNUJ3ZHUyN2RPaDA0Y0VBdFdyU3dKRDJsdEY2UXc0Y1Axd2NmZktEUm8wZkwzOTgveHlNdEprK2VMSVBCb0pFalIrcmxsMTlXNmRLbGRmMzZkYTFjdVZMYnQyK1hKTzNidDAvYnRtMVQ1ODZkTXgyL2VQRmloWVdGYWNLRUNWWmZ5Q1hwdnZ2dTA0Z1JJOVMzYjE5Tm1USkZXN1pzc1J0SFFFQ0F2TDI5MWFCQmcwejdEQWFEdW5UcFl2TTRrOG1rYWRPbUtURXhVYUdob1RsNTZ3QmdrWmMyMm16Tm1qV3FVYU9HZkgxOU0rMHJVNmFNbWpScGt1Tno1cVdOdlhUcGtsYXNXS0U1Yytib21XZWVzYndlR0Jpbzk5NTdUM0Z4Y1FvS0N0SzMzMzVyZDFxeHZMU3hBUUVCK3VxcnI5U2xTeGVySWJ3R2cwR0RCdzlXVUZDUWpoOC9ybzgvL3RocTNRamNtd3FpL3BqRnhzWnF5NVl0YXR5NHNWWCt3dXlwcDU1U2lSSWxIRHBYYW1xcUpreVlZRGVKYXMvdTNiczFjZUpFRlM5ZVhFdVdMTEY1djVOZWVIaTRGaXhZb0VxVkttbllzR0dacHJSbzA2YU5kdXpZb1crLy9WYjc5dTNUQ3krOGtLTjRYQjJKVCtSSVNFaUlQdjMwVXdVR0JrcEttNE56Nk5DaFdUNXhHVEJnZ0dyVnFxVUpFeVlvSWlKQ0F3WU1VUHYyN2ZYdXUrL21hQ2lEdVZFQWdJeG16Smdoazhta3RtM2JacnFCS1ZldW5GcTBhS0VEQnc1by92ejVtalJwa3BPaUJQNm5hOWV1ZXYzMTE1V2NuS3dYWG5qQjhpQXhPemR1M05ES2xTc2x5V2Jpc1ZXclZpcFZxcFIrL3ZsbjdkeTVVNis4OG9yRE1aMDllMWEvL2ZhYi9QMzk5ZWlqajFwZUwxKyt2TWFNR2FNU0pVcFlocDV2MkxBaDAvVlRVMU10aXhyV3JsM2I1alhNUTdmT256K3YwTkJRbTBQeTQrUGp0V25USm8wYU5TckhOKzRHZzBHalJvMlN3V0RRcjcvK3FwNDllK2JvZUFDUWN0OUdtd1VIQit2RWlSUGF1WE9uSG5qZ2dYeUpLYTl0N0twVnF6Um56cHhNdytDYk5HbWlkOTk5MTlKTDdPVEprM1lUbjdsdFkrUGo0eTNmNDlxMmJXdnp2RysrK2FhT0h6K3U3Ny8vWHQ5Ly83MWF0bXpwMExuaGVncWkvcVMzYmRzMmxTOWZYc3VXTGN2enZPZ2JObXhRV0ZpWTFRaVo3SHozM1hjYVAzNjgzTjNkTldmT25HeVRucEwwZi8vM2YwcE9UbGJObWpYdDlncXRYYnUyQWdNRDlkMTMzNUg0eklEWjVlR1F5TWhJelpneFExMjZkTEVrUGF0V3JhbzFhOVk0MU0yOFZhdFcrdnp6ejlXa1NST1pUQ2J0MkxGREhUcDAwSW9WSzNMOGRBUUEwZ3NNRExUTVJXaHZIcytubm5wS2tyUm56eDdkdW5YcnJzVUcyR08rMFRZYWpYcnd3UWNkUGk0Z0lFQUpDUWx5YzNOVDA2Wk5NKzAzR28yV1VSV2JObTNLVVV3SER4N1VzR0hEckpLZTZiM3p6anVXQjVhaG9hRzZjZU9HMWY2b3FDamR1WE5IVXRvUVVWdU1ScVBsdmR2clJmWGxsMStxVktsU2RpZjF6NDc1L0ZXcVZNblY4UUNRMnpiYWJQWHExV3Jmdm4yK0ptM3kyc1lPR0REQTd0eWZMNzMwa21YYjI5czd5emh5MDhidTM3OWYwZEhSa21UM2I4elRUejl0dWZibm4zL3U4TG5oZWdxaS9wZ2xKU1hwczg4K1U2OWV2ZktjOVB6amp6KzBiTmt5alI4LzN1R0ZWSC83N1RlTkdUTkdKcE5KUTRZTWNYZ2tiSGg0dUNUN2RWOUtxLytTL2Z1cmV4bUpUMlFwTWpKU2l4WXRVcnQyN2JSbHl4YWxwS1RJYURTcWQrL2Urdnp6ejNNMFoxYUZDaFVzRGNOOTk5Mm4rUGg0TFYrK1hPM2F0ZE9pUllzc2xSa0FjdUxycjcrMmJELysrT00yeTlTc1dWTlMybzNBbmoxNzdrcGNnS05zRGJPeXgvejVmZWloaCt3ZVorN3hjKzdjT1owN2Q4N2hjL3Y0K0toZHUzWjI5M3Q0ZUtoRml4YVduK1BpNHF6Mmx5aFJ3akwweXQ2WDFuUG56c2xrTXFsMDZkSTJlM3NtSnlkci9mcjFxbE9uVHA3dkMzTHlld1VBZTNMYWxvU0VoT2piYjc5VjllclZGUmtabVc5eDVMV05yVlNwa3Qxemx5MWIxdEtMek5IRklIUHllemw1OG1TMng3bTd1MXZtVVQxMjdCaWRZKzVSQlZWL3pIYnUzS21vcUNpVkxWczJUNSt4NU9Sa2pSOC9YdTNhdGJPNk44cnVtSTgrK2tqeDhmR3FVYU9HdW5YcjV2RDF6SXVPL2ZycnI1WTFWakk2ZS9hc0pEbTBnT1M5aHFIdXNDa3NMRXdiTm16UXpwMDdyUnFFY3VYS0tTSWlRcXRYcjlicTFhdnpkSTBtVFpvb01EQlF0MjdkMHBvMWE3UjI3VnExYk5sU0F3WU0wTUdEQjdWaXhRcWJ4NDBZTVVMZHUzZVhKQzFmdnR4dU9Wc2NXVzB3L2ZrQkZIN21pZlU5UFQzdHp0K1pmaDZzNDhlUDUraEdBeWhvR2VkcHNpYzBOTlF5cDFyRmloWHRsbnZvb1ljczI4ZVBIMWVOR2pVY09yOGpmL3ZTTDVpVWNib2FjMi9Ud01CQUhUbHlSQnMyYk5DYmI3NXBWY1k4NTF5ZlBuMHNQUlBTMjdObmo2NWV2YXBkdTNacDE2NWRxbFNwa2w1NTVSVjE2ZEpGSlV1V2RPaDltRG42ZXdXQXJPUzBMVm0zYnAxTUpwTm16WnFsV2JObXFXN2R1dXJVcVpQYXRHbGpzOTF6Vkg2MHNmWmN1M1pOS1NrcGF0cTBxUm8yYk9qUU1UbjV2YVR2cFJZZkgyODMrV2xPemlZbkordnMyYk9xVjYrZXc5ZUFheWlvK2lPbFRSZXhidDA2SlNZbWF1REFnVElhamZyYjMvNm1MbDI2MkJ4Rmt4Vi9mMy9GeE1USXo4L1A0V1ArOWE5LzZmTGx5NUtrWHIxNlpidUlXSHBObXphMTVEM0dqaDJyTld2V1dIM3Z1WFRwa280Y09hSnk1Y3JsYUdHbWV3VjNoTEFwTGk3T0t1bFp1blJwalJ3NVVvc1hMODYzYTR3ZlAxNUxsaXl4TEZSa01wa1VGQlRFS240QUhIYno1azFkdTNaTmtySWNEbE9xVkNuTHpZVjVXRHhRMUpoWDNwV3kvcnluL3p1YTM1LzMyTmhZU2RKamp6MW04NHRycjE2OUxOdno1czNUa2lWTFpES1pKS1gxc3RpNWM2ZmF0bTFyOCtHRHlXVFMyclZyclY0TEN3dlQwcVZMMWJGalIrM2V2VHMvM3dvQTVMdHIxNjVsYXF1Q2dvSTBhZElrOWVqUlE4SEJ3WGs2ZjE3YTJLenMzcjFiNWN1WDErVEprL01VbnozbUdDWHB5cFVyZHN2NStQaFl0ak5PcHdMWFY5RDE1ei8vK1kvVm9sekp5Y242OXR0dk5XalFJUG41K2VubXpac09uU2M0T0ZocjFxelJwRW1UVkx4NGNZZU9pWXVMMDZwVnF5Uko5OTkvdjlVY25OSFIwZGtPVDIvUW9JSHExNjh2S2UxQitOdHZ2NjJRa0JCSlVreE1qRDc4OEVNVkwxNWNjK2ZPZFRpbWV3azlQbUhUbzQ4K3FnOC8vRkJidDI3VnE2KytxdGF0VzZ0NDhlSktTRWpJOUtVa3Q4cVZLNmVLRlNzcUlDQkErL2Z2MTdwMTY5Uy9mMytWTDE5ZTdkdTN0NXJ2SWk0dVRzT0hEODkwam96bGJEbHc0SUJsbnJPaFE0ZmFuUXpjakRuQmdLSWpMQ3pNc3AzVllta0dnMEUrUGo2S2lvcFNlSGk0VWxOVDZRMkdJc2ZSejN2NmxValRINU1mTGx5NElFbjYrOS8vYm5QL1UwODlwZjc5KzF0NkpmajcreXNzTEV6Tm16ZlgxS2xUTldEQUFQWHIxOC9tdkZxM2J0M1N5eSsvcktpb0tJV0doaW9vS01neXpDMHlNbExqeG8zVDVjdVhOV0RBZ0h4OVR3Q1FYeUlpSXRTclZ5L2R2SGxUSVNFaE9uMzZ0QklTRWlTbExUalV0MjlmVFo4K1BkY0w5K1NsamJYbnpKa3oyclJwazFhdlhwMmpoV2R6SXYzRHVsOSsrVVhWcTFlM1dTNzlTRVB6ZkthNGR4UjAvVEVZRE9yZHU3Y2lJaUwwKysrLzYrelpzNWFrL0lFREIvVEhIMzlvOGVMRk5xZmlNVXRNVE5UNDhlUFZ2WHQzU3lMU0VmdjM3N2ZjMDdScTFVcW5UNS9XNTU5L3JpTkhqdWpPblR1V3VkdUhEUnVteHg1N3pPWTVQdm5rRTczMTFsdjY2NisvRkJZV3ByZmZmbHNmZi95eDFxeFpvK1RrWksxZHUxWlZxMWJOd1cvazNrSGlFM1oxNk5CQkhUcDBzSHJOMDlOVGRldld6ZGZydUxtNTZjVVhYN1JhUGJCaXhZcFd3L2pNazJGbmxMR2NMZVluSVpKVW8wWU5OVzdjT0k4UkF5Z3MwaitaemU3cFpyRml4U3pic2JHeFZza2hvQ2hJLzNuUGF2R0o5Si8xbks1RW5KWDQrSGdkTzNaTVBqNCs2dGl4bzkxeUF3WU1VRkpTa3Rhc1dTTXBiZmo2bmoxN05HL2VQUDN0YjMremUxeVpNbVhVdjM5L3k4OHBLU25hdDIrZjVzK2ZieGttdVdMRkNqMzQ0SU01V3EwZUFPNlcyclZyVzNXeWlJMk4xZWJObStYdjc2LzQrSGpGeDhkcjVNaVJXcmR1bmQxRmZyS1QyelkybzRTRUJHM2J0azJMRmkxU1FrS0N4b3dabzlHalIxdm1pYzVQalJvMTBvNGRPeVNsOVV5MU54UTNmUy9QOUwwL2NXOG82UHJ6MGtzdldTM2tkZTNhTlMxWnNrUzdkdTJTbE5hVGN2anc0ZHF3WVlQZDd4VkxsaXlSdTd1N0JnMGFsS05ySHpod3dMSjkvUGh4blQ5L1huLy8rOS8xOHNzdjY5U3BVd29JQ05EUm8wZDE4dVJKelpzM3orYlFlMTlmWDYxY3VWSURCdzdVMWF0WEZSMGRyZmZlZTAvMTY5ZlhaNTk5eHR6bVdhQzdDd0NneUVyZk15QzdQL2JwaDFuUml3QkZVZnJQZTFhcmg2Yi9ySnVIcHVlSFhidDJLVDQrWG4zNjlNbDJ2czNCZ3dmcnJiZmVzbnB0enB3NWxybXRIT0h1N3E2WFgzNVoyN1p0VSt2V3JTMnZ6NTQ5Mis0RFVRQW9UTHk5dmRXN2QyOXQzNzdkMHNzeFBqNWUwNmRQejlONTg5ckdCZ1FFcUhQbnpwbzllN2FsUjkyWk0yZlV2MzkvL2ZycnIzbUt6WmFYWG5ySjBwdjAxS2xUTnFjdWlZbUowUjkvL0dINXVTQlc5RWJSVWxEMXg4elgxMWVUSmszU3lwVXJMUStVTDF5NG9QWHIxOXNzYjA1UVRwNDhXUjRlSGptNjFpKy8vR0xaN3R1M3I5YXZYNi91M2J2cmhSZGUwSWdSSXpSanhneEphUThrUm8wYXBWdTNidGs4VDVVcVZiUm16UnFyKzdCVHAwN1pqUmxwU0h3Q0FJcXM5TVBWczVzZ1BQM2NPVG05V1FFS2cvU2Y4YXcrNytrLzYzbGRDTUFzSVNGQjY5YXRVNDBhTmRTalI0OXN5eDg5ZWxSZmZQR0ZPblhxWktsdmx5NWRVcTlldlN5cmpqckt5OHRMSDMvOHNaNTU1aGxKYVYrT3YvcnFxNXkvQ1FCd0VsOWZYeTFkdXRReWhQYkVpUk02ZCs1Y3JzK1gxemEyUzVjdTJybHpwd0lDQXRTbFN4ZkwzNHJZMkZpTkhqMWFLU2twdVk3TkZrOVBUMDJaTXNVUzY2UkprK1R2NzY4Ly8veFRRVUZCV3JGaWhkNTg4MDFkdW5SSlV0cVE1TnoyaUlYcnllLzZrMUhEaGcwMWYvNTh5NGlaZ0lBQXBhYW1XcFdKajQvWGhBa1QxSzlmUDRjWGpUU0xpNHZUWDMvOUpTbnRucVo5Ky9hWnlqenp6RE9XRWJDUmtaSGF2SG16elhQRng4ZHIxcXhaOHZYMXRacnliL255NVpvNmRhclZ3Mi84RDRsUE9LeHQyN1pxMUtoUnZ2NUwzOVVjQUhJcS9YRGZ4TVRFTE11YWV6UmtQQTRvS3RJUHUwcEtTckpiTG4xZHlLK2hndXZXcmRPTkd6YzBkZXJVYkpPcDMzNzdyWVlORzZaZXZYcHB6Smd4V3I1OHVVcVZLaVVwYlI3UFFZTUdXYjdjT3Nwb05Hcml4SW1XOHdRR0J1YnVqUUNBazVRclYwNFRKMDYwL0p6YmRpdy8yOWhISG5sRUkwZU8xTXFWS3kxL0wwSkRRM1h3NE1GY3haYVZKazJhYU5teVphcGV2YnFTazVPMVpNa1N2ZmJhYXhveVpJamk0K1BWcjE4L1M5a25uM3lTQlZwZ0piL3FqejBOR3paVTc5NjlKYVVsSHMrZlAyKzFmOTY4ZVNwVHBreW1udGFPdUgzN3RtVTdxM2wwWDN2dE5jdDIrcUh4WnZIeDhSbzhlTEIrL2ZWWExWMjZWRXVXTEZHN2R1MHMrN2R2MzY1WnMyYmxPTDU3QVlsUEFFQ1JWYjU4ZWN0MittSEFHU1VuSjF2Mmx5eFpramx3VUNUNSt2cGF0clA2dkVkRlJWbTIwOWVSM0FvT0RwYS92Ny9HangrdlJ4NTVKTnV5bzBhTlVvMGFOZlRHRzI5SWt1clZxNmRWcTFaWmJ2WnYzNzZ0MGFOSForcE5rWjJTSlV0YTVvVzdmdjE2THQ0SkFEaFhnd1lOVktkT0hVbXk5QURMaVlKcVk1OTg4a241K2ZsWlhhY2cxSzlmWC8vNjE3KzBaY3NXTFZpd1FPdlhyOWQvL3ZNZkRSMDZWTWVPSGJPVW8zTU1iTWxyL2NuTzY2Ky9idW1WblA0KzQ2ZWZmdEt1WGJzMGVmTGtYQzJPbXY2WXJCNUkxNjlmMy9JZDVlTEZpNW4yang4L1hpZFBudFRJa1NOMS8vMzNXeDRLZCsvZTNWSm04K2JOQmZMZ29xaGpjU1BrV05PbVRmWG1tMi9tNlJ5Yk4yL1dEei84a0U4UkFiaFhQZnp3dzNKemMxTnFhcW9pSWlMc2xrdi9wSlhWRGxGVXBWOEZONnZQZS9yRVo3VnExZkowelppWUdIMzAwVWQ2NjYyMzdLN2tudDZjT1hPVWxKU2sxMTU3emVwR3YzcjE2bHEyYkpuNjlPbWoyN2R2S3pnNFdELzg4RU9PRnVLUTBub01yVnUzem1vQkp3QW9TaG8zYnF6VHAwL25hdHFkZ214ajI3UnBvOW16WnlzMk5yWkFra3JwUGZyb28xWkQyUk1TRWl3OTNFcVVLTUVDZHJBckwvVW5PL2ZkZDU5cTFxeXBvS0FncS91TU5XdldLQzR1THRQQ3o3WjgrZVdYK3ZMTEx5VkpvMGFOVXVmT25WVzZkR25ML3F5R29odU5SajM4OE1NNmUvYXNFaE1UbFpLU1lwbmE2Tml4WTlxM2I1OHFWS2hnVmE4TkJvTkdqQmlocEtRay9ldGYvNUtVdGhCa3ExYXRjdmJtWFJ5SlQrUlkrZkxsOWZUVFQrZnBITjkrKzIwK1JRUGdYbGFzV0RFOThjUVRPbjM2dEs1ZXZTcVR5U1NEd1pDcDNKVXJWeXpiVHo3NTVOME1FY2czdFd2WGx0Rm9WSEp5c3NMRHcrMld5Ni9QZTNKeXNrYU9IS2s2ZGVvNHRIcnBwVXVYZE9MRUNVbXltbmZLckZxMWFwbzZkYW9HRHg0c1NUcDgrSENPRTUvMzMzKy9KS2xTcFVvNU9nNEFDb3N5WmNwSWttVytRa2NWZEJ0YnJGZ3gxYWxUUnovOTlKUHV1KysrSE1XV1Y1czNiMVprWktRa3FVK2ZQcXpvRHJ0eVczOGNaZXMrSS8zYzZibFJyRmd4UGZEQUEvcnJyNzkwOCtiTkxNdWFwNjI0Nzc3N3JPWnovK0tMTHlTbERjbTM5VjNuZ3c4KzBQbno1M1h5NUVrRkJ3Y3JNakxTS3VGNnJ5UHhDUUFvMGxxMWFxWFRwMDhyTmpaV1lXRmhObStFMGc4WE1TK1FBaFExUGo0K2F0aXdvWDc2NlNmOS92dnZkc3VaUCs5ZVhsNXEwcVJKcnE4M2MrWk1KU1ltYXVMRWlUWnZzak1LQ1FteGJOdWJ3NnA1OCtacTFLaVJqaDgvYm5mRjBxemN1SEZERXZVWVFORVZFUkVoTnpjM3RXelpNa2ZIM1kwMjFyeFNkSzFhdFhKOGJHNUZSMGRyelpvMWtxU2FOV3RhRGRzRk1zcHQvWEhValJzMzlNZ2pqMWdsUHQ5Ly8zMUZSMGRuZVp5Zm41L3UzTG1qRmkxYXFHZlBucExTUnFhWk5XdldURHQzN2xSRVJJUnUzTGloc21YTFpubStqSFhRWFAvdDFYMTNkM2NOR2pSSS9mdjNsNVEyM3krSnovOWhqazhBUUpIV29VTUh5MklyNXA0UUdmMzY2NitTMG9hNU4yalE0SzdGQnVRMzg4VDMxNjVkcytyWm1aNzU4OTZtVFp0Y3oyZTdiTmt5blRoeFFuUG16TEU3bkN3K1B0N1NRMGV5WGpRc05qYlc3cm5OODNObGQ5TnZ5NEVEQjFTNWNtV0djQUVva2t3bWt3NGRPcVMvLy8zdmxwNXJqcm9iYld4b2FLaTh2YjF6M0JzL0wyYlBucTNvNkdpVkxsMWFNMmZPekhZQlBkeTc4bEovSEhIOStuWDk5dHR2NnRHamg5WHJqei8rdUJvM2JwemxQL1BudGx5NWNwYlhIbmpnQWNzNVdyZHViZG5PYW1FbTh6UVRHZWU1TmRmL3JPcCs3ZHExTGRzRjhmc3B5a2g4b3NoTFRVM1Y1czJidFh2M2JtZUhBc0FKeXBVcnAxZGZmVldTN1drMFVsTlRkZWpRSVVsUy8vNzlIZXE1QnR4TldjMzNsTkd6eno2ckdqVnFTTEw5ZVE4TkRkVWZmL3loWXNXSzZlMjMzODYwUHlFaFFaczJiZEsvLy8xdnV3dGZiTnEwU1R0Mzd0U2lSWXZzRG5kTVRVM1Y1TW1UZGZYcVZjdHJkZXZXdGZRVyt2bm5uKzIrQjNNdnBJeTlOV0ppWW5UdTNEbTd2NC9nNEdEdDJyVkxJMGVPTEpDNXZRREFscHkwMGRldVhWTllXSmpkL1Z1MmJOR3RXN2MwWk1nUW0vdXphcVB6MnNabTUvVHAwL3J0dDkvVXExY3ZsU2hSSWtmSDV0YTJiZHUwYytkT2xTcFZTb3NYTDFiRmloWHZ5blZST0JWay9aR2tDeGN1V0Qyd3pXam16Sm1xVzdldTJyZHZuL1BnczlHOGVYUFZyMTlmMHYrR3JXY1VFUkdoa0pBUVZhaFFRVzNhdExIYVo2N1BXZFY5ODN1clc3ZXVaY2c4MHBENFJKRVdFaEtpdm4zN2F1Yk1tVlpmdmdEY1d3WVBIcXdLRlNybysrKy90eG9LSmttN2QrOVdlSGk0bm4zMldhdW5yVUJoa1pTVUpFbEtURXpNdHF5Ym01c21USmdnZDNkM2JkbXlSUWtKQ1ZiNy9mMzlKVWxEaGd5eE9RL213b1VMTlh2MmJFMmVQRmxidG16SnREOGdJRUN6WjgvV0N5KzhvRU9IRG1ucjFxMVcvelp2M3F5bFM1ZXFXN2R1T25QbWpHcldyR2s1MXRQVFV3TUhEcFNVdGhDQXJUbXhJaUlpZFBEZ1FUVnIxa3pObXplMzJ2Zm1tMi9xOWRkZlY1OCtmWFR1M0RtcmZVZU9ITkhnd1lNMVpNZ1FoK2NaVC8vN05QK09BU0NuSEcyanc4TEMxS0ZEQjczeXlpdjYrT09QcllhYXA2U2thTU9HRFZxMmJKbG16NTZ0OHVYTDJ6eEhWbTEwWHRyWWhJUUVEUjgrWEcrKythYTJidDJhNmRqdzhIQ05IajFhenozM25NMkhacmJrdFkzZHZuMjdQdjMwVTFXdFdsWCsvdjVXZjA5dzd5bm8rck5ueng1MTd0eFpiZHEwMGZyMTY2MCtzOUhSMFJvM2JweisvUE5Qelp3NU0xY3J0enRpM0xoeEtsR2loSTRkTzZidnYvOCswLzVWcTFiSnpjMU40OGFOeXpSaXAzUG56cXBZc2FMT25UdG5XUWdzbzIzYnRzbk56VTFEaHc0dGtQaUxNdnFSbzBoS1NrclMyclZyNWUvdmIybTArRklEM0x1OHZiMjFhTkVpRFJ3NFVDTkdqTkRISDMrc2h4OStXRjkvL2JYbXpwMnJsaTFiYXNxVUtjNE9FOGdrTGk3TzBydmh5cFVyaW91TFUvSGl4Yk04cGxhdFd2cmtrMDgwWnN3WWpSbzFTaDkrK0tHTVJxUDgvZjIxWThjTzlldlh6KzRjYVpjdlg3WnNYN3AweVdwZlFFQ0FwaytmTGtuYXVIRmp0ckdiNTVGS3IydlhycnA2OWFyV3IxK3ZFU05HYU9USWthcFlzYUpNSnBOT256NnRxVk9ucW1yVnF2cjAwMDh6SFd2dVlmVHp6eityVzdkdXFsdTNyaXBVcUtBTEZ5N28xcTFiR2p0MnJKNTc3cmxzNHpJN2YvNjhaZnVQUC81dytEZ0FNTXRKRyszdDdTMTNkM2NsSlNYcHl5Ky8xTjY5ZTFXL2ZuMTVlM3ZybDE5K1VibHk1ZVR2NzY5SEhubkU3dld5YXFPbDNMZXhFUkVSbHRFdlo4NmMwZnIxNjlXNmRXdFZxRkJCRnk5ZTFLNWR1OVMyYlZzTkh6N2M0YVJQYnR2WVgzNzVSZXZYcjlmQmd3ZlZwVXNYRFI0OE9OdS9lM0I5QlYxL3pQY1lDUWtKbWo5L3ZqWnUzS2c2ZGVvb0pTVkZ4NDhmVjh1V0xiVjI3ZG9DWGRpcmF0V3Ftamx6cHQ1Nzd6Mk5IejllVTZkT1ZiTm16WlNRa0tBMWE5Wm94NDRkbWpoeG9wbzFhNWJwV0I4Zkh5MWN1RkR2dlBPT3hvd1pvOUdqUit2bGwxK1cwV2pVblR0M3RHSERCbTNhdEVtVEprMVN3NFlOQyt3OUZGVWtQcEZqdDI3ZFVsQlFVSjdQa1JQcG55aWVPWE5HM2JwMTA0VUxGeVNsVGNJOWRPaFEvZk9mLzh4VFRBQ0t0bXJWcW1uanhvMWF0V3FWUHZ6d1E5MjRjVU0xYXRUUTZOR2oxYlp0VzRhNG8xRDU4Y2NmdFdQSERnVUZCU2txS2twUzJsRHZ6cDA3Njhrbm45U3JyNzZxeG8wYjJ6Myt4UmRmVk9YS2xiVjgrWEwxNk5GRENRa0phdGl3b2Z6OS9TMURxV3pwM2J1M3pwNDlLMjl2YjczKyt1dVcxNDhmUDI1SmVqcktYZy9xWWNPR3FVV0xGdHF5Wll0Njllb2xEdzhQcGFTa3FFcVZLbnI5OWRmVnJsMDdtM080elpvMVMzUG16Tkd4WThjVUhSMnRLMWV1eU12TFMxMjdkbFhyMXEydDVyZkx5cFl0VzNUOCtISDkrT09QbHRkKy9QRkg5ZWpSUTlXclY5ZXdZY1BzTGc0QUFGTHUydWo3Nzc5Zml4WXQwdUxGaS9YYmI3OHBPVGxabHk1ZFV1M2F0VFZtekJpMWFORWkyNlNpdlRZNnZkeTBzWlVxVmRMNDhlTzFjZU5HaFlhRzZ1clZxL3JpaXkvMDRJTVBxbG16WmxxOWVyV3FWcTNxME84bU4yMXNVRkNRVnE1Y3FaczNiOHBvTktwWnMyYnk4L05qYURzc0Nycit0R3paVW1QSGp0WG16WnQxOGVKRjNibHpSeGN2WGxTVEprMjBZc1dLdTdhZ1Y5T21UYlZwMHlhdFdyVks0OGVQVjBwS2lrcVhMcTBHRFJwbzA2Wk5XZGJEcWxXcktpQWdRSnMyYmRLR0RSczBiOTQ4ZVhwNnlzM056WExlOUFzcTRYOUlmQ0xIZnZqaEIvM3d3dzkzOVpycG45aDgvZlhYbHUyMmJkdkt6OCtQRmNzQVNFcWI3L09qano3U1J4OTk1T3hRZ0N3OTlkUlRldXFwcC9KMGpwbzFhMnJ1M0xrNU9xWmV2WHJhczJkUHB0Zk5xd0RuRi9QRS9qbmg2K3ViNCtTckxWMjdkbFhYcmwzemZCNEE5NjdjdHRFTkdqVFFxbFdyY24xZGUyMTBScmxwWXp0MDZLQU9IVHJrTmpTTDNMU3hkZXZXMVlJRkMvSjhiYmkyZ3E0L0hUdDJWTWVPSFhOOS9xenMzNy9mNGJJUFAveXdKaytlbkt2cmxDaFJRdjM3OTdjNTZnYjJrZmhFa1pCeHlGM2x5cFUxZHV4WU5XblN4RWtSQVFBQUFBQUFvREFqOFlrY2E5ZXVuU1pObXBTbmMweWRPbFhidDI5M3FHeGlZcUpDUTBNbFNRYURRZDI2ZGRPNzc3NmJhY0pmQUFBQUFBQUF3SXhWM1ZIb0ZTdFdUTE5uejFhZE9uWGs3Kyt2RVNOR2tQUUVBQUFBQUFCQWx1anhDWWQ5OWRWWCtYYXVNV1BHYU15WU1RNlhyMVNwa3RhdFc1ZXJhM1h1M0ZtZE8zZk8xYkVBQUFBQUFBQW9tdWp4Q1FBQUFBQUFBTURsa1BnRUFBQUFBQUFBNEhKSWZBSUFBQUFBQUFCd09TUStBUUFBQUFBQUFMZ2NFcDhBQUFBQUFBQUFYQTZKVHdBQUFBQUFBQUF1aDhRbkFBQUFBQUFBQUpkRDRoTUFBQUFBQUFDQXl5SHhDUUFBQUFBQUFNRGxrUGdFQUFBQUFBQUE0SEpJZkFJQUFBQUFBQUJ3T1NRK0FRQUFBQUFBQUxnY0VwOEFBQUFBQUFBQVhBNkpUd0FBQUFBQUFBQXVoOFFuQUFBQUFBQUFBSmRENGhNQUFBQUFBQUNBeXlIeENRQUFBQUFBQU1EbGtQZ0VBQUFBQUFBQTRISklmQUlBQUFBQUFBQndPU1ErQVFBQUFBQUFBTGdjRXA4QUFBQUFBQUFBWEE2SlR3QUFBQUFBQUFBdWg4UW5BQUFBQUFBQUFKZGpkSFlBOXFRa3AraE04RmxuaHdIQUNjS3VoRnUyM2R6Y1RVNE1wVkNqblVSdW5BaytxNlNrSkdlSFVlaFJ2NUFiMUMvZzdxQ05SbTdRUmp1RytvWGNLTXoxcTlBbVB1UGk0N1Z3NlFwNWVIZzRPeFFBZDltZDJGakxkbXBxaXNHSm9SUnF0SlBJamFTa0pFVkZSenM3akVLUCtvWGNvSDRCZHdkdE5IS0ROdG94MUMva1JtR3VYNFV1OFpsb1NnMHZaakNFcDVwTVhwRlJVYzRPQjREVG1Fd3lLT1NTVzNTY3N5TXBiR2dua1M5TXBtdUpKbE40OWdYdkxkUXY1QXZxRjFBZ2FLT1JMMmlqYmFKK0lWOFV3dnBWR0h0U3VUMzBhTzJhYmthUDhzNE9CSUR6cEtTbXByZ2xKSjIvZURHNFVEV2FoUVR0SlBJc3haQWFjVG40bHpPU1VwMGRTeUZEL1VLZVViK0FBa01ialR5ampiYUwrb1U4S1ZtK0V3QUFBT0ZKUkVGVW8zNEJBQUFBQUFBQUFBQUFBQUFBQUFBQUFBQUFBQUFBQUFBQUFBQUFBQUFBQUFBQUFBQUFBQUFBQUFBQUFBQUFBQUFBQUFBQUFBQUFBQUFBQUFBQXdQKzNCd2NFQUFBQUFFTCt2MjVJQUFBQUFBQUFBQUFBQUFBQUFBQUFBQUFBQUFBQUFBQUFBQUFBQUFBQUFBQUFBQUFBQUFBQUFBQUFBQUFBQUFBQUFBQUFBQUFBQUFBQUFBQUFBQUFBQUFBQUFBQUFBQUFBQUFBQUFBQUFBQUFBQUFBQUFBQUFBQUFBQUFBQUFBQUFBQUFBQUFBQUFBQUFBQUFBQUFBQUFBQUFBQUFBQUFBQUFBQUFBQUFBQUFBQUFBQUFBQUFBQUFBQUFBQUFaZ0tNeEgrMHZjeUNzQUFBQUFCSlJVNUVya0pnZ2c9PSIsCgkiVGhlbWUiIDogIiIsCgkiVHlwZSIgOiAiZmxvdyIsCgkiVXNlcklkIiA6ICI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2450</Words>
  <Characters>2648</Characters>
  <Lines>0</Lines>
  <Paragraphs>0</Paragraphs>
  <TotalTime>8</TotalTime>
  <ScaleCrop>false</ScaleCrop>
  <LinksUpToDate>false</LinksUpToDate>
  <CharactersWithSpaces>2739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2024-07-03T09:31:00Z</dcterms:created>
  <dc:creator>对倒。</dc:creator>
  <cp:lastModifiedBy>鱼儿</cp:lastModifiedBy>
  <dcterms:modified xsi:type="dcterms:W3CDTF">2025-05-08T02:35:15Z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5F3A43CFE30C40D1A4D657CFB2FCD0BB_13</vt:lpwstr>
  </property>
  <property fmtid="{D5CDD505-2E9C-101B-9397-08002B2CF9AE}" pid="4" name="KSOTemplateDocerSaveRecord">
    <vt:lpwstr>eyJoZGlkIjoiZTY5MGFlNTdlZjkzNjdlYzUyMzQ3OTY0OTRlZmU5N2IiLCJ1c2VySWQiOiI0NjI0MTY4NzQifQ==</vt:lpwstr>
  </property>
</Properties>
</file>