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对建设项目环境影响评价文件拟进行审查审批的公示</w:t>
      </w:r>
    </w:p>
    <w:tbl>
      <w:tblPr>
        <w:tblStyle w:val="13"/>
        <w:tblpPr w:leftFromText="180" w:rightFromText="180" w:vertAnchor="text" w:horzAnchor="page" w:tblpXSpec="center" w:tblpY="1108"/>
        <w:tblOverlap w:val="never"/>
        <w:tblW w:w="14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800"/>
        <w:gridCol w:w="735"/>
        <w:gridCol w:w="990"/>
        <w:gridCol w:w="810"/>
        <w:gridCol w:w="1695"/>
        <w:gridCol w:w="2775"/>
        <w:gridCol w:w="5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环评类别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环境影响评价机构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建设项目概况</w:t>
            </w:r>
          </w:p>
        </w:tc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主要环境影响及预防或</w:t>
            </w: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者</w:t>
            </w: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减轻不良环境影响的对策和措施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大唐中卫云基地数据中心绿电供应宣和500MW风电项目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1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/>
                <w:strike w:val="0"/>
                <w:dstrike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环境影响报告表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中卫市沙坡头区宣和镇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大唐中卫新能源有限公司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宁夏中科安创科技有限公司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大唐中卫云基地数据中心绿电供应宣和500MW风电项目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位于中卫市沙坡头区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宣和镇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总占地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94.0335公顷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Style w:val="26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主要建设内容包括风电场机组、箱变、集电线路、检修道路等工程。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风电场总装机容量为500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兆瓦，设计安装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70台7.14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兆瓦风力发电机组，每台风力发电机组配置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1台35千伏箱式变压器，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配套风机出口电压经箱变升至35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，经35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集电线路接入新建的330千伏升压站。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项目总投资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232000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万元，其中环保投资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万元，占总投资的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0.39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%。</w:t>
            </w:r>
          </w:p>
        </w:tc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（一）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大气环境影响减缓措施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施工期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严格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落实施工现场围挡、物料堆放覆盖、土方开挖湿法作业、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路面硬化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、渣土车辆密闭运输、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出入车辆清洗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、定期洒水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等扬尘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污染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防控措施，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厂界颗粒物排放浓度须满足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bidi="en-US"/>
                <w14:textFill>
                  <w14:solidFill>
                    <w14:schemeClr w14:val="tx1"/>
                  </w14:solidFill>
                </w14:textFill>
              </w:rPr>
              <w:t>《大气污染物综合排放标准》（GB16297-1996）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2无组织排放监控浓度限值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bidi="en-U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（二）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水环境污染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防治措施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施工废水经临时沉淀池沉淀后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用于施工场地及道路洒水抑尘；施工营地设防渗旱厕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粪污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定期清掏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外运处置。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（三）噪声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污染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防治措施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通过选用低噪声设备、合理安排施工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、加强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设备维护保养、合理布局，通过降噪减振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等措施，施工期噪声须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满足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《建筑施工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界环境噪声排放标准》（GB12523-2011）排放限值。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运营期风电机组采用减震底座，安装防振降噪设备，加强设备维修保养，厂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界噪声须满足《工业企业厂界环境噪声排放标准》(GB12348-2008)中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类区标准要求。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（四）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固体废物处置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措施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施工人员生活垃圾分类收集后交由环卫部门统一处理处置；建筑垃圾集中收集后统一清运市政指定地点处置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废润滑油、废变压器油、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废含油抹布、手套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及废铅酸蓄电池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统一收集后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暂存于危废暂存间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定期交由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有危险废物处理资质的单位安全处置，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危险废物贮存须严格执行《危险废物贮存污染控制标准》（GB18597-2023）要求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生活垃圾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垃圾收集设施收集后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，定期交由环卫部门处置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9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项目服务期满后固体废物主要是废变压器油、风电机组各部件（包括塔基、风机和叶片）和淘汰的箱变部件、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废铅酸蓄电池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9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。废变压器油和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废铅酸蓄电池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9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委托有资质的单位现场收集带走处置，风电机组各部件和淘汰的箱变部件外售第三方单位拆解综合利用。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（五）环境管理措施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及生态保护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措施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合理选择施工时间，加强施工活动管理，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合理规划施工道路路径，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减少扰动地表的面积和对地表植被的破坏。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合理进行施工组织设计，严格控制施工范围，对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开挖土方及时回填并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进行生态恢复。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加强施工人员环保意识，严禁捕猎野生动物。施工期加强水土流失防治，施工结束后及时对施工区域及扰动区域进行清理、平整、恢复植被。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建立健全环境管理制度和环保岗位责任制，制定企业环境保护计划，加强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项目运营期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环境管理，严格按照防渗要求做好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事故油池的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防渗工作，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落实环保措施，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保护项目区域生态环境。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营运期按照监测计划，定期进行环境监测。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大唐中卫云基地数据中心绿电供应永康500MW风电项目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aps/>
                <w:strike w:val="0"/>
                <w:dstrike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环境影响报告表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中卫市沙坡头区永康镇、宣和镇、常乐镇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大唐中卫新能源有限公司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宁夏中科安创科技有限公司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大唐中卫云基地数据中心绿电供应永康500MW风电项目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位于中卫市沙坡头区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永康镇、常乐镇、宣和镇境内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总占地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189.6983公顷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Style w:val="26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主要建设内容包括风电场机组、箱变、集电线路、检修道路等工程。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风电场总装机容量为500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兆瓦，设计安装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80台6.25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兆瓦风力发电机组，每台风力发电机组配置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1台35千伏箱式变压器，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配套风机出口电压经箱变升至35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，经35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集电线路接入新建的330千伏升压站。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项目总投资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234400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万元，其中环保投资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万元，占总投资的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0.38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%。</w:t>
            </w:r>
          </w:p>
        </w:tc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（一）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大气环境影响减缓措施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施工期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严格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落实施工现场围挡、物料堆放覆盖、土方开挖湿法作业、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路面硬化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、渣土车辆密闭运输、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出入车辆清洗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、定期洒水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等扬尘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污染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防控措施，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厂界颗粒物排放浓度须满足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bidi="en-US"/>
                <w14:textFill>
                  <w14:solidFill>
                    <w14:schemeClr w14:val="tx1"/>
                  </w14:solidFill>
                </w14:textFill>
              </w:rPr>
              <w:t>《大气污染物综合排放标准》（GB16297-1996）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2无组织排放监控浓度限值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bidi="en-U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（二）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水环境污染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防治措施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施工废水经临时沉淀池沉淀后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用于施工场地及道路洒水抑尘；施工营地设防渗旱厕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粪污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定期清掏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外运处置。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（三）噪声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污染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防治措施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通过选用低噪声设备、合理安排施工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、加强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设备维护保养、合理布局，通过降噪减振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等措施，施工期噪声须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满足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《建筑施工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界环境噪声排放标准》（GB12523-2011）排放限值。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运营期风电机组采用减震底座，安装防振降噪设备，加强设备维修保养，厂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界噪声须满足《工业企业厂界环境噪声排放标准》(GB12348-2008)中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类区标准要求。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（四）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固体废物处置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措施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施工人员生活垃圾分类收集后交由环卫部门统一处理处置；建筑垃圾集中收集后统一清运市政指定地点处置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废润滑油、废变压器油、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废含油抹布、手套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及废铅酸蓄电池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统一收集后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暂存于危废暂存间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定期交由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有危险废物处理资质的单位安全处置，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危险废物贮存须严格执行《危险废物贮存污染控制标准》（GB18597-2023）要求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生活垃圾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垃圾收集设施收集后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，定期交由环卫部门处置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9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项目服务期满后固体废物主要是废变压器油、风电机组各部件（包括塔基、风机和叶片）和淘汰的箱变部件、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废铅酸蓄电池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9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。废变压器油和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废铅酸蓄电池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9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委托有资质的单位现场收集带走处置，风电机组各部件和淘汰的箱变部件外售第三方单位拆解综合利用。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（五）环境管理措施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及生态保护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措施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合理选择施工时间，加强施工活动管理，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合理规划施工道路路径，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减少扰动地表的面积和对地表植被的破坏。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合理进行施工组织设计，严格控制施工范围，对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开挖土方及时回填并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进行生态恢复。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加强施工人员环保意识，严禁捕猎野生动物。施工期加强水土流失防治，施工结束后及时对施工区域及扰动区域进行清理、平整、恢复植被。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建立健全环境管理制度和环保岗位责任制，制定企业环境保护计划，加强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项目运营期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环境管理，严格按照防渗要求做好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事故油池的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防渗工作，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落实环保措施，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保护项目区域生态环境。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营运期按照监测计划，定期进行环境监测。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大唐中卫云基地数据中心绿电供应常乐500MW风电项目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/>
                <w:strike w:val="0"/>
                <w:dstrike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环境影响报告表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中卫市沙坡头区常乐镇、香山乡、兴仁镇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大唐中卫新能源有限公司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宁夏中科安创科技有限公司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大唐中卫云基地数据中心绿电供应常乐500MW风电项目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位于中卫市沙坡头区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常乐镇、香山乡、兴仁镇境内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总占地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面积108.5899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Style w:val="26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主要建设内容包括风电场机组、箱变、集电线路、检修道路等工程。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风电场总装机容量为500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兆瓦，设计安装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80台6.25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兆瓦风力发电机组，每台风力发电机组配置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1台35千伏箱式变压器，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配套风机出口电压经箱变升至35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，经35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集电线路接入新建的330千伏升压站。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项目总投资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232400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万元，其中环保投资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万元，占总投资的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0.35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%。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（一）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大气环境影响减缓措施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施工期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严格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落实施工现场围挡、物料堆放覆盖、土方开挖湿法作业、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路面硬化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、渣土车辆密闭运输、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出入车辆清洗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、定期洒水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等扬尘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污染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防控措施，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厂界颗粒物排放浓度须满足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bidi="en-US"/>
                <w14:textFill>
                  <w14:solidFill>
                    <w14:schemeClr w14:val="tx1"/>
                  </w14:solidFill>
                </w14:textFill>
              </w:rPr>
              <w:t>《大气污染物综合排放标准》（GB16297-1996）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2无组织排放监控浓度限值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bidi="en-U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（二）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水环境污染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防治措施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施工废水经临时沉淀池沉淀后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用于施工场地及道路洒水抑尘；施工营地设防渗旱厕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粪污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定期清掏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外运处置。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（三）噪声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污染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防治措施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通过选用低噪声设备、合理安排施工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、加强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设备维护保养、合理布局，通过降噪减振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等措施，施工期噪声须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满足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《建筑施工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界环境噪声排放标准》（GB12523-2011）排放限值。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运营期风电机组采用减震底座，安装防振降噪设备，加强设备维修保养，厂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界噪声须满足《工业企业厂界环境噪声排放标准》(GB12348-2008)中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类区标准要求。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（四）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固体废物处置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措施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9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施工人员生活垃圾分类收集后交由环卫部门统一处理处置；建筑垃圾集中收集后统一清运市政指定地点处置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废润滑油、废变压器油、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废含油抹布、手套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及废铅酸蓄电池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统一收集后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暂存于危废暂存间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定期交由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有危险废物处理资质的单位安全处置，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危险废物贮存须严格执行《危险废物贮存污染控制标准》（GB18597-2023）要求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生活垃圾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垃圾收集设施收集后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，定期交由环卫部门处置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9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项目服务期满后固体废物主要是废变压器油、风电机组各部件（包括塔基、风机和叶片）和淘汰的箱变部件、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废铅酸蓄电池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9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。废变压器油和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废铅酸蓄电池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9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委托有资质的单位现场收集带走处置，风电机组各部件和淘汰的箱变部件外售第三方单位拆解综合利用。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（五）环境管理措施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及生态保护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措施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合理选择施工时间，加强施工活动管理，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合理规划施工道路路径，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减少扰动地表的面积和对地表植被的破坏。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合理进行施工组织设计，严格控制施工范围，对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开挖土方及时回填并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进行生态恢复。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加强施工人员环保意识，严禁捕猎野生动物。施工期加强水土流失防治，施工结束后及时对施工区域及扰动区域进行清理、平整、恢复植被。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建立健全环境管理制度和环保岗位责任制，制定企业环境保护计划，加强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项目运营期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环境管理，严格按照防渗要求做好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事故油池的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防渗工作，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落实环保措施，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保护项目区域生态环境。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营运期按照监测计划，定期进行环境监测。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沙坡头区黄河北岸历史遗留矿山生态修复治理项目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/>
                <w:strike w:val="0"/>
                <w:dstrike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环境影响报告表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中卫市沙坡头区镇罗镇、柔远镇、东园镇、迎水桥镇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中卫市沙坡头区自然资源局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中环科工（宁夏）生态环境设计院有限公司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为矿山修复治理工程，项目区涉及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中卫市沙坡头区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镇罗镇、柔远镇、东园镇、迎水桥镇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共有35个治理区，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修复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治理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面积为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338.59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主要工程内容为培坡护坡及凹陷处回填、场地平整、采坑回填、覆土绿化、宣传警示等。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项目总投资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4779.13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，全部为环保投资。</w:t>
            </w:r>
          </w:p>
        </w:tc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大气环境影响减缓措施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加强施工现场及施工便道的洒水降尘工作，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bidi="en-US"/>
                <w14:textFill>
                  <w14:solidFill>
                    <w14:schemeClr w14:val="tx1"/>
                  </w14:solidFill>
                </w14:textFill>
              </w:rPr>
              <w:t>运输土方、施工材料等易产生扬尘污染的车辆，装载高度不得超过车辆护栏，并采取遮盖措施，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按固定路线慢速行驶，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bidi="en-US"/>
                <w14:textFill>
                  <w14:solidFill>
                    <w14:schemeClr w14:val="tx1"/>
                  </w14:solidFill>
                </w14:textFill>
              </w:rPr>
              <w:t>减少沿途抛洒；堆存易产生扬尘的施工材料用防尘网遮盖，粉状物料不得露天堆放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bidi="en-US"/>
                <w14:textFill>
                  <w14:solidFill>
                    <w14:schemeClr w14:val="tx1"/>
                  </w14:solidFill>
                </w14:textFill>
              </w:rPr>
              <w:t>采取遮盖措施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场界颗粒物无组织排放浓度须满足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《大气污染物综合排放标准》（GB16297-1996）表2中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无组织排放监控浓度限值。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（二）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水环境污染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防治措施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bidi="en-US"/>
                <w14:textFill>
                  <w14:solidFill>
                    <w14:schemeClr w14:val="tx1"/>
                  </w14:solidFill>
                </w14:textFill>
              </w:rPr>
              <w:t>施工废水经临时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沉淀池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bidi="en-US"/>
                <w14:textFill>
                  <w14:solidFill>
                    <w14:schemeClr w14:val="tx1"/>
                  </w14:solidFill>
                </w14:textFill>
              </w:rPr>
              <w:t>沉淀处理后用于施工场地泼洒抑尘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；生活污水依托周边民房。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）噪声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污染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防治措施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选择低噪声的机械设备、作业方法，设备定期进行保养和维护，采取隔声、减振等措施，合理安排机械作业的施工时间，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加强运输车辆管理，采取限速行驶、禁止鸣笛等综合降噪措施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施工场界噪声须满足《建筑施工场界环境噪声排放标准》（GB12523-2011）中的限值要求。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（四）固体废物处置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施工场地产生的建筑垃圾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集中收集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后运输至政府指定的建筑垃圾填埋场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妥善处置；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废包装袋及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施工人员产生的生活垃圾，集中收集后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及时清运至附近垃圾中转站交由环卫部门处置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（五）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环境管理措施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及生态保护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严格控制施工范围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，加强施工活动管理，建立健全现场管理责任制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施工期加强水土流失防治，严格控制对区域动、植物的影响采取相应的措施，有利于保护生物多样性，维持或修复生态功能系统；严格落实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《报告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提出的生态保护措施，施工期结束后及时对裸露的施工临时用地进行清理、平整、恢复植被。项目实施区设置监测预警点，进行人工常态化环境监测巡护。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沙坡头区黄河南岸历史遗留矿山生态修复治理项目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/>
                <w:strike w:val="0"/>
                <w:dstrike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环境影响报告表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中卫市沙坡头区常乐镇、永康镇、宣和镇、兴仁镇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中卫市沙坡头区自然资源局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宁夏宜能环保科技有限公司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为矿山修复治理工程，项目区涉及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中卫市沙坡头区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常乐镇、永康镇、宣和镇、兴仁镇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共有19个治理区，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修复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治理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面积为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68.37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主要工程内容为培坡护坡及凹陷处回填、场地平整、采坑回填、覆土绿化、宣传警示等。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项目总投资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1523.07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，全部为环保投资。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大气环境影响减缓措施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加强施工现场及施工便道的洒水降尘工作，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bidi="en-US"/>
                <w14:textFill>
                  <w14:solidFill>
                    <w14:schemeClr w14:val="tx1"/>
                  </w14:solidFill>
                </w14:textFill>
              </w:rPr>
              <w:t>运输土方、施工材料等易产生扬尘污染的车辆，装载高度不得超过车辆护栏，并采取遮盖措施，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按固定路线慢速行驶，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bidi="en-US"/>
                <w14:textFill>
                  <w14:solidFill>
                    <w14:schemeClr w14:val="tx1"/>
                  </w14:solidFill>
                </w14:textFill>
              </w:rPr>
              <w:t>减少沿途抛洒；堆存易产生扬尘的施工材料用防尘网遮盖，粉状物料不得露天堆放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bidi="en-US"/>
                <w14:textFill>
                  <w14:solidFill>
                    <w14:schemeClr w14:val="tx1"/>
                  </w14:solidFill>
                </w14:textFill>
              </w:rPr>
              <w:t>采取遮盖措施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场界颗粒物无组织排放浓度须满足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《大气污染物综合排放标准》（GB16297-1996）表2中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无组织排放监控浓度限值。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（二）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水环境污染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防治措施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bidi="en-US"/>
                <w14:textFill>
                  <w14:solidFill>
                    <w14:schemeClr w14:val="tx1"/>
                  </w14:solidFill>
                </w14:textFill>
              </w:rPr>
              <w:t>施工废水经临时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沉淀池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bidi="en-US"/>
                <w14:textFill>
                  <w14:solidFill>
                    <w14:schemeClr w14:val="tx1"/>
                  </w14:solidFill>
                </w14:textFill>
              </w:rPr>
              <w:t>沉淀处理后用于施工场地泼洒抑尘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；生活污水依托周边民房。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）噪声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污染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防治措施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选择低噪声的机械设备、作业方法，设备定期进行保养和维护，采取隔声、减振等措施，合理安排机械作业的施工时间，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加强运输车辆管理，采取限速行驶、禁止鸣笛等综合降噪措施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施工场界噪声须满足《建筑施工场界环境噪声排放标准》（GB12523-2011）中的限值要求。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（四）固体废物处置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措施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施工场地产生的建筑垃圾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集中收集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后运输至政府指定的建筑垃圾填埋场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妥善处置；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废包装袋及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施工人员产生的生活垃圾，集中收集后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及时清运至附近垃圾中转站交由环卫部门处置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（五）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环境管理措施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及生态保护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严格控制施工范围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，加强施工活动管理，建立健全现场管理责任制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施工期加强水土流失防治，严格控制对区域动、植物的影响采取相应的措施，有利于保护生物多样性，维持或修复生态功能系统；严格落实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《报告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提出的生态保护措施，施工期结束后及时对裸露的施工临时用地进行清理、平整、恢复植被。项目实施区设置监测预警点，进行人工常态化环境监测巡护。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“宁湘直流”配套新能源基地中卫50万千瓦风电项目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/>
                <w:strike w:val="0"/>
                <w:dstrike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环境影响报告表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中卫市沙坡头区常乐镇、香山乡、宣和镇、永康镇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中卫龙源新能源有限公司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宁夏博源咨询服务有限公司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“宁湘直流”配套新能源基地中卫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万千瓦风电项目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位于中卫市沙坡头区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常乐镇、香山乡、永康镇境内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总占地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面积2149545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平方米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Style w:val="26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主要建设内容包括风电场机组、箱变、检修道路等工程。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规划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装机容量为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万千瓦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共72个风机机位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，安装56台单机容量为7150千瓦风力发电机组和16台单机容量为6250千瓦风力发电机组。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项目总投资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225575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万元，其中环保投资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万元，占总投资的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0.37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%。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（一）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大气环境影响减缓措施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施工期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严格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落实施工现场围挡、物料堆放覆盖、土方开挖湿法作业、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路面硬化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、渣土车辆密闭运输、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出入车辆清洗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、定期洒水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等扬尘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污染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防控措施，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厂界颗粒物排放浓度须满足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bidi="en-US"/>
                <w14:textFill>
                  <w14:solidFill>
                    <w14:schemeClr w14:val="tx1"/>
                  </w14:solidFill>
                </w14:textFill>
              </w:rPr>
              <w:t>《大气污染物综合排放标准》（GB16297-1996）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2无组织排放监控浓度限值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bidi="en-U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（二）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水环境污染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防治措施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施工废水经临时沉淀池沉淀后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用于施工场地及道路洒水抑尘；施工营地设防渗旱厕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粪污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定期清掏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外运处置。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（三）噪声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污染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防治措施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通过选用低噪声设备、合理安排施工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、加强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设备维护保养、合理布局，通过降噪减振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等措施，施工期噪声须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满足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《建筑施工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界环境噪声排放标准》（GB12523-2011）排放限值。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运营期风电机组采用减震底座，安装防振降噪设备，加强设备维修保养，厂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界噪声须满足《工业企业厂界环境噪声排放标准》(GB12348-2008)中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类区标准要求。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（四）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固体废物处置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措施</w:t>
            </w:r>
          </w:p>
          <w:p>
            <w:pPr>
              <w:pStyle w:val="2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施工人员生活垃圾分类收集后交由环卫部门统一处理处置；建筑垃圾集中收集后统一清运市政指定地点处置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废润滑油、废变压器油、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废含油抹布、手套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及废铅酸蓄电池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统一收集后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暂存于危废暂存间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定期交由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有危险废物处理资质的单位安全处置，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危险废物贮存须严格执行《危险废物贮存污染控制标准》（GB18597-2023）要求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生活垃圾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垃圾收集设施收集后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，定期交由环卫部门处置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9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项目服务期满后固体废物主要是废变压器油、风电机组各部件（包括塔基、风机和叶片）和淘汰的箱变部件、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废铅酸蓄电池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9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。废变压器油和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废铅酸蓄电池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9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委托有资质的单位现场收集带走处置，风电机组各部件和淘汰的箱变部件外售第三方单位拆解综合利用。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（五）环境管理措施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及生态保护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措施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合理选择施工时间，加强施工活动管理，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合理规划施工道路路径，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减少扰动地表的面积和对地表植被的破坏。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合理进行施工组织设计，严格控制施工范围，对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开挖土方及时回填并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进行生态恢复。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加强施工人员环保意识，严禁捕猎野生动物。施工期加强水土流失防治，施工结束后及时对施工区域及扰动区域进行清理、平整、恢复植被。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建立健全环境管理制度和环保岗位责任制，制定企业环境保护计划，加强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项目运营期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环境管理，严格按照防渗要求做好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事故油池的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防渗工作，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落实环保措施，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保护项目区域生态环境。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营运期按照监测计划，定期进行环境监测。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“宁湘直流”配套新能源基地沙坡头100万千瓦风电项目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/>
                <w:strike w:val="0"/>
                <w:dstrike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环境影响报告表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中卫市沙坡头区常乐镇、香山乡、兴仁镇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中卫龙源新能源有限公司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宁夏博源咨询服务有限公司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“宁湘直流”配套新能源基地沙坡头100万千瓦风电项目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位于中卫市沙坡头区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常乐镇、香山乡、兴仁镇境内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总占地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3189409平方米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Style w:val="26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主要建设内容包括风电场机组、箱变、检修道路等工程。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规划总装机容量为100万千瓦，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设计安装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140台单机容量为7150千瓦的风力发电机组。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项目总投资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464123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万元，其中环保投资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2050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万元，占总投资的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%。</w:t>
            </w:r>
          </w:p>
        </w:tc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（一）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大气环境影响减缓措施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施工期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严格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落实施工现场围挡、物料堆放覆盖、土方开挖湿法作业、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路面硬化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、渣土车辆密闭运输、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出入车辆清洗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、定期洒水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等扬尘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污染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防控措施，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厂界颗粒物排放浓度须满足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bidi="en-US"/>
                <w14:textFill>
                  <w14:solidFill>
                    <w14:schemeClr w14:val="tx1"/>
                  </w14:solidFill>
                </w14:textFill>
              </w:rPr>
              <w:t>《大气污染物综合排放标准》（GB16297-1996）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2无组织排放监控浓度限值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bidi="en-U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（二）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水环境污染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防治措施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施工废水经临时沉淀池沉淀后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用于施工场地及道路洒水抑尘；施工营地设防渗旱厕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粪污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定期清掏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外运处置。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（三）噪声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污染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防治措施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通过选用低噪声设备、合理安排施工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、加强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设备维护保养、合理布局，通过降噪减振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等措施，施工期噪声须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满足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《建筑施工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界环境噪声排放标准》（GB12523-2011）排放限值。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运营期风电机组采用减震底座，安装防振降噪设备，加强设备维修保养，厂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界噪声须满足《工业企业厂界环境噪声排放标准》(GB12348-2008)中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类区标准要求。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（四）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固体废物处置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措施</w:t>
            </w:r>
          </w:p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施工人员生活垃圾分类收集后交由环卫部门统一处理处置；建筑垃圾集中收集后统一清运市政指定地点处置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废润滑油、废变压器油、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废含油抹布、手套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及废铅酸蓄电池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统一收集后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暂存于危废暂存间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定期交由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有危险废物处理资质的单位安全处置，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危险废物贮存须严格执行《危险废物贮存污染控制标准》（GB18597-2023）要求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生活垃圾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垃圾收集设施收集后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，定期交由环卫部门处置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9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项目服务期满后固体废物主要是废变压器油、风电机组各部件（包括塔基、风机和叶片）和淘汰的箱变部件、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废铅酸蓄电池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9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。废变压器油和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废铅酸蓄电池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9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委托有资质的单位现场收集带走处置，风电机组各部件和淘汰的箱变部件外售第三方单位拆解综合利用。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（五）环境管理措施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及生态保护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措施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  <w:t>合理选择施工时间，加强施工活动管理，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合理规划施工道路路径，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减少扰动地表的面积和对地表植被的破坏。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合理进行施工组织设计，严格控制施工范围，对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开挖土方及时回填并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进行生态恢复。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加强施工人员环保意识，严禁捕猎野生动物。施工期加强水土流失防治，施工结束后及时对施工区域及扰动区域进行清理、平整、恢复植被。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建立健全环境管理制度和环保岗位责任制，制定企业环境保护计划，加强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项目运营期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环境管理，严格按照防渗要求做好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事故油池的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防渗工作，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落实环保措施，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保护项目区域生态环境。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营运期按照监测计划，定期进行环境监测。</w:t>
            </w:r>
          </w:p>
        </w:tc>
      </w:tr>
    </w:tbl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20C7ED"/>
    <w:multiLevelType w:val="singleLevel"/>
    <w:tmpl w:val="EE20C7E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MGFlNTdlZjkzNjdlYzUyMzQ3OTY0OTRlZmU5N2IifQ=="/>
  </w:docVars>
  <w:rsids>
    <w:rsidRoot w:val="34F26FE8"/>
    <w:rsid w:val="00907702"/>
    <w:rsid w:val="017163D1"/>
    <w:rsid w:val="01977413"/>
    <w:rsid w:val="019B2831"/>
    <w:rsid w:val="01BC3179"/>
    <w:rsid w:val="020D3871"/>
    <w:rsid w:val="02247ACE"/>
    <w:rsid w:val="02B80216"/>
    <w:rsid w:val="02EE3499"/>
    <w:rsid w:val="035902E9"/>
    <w:rsid w:val="03AF0689"/>
    <w:rsid w:val="045D1075"/>
    <w:rsid w:val="04811782"/>
    <w:rsid w:val="053242B0"/>
    <w:rsid w:val="0557490A"/>
    <w:rsid w:val="055B6402"/>
    <w:rsid w:val="066352CE"/>
    <w:rsid w:val="06693D01"/>
    <w:rsid w:val="069E4E1B"/>
    <w:rsid w:val="06D82C35"/>
    <w:rsid w:val="06FD4865"/>
    <w:rsid w:val="070B300A"/>
    <w:rsid w:val="072440CC"/>
    <w:rsid w:val="0760588E"/>
    <w:rsid w:val="0796093E"/>
    <w:rsid w:val="07AE141F"/>
    <w:rsid w:val="07C925B8"/>
    <w:rsid w:val="094055DE"/>
    <w:rsid w:val="09992D89"/>
    <w:rsid w:val="09A62AD4"/>
    <w:rsid w:val="09BA2701"/>
    <w:rsid w:val="09DC2A3C"/>
    <w:rsid w:val="0B187AA4"/>
    <w:rsid w:val="0B6C0FD1"/>
    <w:rsid w:val="0B756CA4"/>
    <w:rsid w:val="0C002C4A"/>
    <w:rsid w:val="0CD80A61"/>
    <w:rsid w:val="0D165B9F"/>
    <w:rsid w:val="0E0764FF"/>
    <w:rsid w:val="0E8826AD"/>
    <w:rsid w:val="0E8A0CB9"/>
    <w:rsid w:val="0EA855E3"/>
    <w:rsid w:val="0EFB1BB6"/>
    <w:rsid w:val="0F104CEB"/>
    <w:rsid w:val="0F2B5443"/>
    <w:rsid w:val="0F5F3552"/>
    <w:rsid w:val="0F687C02"/>
    <w:rsid w:val="0F8F5D51"/>
    <w:rsid w:val="0FE03CE6"/>
    <w:rsid w:val="10B62239"/>
    <w:rsid w:val="11001706"/>
    <w:rsid w:val="11B524F0"/>
    <w:rsid w:val="11EE5A02"/>
    <w:rsid w:val="12415CEB"/>
    <w:rsid w:val="12BC165D"/>
    <w:rsid w:val="12CC7BC5"/>
    <w:rsid w:val="12E6616C"/>
    <w:rsid w:val="12ED1816"/>
    <w:rsid w:val="130231FA"/>
    <w:rsid w:val="13D148D3"/>
    <w:rsid w:val="13EE0D22"/>
    <w:rsid w:val="147E1A93"/>
    <w:rsid w:val="148F142E"/>
    <w:rsid w:val="14956609"/>
    <w:rsid w:val="14BC1F34"/>
    <w:rsid w:val="163F4A7E"/>
    <w:rsid w:val="16B2369D"/>
    <w:rsid w:val="16DF5EDC"/>
    <w:rsid w:val="171A1540"/>
    <w:rsid w:val="17575DF8"/>
    <w:rsid w:val="17685603"/>
    <w:rsid w:val="183B63F2"/>
    <w:rsid w:val="18876269"/>
    <w:rsid w:val="18FE652B"/>
    <w:rsid w:val="19A83F9E"/>
    <w:rsid w:val="19D23E96"/>
    <w:rsid w:val="1A9A04D5"/>
    <w:rsid w:val="1AA32E0D"/>
    <w:rsid w:val="1ACF5D3D"/>
    <w:rsid w:val="1B487F31"/>
    <w:rsid w:val="1C4C57FF"/>
    <w:rsid w:val="1CF739BD"/>
    <w:rsid w:val="1D3A2B25"/>
    <w:rsid w:val="1D5514AC"/>
    <w:rsid w:val="1D5A6E1C"/>
    <w:rsid w:val="1D7440AA"/>
    <w:rsid w:val="1EF26B32"/>
    <w:rsid w:val="1F1A746F"/>
    <w:rsid w:val="1F422EEA"/>
    <w:rsid w:val="1F6B41EE"/>
    <w:rsid w:val="204C29A0"/>
    <w:rsid w:val="209E791B"/>
    <w:rsid w:val="20A0579D"/>
    <w:rsid w:val="215F3C1B"/>
    <w:rsid w:val="21FB79D4"/>
    <w:rsid w:val="224D6757"/>
    <w:rsid w:val="22877591"/>
    <w:rsid w:val="22DD2570"/>
    <w:rsid w:val="23576CFB"/>
    <w:rsid w:val="23DC4733"/>
    <w:rsid w:val="248C3262"/>
    <w:rsid w:val="24AD1486"/>
    <w:rsid w:val="24CF3471"/>
    <w:rsid w:val="25D01A77"/>
    <w:rsid w:val="26AB5818"/>
    <w:rsid w:val="26B50445"/>
    <w:rsid w:val="26BE72FA"/>
    <w:rsid w:val="26C32B62"/>
    <w:rsid w:val="26FD1F37"/>
    <w:rsid w:val="27D51A97"/>
    <w:rsid w:val="27EC6201"/>
    <w:rsid w:val="28503734"/>
    <w:rsid w:val="287D475E"/>
    <w:rsid w:val="28DB4970"/>
    <w:rsid w:val="294E1C48"/>
    <w:rsid w:val="299A22A0"/>
    <w:rsid w:val="2B214C73"/>
    <w:rsid w:val="2B6C5576"/>
    <w:rsid w:val="2B8E1990"/>
    <w:rsid w:val="2BAC6E14"/>
    <w:rsid w:val="2C610E53"/>
    <w:rsid w:val="2C666077"/>
    <w:rsid w:val="2CA84CD4"/>
    <w:rsid w:val="2CBC5ED2"/>
    <w:rsid w:val="2CD935E2"/>
    <w:rsid w:val="2D6C4AD7"/>
    <w:rsid w:val="2D99461C"/>
    <w:rsid w:val="2DA72631"/>
    <w:rsid w:val="2DBB2E42"/>
    <w:rsid w:val="2E026666"/>
    <w:rsid w:val="2F7C5A5D"/>
    <w:rsid w:val="300A1801"/>
    <w:rsid w:val="301D62BF"/>
    <w:rsid w:val="308B06ED"/>
    <w:rsid w:val="30F85AFE"/>
    <w:rsid w:val="31B12094"/>
    <w:rsid w:val="31D2634F"/>
    <w:rsid w:val="31D71BB7"/>
    <w:rsid w:val="31E340B8"/>
    <w:rsid w:val="32266D1E"/>
    <w:rsid w:val="3230232C"/>
    <w:rsid w:val="325B0D62"/>
    <w:rsid w:val="32C861D6"/>
    <w:rsid w:val="334119DE"/>
    <w:rsid w:val="34F26FE8"/>
    <w:rsid w:val="35150D11"/>
    <w:rsid w:val="351F2803"/>
    <w:rsid w:val="35BC4B46"/>
    <w:rsid w:val="3633464F"/>
    <w:rsid w:val="368C0EAE"/>
    <w:rsid w:val="368F7963"/>
    <w:rsid w:val="36E711CA"/>
    <w:rsid w:val="37485FCA"/>
    <w:rsid w:val="37702892"/>
    <w:rsid w:val="378332AD"/>
    <w:rsid w:val="37883FC6"/>
    <w:rsid w:val="37A96833"/>
    <w:rsid w:val="37B95F7A"/>
    <w:rsid w:val="382174F0"/>
    <w:rsid w:val="38CF3B52"/>
    <w:rsid w:val="39161217"/>
    <w:rsid w:val="39646D5D"/>
    <w:rsid w:val="399D36E6"/>
    <w:rsid w:val="39EF6D0B"/>
    <w:rsid w:val="39F72DF7"/>
    <w:rsid w:val="3A3E3410"/>
    <w:rsid w:val="3A552DAA"/>
    <w:rsid w:val="3A941AAE"/>
    <w:rsid w:val="3AD413C5"/>
    <w:rsid w:val="3B2A389F"/>
    <w:rsid w:val="3B436316"/>
    <w:rsid w:val="3B6E533A"/>
    <w:rsid w:val="3B7434BE"/>
    <w:rsid w:val="3B930BF8"/>
    <w:rsid w:val="3BFD046C"/>
    <w:rsid w:val="3C1F09B0"/>
    <w:rsid w:val="3CEF4259"/>
    <w:rsid w:val="3D016A1B"/>
    <w:rsid w:val="3D153BD8"/>
    <w:rsid w:val="3D6466F9"/>
    <w:rsid w:val="3D827D7F"/>
    <w:rsid w:val="3DC456E6"/>
    <w:rsid w:val="3E612F34"/>
    <w:rsid w:val="3F984734"/>
    <w:rsid w:val="409A44DC"/>
    <w:rsid w:val="41466412"/>
    <w:rsid w:val="42072045"/>
    <w:rsid w:val="42160E79"/>
    <w:rsid w:val="42616FB6"/>
    <w:rsid w:val="42DA02CE"/>
    <w:rsid w:val="42FB058D"/>
    <w:rsid w:val="432A5FEB"/>
    <w:rsid w:val="436A4B29"/>
    <w:rsid w:val="43721740"/>
    <w:rsid w:val="44511355"/>
    <w:rsid w:val="44A82AFB"/>
    <w:rsid w:val="45723E20"/>
    <w:rsid w:val="45927197"/>
    <w:rsid w:val="45BD4E21"/>
    <w:rsid w:val="45BE44EE"/>
    <w:rsid w:val="46DD674E"/>
    <w:rsid w:val="47476ADD"/>
    <w:rsid w:val="479746A1"/>
    <w:rsid w:val="47F15329"/>
    <w:rsid w:val="48074B4D"/>
    <w:rsid w:val="48611E55"/>
    <w:rsid w:val="487E74FE"/>
    <w:rsid w:val="48E234FC"/>
    <w:rsid w:val="48FD73F3"/>
    <w:rsid w:val="491017DF"/>
    <w:rsid w:val="4B887D52"/>
    <w:rsid w:val="4B8E2E8F"/>
    <w:rsid w:val="4B957026"/>
    <w:rsid w:val="4C0C12DD"/>
    <w:rsid w:val="4C4D2F43"/>
    <w:rsid w:val="4CAC7CAA"/>
    <w:rsid w:val="4CC27294"/>
    <w:rsid w:val="4CFD207A"/>
    <w:rsid w:val="4D4E2E80"/>
    <w:rsid w:val="4D525AC0"/>
    <w:rsid w:val="4D9E1367"/>
    <w:rsid w:val="4DB7251F"/>
    <w:rsid w:val="4DC0429E"/>
    <w:rsid w:val="4DD40617"/>
    <w:rsid w:val="4DD8377A"/>
    <w:rsid w:val="4E4C0A68"/>
    <w:rsid w:val="4E54216E"/>
    <w:rsid w:val="4E7310AB"/>
    <w:rsid w:val="4E8D742E"/>
    <w:rsid w:val="4E8F423A"/>
    <w:rsid w:val="4ECA2FB5"/>
    <w:rsid w:val="4ED866D6"/>
    <w:rsid w:val="4EFA0F67"/>
    <w:rsid w:val="4F70440B"/>
    <w:rsid w:val="5086334A"/>
    <w:rsid w:val="513737E2"/>
    <w:rsid w:val="513E478E"/>
    <w:rsid w:val="51700341"/>
    <w:rsid w:val="51876B27"/>
    <w:rsid w:val="519B6306"/>
    <w:rsid w:val="51CC6EC1"/>
    <w:rsid w:val="5452714F"/>
    <w:rsid w:val="54C24E95"/>
    <w:rsid w:val="54DD22F6"/>
    <w:rsid w:val="54F77CF7"/>
    <w:rsid w:val="552D54C7"/>
    <w:rsid w:val="55394F4F"/>
    <w:rsid w:val="557B041E"/>
    <w:rsid w:val="55C22555"/>
    <w:rsid w:val="55EC0170"/>
    <w:rsid w:val="55F14746"/>
    <w:rsid w:val="56705FB3"/>
    <w:rsid w:val="56E67FFC"/>
    <w:rsid w:val="56EA7D93"/>
    <w:rsid w:val="573E1C0D"/>
    <w:rsid w:val="57931F59"/>
    <w:rsid w:val="58317352"/>
    <w:rsid w:val="587D5821"/>
    <w:rsid w:val="588E1CBB"/>
    <w:rsid w:val="58D04AE7"/>
    <w:rsid w:val="59126EAD"/>
    <w:rsid w:val="5A3E3CD2"/>
    <w:rsid w:val="5A4E03B9"/>
    <w:rsid w:val="5ACF5CC4"/>
    <w:rsid w:val="5C222CA6"/>
    <w:rsid w:val="5CB749BC"/>
    <w:rsid w:val="5CD15E21"/>
    <w:rsid w:val="5CFC1658"/>
    <w:rsid w:val="5D0B3FD4"/>
    <w:rsid w:val="5D5F43EF"/>
    <w:rsid w:val="5E6C1861"/>
    <w:rsid w:val="5E8B1BDC"/>
    <w:rsid w:val="5EBA108B"/>
    <w:rsid w:val="5ED372FB"/>
    <w:rsid w:val="5F2275C5"/>
    <w:rsid w:val="5F445625"/>
    <w:rsid w:val="5F51094D"/>
    <w:rsid w:val="5F715882"/>
    <w:rsid w:val="5F8C2C3A"/>
    <w:rsid w:val="5FE5356E"/>
    <w:rsid w:val="60875AA0"/>
    <w:rsid w:val="60890469"/>
    <w:rsid w:val="60B30F76"/>
    <w:rsid w:val="60C72AAD"/>
    <w:rsid w:val="60CF51DF"/>
    <w:rsid w:val="612754C0"/>
    <w:rsid w:val="61913B54"/>
    <w:rsid w:val="61CE508D"/>
    <w:rsid w:val="621A4583"/>
    <w:rsid w:val="62261C1B"/>
    <w:rsid w:val="62726F96"/>
    <w:rsid w:val="63116428"/>
    <w:rsid w:val="63305B9F"/>
    <w:rsid w:val="63897EDA"/>
    <w:rsid w:val="639162DE"/>
    <w:rsid w:val="63AD3924"/>
    <w:rsid w:val="64652837"/>
    <w:rsid w:val="64A86918"/>
    <w:rsid w:val="64B90B25"/>
    <w:rsid w:val="64B96E71"/>
    <w:rsid w:val="64EF7314"/>
    <w:rsid w:val="65096757"/>
    <w:rsid w:val="651F1636"/>
    <w:rsid w:val="65634EC4"/>
    <w:rsid w:val="663761A5"/>
    <w:rsid w:val="66723681"/>
    <w:rsid w:val="66774239"/>
    <w:rsid w:val="66C84152"/>
    <w:rsid w:val="6714083F"/>
    <w:rsid w:val="68552394"/>
    <w:rsid w:val="68684D3C"/>
    <w:rsid w:val="68C77CB4"/>
    <w:rsid w:val="68E436A7"/>
    <w:rsid w:val="69164798"/>
    <w:rsid w:val="699D27C3"/>
    <w:rsid w:val="6A07719C"/>
    <w:rsid w:val="6A2B6021"/>
    <w:rsid w:val="6A3D18F3"/>
    <w:rsid w:val="6A5B488F"/>
    <w:rsid w:val="6AC30FE4"/>
    <w:rsid w:val="6B5B46E4"/>
    <w:rsid w:val="6B982B45"/>
    <w:rsid w:val="6BC24763"/>
    <w:rsid w:val="6C3A0656"/>
    <w:rsid w:val="6CAC61C2"/>
    <w:rsid w:val="6D042B59"/>
    <w:rsid w:val="6D580D3A"/>
    <w:rsid w:val="6D633D24"/>
    <w:rsid w:val="6D943EDD"/>
    <w:rsid w:val="6E331948"/>
    <w:rsid w:val="6E690CD6"/>
    <w:rsid w:val="6EBC06F4"/>
    <w:rsid w:val="6F0D03EB"/>
    <w:rsid w:val="6F4216DC"/>
    <w:rsid w:val="6FCF744E"/>
    <w:rsid w:val="6FF46EB5"/>
    <w:rsid w:val="702324A5"/>
    <w:rsid w:val="70235CAC"/>
    <w:rsid w:val="71771B4C"/>
    <w:rsid w:val="71BE59CD"/>
    <w:rsid w:val="723E111D"/>
    <w:rsid w:val="72691DDC"/>
    <w:rsid w:val="72E57503"/>
    <w:rsid w:val="731437B8"/>
    <w:rsid w:val="736102C3"/>
    <w:rsid w:val="73FE2024"/>
    <w:rsid w:val="760A7432"/>
    <w:rsid w:val="76242E62"/>
    <w:rsid w:val="767D5E56"/>
    <w:rsid w:val="76C450FA"/>
    <w:rsid w:val="76D57A40"/>
    <w:rsid w:val="76EB4163"/>
    <w:rsid w:val="77C27899"/>
    <w:rsid w:val="77D623AA"/>
    <w:rsid w:val="785E75C1"/>
    <w:rsid w:val="787578B0"/>
    <w:rsid w:val="787C5C9A"/>
    <w:rsid w:val="78A552D4"/>
    <w:rsid w:val="790D4A2F"/>
    <w:rsid w:val="79877399"/>
    <w:rsid w:val="7A102B3D"/>
    <w:rsid w:val="7A124B07"/>
    <w:rsid w:val="7A7579C6"/>
    <w:rsid w:val="7B1342CC"/>
    <w:rsid w:val="7BF32717"/>
    <w:rsid w:val="7C080A39"/>
    <w:rsid w:val="7C72598F"/>
    <w:rsid w:val="7DE92023"/>
    <w:rsid w:val="7E2748F9"/>
    <w:rsid w:val="7E3E035F"/>
    <w:rsid w:val="7EFD65B5"/>
    <w:rsid w:val="7F4C286A"/>
    <w:rsid w:val="7F737DF6"/>
    <w:rsid w:val="7FC927C8"/>
    <w:rsid w:val="7FDB2A1C"/>
    <w:rsid w:val="EFB0E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qFormat/>
    <w:uiPriority w:val="0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ind w:firstLine="420" w:firstLineChars="200"/>
    </w:pPr>
  </w:style>
  <w:style w:type="paragraph" w:customStyle="1" w:styleId="5">
    <w:name w:val="表头"/>
    <w:basedOn w:val="6"/>
    <w:next w:val="1"/>
    <w:qFormat/>
    <w:uiPriority w:val="0"/>
    <w:pPr>
      <w:snapToGrid w:val="0"/>
      <w:spacing w:before="60" w:beforeLines="25"/>
    </w:pPr>
    <w:rPr>
      <w:rFonts w:hAnsi="宋体" w:eastAsia="仿宋_GB2312"/>
      <w:b/>
      <w:sz w:val="28"/>
      <w:szCs w:val="28"/>
    </w:rPr>
  </w:style>
  <w:style w:type="paragraph" w:styleId="6">
    <w:name w:val="Plain Text"/>
    <w:basedOn w:val="1"/>
    <w:next w:val="7"/>
    <w:qFormat/>
    <w:uiPriority w:val="0"/>
    <w:rPr>
      <w:rFonts w:ascii="宋体" w:hAnsi="Courier New"/>
    </w:rPr>
  </w:style>
  <w:style w:type="paragraph" w:styleId="7">
    <w:name w:val="toc 1"/>
    <w:basedOn w:val="1"/>
    <w:next w:val="1"/>
    <w:qFormat/>
    <w:uiPriority w:val="0"/>
  </w:style>
  <w:style w:type="paragraph" w:styleId="8">
    <w:name w:val="Body Text Indent"/>
    <w:basedOn w:val="1"/>
    <w:next w:val="9"/>
    <w:qFormat/>
    <w:uiPriority w:val="0"/>
    <w:pPr>
      <w:snapToGrid w:val="0"/>
      <w:spacing w:before="120" w:line="360" w:lineRule="atLeast"/>
      <w:ind w:firstLine="539"/>
    </w:pPr>
  </w:style>
  <w:style w:type="paragraph" w:styleId="9">
    <w:name w:val="Body Text First Indent 2"/>
    <w:basedOn w:val="8"/>
    <w:next w:val="1"/>
    <w:qFormat/>
    <w:uiPriority w:val="0"/>
    <w:pPr>
      <w:ind w:firstLine="420" w:firstLineChars="2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rFonts w:cs="Times New Roman"/>
      <w:b/>
    </w:rPr>
  </w:style>
  <w:style w:type="paragraph" w:customStyle="1" w:styleId="17">
    <w:name w:val="正文（缩进）"/>
    <w:basedOn w:val="18"/>
    <w:qFormat/>
    <w:uiPriority w:val="0"/>
    <w:pPr>
      <w:spacing w:line="360" w:lineRule="auto"/>
      <w:ind w:firstLine="480" w:firstLineChars="200"/>
    </w:pPr>
    <w:rPr>
      <w:sz w:val="24"/>
      <w:szCs w:val="24"/>
    </w:rPr>
  </w:style>
  <w:style w:type="paragraph" w:customStyle="1" w:styleId="18">
    <w:name w:val="正文(首行缩进)"/>
    <w:basedOn w:val="1"/>
    <w:qFormat/>
    <w:uiPriority w:val="0"/>
    <w:pPr>
      <w:spacing w:line="460" w:lineRule="exact"/>
      <w:ind w:firstLine="560" w:firstLineChars="200"/>
    </w:pPr>
    <w:rPr>
      <w:rFonts w:ascii="宋体" w:hAnsi="宋体"/>
      <w:snapToGrid w:val="0"/>
      <w:color w:val="000000"/>
      <w:kern w:val="0"/>
      <w:szCs w:val="24"/>
    </w:rPr>
  </w:style>
  <w:style w:type="paragraph" w:customStyle="1" w:styleId="19">
    <w:name w:val="表格"/>
    <w:basedOn w:val="4"/>
    <w:next w:val="1"/>
    <w:qFormat/>
    <w:uiPriority w:val="0"/>
    <w:pPr>
      <w:spacing w:line="240" w:lineRule="atLeast"/>
      <w:jc w:val="center"/>
    </w:pPr>
  </w:style>
  <w:style w:type="paragraph" w:customStyle="1" w:styleId="20">
    <w:name w:val="表格2"/>
    <w:next w:val="11"/>
    <w:qFormat/>
    <w:uiPriority w:val="0"/>
    <w:pPr>
      <w:widowControl/>
      <w:jc w:val="center"/>
    </w:pPr>
    <w:rPr>
      <w:rFonts w:ascii="Times New Roman" w:hAnsi="Courier New" w:eastAsia="宋体" w:cs="Courier New"/>
      <w:color w:val="000000"/>
      <w:sz w:val="24"/>
      <w:szCs w:val="24"/>
      <w:lang w:val="en-US" w:eastAsia="zh-CN" w:bidi="ar-SA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2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3">
    <w:name w:val="报告表正文"/>
    <w:basedOn w:val="1"/>
    <w:qFormat/>
    <w:uiPriority w:val="0"/>
    <w:pPr>
      <w:overflowPunct w:val="0"/>
      <w:adjustRightInd w:val="0"/>
      <w:snapToGrid w:val="0"/>
      <w:spacing w:line="360" w:lineRule="auto"/>
      <w:ind w:firstLine="200" w:firstLineChars="200"/>
    </w:pPr>
    <w:rPr>
      <w:rFonts w:ascii="Times New Roman" w:hAnsi="Times New Roman" w:eastAsia="仿宋_GB2312"/>
      <w:color w:val="000000"/>
      <w:kern w:val="16"/>
      <w:sz w:val="24"/>
      <w:szCs w:val="24"/>
    </w:rPr>
  </w:style>
  <w:style w:type="paragraph" w:customStyle="1" w:styleId="24">
    <w:name w:val="样式 正文缩进正文缩进2正文缩进 Char Char正文缩进 Char Char Char Char正文缩进 Char ..."/>
    <w:basedOn w:val="4"/>
    <w:qFormat/>
    <w:uiPriority w:val="0"/>
    <w:pPr>
      <w:spacing w:line="360" w:lineRule="auto"/>
      <w:ind w:firstLine="200"/>
    </w:pPr>
    <w:rPr>
      <w:rFonts w:cs="宋体"/>
      <w:sz w:val="24"/>
    </w:rPr>
  </w:style>
  <w:style w:type="paragraph" w:customStyle="1" w:styleId="2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customStyle="1" w:styleId="26">
    <w:name w:val="ca-1"/>
    <w:basedOn w:val="15"/>
    <w:qFormat/>
    <w:uiPriority w:val="0"/>
  </w:style>
  <w:style w:type="paragraph" w:customStyle="1" w:styleId="27">
    <w:name w:val="正文（resuli）"/>
    <w:basedOn w:val="1"/>
    <w:qFormat/>
    <w:uiPriority w:val="0"/>
    <w:pPr>
      <w:spacing w:line="360" w:lineRule="auto"/>
      <w:ind w:firstLine="720" w:firstLineChars="200"/>
    </w:pPr>
    <w:rPr>
      <w:rFonts w:ascii="Times New Roman" w:hAnsi="Times New Roman" w:eastAsia="宋体" w:cs="Times New Roman"/>
      <w:sz w:val="24"/>
    </w:rPr>
  </w:style>
  <w:style w:type="paragraph" w:customStyle="1" w:styleId="28">
    <w:name w:val="Table Paragraph"/>
    <w:basedOn w:val="1"/>
    <w:qFormat/>
    <w:uiPriority w:val="1"/>
    <w:pPr>
      <w:spacing w:before="28"/>
      <w:jc w:val="center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7695</Words>
  <Characters>8204</Characters>
  <Lines>0</Lines>
  <Paragraphs>0</Paragraphs>
  <TotalTime>4</TotalTime>
  <ScaleCrop>false</ScaleCrop>
  <LinksUpToDate>false</LinksUpToDate>
  <CharactersWithSpaces>8287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2020-08-05T15:22:00Z</dcterms:created>
  <dc:creator>鱼儿</dc:creator>
  <cp:lastModifiedBy>zw</cp:lastModifiedBy>
  <cp:lastPrinted>2024-01-29T16:07:00Z</cp:lastPrinted>
  <dcterms:modified xsi:type="dcterms:W3CDTF">2025-04-27T09:44:55Z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520C81DA3F364CB98B7175746C5928F2</vt:lpwstr>
  </property>
  <property fmtid="{D5CDD505-2E9C-101B-9397-08002B2CF9AE}" pid="4" name="KSOTemplateDocerSaveRecord">
    <vt:lpwstr>eyJoZGlkIjoiZTY5MGFlNTdlZjkzNjdlYzUyMzQ3OTY0OTRlZmU5N2IiLCJ1c2VySWQiOiI0NjI0MTY4NzQifQ==</vt:lpwstr>
  </property>
</Properties>
</file>