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4D37C">
      <w:pPr>
        <w:pStyle w:val="21"/>
        <w:ind w:left="0" w:leftChars="0" w:firstLine="0" w:firstLineChars="0"/>
        <w:rPr>
          <w:color w:val="auto"/>
        </w:rPr>
      </w:pPr>
    </w:p>
    <w:p w14:paraId="2B0184FA">
      <w:pPr>
        <w:rPr>
          <w:color w:val="auto"/>
        </w:rPr>
      </w:pPr>
    </w:p>
    <w:p w14:paraId="14693E44">
      <w:pPr>
        <w:rPr>
          <w:color w:val="auto"/>
        </w:rPr>
      </w:pPr>
    </w:p>
    <w:p w14:paraId="556BA9C9">
      <w:pPr>
        <w:rPr>
          <w:color w:val="auto"/>
        </w:rPr>
      </w:pPr>
    </w:p>
    <w:p w14:paraId="025A0223">
      <w:pPr>
        <w:keepLines w:val="0"/>
        <w:pageBreakBefore w:val="0"/>
        <w:widowControl/>
        <w:kinsoku/>
        <w:wordWrap/>
        <w:overflowPunct/>
        <w:topLinePunct w:val="0"/>
        <w:autoSpaceDE/>
        <w:autoSpaceDN/>
        <w:bidi w:val="0"/>
        <w:adjustRightInd w:val="0"/>
        <w:snapToGrid w:val="0"/>
        <w:ind w:left="0" w:leftChars="0" w:firstLine="0" w:firstLineChars="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A5165CF">
      <w:pPr>
        <w:keepLines w:val="0"/>
        <w:pageBreakBefore w:val="0"/>
        <w:widowControl/>
        <w:kinsoku/>
        <w:wordWrap/>
        <w:overflowPunct/>
        <w:topLinePunct w:val="0"/>
        <w:autoSpaceDE/>
        <w:autoSpaceDN/>
        <w:bidi w:val="0"/>
        <w:adjustRightInd w:val="0"/>
        <w:snapToGrid w:val="0"/>
        <w:spacing w:before="372" w:beforeLines="80"/>
        <w:ind w:left="0" w:leftChars="0" w:firstLine="0" w:firstLineChars="0"/>
        <w:jc w:val="center"/>
        <w:rPr>
          <w:rFonts w:hint="eastAsia" w:ascii="楷体_GB2312" w:eastAsia="楷体_GB2312"/>
          <w:bCs/>
          <w:color w:val="auto"/>
          <w:sz w:val="48"/>
          <w:szCs w:val="48"/>
        </w:rPr>
      </w:pPr>
      <w:r>
        <w:rPr>
          <w:rFonts w:hint="eastAsia" w:ascii="楷体_GB2312" w:eastAsia="楷体_GB2312"/>
          <w:bCs/>
          <w:color w:val="auto"/>
          <w:sz w:val="48"/>
          <w:szCs w:val="48"/>
        </w:rPr>
        <w:t>（生态影响类）</w:t>
      </w:r>
      <w:bookmarkStart w:id="0" w:name="_Hlk57883728"/>
    </w:p>
    <w:p w14:paraId="38AA691E">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p w14:paraId="2F6B1500">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p w14:paraId="726986C0">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p w14:paraId="2A6DD513">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p w14:paraId="02F8D57F">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p w14:paraId="6237C607">
      <w:pPr>
        <w:keepLines w:val="0"/>
        <w:pageBreakBefore w:val="0"/>
        <w:widowControl/>
        <w:kinsoku/>
        <w:wordWrap/>
        <w:overflowPunct/>
        <w:topLinePunct w:val="0"/>
        <w:autoSpaceDE/>
        <w:autoSpaceDN/>
        <w:bidi w:val="0"/>
        <w:adjustRightInd w:val="0"/>
        <w:snapToGrid w:val="0"/>
        <w:spacing w:before="372" w:beforeLines="80"/>
        <w:jc w:val="center"/>
        <w:rPr>
          <w:rFonts w:hint="eastAsia" w:ascii="楷体_GB2312" w:eastAsia="楷体_GB2312"/>
          <w:bCs/>
          <w:color w:val="auto"/>
          <w:sz w:val="48"/>
          <w:szCs w:val="48"/>
        </w:rPr>
      </w:pPr>
    </w:p>
    <w:bookmarkEnd w:id="0"/>
    <w:p w14:paraId="08133F00">
      <w:pPr>
        <w:adjustRightInd w:val="0"/>
        <w:snapToGrid w:val="0"/>
        <w:spacing w:line="288" w:lineRule="auto"/>
        <w:ind w:left="2082" w:leftChars="0" w:hanging="2082" w:hangingChars="600"/>
        <w:rPr>
          <w:rFonts w:hint="default" w:eastAsia="仿宋_GB2312"/>
          <w:color w:val="auto"/>
          <w:sz w:val="36"/>
          <w:szCs w:val="36"/>
          <w:u w:val="single"/>
          <w:lang w:val="en-US" w:eastAsia="zh-CN"/>
        </w:rPr>
      </w:pPr>
      <w:r>
        <w:rPr>
          <w:rFonts w:hint="eastAsia" w:eastAsia="仿宋_GB2312"/>
          <w:color w:val="auto"/>
          <w:sz w:val="36"/>
          <w:szCs w:val="36"/>
        </w:rPr>
        <w:t>项目名称：</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lang w:eastAsia="zh-CN"/>
        </w:rPr>
        <w:t>沙坡头区黄河北岸历史遗留矿</w:t>
      </w:r>
      <w:r>
        <w:rPr>
          <w:rFonts w:hint="eastAsia" w:eastAsia="仿宋_GB2312"/>
          <w:color w:val="auto"/>
          <w:sz w:val="36"/>
          <w:szCs w:val="36"/>
          <w:u w:val="single"/>
          <w:lang w:val="en-US" w:eastAsia="zh-CN"/>
        </w:rPr>
        <w:t xml:space="preserve">山      </w:t>
      </w:r>
    </w:p>
    <w:p w14:paraId="75547946">
      <w:pPr>
        <w:adjustRightInd w:val="0"/>
        <w:snapToGrid w:val="0"/>
        <w:spacing w:line="288" w:lineRule="auto"/>
        <w:ind w:left="1995" w:leftChars="726" w:hanging="347" w:hangingChars="100"/>
        <w:rPr>
          <w:rFonts w:hint="default" w:eastAsia="仿宋_GB2312"/>
          <w:color w:val="auto"/>
          <w:sz w:val="36"/>
          <w:szCs w:val="36"/>
          <w:u w:val="single"/>
          <w:lang w:val="en-US" w:eastAsia="zh-CN"/>
        </w:rPr>
      </w:pPr>
      <w:r>
        <w:rPr>
          <w:rFonts w:hint="eastAsia" w:eastAsia="仿宋_GB2312"/>
          <w:color w:val="auto"/>
          <w:sz w:val="36"/>
          <w:szCs w:val="36"/>
          <w:u w:val="single"/>
          <w:lang w:val="en-US" w:eastAsia="zh-CN"/>
        </w:rPr>
        <w:t xml:space="preserve">              </w:t>
      </w:r>
      <w:r>
        <w:rPr>
          <w:rFonts w:hint="eastAsia" w:eastAsia="仿宋_GB2312"/>
          <w:color w:val="auto"/>
          <w:sz w:val="36"/>
          <w:szCs w:val="36"/>
          <w:u w:val="single"/>
          <w:lang w:eastAsia="zh-CN"/>
        </w:rPr>
        <w:t>生态修复治理</w:t>
      </w:r>
      <w:r>
        <w:rPr>
          <w:rFonts w:hint="eastAsia" w:eastAsia="仿宋_GB2312"/>
          <w:color w:val="auto"/>
          <w:sz w:val="36"/>
          <w:szCs w:val="36"/>
          <w:u w:val="single"/>
          <w:lang w:val="en-US" w:eastAsia="zh-CN"/>
        </w:rPr>
        <w:t xml:space="preserve">项目         </w:t>
      </w:r>
    </w:p>
    <w:p w14:paraId="682F95E5">
      <w:pPr>
        <w:adjustRightInd w:val="0"/>
        <w:snapToGrid w:val="0"/>
        <w:spacing w:line="288" w:lineRule="auto"/>
        <w:ind w:left="1884" w:hanging="1735" w:hangingChars="500"/>
        <w:rPr>
          <w:rFonts w:eastAsia="仿宋_GB2312"/>
          <w:color w:val="auto"/>
          <w:sz w:val="36"/>
          <w:szCs w:val="36"/>
        </w:rPr>
      </w:pPr>
      <w:r>
        <w:rPr>
          <w:rFonts w:hint="eastAsia" w:eastAsia="仿宋_GB2312"/>
          <w:color w:val="auto"/>
          <w:sz w:val="36"/>
          <w:szCs w:val="36"/>
        </w:rPr>
        <w:t>建设单位（盖章）：</w:t>
      </w:r>
      <w:r>
        <w:rPr>
          <w:rFonts w:hint="eastAsia" w:eastAsia="仿宋_GB2312"/>
          <w:color w:val="auto"/>
          <w:sz w:val="36"/>
          <w:szCs w:val="36"/>
          <w:u w:val="single"/>
        </w:rPr>
        <w:t xml:space="preserve">   中卫市沙坡头区自然资源局  </w:t>
      </w:r>
      <w:r>
        <w:rPr>
          <w:rFonts w:hint="eastAsia" w:eastAsia="仿宋_GB2312"/>
          <w:color w:val="auto"/>
          <w:sz w:val="36"/>
          <w:szCs w:val="36"/>
          <w:u w:val="single"/>
          <w:lang w:val="en-US" w:eastAsia="zh-CN"/>
        </w:rPr>
        <w:t xml:space="preserve">  </w:t>
      </w:r>
    </w:p>
    <w:p w14:paraId="06FAAB10">
      <w:pPr>
        <w:adjustRightInd w:val="0"/>
        <w:snapToGrid w:val="0"/>
        <w:spacing w:line="288" w:lineRule="auto"/>
        <w:ind w:left="1884" w:hanging="1735" w:hangingChars="500"/>
        <w:rPr>
          <w:rFonts w:eastAsia="仿宋_GB2312"/>
          <w:color w:val="auto"/>
          <w:sz w:val="36"/>
          <w:szCs w:val="36"/>
        </w:rPr>
      </w:pPr>
      <w:r>
        <w:rPr>
          <w:rFonts w:hint="eastAsia" w:eastAsia="仿宋_GB2312"/>
          <w:color w:val="auto"/>
          <w:sz w:val="36"/>
          <w:szCs w:val="36"/>
        </w:rPr>
        <w:t>编制日期：</w:t>
      </w:r>
      <w:r>
        <w:rPr>
          <w:rFonts w:hint="eastAsia" w:eastAsia="仿宋_GB2312"/>
          <w:color w:val="auto"/>
          <w:sz w:val="36"/>
          <w:szCs w:val="36"/>
          <w:u w:val="single"/>
        </w:rPr>
        <w:t xml:space="preserve">            202</w:t>
      </w:r>
      <w:r>
        <w:rPr>
          <w:rFonts w:hint="eastAsia" w:eastAsia="仿宋_GB2312"/>
          <w:color w:val="auto"/>
          <w:sz w:val="36"/>
          <w:szCs w:val="36"/>
          <w:u w:val="single"/>
          <w:lang w:val="en-US" w:eastAsia="zh-CN"/>
        </w:rPr>
        <w:t>5</w:t>
      </w:r>
      <w:r>
        <w:rPr>
          <w:rFonts w:hint="eastAsia" w:eastAsia="仿宋_GB2312"/>
          <w:color w:val="auto"/>
          <w:sz w:val="36"/>
          <w:szCs w:val="36"/>
          <w:u w:val="single"/>
        </w:rPr>
        <w:t>年</w:t>
      </w:r>
      <w:r>
        <w:rPr>
          <w:rFonts w:hint="eastAsia" w:eastAsia="仿宋_GB2312"/>
          <w:color w:val="auto"/>
          <w:sz w:val="36"/>
          <w:szCs w:val="36"/>
          <w:u w:val="single"/>
          <w:lang w:val="en-US" w:eastAsia="zh-CN"/>
        </w:rPr>
        <w:t>4</w:t>
      </w:r>
      <w:r>
        <w:rPr>
          <w:rFonts w:hint="eastAsia" w:eastAsia="仿宋_GB2312"/>
          <w:color w:val="auto"/>
          <w:sz w:val="36"/>
          <w:szCs w:val="36"/>
          <w:u w:val="single"/>
        </w:rPr>
        <w:t xml:space="preserve">月                </w:t>
      </w:r>
    </w:p>
    <w:p w14:paraId="6D688404">
      <w:pPr>
        <w:adjustRightInd w:val="0"/>
        <w:snapToGrid w:val="0"/>
        <w:spacing w:line="288" w:lineRule="auto"/>
        <w:rPr>
          <w:rFonts w:eastAsia="仿宋_GB2312"/>
          <w:color w:val="auto"/>
          <w:sz w:val="36"/>
          <w:szCs w:val="36"/>
        </w:rPr>
      </w:pPr>
    </w:p>
    <w:p w14:paraId="399AECAF">
      <w:pPr>
        <w:adjustRightInd w:val="0"/>
        <w:snapToGrid w:val="0"/>
        <w:spacing w:line="288" w:lineRule="auto"/>
        <w:jc w:val="center"/>
        <w:rPr>
          <w:rFonts w:eastAsia="仿宋_GB2312"/>
          <w:color w:val="auto"/>
          <w:sz w:val="36"/>
          <w:szCs w:val="36"/>
        </w:rPr>
        <w:sectPr>
          <w:footerReference r:id="rId5" w:type="default"/>
          <w:footerReference r:id="rId6" w:type="even"/>
          <w:pgSz w:w="11905" w:h="16838"/>
          <w:pgMar w:top="1417" w:right="1417" w:bottom="1417" w:left="1417" w:header="851" w:footer="964" w:gutter="0"/>
          <w:pgBorders>
            <w:top w:val="none" w:sz="0" w:space="0"/>
            <w:left w:val="none" w:sz="0" w:space="0"/>
            <w:bottom w:val="none" w:sz="0" w:space="0"/>
            <w:right w:val="none" w:sz="0" w:space="0"/>
          </w:pgBorders>
          <w:pgNumType w:start="21"/>
          <w:cols w:space="0" w:num="1"/>
          <w:rtlGutter w:val="0"/>
          <w:docGrid w:type="linesAndChars" w:linePitch="466" w:charSpace="-2709"/>
        </w:sectPr>
      </w:pPr>
      <w:r>
        <w:rPr>
          <w:rFonts w:eastAsia="楷体_GB2312"/>
          <w:color w:val="auto"/>
          <w:sz w:val="36"/>
          <w:szCs w:val="36"/>
        </w:rPr>
        <w:t>中华人民共和国生态环境部制</w:t>
      </w:r>
    </w:p>
    <w:p w14:paraId="26F5A62B">
      <w:pPr>
        <w:pStyle w:val="4"/>
        <w:bidi w:val="0"/>
        <w:rPr>
          <w:color w:val="auto"/>
        </w:rPr>
      </w:pPr>
      <w:r>
        <w:rPr>
          <w:color w:val="auto"/>
        </w:rPr>
        <w:t>一、建设项目基本情况</w:t>
      </w:r>
    </w:p>
    <w:tbl>
      <w:tblPr>
        <w:tblStyle w:val="26"/>
        <w:tblW w:w="93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33"/>
        <w:gridCol w:w="3136"/>
        <w:gridCol w:w="2238"/>
        <w:gridCol w:w="2795"/>
      </w:tblGrid>
      <w:tr w14:paraId="0F875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70D301C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建设项目名称</w:t>
            </w:r>
          </w:p>
        </w:tc>
        <w:tc>
          <w:tcPr>
            <w:tcW w:w="8169" w:type="dxa"/>
            <w:gridSpan w:val="3"/>
            <w:noWrap w:val="0"/>
            <w:vAlign w:val="center"/>
          </w:tcPr>
          <w:p w14:paraId="2ADFC51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eastAsia" w:eastAsia="宋体" w:cs="Times New Roman"/>
                <w:color w:val="auto"/>
                <w:sz w:val="24"/>
                <w:lang w:eastAsia="zh-CN"/>
              </w:rPr>
            </w:pPr>
            <w:r>
              <w:rPr>
                <w:rFonts w:hint="eastAsia" w:cs="Times New Roman"/>
                <w:color w:val="auto"/>
                <w:sz w:val="24"/>
                <w:lang w:eastAsia="zh-CN"/>
              </w:rPr>
              <w:t>沙坡头区黄河北岸历史遗留矿山生态修复治理项目</w:t>
            </w:r>
            <w:bookmarkStart w:id="5" w:name="_GoBack"/>
            <w:bookmarkEnd w:id="5"/>
          </w:p>
        </w:tc>
      </w:tr>
      <w:tr w14:paraId="1B053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34A6B43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项目代码</w:t>
            </w:r>
          </w:p>
        </w:tc>
        <w:tc>
          <w:tcPr>
            <w:tcW w:w="8169" w:type="dxa"/>
            <w:gridSpan w:val="3"/>
            <w:noWrap w:val="0"/>
            <w:vAlign w:val="center"/>
          </w:tcPr>
          <w:p w14:paraId="01B941A4">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rPr>
              <w:t>2410-640502-15-05-964327</w:t>
            </w:r>
          </w:p>
        </w:tc>
      </w:tr>
      <w:tr w14:paraId="43559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713C259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建设单位联系人</w:t>
            </w:r>
          </w:p>
        </w:tc>
        <w:tc>
          <w:tcPr>
            <w:tcW w:w="3136" w:type="dxa"/>
            <w:noWrap w:val="0"/>
            <w:vAlign w:val="center"/>
          </w:tcPr>
          <w:p w14:paraId="6791D1F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rPr>
              <w:t>吕亚东</w:t>
            </w:r>
          </w:p>
        </w:tc>
        <w:tc>
          <w:tcPr>
            <w:tcW w:w="2238" w:type="dxa"/>
            <w:noWrap w:val="0"/>
            <w:vAlign w:val="center"/>
          </w:tcPr>
          <w:p w14:paraId="20C2401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default" w:cs="Times New Roman"/>
                <w:b/>
                <w:bCs/>
                <w:color w:val="auto"/>
                <w:sz w:val="24"/>
              </w:rPr>
              <w:t>联系方式</w:t>
            </w:r>
          </w:p>
        </w:tc>
        <w:tc>
          <w:tcPr>
            <w:tcW w:w="2795" w:type="dxa"/>
            <w:noWrap w:val="0"/>
            <w:vAlign w:val="center"/>
          </w:tcPr>
          <w:p w14:paraId="541F997E">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eastAsia" w:eastAsia="宋体" w:cs="Times New Roman"/>
                <w:color w:val="auto"/>
                <w:sz w:val="24"/>
                <w:lang w:eastAsia="zh-CN"/>
              </w:rPr>
            </w:pPr>
            <w:r>
              <w:rPr>
                <w:rFonts w:hint="eastAsia" w:cs="Times New Roman"/>
                <w:color w:val="auto"/>
                <w:sz w:val="24"/>
                <w:lang w:val="en-US" w:eastAsia="zh-CN"/>
              </w:rPr>
              <w:t>/</w:t>
            </w:r>
          </w:p>
        </w:tc>
      </w:tr>
      <w:tr w14:paraId="09028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133" w:type="dxa"/>
            <w:noWrap w:val="0"/>
            <w:tcMar>
              <w:top w:w="16" w:type="dxa"/>
              <w:left w:w="16" w:type="dxa"/>
              <w:right w:w="16" w:type="dxa"/>
            </w:tcMar>
            <w:vAlign w:val="center"/>
          </w:tcPr>
          <w:p w14:paraId="4B57745A">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建设地点</w:t>
            </w:r>
          </w:p>
        </w:tc>
        <w:tc>
          <w:tcPr>
            <w:tcW w:w="8169" w:type="dxa"/>
            <w:gridSpan w:val="3"/>
            <w:noWrap w:val="0"/>
            <w:vAlign w:val="center"/>
          </w:tcPr>
          <w:p w14:paraId="29B204F9">
            <w:pPr>
              <w:keepNext w:val="0"/>
              <w:keepLines w:val="0"/>
              <w:pageBreakBefore w:val="0"/>
              <w:widowControl/>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default" w:ascii="Times New Roman" w:hAnsi="Times New Roman" w:cs="Times New Roman"/>
                <w:color w:val="auto"/>
                <w:sz w:val="24"/>
                <w:szCs w:val="24"/>
                <w:u w:val="single"/>
                <w:lang w:val="en-US" w:eastAsia="zh-CN"/>
              </w:rPr>
              <w:t>宁夏</w:t>
            </w:r>
            <w:r>
              <w:rPr>
                <w:rFonts w:hint="default" w:ascii="Times New Roman" w:hAnsi="Times New Roman" w:cs="Times New Roman"/>
                <w:color w:val="auto"/>
                <w:sz w:val="24"/>
                <w:szCs w:val="24"/>
              </w:rPr>
              <w:t>省（自治区）</w:t>
            </w:r>
            <w:r>
              <w:rPr>
                <w:rFonts w:hint="eastAsia" w:ascii="Times New Roman" w:hAnsi="Times New Roman" w:cs="Times New Roman"/>
                <w:color w:val="auto"/>
                <w:sz w:val="24"/>
                <w:szCs w:val="24"/>
                <w:u w:val="single"/>
                <w:lang w:val="en-US" w:eastAsia="zh-CN"/>
              </w:rPr>
              <w:t>中卫</w:t>
            </w:r>
            <w:r>
              <w:rPr>
                <w:rFonts w:hint="default" w:ascii="Times New Roman" w:hAnsi="Times New Roman" w:cs="Times New Roman"/>
                <w:color w:val="auto"/>
                <w:sz w:val="24"/>
                <w:szCs w:val="24"/>
              </w:rPr>
              <w:t>市</w:t>
            </w:r>
            <w:r>
              <w:rPr>
                <w:rFonts w:hint="default" w:ascii="Times New Roman" w:hAnsi="Times New Roman" w:cs="Times New Roman"/>
                <w:color w:val="auto"/>
                <w:sz w:val="24"/>
                <w:szCs w:val="24"/>
                <w:u w:val="single"/>
              </w:rPr>
              <w:t>沙坡头</w:t>
            </w:r>
            <w:r>
              <w:rPr>
                <w:rFonts w:hint="default" w:ascii="Times New Roman" w:hAnsi="Times New Roman" w:cs="Times New Roman"/>
                <w:color w:val="auto"/>
                <w:sz w:val="24"/>
                <w:szCs w:val="24"/>
              </w:rPr>
              <w:t>（区）</w:t>
            </w:r>
            <w:r>
              <w:rPr>
                <w:rFonts w:hint="default" w:ascii="Times New Roman" w:hAnsi="Times New Roman" w:cs="Times New Roman"/>
                <w:color w:val="auto"/>
                <w:sz w:val="24"/>
                <w:szCs w:val="24"/>
                <w:u w:val="single"/>
              </w:rPr>
              <w:t>镇罗镇、柔远镇、东园镇、迎水桥镇</w:t>
            </w:r>
          </w:p>
        </w:tc>
      </w:tr>
      <w:tr w14:paraId="1AB91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4DF5966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地理坐标</w:t>
            </w:r>
          </w:p>
        </w:tc>
        <w:tc>
          <w:tcPr>
            <w:tcW w:w="8169" w:type="dxa"/>
            <w:gridSpan w:val="3"/>
            <w:noWrap w:val="0"/>
            <w:vAlign w:val="center"/>
          </w:tcPr>
          <w:tbl>
            <w:tblPr>
              <w:tblStyle w:val="26"/>
              <w:tblW w:w="78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409"/>
              <w:gridCol w:w="5233"/>
            </w:tblGrid>
            <w:tr w14:paraId="68F87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28C7204">
                  <w:pPr>
                    <w:pStyle w:val="33"/>
                    <w:keepNext w:val="0"/>
                    <w:keepLines w:val="0"/>
                    <w:suppressLineNumbers w:val="0"/>
                    <w:bidi w:val="0"/>
                    <w:spacing w:beforeAutospacing="0" w:afterAutospacing="0"/>
                    <w:ind w:left="0" w:right="0"/>
                    <w:rPr>
                      <w:rFonts w:hint="default"/>
                      <w:b/>
                      <w:bCs/>
                      <w:color w:val="auto"/>
                    </w:rPr>
                  </w:pPr>
                  <w:r>
                    <w:rPr>
                      <w:rFonts w:hint="default"/>
                      <w:b/>
                      <w:bCs/>
                      <w:color w:val="auto"/>
                    </w:rPr>
                    <w:t>治理区编号</w:t>
                  </w:r>
                </w:p>
              </w:tc>
              <w:tc>
                <w:tcPr>
                  <w:tcW w:w="1409" w:type="dxa"/>
                  <w:noWrap w:val="0"/>
                  <w:vAlign w:val="center"/>
                </w:tcPr>
                <w:p w14:paraId="771819F6">
                  <w:pPr>
                    <w:pStyle w:val="33"/>
                    <w:keepNext w:val="0"/>
                    <w:keepLines w:val="0"/>
                    <w:suppressLineNumbers w:val="0"/>
                    <w:bidi w:val="0"/>
                    <w:spacing w:beforeAutospacing="0" w:afterAutospacing="0"/>
                    <w:ind w:left="0" w:right="0"/>
                    <w:rPr>
                      <w:rFonts w:hint="default" w:eastAsia="宋体"/>
                      <w:b/>
                      <w:bCs/>
                      <w:color w:val="auto"/>
                      <w:lang w:val="en-US" w:eastAsia="zh-CN"/>
                    </w:rPr>
                  </w:pPr>
                  <w:r>
                    <w:rPr>
                      <w:rFonts w:hint="eastAsia"/>
                      <w:b/>
                      <w:bCs/>
                      <w:color w:val="auto"/>
                      <w:lang w:val="en-US" w:eastAsia="zh-CN"/>
                    </w:rPr>
                    <w:t>所属行政区</w:t>
                  </w:r>
                </w:p>
              </w:tc>
              <w:tc>
                <w:tcPr>
                  <w:tcW w:w="5233" w:type="dxa"/>
                  <w:noWrap w:val="0"/>
                  <w:vAlign w:val="center"/>
                </w:tcPr>
                <w:p w14:paraId="088A8CD3">
                  <w:pPr>
                    <w:pStyle w:val="33"/>
                    <w:keepNext w:val="0"/>
                    <w:keepLines w:val="0"/>
                    <w:suppressLineNumbers w:val="0"/>
                    <w:bidi w:val="0"/>
                    <w:spacing w:beforeAutospacing="0" w:afterAutospacing="0"/>
                    <w:ind w:left="0" w:right="0"/>
                    <w:rPr>
                      <w:rFonts w:hint="default"/>
                      <w:b/>
                      <w:bCs/>
                      <w:color w:val="auto"/>
                      <w:lang w:eastAsia="zh-CN"/>
                    </w:rPr>
                  </w:pPr>
                  <w:r>
                    <w:rPr>
                      <w:rFonts w:hint="eastAsia"/>
                      <w:b/>
                      <w:bCs/>
                      <w:color w:val="auto"/>
                      <w:lang w:val="en-US" w:eastAsia="zh-CN"/>
                    </w:rPr>
                    <w:t>各</w:t>
                  </w:r>
                  <w:r>
                    <w:rPr>
                      <w:rFonts w:hint="default"/>
                      <w:b/>
                      <w:bCs/>
                      <w:color w:val="auto"/>
                      <w:lang w:val="en-US" w:eastAsia="zh-CN"/>
                    </w:rPr>
                    <w:t>治理区中心地理坐标</w:t>
                  </w:r>
                </w:p>
              </w:tc>
            </w:tr>
            <w:tr w14:paraId="6062FB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62DDAA6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A1</w:t>
                  </w:r>
                </w:p>
              </w:tc>
              <w:tc>
                <w:tcPr>
                  <w:tcW w:w="1409" w:type="dxa"/>
                  <w:noWrap w:val="0"/>
                  <w:vAlign w:val="center"/>
                </w:tcPr>
                <w:p w14:paraId="018B6A0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迎水桥镇</w:t>
                  </w:r>
                </w:p>
              </w:tc>
              <w:tc>
                <w:tcPr>
                  <w:tcW w:w="5233" w:type="dxa"/>
                  <w:noWrap w:val="0"/>
                  <w:vAlign w:val="center"/>
                </w:tcPr>
                <w:p w14:paraId="5C8C9F0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105°11′6.69</w:t>
                  </w:r>
                  <w:r>
                    <w:rPr>
                      <w:rFonts w:hint="eastAsia"/>
                      <w:color w:val="auto"/>
                      <w:lang w:val="en-US" w:eastAsia="zh-CN"/>
                    </w:rPr>
                    <w:t>9</w:t>
                  </w:r>
                  <w:r>
                    <w:rPr>
                      <w:rFonts w:hint="default"/>
                      <w:color w:val="auto"/>
                    </w:rPr>
                    <w:t>″</w:t>
                  </w:r>
                  <w:r>
                    <w:rPr>
                      <w:rFonts w:hint="eastAsia"/>
                      <w:color w:val="auto"/>
                      <w:lang w:eastAsia="zh-CN"/>
                    </w:rPr>
                    <w:t>北纬：</w:t>
                  </w:r>
                  <w:r>
                    <w:rPr>
                      <w:rFonts w:hint="default"/>
                      <w:color w:val="auto"/>
                    </w:rPr>
                    <w:t>37°39′52.334″</w:t>
                  </w:r>
                </w:p>
              </w:tc>
            </w:tr>
            <w:tr w14:paraId="2C560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3B8D0DD8">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w:t>
                  </w:r>
                </w:p>
              </w:tc>
              <w:tc>
                <w:tcPr>
                  <w:tcW w:w="1409" w:type="dxa"/>
                  <w:noWrap w:val="0"/>
                  <w:vAlign w:val="center"/>
                </w:tcPr>
                <w:p w14:paraId="5EFD503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柔远镇</w:t>
                  </w:r>
                </w:p>
              </w:tc>
              <w:tc>
                <w:tcPr>
                  <w:tcW w:w="5233" w:type="dxa"/>
                  <w:noWrap w:val="0"/>
                  <w:vAlign w:val="center"/>
                </w:tcPr>
                <w:p w14:paraId="6FE06C9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105°14′33.33</w:t>
                  </w:r>
                  <w:r>
                    <w:rPr>
                      <w:rFonts w:hint="eastAsia"/>
                      <w:color w:val="auto"/>
                      <w:lang w:val="en-US" w:eastAsia="zh-CN"/>
                    </w:rPr>
                    <w:t>6</w:t>
                  </w:r>
                  <w:r>
                    <w:rPr>
                      <w:rFonts w:hint="default"/>
                      <w:color w:val="auto"/>
                    </w:rPr>
                    <w:t>″</w:t>
                  </w:r>
                  <w:r>
                    <w:rPr>
                      <w:rFonts w:hint="eastAsia"/>
                      <w:color w:val="auto"/>
                      <w:lang w:eastAsia="zh-CN"/>
                    </w:rPr>
                    <w:t>北纬：</w:t>
                  </w:r>
                  <w:r>
                    <w:rPr>
                      <w:rFonts w:hint="default"/>
                      <w:color w:val="auto"/>
                    </w:rPr>
                    <w:t>37°32′13.232″</w:t>
                  </w:r>
                </w:p>
              </w:tc>
            </w:tr>
            <w:tr w14:paraId="1C9F0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9B198B9">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A3</w:t>
                  </w:r>
                </w:p>
              </w:tc>
              <w:tc>
                <w:tcPr>
                  <w:tcW w:w="1409" w:type="dxa"/>
                  <w:noWrap w:val="0"/>
                  <w:vAlign w:val="center"/>
                </w:tcPr>
                <w:p w14:paraId="2CEC2AF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209B246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105°15′24.39</w:t>
                  </w:r>
                  <w:r>
                    <w:rPr>
                      <w:rFonts w:hint="eastAsia"/>
                      <w:color w:val="auto"/>
                      <w:lang w:val="en-US" w:eastAsia="zh-CN"/>
                    </w:rPr>
                    <w:t>7</w:t>
                  </w:r>
                  <w:r>
                    <w:rPr>
                      <w:rFonts w:hint="default"/>
                      <w:color w:val="auto"/>
                    </w:rPr>
                    <w:t>″</w:t>
                  </w:r>
                  <w:r>
                    <w:rPr>
                      <w:rFonts w:hint="eastAsia"/>
                      <w:color w:val="auto"/>
                      <w:lang w:eastAsia="zh-CN"/>
                    </w:rPr>
                    <w:t>北纬：</w:t>
                  </w:r>
                  <w:r>
                    <w:rPr>
                      <w:rFonts w:hint="default"/>
                      <w:color w:val="auto"/>
                    </w:rPr>
                    <w:t>37°38′31.649″</w:t>
                  </w:r>
                </w:p>
              </w:tc>
            </w:tr>
            <w:tr w14:paraId="072E7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41A6BB1">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A4</w:t>
                  </w:r>
                </w:p>
              </w:tc>
              <w:tc>
                <w:tcPr>
                  <w:tcW w:w="1409" w:type="dxa"/>
                  <w:noWrap w:val="0"/>
                  <w:vAlign w:val="center"/>
                </w:tcPr>
                <w:p w14:paraId="4114E69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14E5E04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105°16′4.98</w:t>
                  </w:r>
                  <w:r>
                    <w:rPr>
                      <w:rFonts w:hint="eastAsia"/>
                      <w:color w:val="auto"/>
                      <w:lang w:val="en-US" w:eastAsia="zh-CN"/>
                    </w:rPr>
                    <w:t>4</w:t>
                  </w:r>
                  <w:r>
                    <w:rPr>
                      <w:rFonts w:hint="default"/>
                      <w:color w:val="auto"/>
                    </w:rPr>
                    <w:t>″</w:t>
                  </w:r>
                  <w:r>
                    <w:rPr>
                      <w:rFonts w:hint="eastAsia"/>
                      <w:color w:val="auto"/>
                      <w:lang w:eastAsia="zh-CN"/>
                    </w:rPr>
                    <w:t>北纬：</w:t>
                  </w:r>
                  <w:r>
                    <w:rPr>
                      <w:rFonts w:hint="default"/>
                      <w:color w:val="auto"/>
                    </w:rPr>
                    <w:t>37°37′38.76</w:t>
                  </w:r>
                  <w:r>
                    <w:rPr>
                      <w:rFonts w:hint="eastAsia"/>
                      <w:color w:val="auto"/>
                      <w:lang w:val="en-US" w:eastAsia="zh-CN"/>
                    </w:rPr>
                    <w:t>2</w:t>
                  </w:r>
                  <w:r>
                    <w:rPr>
                      <w:rFonts w:hint="default"/>
                      <w:color w:val="auto"/>
                    </w:rPr>
                    <w:t>″</w:t>
                  </w:r>
                </w:p>
              </w:tc>
            </w:tr>
            <w:tr w14:paraId="49F16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D3466FC">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A5</w:t>
                  </w:r>
                </w:p>
              </w:tc>
              <w:tc>
                <w:tcPr>
                  <w:tcW w:w="1409" w:type="dxa"/>
                  <w:noWrap w:val="0"/>
                  <w:vAlign w:val="center"/>
                </w:tcPr>
                <w:p w14:paraId="571F0793">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19C8CE0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105°15′43.47</w:t>
                  </w:r>
                  <w:r>
                    <w:rPr>
                      <w:rFonts w:hint="eastAsia"/>
                      <w:color w:val="auto"/>
                      <w:lang w:val="en-US" w:eastAsia="zh-CN"/>
                    </w:rPr>
                    <w:t>7</w:t>
                  </w:r>
                  <w:r>
                    <w:rPr>
                      <w:rFonts w:hint="default"/>
                      <w:color w:val="auto"/>
                    </w:rPr>
                    <w:t>″</w:t>
                  </w:r>
                  <w:r>
                    <w:rPr>
                      <w:rFonts w:hint="eastAsia"/>
                      <w:color w:val="auto"/>
                      <w:lang w:eastAsia="zh-CN"/>
                    </w:rPr>
                    <w:t>北纬：</w:t>
                  </w:r>
                  <w:r>
                    <w:rPr>
                      <w:rFonts w:hint="default"/>
                      <w:color w:val="auto"/>
                    </w:rPr>
                    <w:t>37°36′22.04</w:t>
                  </w:r>
                  <w:r>
                    <w:rPr>
                      <w:rFonts w:hint="eastAsia"/>
                      <w:color w:val="auto"/>
                      <w:lang w:val="en-US" w:eastAsia="zh-CN"/>
                    </w:rPr>
                    <w:t>7</w:t>
                  </w:r>
                  <w:r>
                    <w:rPr>
                      <w:rFonts w:hint="default"/>
                      <w:color w:val="auto"/>
                    </w:rPr>
                    <w:t>″</w:t>
                  </w:r>
                </w:p>
              </w:tc>
            </w:tr>
            <w:tr w14:paraId="3ABFF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08871234">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A6</w:t>
                  </w:r>
                </w:p>
              </w:tc>
              <w:tc>
                <w:tcPr>
                  <w:tcW w:w="1409" w:type="dxa"/>
                  <w:noWrap w:val="0"/>
                  <w:vAlign w:val="center"/>
                </w:tcPr>
                <w:p w14:paraId="26695D82">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6A73494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105°17′14.01</w:t>
                  </w:r>
                  <w:r>
                    <w:rPr>
                      <w:rFonts w:hint="eastAsia"/>
                      <w:color w:val="auto"/>
                      <w:lang w:val="en-US" w:eastAsia="zh-CN"/>
                    </w:rPr>
                    <w:t>2</w:t>
                  </w:r>
                  <w:r>
                    <w:rPr>
                      <w:rFonts w:hint="default"/>
                      <w:color w:val="auto"/>
                    </w:rPr>
                    <w:t>″</w:t>
                  </w:r>
                  <w:r>
                    <w:rPr>
                      <w:rFonts w:hint="eastAsia"/>
                      <w:color w:val="auto"/>
                      <w:lang w:eastAsia="zh-CN"/>
                    </w:rPr>
                    <w:t>北纬：</w:t>
                  </w:r>
                  <w:r>
                    <w:rPr>
                      <w:rFonts w:hint="default"/>
                      <w:color w:val="auto"/>
                    </w:rPr>
                    <w:t>37°35′8.97</w:t>
                  </w:r>
                  <w:r>
                    <w:rPr>
                      <w:rFonts w:hint="eastAsia"/>
                      <w:color w:val="auto"/>
                      <w:lang w:val="en-US" w:eastAsia="zh-CN"/>
                    </w:rPr>
                    <w:t>1</w:t>
                  </w:r>
                  <w:r>
                    <w:rPr>
                      <w:rFonts w:hint="default"/>
                      <w:color w:val="auto"/>
                    </w:rPr>
                    <w:t>″</w:t>
                  </w:r>
                </w:p>
              </w:tc>
            </w:tr>
            <w:tr w14:paraId="48D0F3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0055EE6">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A7</w:t>
                  </w:r>
                </w:p>
              </w:tc>
              <w:tc>
                <w:tcPr>
                  <w:tcW w:w="1409" w:type="dxa"/>
                  <w:noWrap w:val="0"/>
                  <w:vAlign w:val="center"/>
                </w:tcPr>
                <w:p w14:paraId="2D654AA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41D5C5A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105°19′0.01</w:t>
                  </w:r>
                  <w:r>
                    <w:rPr>
                      <w:rFonts w:hint="eastAsia"/>
                      <w:color w:val="auto"/>
                      <w:lang w:val="en-US" w:eastAsia="zh-CN"/>
                    </w:rPr>
                    <w:t>4</w:t>
                  </w:r>
                  <w:r>
                    <w:rPr>
                      <w:rFonts w:hint="default"/>
                      <w:color w:val="auto"/>
                    </w:rPr>
                    <w:t>″</w:t>
                  </w:r>
                  <w:r>
                    <w:rPr>
                      <w:rFonts w:hint="eastAsia"/>
                      <w:color w:val="auto"/>
                      <w:lang w:eastAsia="zh-CN"/>
                    </w:rPr>
                    <w:t>北纬：</w:t>
                  </w:r>
                  <w:r>
                    <w:rPr>
                      <w:rFonts w:hint="default"/>
                      <w:color w:val="auto"/>
                    </w:rPr>
                    <w:t>37°32′18.85</w:t>
                  </w:r>
                  <w:r>
                    <w:rPr>
                      <w:rFonts w:hint="eastAsia"/>
                      <w:color w:val="auto"/>
                      <w:lang w:val="en-US" w:eastAsia="zh-CN"/>
                    </w:rPr>
                    <w:t>6</w:t>
                  </w:r>
                  <w:r>
                    <w:rPr>
                      <w:rFonts w:hint="default"/>
                      <w:color w:val="auto"/>
                    </w:rPr>
                    <w:t>″</w:t>
                  </w:r>
                </w:p>
              </w:tc>
            </w:tr>
            <w:tr w14:paraId="0DA2C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0B6DBDF0">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A8</w:t>
                  </w:r>
                </w:p>
              </w:tc>
              <w:tc>
                <w:tcPr>
                  <w:tcW w:w="1409" w:type="dxa"/>
                  <w:noWrap w:val="0"/>
                  <w:vAlign w:val="center"/>
                </w:tcPr>
                <w:p w14:paraId="24E47118">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63B3772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105°18′23.321″</w:t>
                  </w:r>
                  <w:r>
                    <w:rPr>
                      <w:rFonts w:hint="eastAsia"/>
                      <w:color w:val="auto"/>
                      <w:lang w:eastAsia="zh-CN"/>
                    </w:rPr>
                    <w:t>北纬：</w:t>
                  </w:r>
                  <w:r>
                    <w:rPr>
                      <w:rFonts w:hint="default"/>
                      <w:color w:val="auto"/>
                    </w:rPr>
                    <w:t>37°41′37.97</w:t>
                  </w:r>
                  <w:r>
                    <w:rPr>
                      <w:rFonts w:hint="eastAsia"/>
                      <w:color w:val="auto"/>
                      <w:lang w:val="en-US" w:eastAsia="zh-CN"/>
                    </w:rPr>
                    <w:t>4</w:t>
                  </w:r>
                  <w:r>
                    <w:rPr>
                      <w:rFonts w:hint="default"/>
                      <w:color w:val="auto"/>
                    </w:rPr>
                    <w:t>″</w:t>
                  </w:r>
                </w:p>
              </w:tc>
            </w:tr>
            <w:tr w14:paraId="5D564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31B3CC8">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A9</w:t>
                  </w:r>
                </w:p>
              </w:tc>
              <w:tc>
                <w:tcPr>
                  <w:tcW w:w="1409" w:type="dxa"/>
                  <w:noWrap w:val="0"/>
                  <w:vAlign w:val="center"/>
                </w:tcPr>
                <w:p w14:paraId="00C6D890">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86937B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105°18′8.18</w:t>
                  </w:r>
                  <w:r>
                    <w:rPr>
                      <w:rFonts w:hint="eastAsia"/>
                      <w:color w:val="auto"/>
                      <w:lang w:val="en-US" w:eastAsia="zh-CN"/>
                    </w:rPr>
                    <w:t>1</w:t>
                  </w:r>
                  <w:r>
                    <w:rPr>
                      <w:rFonts w:hint="default"/>
                      <w:color w:val="auto"/>
                    </w:rPr>
                    <w:t>″</w:t>
                  </w:r>
                  <w:r>
                    <w:rPr>
                      <w:rFonts w:hint="eastAsia"/>
                      <w:color w:val="auto"/>
                      <w:lang w:eastAsia="zh-CN"/>
                    </w:rPr>
                    <w:t>北纬：</w:t>
                  </w:r>
                  <w:r>
                    <w:rPr>
                      <w:rFonts w:hint="default"/>
                      <w:color w:val="auto"/>
                    </w:rPr>
                    <w:t>37°40′7.20</w:t>
                  </w:r>
                  <w:r>
                    <w:rPr>
                      <w:rFonts w:hint="eastAsia"/>
                      <w:color w:val="auto"/>
                      <w:lang w:val="en-US" w:eastAsia="zh-CN"/>
                    </w:rPr>
                    <w:t>8</w:t>
                  </w:r>
                  <w:r>
                    <w:rPr>
                      <w:rFonts w:hint="default"/>
                      <w:color w:val="auto"/>
                    </w:rPr>
                    <w:t>″</w:t>
                  </w:r>
                </w:p>
              </w:tc>
            </w:tr>
            <w:tr w14:paraId="58536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24F1064">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A10</w:t>
                  </w:r>
                </w:p>
              </w:tc>
              <w:tc>
                <w:tcPr>
                  <w:tcW w:w="1409" w:type="dxa"/>
                  <w:noWrap w:val="0"/>
                  <w:vAlign w:val="center"/>
                </w:tcPr>
                <w:p w14:paraId="4C2E47E8">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30F7C20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105°18′27.647″</w:t>
                  </w:r>
                  <w:r>
                    <w:rPr>
                      <w:rFonts w:hint="eastAsia"/>
                      <w:color w:val="auto"/>
                      <w:lang w:eastAsia="zh-CN"/>
                    </w:rPr>
                    <w:t>北纬：</w:t>
                  </w:r>
                  <w:r>
                    <w:rPr>
                      <w:rFonts w:hint="default"/>
                      <w:color w:val="auto"/>
                    </w:rPr>
                    <w:t>37°38′37.60</w:t>
                  </w:r>
                  <w:r>
                    <w:rPr>
                      <w:rFonts w:hint="eastAsia"/>
                      <w:color w:val="auto"/>
                      <w:lang w:val="en-US" w:eastAsia="zh-CN"/>
                    </w:rPr>
                    <w:t>1</w:t>
                  </w:r>
                  <w:r>
                    <w:rPr>
                      <w:rFonts w:hint="default"/>
                      <w:color w:val="auto"/>
                    </w:rPr>
                    <w:t>″</w:t>
                  </w:r>
                </w:p>
              </w:tc>
            </w:tr>
            <w:tr w14:paraId="69150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FEE9CD8">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A11</w:t>
                  </w:r>
                </w:p>
              </w:tc>
              <w:tc>
                <w:tcPr>
                  <w:tcW w:w="1409" w:type="dxa"/>
                  <w:noWrap w:val="0"/>
                  <w:vAlign w:val="center"/>
                </w:tcPr>
                <w:p w14:paraId="69E97D1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783C999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105°17′38.90</w:t>
                  </w:r>
                  <w:r>
                    <w:rPr>
                      <w:rFonts w:hint="eastAsia"/>
                      <w:color w:val="auto"/>
                      <w:lang w:val="en-US" w:eastAsia="zh-CN"/>
                    </w:rPr>
                    <w:t>4</w:t>
                  </w:r>
                  <w:r>
                    <w:rPr>
                      <w:rFonts w:hint="default"/>
                      <w:color w:val="auto"/>
                    </w:rPr>
                    <w:t>″</w:t>
                  </w:r>
                  <w:r>
                    <w:rPr>
                      <w:rFonts w:hint="eastAsia"/>
                      <w:color w:val="auto"/>
                      <w:lang w:eastAsia="zh-CN"/>
                    </w:rPr>
                    <w:t>北纬：</w:t>
                  </w:r>
                  <w:r>
                    <w:rPr>
                      <w:rFonts w:hint="default"/>
                      <w:color w:val="auto"/>
                    </w:rPr>
                    <w:t>37°38′18.211″</w:t>
                  </w:r>
                </w:p>
              </w:tc>
            </w:tr>
            <w:tr w14:paraId="3AF24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3AF9AC6">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A12</w:t>
                  </w:r>
                </w:p>
              </w:tc>
              <w:tc>
                <w:tcPr>
                  <w:tcW w:w="1409" w:type="dxa"/>
                  <w:noWrap w:val="0"/>
                  <w:vAlign w:val="center"/>
                </w:tcPr>
                <w:p w14:paraId="4A96CCA5">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18120E7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105°17′55.74</w:t>
                  </w:r>
                  <w:r>
                    <w:rPr>
                      <w:rFonts w:hint="eastAsia"/>
                      <w:color w:val="auto"/>
                      <w:lang w:val="en-US" w:eastAsia="zh-CN"/>
                    </w:rPr>
                    <w:t>4</w:t>
                  </w:r>
                  <w:r>
                    <w:rPr>
                      <w:rFonts w:hint="default"/>
                      <w:color w:val="auto"/>
                    </w:rPr>
                    <w:t>″</w:t>
                  </w:r>
                  <w:r>
                    <w:rPr>
                      <w:rFonts w:hint="eastAsia"/>
                      <w:color w:val="auto"/>
                      <w:lang w:eastAsia="zh-CN"/>
                    </w:rPr>
                    <w:t>北纬：</w:t>
                  </w:r>
                  <w:r>
                    <w:rPr>
                      <w:rFonts w:hint="default"/>
                      <w:color w:val="auto"/>
                    </w:rPr>
                    <w:t>37°37′26.996″</w:t>
                  </w:r>
                </w:p>
              </w:tc>
            </w:tr>
            <w:tr w14:paraId="3315E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28159322">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A13</w:t>
                  </w:r>
                </w:p>
              </w:tc>
              <w:tc>
                <w:tcPr>
                  <w:tcW w:w="1409" w:type="dxa"/>
                  <w:noWrap w:val="0"/>
                  <w:vAlign w:val="center"/>
                </w:tcPr>
                <w:p w14:paraId="753D3E2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6CA0828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105°19′48.268″</w:t>
                  </w:r>
                  <w:r>
                    <w:rPr>
                      <w:rFonts w:hint="eastAsia"/>
                      <w:color w:val="auto"/>
                      <w:lang w:eastAsia="zh-CN"/>
                    </w:rPr>
                    <w:t>北纬：</w:t>
                  </w:r>
                  <w:r>
                    <w:rPr>
                      <w:rFonts w:hint="default"/>
                      <w:color w:val="auto"/>
                    </w:rPr>
                    <w:t>37°36′23.445″</w:t>
                  </w:r>
                </w:p>
              </w:tc>
            </w:tr>
            <w:tr w14:paraId="36B51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5A2F7D49">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A14</w:t>
                  </w:r>
                </w:p>
              </w:tc>
              <w:tc>
                <w:tcPr>
                  <w:tcW w:w="1409" w:type="dxa"/>
                  <w:noWrap w:val="0"/>
                  <w:vAlign w:val="center"/>
                </w:tcPr>
                <w:p w14:paraId="751A1945">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602CDC4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105°19′54.575″</w:t>
                  </w:r>
                  <w:r>
                    <w:rPr>
                      <w:rFonts w:hint="eastAsia"/>
                      <w:color w:val="auto"/>
                      <w:lang w:eastAsia="zh-CN"/>
                    </w:rPr>
                    <w:t>北纬：</w:t>
                  </w:r>
                  <w:r>
                    <w:rPr>
                      <w:rFonts w:hint="default"/>
                      <w:color w:val="auto"/>
                    </w:rPr>
                    <w:t>37°35′49.399″</w:t>
                  </w:r>
                </w:p>
              </w:tc>
            </w:tr>
            <w:tr w14:paraId="6A0B2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63DF1F8">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A15</w:t>
                  </w:r>
                </w:p>
              </w:tc>
              <w:tc>
                <w:tcPr>
                  <w:tcW w:w="1409" w:type="dxa"/>
                  <w:noWrap w:val="0"/>
                  <w:vAlign w:val="center"/>
                </w:tcPr>
                <w:p w14:paraId="1144FD58">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1DE4223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105°19′7.268″</w:t>
                  </w:r>
                  <w:r>
                    <w:rPr>
                      <w:rFonts w:hint="eastAsia"/>
                      <w:color w:val="auto"/>
                      <w:lang w:eastAsia="zh-CN"/>
                    </w:rPr>
                    <w:t>北纬：</w:t>
                  </w:r>
                  <w:r>
                    <w:rPr>
                      <w:rFonts w:hint="default"/>
                      <w:color w:val="auto"/>
                    </w:rPr>
                    <w:t>37°34′51.46</w:t>
                  </w:r>
                  <w:r>
                    <w:rPr>
                      <w:rFonts w:hint="eastAsia"/>
                      <w:color w:val="auto"/>
                      <w:lang w:val="en-US" w:eastAsia="zh-CN"/>
                    </w:rPr>
                    <w:t>4</w:t>
                  </w:r>
                  <w:r>
                    <w:rPr>
                      <w:rFonts w:hint="default"/>
                      <w:color w:val="auto"/>
                    </w:rPr>
                    <w:t>″</w:t>
                  </w:r>
                </w:p>
              </w:tc>
            </w:tr>
            <w:tr w14:paraId="258D61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00E9805D">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A16</w:t>
                  </w:r>
                </w:p>
              </w:tc>
              <w:tc>
                <w:tcPr>
                  <w:tcW w:w="1409" w:type="dxa"/>
                  <w:noWrap w:val="0"/>
                  <w:vAlign w:val="center"/>
                </w:tcPr>
                <w:p w14:paraId="3B1E085B">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7BC726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105°20′32.349″</w:t>
                  </w:r>
                  <w:r>
                    <w:rPr>
                      <w:rFonts w:hint="eastAsia"/>
                      <w:color w:val="auto"/>
                      <w:lang w:eastAsia="zh-CN"/>
                    </w:rPr>
                    <w:t>北纬：</w:t>
                  </w:r>
                  <w:r>
                    <w:rPr>
                      <w:rFonts w:hint="default"/>
                      <w:color w:val="auto"/>
                    </w:rPr>
                    <w:t>37°35′54.18</w:t>
                  </w:r>
                  <w:r>
                    <w:rPr>
                      <w:rFonts w:hint="eastAsia"/>
                      <w:color w:val="auto"/>
                      <w:lang w:val="en-US" w:eastAsia="zh-CN"/>
                    </w:rPr>
                    <w:t>9</w:t>
                  </w:r>
                  <w:r>
                    <w:rPr>
                      <w:rFonts w:hint="default"/>
                      <w:color w:val="auto"/>
                    </w:rPr>
                    <w:t>″</w:t>
                  </w:r>
                </w:p>
              </w:tc>
            </w:tr>
            <w:tr w14:paraId="4283FC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7056E1A7">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A17</w:t>
                  </w:r>
                </w:p>
              </w:tc>
              <w:tc>
                <w:tcPr>
                  <w:tcW w:w="1409" w:type="dxa"/>
                  <w:noWrap w:val="0"/>
                  <w:vAlign w:val="center"/>
                </w:tcPr>
                <w:p w14:paraId="72443A88">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91095F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105°21′27.58</w:t>
                  </w:r>
                  <w:r>
                    <w:rPr>
                      <w:rFonts w:hint="eastAsia"/>
                      <w:color w:val="auto"/>
                      <w:lang w:val="en-US" w:eastAsia="zh-CN"/>
                    </w:rPr>
                    <w:t>2</w:t>
                  </w:r>
                  <w:r>
                    <w:rPr>
                      <w:rFonts w:hint="default"/>
                      <w:color w:val="auto"/>
                    </w:rPr>
                    <w:t>″</w:t>
                  </w:r>
                  <w:r>
                    <w:rPr>
                      <w:rFonts w:hint="eastAsia"/>
                      <w:color w:val="auto"/>
                      <w:lang w:eastAsia="zh-CN"/>
                    </w:rPr>
                    <w:t>北纬：</w:t>
                  </w:r>
                  <w:r>
                    <w:rPr>
                      <w:rFonts w:hint="default"/>
                      <w:color w:val="auto"/>
                    </w:rPr>
                    <w:t>37°35′32.79</w:t>
                  </w:r>
                  <w:r>
                    <w:rPr>
                      <w:rFonts w:hint="eastAsia"/>
                      <w:color w:val="auto"/>
                      <w:lang w:val="en-US" w:eastAsia="zh-CN"/>
                    </w:rPr>
                    <w:t>1</w:t>
                  </w:r>
                  <w:r>
                    <w:rPr>
                      <w:rFonts w:hint="default"/>
                      <w:color w:val="auto"/>
                    </w:rPr>
                    <w:t>″</w:t>
                  </w:r>
                </w:p>
              </w:tc>
            </w:tr>
            <w:tr w14:paraId="366D0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7D4CE86">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A18</w:t>
                  </w:r>
                </w:p>
              </w:tc>
              <w:tc>
                <w:tcPr>
                  <w:tcW w:w="1409" w:type="dxa"/>
                  <w:noWrap w:val="0"/>
                  <w:vAlign w:val="center"/>
                </w:tcPr>
                <w:p w14:paraId="0593C3BB">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124790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105°22′10.159″</w:t>
                  </w:r>
                  <w:r>
                    <w:rPr>
                      <w:rFonts w:hint="eastAsia"/>
                      <w:color w:val="auto"/>
                      <w:lang w:eastAsia="zh-CN"/>
                    </w:rPr>
                    <w:t>北纬：</w:t>
                  </w:r>
                  <w:r>
                    <w:rPr>
                      <w:rFonts w:hint="default"/>
                      <w:color w:val="auto"/>
                    </w:rPr>
                    <w:t>37°35′15.06</w:t>
                  </w:r>
                  <w:r>
                    <w:rPr>
                      <w:rFonts w:hint="eastAsia"/>
                      <w:color w:val="auto"/>
                      <w:lang w:val="en-US" w:eastAsia="zh-CN"/>
                    </w:rPr>
                    <w:t>3</w:t>
                  </w:r>
                  <w:r>
                    <w:rPr>
                      <w:rFonts w:hint="default"/>
                      <w:color w:val="auto"/>
                    </w:rPr>
                    <w:t>″</w:t>
                  </w:r>
                </w:p>
              </w:tc>
            </w:tr>
            <w:tr w14:paraId="55439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CCEFFBD">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A19</w:t>
                  </w:r>
                </w:p>
              </w:tc>
              <w:tc>
                <w:tcPr>
                  <w:tcW w:w="1409" w:type="dxa"/>
                  <w:noWrap w:val="0"/>
                  <w:vAlign w:val="center"/>
                </w:tcPr>
                <w:p w14:paraId="7D86C01B">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FFB74B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105°20′39.74</w:t>
                  </w:r>
                  <w:r>
                    <w:rPr>
                      <w:rFonts w:hint="eastAsia"/>
                      <w:color w:val="auto"/>
                      <w:lang w:val="en-US" w:eastAsia="zh-CN"/>
                    </w:rPr>
                    <w:t>1</w:t>
                  </w:r>
                  <w:r>
                    <w:rPr>
                      <w:rFonts w:hint="default"/>
                      <w:color w:val="auto"/>
                    </w:rPr>
                    <w:t>″</w:t>
                  </w:r>
                  <w:r>
                    <w:rPr>
                      <w:rFonts w:hint="eastAsia"/>
                      <w:color w:val="auto"/>
                      <w:lang w:eastAsia="zh-CN"/>
                    </w:rPr>
                    <w:t>北纬：</w:t>
                  </w:r>
                  <w:r>
                    <w:rPr>
                      <w:rFonts w:hint="default"/>
                      <w:color w:val="auto"/>
                    </w:rPr>
                    <w:t>37°34′26.281″</w:t>
                  </w:r>
                </w:p>
              </w:tc>
            </w:tr>
            <w:tr w14:paraId="1B692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355C7216">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A20</w:t>
                  </w:r>
                </w:p>
              </w:tc>
              <w:tc>
                <w:tcPr>
                  <w:tcW w:w="1409" w:type="dxa"/>
                  <w:noWrap w:val="0"/>
                  <w:vAlign w:val="center"/>
                </w:tcPr>
                <w:p w14:paraId="06C40FD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5A7027F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105°21′4.962″</w:t>
                  </w:r>
                  <w:r>
                    <w:rPr>
                      <w:rFonts w:hint="eastAsia"/>
                      <w:color w:val="auto"/>
                      <w:lang w:eastAsia="zh-CN"/>
                    </w:rPr>
                    <w:t>北纬：</w:t>
                  </w:r>
                  <w:r>
                    <w:rPr>
                      <w:rFonts w:hint="default"/>
                      <w:color w:val="auto"/>
                    </w:rPr>
                    <w:t>37°34′21.028″</w:t>
                  </w:r>
                </w:p>
              </w:tc>
            </w:tr>
            <w:tr w14:paraId="608EF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9ADDDE3">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A21</w:t>
                  </w:r>
                </w:p>
              </w:tc>
              <w:tc>
                <w:tcPr>
                  <w:tcW w:w="1409" w:type="dxa"/>
                  <w:noWrap w:val="0"/>
                  <w:vAlign w:val="center"/>
                </w:tcPr>
                <w:p w14:paraId="3CE8175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3AD87FA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105°21′29.33</w:t>
                  </w:r>
                  <w:r>
                    <w:rPr>
                      <w:rFonts w:hint="eastAsia"/>
                      <w:color w:val="auto"/>
                      <w:lang w:val="en-US" w:eastAsia="zh-CN"/>
                    </w:rPr>
                    <w:t>4</w:t>
                  </w:r>
                  <w:r>
                    <w:rPr>
                      <w:rFonts w:hint="default"/>
                      <w:color w:val="auto"/>
                    </w:rPr>
                    <w:t>″</w:t>
                  </w:r>
                  <w:r>
                    <w:rPr>
                      <w:rFonts w:hint="eastAsia"/>
                      <w:color w:val="auto"/>
                      <w:lang w:eastAsia="zh-CN"/>
                    </w:rPr>
                    <w:t>北纬：</w:t>
                  </w:r>
                  <w:r>
                    <w:rPr>
                      <w:rFonts w:hint="default"/>
                      <w:color w:val="auto"/>
                    </w:rPr>
                    <w:t>37°34′11.99</w:t>
                  </w:r>
                  <w:r>
                    <w:rPr>
                      <w:rFonts w:hint="eastAsia"/>
                      <w:color w:val="auto"/>
                      <w:lang w:val="en-US" w:eastAsia="zh-CN"/>
                    </w:rPr>
                    <w:t>0</w:t>
                  </w:r>
                  <w:r>
                    <w:rPr>
                      <w:rFonts w:hint="default"/>
                      <w:color w:val="auto"/>
                    </w:rPr>
                    <w:t>″</w:t>
                  </w:r>
                </w:p>
              </w:tc>
            </w:tr>
            <w:tr w14:paraId="6192B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C51C984">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A22</w:t>
                  </w:r>
                </w:p>
              </w:tc>
              <w:tc>
                <w:tcPr>
                  <w:tcW w:w="1409" w:type="dxa"/>
                  <w:noWrap w:val="0"/>
                  <w:vAlign w:val="center"/>
                </w:tcPr>
                <w:p w14:paraId="2E7DDF57">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4CE625F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105°20′25.952″</w:t>
                  </w:r>
                  <w:r>
                    <w:rPr>
                      <w:rFonts w:hint="eastAsia"/>
                      <w:color w:val="auto"/>
                      <w:lang w:eastAsia="zh-CN"/>
                    </w:rPr>
                    <w:t>北纬：</w:t>
                  </w:r>
                  <w:r>
                    <w:rPr>
                      <w:rFonts w:hint="default"/>
                      <w:color w:val="auto"/>
                    </w:rPr>
                    <w:t>37°41′3.52</w:t>
                  </w:r>
                  <w:r>
                    <w:rPr>
                      <w:rFonts w:hint="eastAsia"/>
                      <w:color w:val="auto"/>
                      <w:lang w:val="en-US" w:eastAsia="zh-CN"/>
                    </w:rPr>
                    <w:t>7</w:t>
                  </w:r>
                  <w:r>
                    <w:rPr>
                      <w:rFonts w:hint="default"/>
                      <w:color w:val="auto"/>
                    </w:rPr>
                    <w:t>″</w:t>
                  </w:r>
                </w:p>
              </w:tc>
            </w:tr>
            <w:tr w14:paraId="4EC44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290792F">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A23</w:t>
                  </w:r>
                </w:p>
              </w:tc>
              <w:tc>
                <w:tcPr>
                  <w:tcW w:w="1409" w:type="dxa"/>
                  <w:noWrap w:val="0"/>
                  <w:vAlign w:val="center"/>
                </w:tcPr>
                <w:p w14:paraId="51EB0AA2">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0260AFB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105°22′2.39</w:t>
                  </w:r>
                  <w:r>
                    <w:rPr>
                      <w:rFonts w:hint="eastAsia"/>
                      <w:color w:val="auto"/>
                      <w:lang w:val="en-US" w:eastAsia="zh-CN"/>
                    </w:rPr>
                    <w:t>6</w:t>
                  </w:r>
                  <w:r>
                    <w:rPr>
                      <w:rFonts w:hint="default"/>
                      <w:color w:val="auto"/>
                    </w:rPr>
                    <w:t>″</w:t>
                  </w:r>
                  <w:r>
                    <w:rPr>
                      <w:rFonts w:hint="eastAsia"/>
                      <w:color w:val="auto"/>
                      <w:lang w:eastAsia="zh-CN"/>
                    </w:rPr>
                    <w:t>北纬：</w:t>
                  </w:r>
                  <w:r>
                    <w:rPr>
                      <w:rFonts w:hint="default"/>
                      <w:color w:val="auto"/>
                    </w:rPr>
                    <w:t>37°41′56.982″</w:t>
                  </w:r>
                </w:p>
              </w:tc>
            </w:tr>
            <w:tr w14:paraId="789274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093E85EC">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A24</w:t>
                  </w:r>
                </w:p>
              </w:tc>
              <w:tc>
                <w:tcPr>
                  <w:tcW w:w="1409" w:type="dxa"/>
                  <w:noWrap w:val="0"/>
                  <w:vAlign w:val="center"/>
                </w:tcPr>
                <w:p w14:paraId="265B4EB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34908B6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105°22′11.723″</w:t>
                  </w:r>
                  <w:r>
                    <w:rPr>
                      <w:rFonts w:hint="eastAsia"/>
                      <w:color w:val="auto"/>
                      <w:lang w:eastAsia="zh-CN"/>
                    </w:rPr>
                    <w:t>北纬：</w:t>
                  </w:r>
                  <w:r>
                    <w:rPr>
                      <w:rFonts w:hint="default"/>
                      <w:color w:val="auto"/>
                    </w:rPr>
                    <w:t>37°41′29.22</w:t>
                  </w:r>
                  <w:r>
                    <w:rPr>
                      <w:rFonts w:hint="eastAsia"/>
                      <w:color w:val="auto"/>
                      <w:lang w:val="en-US" w:eastAsia="zh-CN"/>
                    </w:rPr>
                    <w:t>4</w:t>
                  </w:r>
                  <w:r>
                    <w:rPr>
                      <w:rFonts w:hint="default"/>
                      <w:color w:val="auto"/>
                    </w:rPr>
                    <w:t>″</w:t>
                  </w:r>
                </w:p>
              </w:tc>
            </w:tr>
            <w:tr w14:paraId="2629F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62F91EF7">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A25</w:t>
                  </w:r>
                </w:p>
              </w:tc>
              <w:tc>
                <w:tcPr>
                  <w:tcW w:w="1409" w:type="dxa"/>
                  <w:noWrap w:val="0"/>
                  <w:vAlign w:val="center"/>
                </w:tcPr>
                <w:p w14:paraId="439BF08B">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1C5B422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105°22′47.740″</w:t>
                  </w:r>
                  <w:r>
                    <w:rPr>
                      <w:rFonts w:hint="eastAsia"/>
                      <w:color w:val="auto"/>
                      <w:lang w:eastAsia="zh-CN"/>
                    </w:rPr>
                    <w:t>北纬：</w:t>
                  </w:r>
                  <w:r>
                    <w:rPr>
                      <w:rFonts w:hint="default"/>
                      <w:color w:val="auto"/>
                    </w:rPr>
                    <w:t>37°38′6.359″</w:t>
                  </w:r>
                </w:p>
              </w:tc>
            </w:tr>
            <w:tr w14:paraId="3A067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8AB3DF0">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A26</w:t>
                  </w:r>
                </w:p>
              </w:tc>
              <w:tc>
                <w:tcPr>
                  <w:tcW w:w="1409" w:type="dxa"/>
                  <w:noWrap w:val="0"/>
                  <w:vAlign w:val="center"/>
                </w:tcPr>
                <w:p w14:paraId="22B7E8E6">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7B05D40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105°22′39.706″</w:t>
                  </w:r>
                  <w:r>
                    <w:rPr>
                      <w:rFonts w:hint="eastAsia"/>
                      <w:color w:val="auto"/>
                      <w:lang w:eastAsia="zh-CN"/>
                    </w:rPr>
                    <w:t>北纬：</w:t>
                  </w:r>
                  <w:r>
                    <w:rPr>
                      <w:rFonts w:hint="default"/>
                      <w:color w:val="auto"/>
                    </w:rPr>
                    <w:t>37°37′39.32</w:t>
                  </w:r>
                  <w:r>
                    <w:rPr>
                      <w:rFonts w:hint="eastAsia"/>
                      <w:color w:val="auto"/>
                      <w:lang w:val="en-US" w:eastAsia="zh-CN"/>
                    </w:rPr>
                    <w:t>3</w:t>
                  </w:r>
                  <w:r>
                    <w:rPr>
                      <w:rFonts w:hint="default"/>
                      <w:color w:val="auto"/>
                    </w:rPr>
                    <w:t>″</w:t>
                  </w:r>
                </w:p>
              </w:tc>
            </w:tr>
            <w:tr w14:paraId="4E6AE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D19C1E6">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A27</w:t>
                  </w:r>
                </w:p>
              </w:tc>
              <w:tc>
                <w:tcPr>
                  <w:tcW w:w="1409" w:type="dxa"/>
                  <w:noWrap w:val="0"/>
                  <w:vAlign w:val="center"/>
                </w:tcPr>
                <w:p w14:paraId="339A2178">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2EFFADF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105°23′45.48</w:t>
                  </w:r>
                  <w:r>
                    <w:rPr>
                      <w:rFonts w:hint="eastAsia"/>
                      <w:color w:val="auto"/>
                      <w:lang w:val="en-US" w:eastAsia="zh-CN"/>
                    </w:rPr>
                    <w:t>3</w:t>
                  </w:r>
                  <w:r>
                    <w:rPr>
                      <w:rFonts w:hint="default"/>
                      <w:color w:val="auto"/>
                    </w:rPr>
                    <w:t>″</w:t>
                  </w:r>
                  <w:r>
                    <w:rPr>
                      <w:rFonts w:hint="eastAsia"/>
                      <w:color w:val="auto"/>
                      <w:lang w:eastAsia="zh-CN"/>
                    </w:rPr>
                    <w:t>北纬：</w:t>
                  </w:r>
                  <w:r>
                    <w:rPr>
                      <w:rFonts w:hint="default"/>
                      <w:color w:val="auto"/>
                    </w:rPr>
                    <w:t>37°33′49.24</w:t>
                  </w:r>
                  <w:r>
                    <w:rPr>
                      <w:rFonts w:hint="eastAsia"/>
                      <w:color w:val="auto"/>
                      <w:lang w:val="en-US" w:eastAsia="zh-CN"/>
                    </w:rPr>
                    <w:t>1</w:t>
                  </w:r>
                  <w:r>
                    <w:rPr>
                      <w:rFonts w:hint="default"/>
                      <w:color w:val="auto"/>
                    </w:rPr>
                    <w:t>″</w:t>
                  </w:r>
                </w:p>
              </w:tc>
            </w:tr>
            <w:tr w14:paraId="5BA327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59D3B3B0">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A28</w:t>
                  </w:r>
                </w:p>
              </w:tc>
              <w:tc>
                <w:tcPr>
                  <w:tcW w:w="1409" w:type="dxa"/>
                  <w:noWrap w:val="0"/>
                  <w:vAlign w:val="center"/>
                </w:tcPr>
                <w:p w14:paraId="6FC49E1F">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605CB82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105°25′55.43</w:t>
                  </w:r>
                  <w:r>
                    <w:rPr>
                      <w:rFonts w:hint="eastAsia"/>
                      <w:color w:val="auto"/>
                      <w:lang w:val="en-US" w:eastAsia="zh-CN"/>
                    </w:rPr>
                    <w:t>3</w:t>
                  </w:r>
                  <w:r>
                    <w:rPr>
                      <w:rFonts w:hint="default"/>
                      <w:color w:val="auto"/>
                    </w:rPr>
                    <w:t>″</w:t>
                  </w:r>
                  <w:r>
                    <w:rPr>
                      <w:rFonts w:hint="eastAsia"/>
                      <w:color w:val="auto"/>
                      <w:lang w:eastAsia="zh-CN"/>
                    </w:rPr>
                    <w:t>北纬：</w:t>
                  </w:r>
                  <w:r>
                    <w:rPr>
                      <w:rFonts w:hint="default"/>
                      <w:color w:val="auto"/>
                    </w:rPr>
                    <w:t>37°32′1.36</w:t>
                  </w:r>
                  <w:r>
                    <w:rPr>
                      <w:rFonts w:hint="eastAsia"/>
                      <w:color w:val="auto"/>
                      <w:lang w:val="en-US" w:eastAsia="zh-CN"/>
                    </w:rPr>
                    <w:t>5</w:t>
                  </w:r>
                  <w:r>
                    <w:rPr>
                      <w:rFonts w:hint="default"/>
                      <w:color w:val="auto"/>
                    </w:rPr>
                    <w:t>″</w:t>
                  </w:r>
                </w:p>
              </w:tc>
            </w:tr>
            <w:tr w14:paraId="79BBF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7E7D294D">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A29</w:t>
                  </w:r>
                </w:p>
              </w:tc>
              <w:tc>
                <w:tcPr>
                  <w:tcW w:w="1409" w:type="dxa"/>
                  <w:noWrap w:val="0"/>
                  <w:vAlign w:val="center"/>
                </w:tcPr>
                <w:p w14:paraId="6ED0943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2A79157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105°26′9.18</w:t>
                  </w:r>
                  <w:r>
                    <w:rPr>
                      <w:rFonts w:hint="eastAsia"/>
                      <w:color w:val="auto"/>
                      <w:lang w:val="en-US" w:eastAsia="zh-CN"/>
                    </w:rPr>
                    <w:t>3</w:t>
                  </w:r>
                  <w:r>
                    <w:rPr>
                      <w:rFonts w:hint="default"/>
                      <w:color w:val="auto"/>
                    </w:rPr>
                    <w:t>″</w:t>
                  </w:r>
                  <w:r>
                    <w:rPr>
                      <w:rFonts w:hint="eastAsia"/>
                      <w:color w:val="auto"/>
                      <w:lang w:eastAsia="zh-CN"/>
                    </w:rPr>
                    <w:t>北纬：</w:t>
                  </w:r>
                  <w:r>
                    <w:rPr>
                      <w:rFonts w:hint="default"/>
                      <w:color w:val="auto"/>
                    </w:rPr>
                    <w:t>37°31′48.07</w:t>
                  </w:r>
                  <w:r>
                    <w:rPr>
                      <w:rFonts w:hint="eastAsia"/>
                      <w:color w:val="auto"/>
                      <w:lang w:val="en-US" w:eastAsia="zh-CN"/>
                    </w:rPr>
                    <w:t>8</w:t>
                  </w:r>
                  <w:r>
                    <w:rPr>
                      <w:rFonts w:hint="default"/>
                      <w:color w:val="auto"/>
                    </w:rPr>
                    <w:t>″</w:t>
                  </w:r>
                </w:p>
              </w:tc>
            </w:tr>
            <w:tr w14:paraId="5F625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3142A1E2">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A30</w:t>
                  </w:r>
                </w:p>
              </w:tc>
              <w:tc>
                <w:tcPr>
                  <w:tcW w:w="1409" w:type="dxa"/>
                  <w:noWrap w:val="0"/>
                  <w:vAlign w:val="center"/>
                </w:tcPr>
                <w:p w14:paraId="78D83015">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172D9F8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105°26′20.441″</w:t>
                  </w:r>
                  <w:r>
                    <w:rPr>
                      <w:rFonts w:hint="eastAsia"/>
                      <w:color w:val="auto"/>
                      <w:lang w:eastAsia="zh-CN"/>
                    </w:rPr>
                    <w:t>北纬：</w:t>
                  </w:r>
                  <w:r>
                    <w:rPr>
                      <w:rFonts w:hint="default"/>
                      <w:color w:val="auto"/>
                    </w:rPr>
                    <w:t>37°32′18.989″</w:t>
                  </w:r>
                </w:p>
              </w:tc>
            </w:tr>
            <w:tr w14:paraId="16D05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12F7E9E3">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A31</w:t>
                  </w:r>
                </w:p>
              </w:tc>
              <w:tc>
                <w:tcPr>
                  <w:tcW w:w="1409" w:type="dxa"/>
                  <w:noWrap w:val="0"/>
                  <w:vAlign w:val="center"/>
                </w:tcPr>
                <w:p w14:paraId="78150451">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2F1CC9F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105°26′59.72</w:t>
                  </w:r>
                  <w:r>
                    <w:rPr>
                      <w:rFonts w:hint="eastAsia"/>
                      <w:color w:val="auto"/>
                      <w:lang w:val="en-US" w:eastAsia="zh-CN"/>
                    </w:rPr>
                    <w:t>2</w:t>
                  </w:r>
                  <w:r>
                    <w:rPr>
                      <w:rFonts w:hint="default"/>
                      <w:color w:val="auto"/>
                    </w:rPr>
                    <w:t>″</w:t>
                  </w:r>
                  <w:r>
                    <w:rPr>
                      <w:rFonts w:hint="eastAsia"/>
                      <w:color w:val="auto"/>
                      <w:lang w:eastAsia="zh-CN"/>
                    </w:rPr>
                    <w:t>北纬：</w:t>
                  </w:r>
                  <w:r>
                    <w:rPr>
                      <w:rFonts w:hint="default"/>
                      <w:color w:val="auto"/>
                    </w:rPr>
                    <w:t>37°31′36.755″</w:t>
                  </w:r>
                </w:p>
              </w:tc>
            </w:tr>
            <w:tr w14:paraId="0BDBD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1EB7224">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A32</w:t>
                  </w:r>
                </w:p>
              </w:tc>
              <w:tc>
                <w:tcPr>
                  <w:tcW w:w="1409" w:type="dxa"/>
                  <w:noWrap w:val="0"/>
                  <w:vAlign w:val="center"/>
                </w:tcPr>
                <w:p w14:paraId="29CF8422">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71D323C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105°26′46.589″</w:t>
                  </w:r>
                  <w:r>
                    <w:rPr>
                      <w:rFonts w:hint="eastAsia"/>
                      <w:color w:val="auto"/>
                      <w:lang w:eastAsia="zh-CN"/>
                    </w:rPr>
                    <w:t>北纬：</w:t>
                  </w:r>
                  <w:r>
                    <w:rPr>
                      <w:rFonts w:hint="default"/>
                      <w:color w:val="auto"/>
                    </w:rPr>
                    <w:t>37°31′21.441″</w:t>
                  </w:r>
                </w:p>
              </w:tc>
            </w:tr>
            <w:tr w14:paraId="0EDCF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3F32BE7C">
                  <w:pPr>
                    <w:pStyle w:val="33"/>
                    <w:keepNext w:val="0"/>
                    <w:keepLines w:val="0"/>
                    <w:suppressLineNumbers w:val="0"/>
                    <w:bidi w:val="0"/>
                    <w:spacing w:beforeAutospacing="0" w:afterAutospacing="0"/>
                    <w:ind w:left="0" w:right="0"/>
                    <w:rPr>
                      <w:rFonts w:hint="default"/>
                      <w:color w:val="auto"/>
                      <w:lang w:val="en-US"/>
                    </w:rPr>
                  </w:pPr>
                  <w:r>
                    <w:rPr>
                      <w:rFonts w:hint="default"/>
                      <w:color w:val="auto"/>
                      <w:lang w:val="en-US" w:eastAsia="zh-CN"/>
                    </w:rPr>
                    <w:t>A33</w:t>
                  </w:r>
                </w:p>
              </w:tc>
              <w:tc>
                <w:tcPr>
                  <w:tcW w:w="1409" w:type="dxa"/>
                  <w:noWrap w:val="0"/>
                  <w:vAlign w:val="center"/>
                </w:tcPr>
                <w:p w14:paraId="5958E29C">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29E5651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105°26′24.226″</w:t>
                  </w:r>
                  <w:r>
                    <w:rPr>
                      <w:rFonts w:hint="eastAsia"/>
                      <w:color w:val="auto"/>
                      <w:lang w:eastAsia="zh-CN"/>
                    </w:rPr>
                    <w:t>北纬：</w:t>
                  </w:r>
                  <w:r>
                    <w:rPr>
                      <w:rFonts w:hint="default"/>
                      <w:color w:val="auto"/>
                    </w:rPr>
                    <w:t>37°41′7.32</w:t>
                  </w:r>
                  <w:r>
                    <w:rPr>
                      <w:rFonts w:hint="eastAsia"/>
                      <w:color w:val="auto"/>
                      <w:lang w:val="en-US" w:eastAsia="zh-CN"/>
                    </w:rPr>
                    <w:t>6</w:t>
                  </w:r>
                  <w:r>
                    <w:rPr>
                      <w:rFonts w:hint="default"/>
                      <w:color w:val="auto"/>
                    </w:rPr>
                    <w:t>″</w:t>
                  </w:r>
                </w:p>
              </w:tc>
            </w:tr>
            <w:tr w14:paraId="039AC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635B4883">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A34</w:t>
                  </w:r>
                </w:p>
              </w:tc>
              <w:tc>
                <w:tcPr>
                  <w:tcW w:w="1409" w:type="dxa"/>
                  <w:noWrap w:val="0"/>
                  <w:vAlign w:val="center"/>
                </w:tcPr>
                <w:p w14:paraId="3A4968F0">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镇罗镇</w:t>
                  </w:r>
                </w:p>
              </w:tc>
              <w:tc>
                <w:tcPr>
                  <w:tcW w:w="5233" w:type="dxa"/>
                  <w:noWrap w:val="0"/>
                  <w:vAlign w:val="center"/>
                </w:tcPr>
                <w:p w14:paraId="522F9C7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105°27′42.20</w:t>
                  </w:r>
                  <w:r>
                    <w:rPr>
                      <w:rFonts w:hint="eastAsia"/>
                      <w:color w:val="auto"/>
                      <w:lang w:val="en-US" w:eastAsia="zh-CN"/>
                    </w:rPr>
                    <w:t>8</w:t>
                  </w:r>
                  <w:r>
                    <w:rPr>
                      <w:rFonts w:hint="default"/>
                      <w:color w:val="auto"/>
                    </w:rPr>
                    <w:t>″</w:t>
                  </w:r>
                  <w:r>
                    <w:rPr>
                      <w:rFonts w:hint="eastAsia"/>
                      <w:color w:val="auto"/>
                      <w:lang w:eastAsia="zh-CN"/>
                    </w:rPr>
                    <w:t>北纬：</w:t>
                  </w:r>
                  <w:r>
                    <w:rPr>
                      <w:rFonts w:hint="default"/>
                      <w:color w:val="auto"/>
                    </w:rPr>
                    <w:t>37°35′37.420″</w:t>
                  </w:r>
                </w:p>
              </w:tc>
            </w:tr>
            <w:tr w14:paraId="1A155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7" w:type="dxa"/>
                  <w:noWrap w:val="0"/>
                  <w:vAlign w:val="center"/>
                </w:tcPr>
                <w:p w14:paraId="4586BE5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A35</w:t>
                  </w:r>
                </w:p>
              </w:tc>
              <w:tc>
                <w:tcPr>
                  <w:tcW w:w="1409" w:type="dxa"/>
                  <w:noWrap w:val="0"/>
                  <w:vAlign w:val="center"/>
                </w:tcPr>
                <w:p w14:paraId="74FB697E">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东园镇</w:t>
                  </w:r>
                </w:p>
              </w:tc>
              <w:tc>
                <w:tcPr>
                  <w:tcW w:w="5233" w:type="dxa"/>
                  <w:noWrap w:val="0"/>
                  <w:vAlign w:val="center"/>
                </w:tcPr>
                <w:p w14:paraId="79CDB64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东经：</w:t>
                  </w:r>
                  <w:r>
                    <w:rPr>
                      <w:rFonts w:hint="default"/>
                      <w:color w:val="auto"/>
                    </w:rPr>
                    <w:t>105°17′58.679″</w:t>
                  </w:r>
                  <w:r>
                    <w:rPr>
                      <w:rFonts w:hint="eastAsia"/>
                      <w:color w:val="auto"/>
                      <w:lang w:eastAsia="zh-CN"/>
                    </w:rPr>
                    <w:t>北纬：</w:t>
                  </w:r>
                  <w:r>
                    <w:rPr>
                      <w:rFonts w:hint="default"/>
                      <w:color w:val="auto"/>
                    </w:rPr>
                    <w:t>37°35′20.521″</w:t>
                  </w:r>
                </w:p>
              </w:tc>
            </w:tr>
          </w:tbl>
          <w:p w14:paraId="5505F6D1">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p>
        </w:tc>
      </w:tr>
      <w:tr w14:paraId="68FFF1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jc w:val="center"/>
        </w:trPr>
        <w:tc>
          <w:tcPr>
            <w:tcW w:w="1133" w:type="dxa"/>
            <w:noWrap w:val="0"/>
            <w:tcMar>
              <w:top w:w="16" w:type="dxa"/>
              <w:left w:w="16" w:type="dxa"/>
              <w:right w:w="16" w:type="dxa"/>
            </w:tcMar>
            <w:vAlign w:val="center"/>
          </w:tcPr>
          <w:p w14:paraId="48D3E3B6">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建设项目</w:t>
            </w:r>
          </w:p>
          <w:p w14:paraId="4E5E2A53">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行业类别</w:t>
            </w:r>
          </w:p>
        </w:tc>
        <w:tc>
          <w:tcPr>
            <w:tcW w:w="3136" w:type="dxa"/>
            <w:noWrap w:val="0"/>
            <w:vAlign w:val="center"/>
          </w:tcPr>
          <w:p w14:paraId="67538750">
            <w:pPr>
              <w:pStyle w:val="16"/>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szCs w:val="24"/>
              </w:rPr>
            </w:pPr>
            <w:r>
              <w:rPr>
                <w:rFonts w:hint="default" w:cs="Times New Roman"/>
                <w:color w:val="auto"/>
                <w:sz w:val="24"/>
                <w:szCs w:val="24"/>
              </w:rPr>
              <w:t>八、非金属矿采选业12石棉及其他非金属矿采选109矿区修复治理工程</w:t>
            </w:r>
          </w:p>
        </w:tc>
        <w:tc>
          <w:tcPr>
            <w:tcW w:w="2238" w:type="dxa"/>
            <w:noWrap w:val="0"/>
            <w:vAlign w:val="center"/>
          </w:tcPr>
          <w:p w14:paraId="4CDC00C9">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highlight w:val="none"/>
              </w:rPr>
            </w:pPr>
            <w:r>
              <w:rPr>
                <w:rFonts w:hint="default" w:cs="Times New Roman"/>
                <w:b/>
                <w:bCs/>
                <w:color w:val="auto"/>
                <w:sz w:val="24"/>
                <w:highlight w:val="none"/>
              </w:rPr>
              <w:t>用地（用海）面积（m</w:t>
            </w:r>
            <w:r>
              <w:rPr>
                <w:rFonts w:hint="default" w:cs="Times New Roman"/>
                <w:b/>
                <w:bCs/>
                <w:color w:val="auto"/>
                <w:sz w:val="24"/>
                <w:highlight w:val="none"/>
                <w:vertAlign w:val="superscript"/>
              </w:rPr>
              <w:t>2</w:t>
            </w:r>
            <w:r>
              <w:rPr>
                <w:rFonts w:hint="default" w:cs="Times New Roman"/>
                <w:b/>
                <w:bCs/>
                <w:color w:val="auto"/>
                <w:sz w:val="24"/>
                <w:highlight w:val="none"/>
              </w:rPr>
              <w:t>）/长度（km</w:t>
            </w:r>
            <w:r>
              <w:rPr>
                <w:rFonts w:hint="default" w:cs="Times New Roman"/>
                <w:color w:val="auto"/>
                <w:sz w:val="24"/>
                <w:highlight w:val="none"/>
              </w:rPr>
              <w:t>）</w:t>
            </w:r>
          </w:p>
        </w:tc>
        <w:tc>
          <w:tcPr>
            <w:tcW w:w="2795" w:type="dxa"/>
            <w:noWrap w:val="0"/>
            <w:vAlign w:val="center"/>
          </w:tcPr>
          <w:p w14:paraId="5338FFA4">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eastAsia" w:eastAsia="宋体" w:cs="Times New Roman"/>
                <w:color w:val="auto"/>
                <w:sz w:val="24"/>
                <w:highlight w:val="none"/>
                <w:lang w:eastAsia="zh-CN"/>
              </w:rPr>
            </w:pPr>
            <w:r>
              <w:rPr>
                <w:rFonts w:hint="eastAsia" w:ascii="Times New Roman" w:hAnsi="Times New Roman" w:cs="Times New Roman"/>
                <w:color w:val="auto"/>
                <w:sz w:val="24"/>
                <w:szCs w:val="24"/>
                <w:highlight w:val="none"/>
                <w:lang w:val="en-US" w:eastAsia="zh-CN"/>
              </w:rPr>
              <w:t>33859</w:t>
            </w:r>
            <w:r>
              <w:rPr>
                <w:rFonts w:hint="eastAsia" w:cs="Times New Roman"/>
                <w:color w:val="auto"/>
                <w:sz w:val="24"/>
                <w:szCs w:val="24"/>
                <w:highlight w:val="none"/>
                <w:lang w:val="en-US" w:eastAsia="zh-CN"/>
              </w:rPr>
              <w:t>00</w:t>
            </w:r>
            <w:r>
              <w:rPr>
                <w:rFonts w:hint="default" w:ascii="Times New Roman" w:hAnsi="Times New Roman" w:cs="Times New Roman"/>
                <w:b w:val="0"/>
                <w:bCs w:val="0"/>
                <w:color w:val="auto"/>
                <w:sz w:val="24"/>
                <w:szCs w:val="24"/>
                <w:highlight w:val="none"/>
              </w:rPr>
              <w:t>m</w:t>
            </w:r>
            <w:r>
              <w:rPr>
                <w:rFonts w:hint="default" w:ascii="Times New Roman" w:hAnsi="Times New Roman" w:cs="Times New Roman"/>
                <w:b w:val="0"/>
                <w:bCs w:val="0"/>
                <w:color w:val="auto"/>
                <w:sz w:val="24"/>
                <w:szCs w:val="24"/>
                <w:highlight w:val="none"/>
                <w:vertAlign w:val="superscript"/>
              </w:rPr>
              <w:t>2</w:t>
            </w:r>
            <w:r>
              <w:rPr>
                <w:rFonts w:hint="eastAsia" w:cs="Times New Roman"/>
                <w:color w:val="auto"/>
                <w:lang w:eastAsia="zh-CN"/>
              </w:rPr>
              <w:t>（</w:t>
            </w:r>
            <w:r>
              <w:rPr>
                <w:rFonts w:hint="eastAsia" w:cs="Times New Roman"/>
                <w:color w:val="auto"/>
                <w:lang w:val="en-US" w:eastAsia="zh-CN"/>
              </w:rPr>
              <w:t>永久占地</w:t>
            </w:r>
            <w:r>
              <w:rPr>
                <w:rFonts w:hint="eastAsia" w:cs="Times New Roman"/>
                <w:color w:val="auto"/>
                <w:lang w:eastAsia="zh-CN"/>
              </w:rPr>
              <w:t>）</w:t>
            </w:r>
          </w:p>
        </w:tc>
      </w:tr>
      <w:tr w14:paraId="3EDE4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133" w:type="dxa"/>
            <w:noWrap w:val="0"/>
            <w:tcMar>
              <w:top w:w="16" w:type="dxa"/>
              <w:left w:w="16" w:type="dxa"/>
              <w:right w:w="16" w:type="dxa"/>
            </w:tcMar>
            <w:vAlign w:val="center"/>
          </w:tcPr>
          <w:p w14:paraId="6593D1EE">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建设性质</w:t>
            </w:r>
          </w:p>
        </w:tc>
        <w:tc>
          <w:tcPr>
            <w:tcW w:w="3136" w:type="dxa"/>
            <w:noWrap w:val="0"/>
            <w:vAlign w:val="center"/>
          </w:tcPr>
          <w:p w14:paraId="649CE99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default" w:cs="Times New Roman"/>
                <w:color w:val="auto"/>
                <w:sz w:val="24"/>
              </w:rPr>
              <w:sym w:font="Wingdings 2" w:char="0052"/>
            </w:r>
            <w:r>
              <w:rPr>
                <w:rFonts w:hint="default" w:cs="Times New Roman"/>
                <w:color w:val="auto"/>
                <w:sz w:val="24"/>
              </w:rPr>
              <w:t>新建（迁建）</w:t>
            </w:r>
          </w:p>
          <w:p w14:paraId="3167E115">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改建</w:t>
            </w:r>
          </w:p>
          <w:p w14:paraId="5F8B609D">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扩建</w:t>
            </w:r>
          </w:p>
          <w:p w14:paraId="71C7A75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技术改造</w:t>
            </w:r>
          </w:p>
        </w:tc>
        <w:tc>
          <w:tcPr>
            <w:tcW w:w="2238" w:type="dxa"/>
            <w:noWrap w:val="0"/>
            <w:vAlign w:val="center"/>
          </w:tcPr>
          <w:p w14:paraId="64D22C73">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建设项目</w:t>
            </w:r>
          </w:p>
          <w:p w14:paraId="00B605DB">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default" w:cs="Times New Roman"/>
                <w:b/>
                <w:bCs/>
                <w:color w:val="auto"/>
                <w:sz w:val="24"/>
              </w:rPr>
              <w:t>申报情形</w:t>
            </w:r>
          </w:p>
        </w:tc>
        <w:tc>
          <w:tcPr>
            <w:tcW w:w="2795" w:type="dxa"/>
            <w:noWrap w:val="0"/>
            <w:vAlign w:val="center"/>
          </w:tcPr>
          <w:p w14:paraId="2D79FABE">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default" w:cs="Times New Roman"/>
                <w:color w:val="auto"/>
                <w:sz w:val="24"/>
              </w:rPr>
              <w:sym w:font="Wingdings 2" w:char="0052"/>
            </w:r>
            <w:r>
              <w:rPr>
                <w:rFonts w:hint="default" w:cs="Times New Roman"/>
                <w:color w:val="auto"/>
                <w:sz w:val="24"/>
              </w:rPr>
              <w:t>首次申报项目</w:t>
            </w:r>
          </w:p>
          <w:p w14:paraId="0ADDB8A3">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不予批准后再次申报项目</w:t>
            </w:r>
          </w:p>
          <w:p w14:paraId="35E45E7C">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超五年重新审核项目</w:t>
            </w:r>
          </w:p>
          <w:p w14:paraId="2B607BDE">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lang w:eastAsia="zh-CN"/>
              </w:rPr>
              <w:t>□</w:t>
            </w:r>
            <w:r>
              <w:rPr>
                <w:rFonts w:hint="default" w:cs="Times New Roman"/>
                <w:color w:val="auto"/>
                <w:sz w:val="24"/>
              </w:rPr>
              <w:t>重大变动重新报批项目</w:t>
            </w:r>
          </w:p>
        </w:tc>
      </w:tr>
      <w:tr w14:paraId="641B0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1133" w:type="dxa"/>
            <w:noWrap w:val="0"/>
            <w:tcMar>
              <w:top w:w="16" w:type="dxa"/>
              <w:left w:w="16" w:type="dxa"/>
              <w:right w:w="16" w:type="dxa"/>
            </w:tcMar>
            <w:vAlign w:val="center"/>
          </w:tcPr>
          <w:p w14:paraId="0F9AFEC3">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项目审批（核准/</w:t>
            </w:r>
          </w:p>
          <w:p w14:paraId="11D62CD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备案）部门（选填）</w:t>
            </w:r>
          </w:p>
        </w:tc>
        <w:tc>
          <w:tcPr>
            <w:tcW w:w="3136" w:type="dxa"/>
            <w:noWrap w:val="0"/>
            <w:vAlign w:val="center"/>
          </w:tcPr>
          <w:p w14:paraId="78FF8702">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rPr>
            </w:pPr>
            <w:r>
              <w:rPr>
                <w:rFonts w:hint="eastAsia" w:cs="Times New Roman"/>
                <w:color w:val="auto"/>
                <w:sz w:val="24"/>
              </w:rPr>
              <w:t>中卫市沙坡头区发展和改革局</w:t>
            </w:r>
          </w:p>
        </w:tc>
        <w:tc>
          <w:tcPr>
            <w:tcW w:w="2238" w:type="dxa"/>
            <w:noWrap w:val="0"/>
            <w:vAlign w:val="center"/>
          </w:tcPr>
          <w:p w14:paraId="379EF19A">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项目审批（核准/</w:t>
            </w:r>
          </w:p>
          <w:p w14:paraId="1ED46513">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备案）文号（选填）</w:t>
            </w:r>
          </w:p>
        </w:tc>
        <w:tc>
          <w:tcPr>
            <w:tcW w:w="2795" w:type="dxa"/>
            <w:noWrap w:val="0"/>
            <w:vAlign w:val="center"/>
          </w:tcPr>
          <w:p w14:paraId="3FC130E0">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eastAsia" w:cs="Times New Roman"/>
                <w:color w:val="auto"/>
                <w:sz w:val="24"/>
              </w:rPr>
              <w:t>卫沙发改(审批)发〔2025〕4号</w:t>
            </w:r>
          </w:p>
        </w:tc>
      </w:tr>
      <w:tr w14:paraId="4F24F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1133" w:type="dxa"/>
            <w:noWrap w:val="0"/>
            <w:tcMar>
              <w:top w:w="16" w:type="dxa"/>
              <w:left w:w="16" w:type="dxa"/>
              <w:right w:w="16" w:type="dxa"/>
            </w:tcMar>
            <w:vAlign w:val="center"/>
          </w:tcPr>
          <w:p w14:paraId="27CDAAE8">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总投资（万元）</w:t>
            </w:r>
          </w:p>
        </w:tc>
        <w:tc>
          <w:tcPr>
            <w:tcW w:w="3136" w:type="dxa"/>
            <w:noWrap w:val="0"/>
            <w:vAlign w:val="center"/>
          </w:tcPr>
          <w:p w14:paraId="78078D0B">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highlight w:val="none"/>
              </w:rPr>
            </w:pPr>
            <w:r>
              <w:rPr>
                <w:rFonts w:hint="eastAsia" w:cs="Times New Roman"/>
                <w:color w:val="auto"/>
                <w:sz w:val="24"/>
                <w:highlight w:val="none"/>
                <w:lang w:val="en-US" w:eastAsia="zh-CN"/>
              </w:rPr>
              <w:t>4779.13</w:t>
            </w:r>
            <w:r>
              <w:rPr>
                <w:rFonts w:hint="eastAsia" w:ascii="Times New Roman" w:hAnsi="Times New Roman" w:cs="Times New Roman"/>
                <w:color w:val="auto"/>
                <w:sz w:val="24"/>
                <w:szCs w:val="24"/>
                <w:highlight w:val="none"/>
                <w:lang w:val="en-US" w:eastAsia="zh-CN"/>
              </w:rPr>
              <w:t>万元</w:t>
            </w:r>
          </w:p>
        </w:tc>
        <w:tc>
          <w:tcPr>
            <w:tcW w:w="2238" w:type="dxa"/>
            <w:noWrap w:val="0"/>
            <w:tcMar>
              <w:top w:w="16" w:type="dxa"/>
              <w:left w:w="16" w:type="dxa"/>
              <w:right w:w="16" w:type="dxa"/>
            </w:tcMar>
            <w:vAlign w:val="center"/>
          </w:tcPr>
          <w:p w14:paraId="5F97B099">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highlight w:val="none"/>
              </w:rPr>
            </w:pPr>
            <w:r>
              <w:rPr>
                <w:rFonts w:hint="default" w:cs="Times New Roman"/>
                <w:b/>
                <w:bCs/>
                <w:color w:val="auto"/>
                <w:sz w:val="24"/>
                <w:highlight w:val="none"/>
              </w:rPr>
              <w:t>环保投资（万元）</w:t>
            </w:r>
          </w:p>
        </w:tc>
        <w:tc>
          <w:tcPr>
            <w:tcW w:w="2795" w:type="dxa"/>
            <w:noWrap w:val="0"/>
            <w:vAlign w:val="center"/>
          </w:tcPr>
          <w:p w14:paraId="2464D7B8">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highlight w:val="none"/>
              </w:rPr>
            </w:pPr>
            <w:r>
              <w:rPr>
                <w:rFonts w:hint="eastAsia" w:cs="Times New Roman"/>
                <w:color w:val="auto"/>
                <w:sz w:val="24"/>
                <w:highlight w:val="none"/>
                <w:lang w:val="en-US" w:eastAsia="zh-CN"/>
              </w:rPr>
              <w:t>4779.13</w:t>
            </w:r>
            <w:r>
              <w:rPr>
                <w:rFonts w:hint="eastAsia" w:ascii="Times New Roman" w:hAnsi="Times New Roman" w:cs="Times New Roman"/>
                <w:color w:val="auto"/>
                <w:sz w:val="24"/>
                <w:szCs w:val="24"/>
                <w:highlight w:val="none"/>
                <w:lang w:val="en-US" w:eastAsia="zh-CN"/>
              </w:rPr>
              <w:t>万元</w:t>
            </w:r>
          </w:p>
        </w:tc>
      </w:tr>
      <w:tr w14:paraId="5444C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133" w:type="dxa"/>
            <w:noWrap w:val="0"/>
            <w:tcMar>
              <w:top w:w="16" w:type="dxa"/>
              <w:left w:w="16" w:type="dxa"/>
              <w:right w:w="16" w:type="dxa"/>
            </w:tcMar>
            <w:vAlign w:val="center"/>
          </w:tcPr>
          <w:p w14:paraId="5789CA3D">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环保投资占比（%）</w:t>
            </w:r>
          </w:p>
        </w:tc>
        <w:tc>
          <w:tcPr>
            <w:tcW w:w="3136" w:type="dxa"/>
            <w:noWrap w:val="0"/>
            <w:vAlign w:val="center"/>
          </w:tcPr>
          <w:p w14:paraId="42E497EE">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highlight w:val="none"/>
              </w:rPr>
            </w:pPr>
            <w:r>
              <w:rPr>
                <w:rFonts w:hint="default" w:cs="Times New Roman"/>
                <w:color w:val="auto"/>
                <w:sz w:val="24"/>
                <w:highlight w:val="none"/>
              </w:rPr>
              <w:t>100%</w:t>
            </w:r>
          </w:p>
        </w:tc>
        <w:tc>
          <w:tcPr>
            <w:tcW w:w="2238" w:type="dxa"/>
            <w:noWrap w:val="0"/>
            <w:tcMar>
              <w:top w:w="16" w:type="dxa"/>
              <w:left w:w="16" w:type="dxa"/>
              <w:right w:w="16" w:type="dxa"/>
            </w:tcMar>
            <w:vAlign w:val="center"/>
          </w:tcPr>
          <w:p w14:paraId="50E61F2E">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highlight w:val="none"/>
              </w:rPr>
            </w:pPr>
            <w:r>
              <w:rPr>
                <w:rFonts w:hint="default" w:cs="Times New Roman"/>
                <w:b/>
                <w:bCs/>
                <w:color w:val="auto"/>
                <w:sz w:val="24"/>
                <w:highlight w:val="none"/>
              </w:rPr>
              <w:t>施工工期</w:t>
            </w:r>
          </w:p>
        </w:tc>
        <w:tc>
          <w:tcPr>
            <w:tcW w:w="2795" w:type="dxa"/>
            <w:noWrap w:val="0"/>
            <w:vAlign w:val="center"/>
          </w:tcPr>
          <w:p w14:paraId="404C685D">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color w:val="auto"/>
                <w:sz w:val="24"/>
                <w:highlight w:val="none"/>
              </w:rPr>
            </w:pPr>
            <w:r>
              <w:rPr>
                <w:rFonts w:hint="eastAsia" w:cs="Times New Roman"/>
                <w:color w:val="auto"/>
                <w:sz w:val="24"/>
                <w:highlight w:val="none"/>
                <w:lang w:val="en-US" w:eastAsia="zh-CN"/>
              </w:rPr>
              <w:t>8</w:t>
            </w:r>
            <w:r>
              <w:rPr>
                <w:rFonts w:hint="default" w:cs="Times New Roman"/>
                <w:color w:val="auto"/>
                <w:sz w:val="24"/>
                <w:highlight w:val="none"/>
              </w:rPr>
              <w:t>个月</w:t>
            </w:r>
          </w:p>
        </w:tc>
      </w:tr>
      <w:tr w14:paraId="348E3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57CD4A03">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default" w:cs="Times New Roman"/>
                <w:b/>
                <w:bCs/>
                <w:color w:val="auto"/>
                <w:sz w:val="24"/>
              </w:rPr>
            </w:pPr>
            <w:r>
              <w:rPr>
                <w:rFonts w:hint="default" w:cs="Times New Roman"/>
                <w:b/>
                <w:bCs/>
                <w:color w:val="auto"/>
                <w:sz w:val="24"/>
              </w:rPr>
              <w:t>是否开工建设</w:t>
            </w:r>
          </w:p>
        </w:tc>
        <w:tc>
          <w:tcPr>
            <w:tcW w:w="8169" w:type="dxa"/>
            <w:gridSpan w:val="3"/>
            <w:noWrap w:val="0"/>
            <w:vAlign w:val="center"/>
          </w:tcPr>
          <w:p w14:paraId="31006904">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w:char="00FE"/>
            </w:r>
            <w:r>
              <w:rPr>
                <w:rFonts w:hint="default" w:ascii="Times New Roman" w:hAnsi="Times New Roman" w:eastAsia="宋体" w:cs="Times New Roman"/>
                <w:color w:val="auto"/>
                <w:sz w:val="24"/>
              </w:rPr>
              <w:t>否</w:t>
            </w:r>
          </w:p>
          <w:p w14:paraId="1F81CAEC">
            <w:pPr>
              <w:keepNext w:val="0"/>
              <w:keepLines w:val="0"/>
              <w:pageBreakBefore w:val="0"/>
              <w:suppressLineNumbers w:val="0"/>
              <w:kinsoku/>
              <w:wordWrap/>
              <w:overflowPunct/>
              <w:topLinePunct w:val="0"/>
              <w:bidi w:val="0"/>
              <w:adjustRightInd/>
              <w:snapToGrid/>
              <w:spacing w:before="0" w:beforeAutospacing="0" w:after="0" w:afterAutospacing="0"/>
              <w:ind w:left="0" w:right="0" w:firstLine="0" w:firstLineChars="0"/>
              <w:jc w:val="center"/>
              <w:textAlignment w:val="auto"/>
              <w:rPr>
                <w:rFonts w:hint="eastAsia" w:eastAsia="宋体" w:cs="Times New Roman"/>
                <w:color w:val="auto"/>
                <w:sz w:val="24"/>
                <w:lang w:eastAsia="zh-CN"/>
              </w:rPr>
            </w:pPr>
            <w:r>
              <w:rPr>
                <w:rFonts w:hint="default" w:ascii="Times New Roman" w:hAnsi="Times New Roman" w:eastAsia="宋体" w:cs="Times New Roman"/>
                <w:color w:val="auto"/>
                <w:sz w:val="24"/>
              </w:rPr>
              <w:sym w:font="Wingdings" w:char="00A8"/>
            </w:r>
            <w:r>
              <w:rPr>
                <w:rFonts w:hint="default" w:ascii="Times New Roman" w:hAnsi="Times New Roman" w:eastAsia="宋体" w:cs="Times New Roman"/>
                <w:color w:val="auto"/>
                <w:sz w:val="24"/>
              </w:rPr>
              <w:t>是</w:t>
            </w:r>
            <w:r>
              <w:rPr>
                <w:rFonts w:hint="eastAsia" w:cs="Times New Roman"/>
                <w:color w:val="auto"/>
                <w:sz w:val="24"/>
                <w:lang w:eastAsia="zh-CN"/>
              </w:rPr>
              <w:t>：</w:t>
            </w:r>
          </w:p>
        </w:tc>
      </w:tr>
      <w:tr w14:paraId="0EA93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1133" w:type="dxa"/>
            <w:noWrap w:val="0"/>
            <w:tcMar>
              <w:top w:w="16" w:type="dxa"/>
              <w:left w:w="16" w:type="dxa"/>
              <w:right w:w="16" w:type="dxa"/>
            </w:tcMar>
            <w:vAlign w:val="center"/>
          </w:tcPr>
          <w:p w14:paraId="23368A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cs="Times New Roman"/>
                <w:b/>
                <w:bCs/>
                <w:color w:val="auto"/>
                <w:kern w:val="0"/>
                <w:sz w:val="24"/>
              </w:rPr>
            </w:pPr>
            <w:r>
              <w:rPr>
                <w:rFonts w:hint="default" w:cs="Times New Roman"/>
                <w:b/>
                <w:bCs/>
                <w:color w:val="auto"/>
                <w:kern w:val="0"/>
                <w:sz w:val="24"/>
              </w:rPr>
              <w:t>专项评价设置情况</w:t>
            </w:r>
          </w:p>
        </w:tc>
        <w:tc>
          <w:tcPr>
            <w:tcW w:w="8169" w:type="dxa"/>
            <w:gridSpan w:val="3"/>
            <w:noWrap w:val="0"/>
            <w:tcMar>
              <w:top w:w="16" w:type="dxa"/>
              <w:left w:w="16" w:type="dxa"/>
              <w:right w:w="16" w:type="dxa"/>
            </w:tcMar>
            <w:vAlign w:val="center"/>
          </w:tcPr>
          <w:p w14:paraId="7EEE2ED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cs="Times New Roman"/>
                <w:color w:val="auto"/>
                <w:kern w:val="0"/>
                <w:sz w:val="24"/>
              </w:rPr>
            </w:pPr>
            <w:r>
              <w:rPr>
                <w:rFonts w:hint="default" w:cs="Times New Roman"/>
                <w:color w:val="auto"/>
                <w:kern w:val="0"/>
                <w:sz w:val="24"/>
              </w:rPr>
              <w:t>无</w:t>
            </w:r>
          </w:p>
        </w:tc>
      </w:tr>
      <w:tr w14:paraId="73B58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09F9090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cs="Times New Roman"/>
                <w:b/>
                <w:bCs/>
                <w:color w:val="auto"/>
                <w:kern w:val="0"/>
                <w:sz w:val="24"/>
              </w:rPr>
            </w:pPr>
            <w:r>
              <w:rPr>
                <w:rFonts w:hint="default" w:cs="Times New Roman"/>
                <w:b/>
                <w:bCs/>
                <w:color w:val="auto"/>
                <w:sz w:val="24"/>
              </w:rPr>
              <w:t>规划情况</w:t>
            </w:r>
          </w:p>
        </w:tc>
        <w:tc>
          <w:tcPr>
            <w:tcW w:w="8169" w:type="dxa"/>
            <w:gridSpan w:val="3"/>
            <w:noWrap w:val="0"/>
            <w:tcMar>
              <w:top w:w="16" w:type="dxa"/>
              <w:left w:w="16" w:type="dxa"/>
              <w:right w:w="16" w:type="dxa"/>
            </w:tcMar>
            <w:vAlign w:val="center"/>
          </w:tcPr>
          <w:p w14:paraId="3A912B54">
            <w:pPr>
              <w:pStyle w:val="2"/>
              <w:keepLines w:val="0"/>
              <w:suppressLineNumbers w:val="0"/>
              <w:bidi w:val="0"/>
              <w:spacing w:before="0" w:beforeAutospacing="0" w:after="0" w:afterAutospacing="0"/>
              <w:ind w:left="0" w:right="0"/>
              <w:rPr>
                <w:rFonts w:hint="default"/>
                <w:color w:val="auto"/>
              </w:rPr>
            </w:pPr>
            <w:r>
              <w:rPr>
                <w:rFonts w:hint="default"/>
                <w:color w:val="auto"/>
              </w:rPr>
              <w:t>1</w:t>
            </w:r>
            <w:r>
              <w:rPr>
                <w:rFonts w:hint="eastAsia"/>
                <w:color w:val="auto"/>
                <w:lang w:val="en-US" w:eastAsia="zh-CN"/>
              </w:rPr>
              <w:t xml:space="preserve"> </w:t>
            </w:r>
            <w:r>
              <w:rPr>
                <w:rFonts w:hint="default"/>
                <w:color w:val="auto"/>
              </w:rPr>
              <w:t>规划名称：《中卫市矿产资源总体规划(2021-2025年)》</w:t>
            </w:r>
          </w:p>
          <w:p w14:paraId="1F91EA64">
            <w:pPr>
              <w:keepNext w:val="0"/>
              <w:keepLines w:val="0"/>
              <w:suppressLineNumbers w:val="0"/>
              <w:spacing w:before="0" w:beforeAutospacing="0" w:after="0" w:afterAutospacing="0"/>
              <w:ind w:left="0" w:right="0" w:firstLine="454" w:firstLineChars="200"/>
              <w:rPr>
                <w:rStyle w:val="32"/>
                <w:rFonts w:hint="default" w:cs="Times New Roman"/>
                <w:color w:val="auto"/>
                <w:kern w:val="0"/>
                <w:sz w:val="24"/>
              </w:rPr>
            </w:pPr>
            <w:r>
              <w:rPr>
                <w:rStyle w:val="32"/>
                <w:rFonts w:hint="default" w:cs="Times New Roman"/>
                <w:color w:val="auto"/>
                <w:kern w:val="0"/>
                <w:sz w:val="24"/>
              </w:rPr>
              <w:t>审批</w:t>
            </w:r>
            <w:r>
              <w:rPr>
                <w:rStyle w:val="32"/>
                <w:rFonts w:hint="eastAsia" w:cs="Times New Roman"/>
                <w:color w:val="auto"/>
                <w:kern w:val="0"/>
                <w:sz w:val="24"/>
              </w:rPr>
              <w:t>单位</w:t>
            </w:r>
            <w:r>
              <w:rPr>
                <w:rStyle w:val="32"/>
                <w:rFonts w:hint="default" w:cs="Times New Roman"/>
                <w:color w:val="auto"/>
                <w:kern w:val="0"/>
                <w:sz w:val="24"/>
              </w:rPr>
              <w:t>：中卫市人民政府办公室；</w:t>
            </w:r>
          </w:p>
          <w:p w14:paraId="3521CF5F">
            <w:pPr>
              <w:keepNext w:val="0"/>
              <w:keepLines w:val="0"/>
              <w:suppressLineNumbers w:val="0"/>
              <w:spacing w:before="0" w:beforeAutospacing="0" w:after="0" w:afterAutospacing="0"/>
              <w:ind w:left="0" w:right="0" w:firstLine="454" w:firstLineChars="200"/>
              <w:rPr>
                <w:rStyle w:val="32"/>
                <w:rFonts w:hint="eastAsia" w:eastAsia="宋体" w:cs="Times New Roman"/>
                <w:b/>
                <w:bCs/>
                <w:color w:val="auto"/>
                <w:kern w:val="0"/>
                <w:sz w:val="24"/>
                <w:lang w:eastAsia="zh-CN"/>
              </w:rPr>
            </w:pPr>
            <w:r>
              <w:rPr>
                <w:rStyle w:val="32"/>
                <w:rFonts w:hint="default" w:cs="Times New Roman"/>
                <w:color w:val="auto"/>
                <w:kern w:val="0"/>
                <w:sz w:val="24"/>
              </w:rPr>
              <w:t>批复文件名称及文号：关于印发</w:t>
            </w:r>
            <w:r>
              <w:rPr>
                <w:rStyle w:val="32"/>
                <w:rFonts w:hint="eastAsia" w:cs="Times New Roman"/>
                <w:color w:val="auto"/>
                <w:kern w:val="0"/>
                <w:sz w:val="24"/>
              </w:rPr>
              <w:t>《</w:t>
            </w:r>
            <w:r>
              <w:rPr>
                <w:rStyle w:val="32"/>
                <w:rFonts w:hint="default" w:cs="Times New Roman"/>
                <w:color w:val="auto"/>
                <w:kern w:val="0"/>
                <w:sz w:val="24"/>
              </w:rPr>
              <w:t>中卫市矿产资源总体规划（2021-2025年）</w:t>
            </w:r>
            <w:r>
              <w:rPr>
                <w:rStyle w:val="32"/>
                <w:rFonts w:hint="eastAsia" w:cs="Times New Roman"/>
                <w:color w:val="auto"/>
                <w:kern w:val="0"/>
                <w:sz w:val="24"/>
              </w:rPr>
              <w:t>》</w:t>
            </w:r>
            <w:r>
              <w:rPr>
                <w:rStyle w:val="32"/>
                <w:rFonts w:hint="default" w:cs="Times New Roman"/>
                <w:color w:val="auto"/>
                <w:kern w:val="0"/>
                <w:sz w:val="24"/>
              </w:rPr>
              <w:t>的通知</w:t>
            </w:r>
            <w:r>
              <w:rPr>
                <w:rStyle w:val="32"/>
                <w:rFonts w:hint="eastAsia" w:cs="Times New Roman"/>
                <w:color w:val="auto"/>
                <w:kern w:val="0"/>
                <w:sz w:val="24"/>
              </w:rPr>
              <w:t>，卫政办发〔2022〕66号</w:t>
            </w:r>
            <w:r>
              <w:rPr>
                <w:rStyle w:val="32"/>
                <w:rFonts w:hint="eastAsia" w:cs="Times New Roman"/>
                <w:color w:val="auto"/>
                <w:kern w:val="0"/>
                <w:sz w:val="24"/>
                <w:lang w:eastAsia="zh-CN"/>
              </w:rPr>
              <w:t>。</w:t>
            </w:r>
          </w:p>
          <w:p w14:paraId="0D5ED75C">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2 </w:t>
            </w:r>
            <w:r>
              <w:rPr>
                <w:rFonts w:hint="default"/>
                <w:color w:val="auto"/>
              </w:rPr>
              <w:t>规划名称：</w:t>
            </w:r>
            <w:r>
              <w:rPr>
                <w:rFonts w:hint="eastAsia"/>
                <w:color w:val="auto"/>
              </w:rPr>
              <w:t>《全国重要生态系统保护和修复重大工程总体规划（2021-2035年）》</w:t>
            </w:r>
          </w:p>
          <w:p w14:paraId="06BECA76">
            <w:pPr>
              <w:keepNext w:val="0"/>
              <w:keepLines w:val="0"/>
              <w:suppressLineNumbers w:val="0"/>
              <w:spacing w:before="0" w:beforeAutospacing="0" w:after="0" w:afterAutospacing="0"/>
              <w:ind w:left="0" w:right="0" w:firstLine="454" w:firstLineChars="200"/>
              <w:rPr>
                <w:rStyle w:val="32"/>
                <w:rFonts w:hint="default" w:cs="Times New Roman"/>
                <w:color w:val="auto"/>
                <w:kern w:val="0"/>
                <w:sz w:val="24"/>
              </w:rPr>
            </w:pPr>
            <w:r>
              <w:rPr>
                <w:rStyle w:val="32"/>
                <w:rFonts w:hint="default" w:cs="Times New Roman"/>
                <w:color w:val="auto"/>
                <w:kern w:val="0"/>
                <w:sz w:val="24"/>
              </w:rPr>
              <w:t>审批单位：发展改革委自然资源部；</w:t>
            </w:r>
          </w:p>
          <w:p w14:paraId="05EE6527">
            <w:pPr>
              <w:keepNext w:val="0"/>
              <w:keepLines w:val="0"/>
              <w:suppressLineNumbers w:val="0"/>
              <w:spacing w:before="0" w:beforeAutospacing="0" w:after="0" w:afterAutospacing="0"/>
              <w:ind w:left="0" w:right="0" w:firstLine="454" w:firstLineChars="200"/>
              <w:rPr>
                <w:rStyle w:val="32"/>
                <w:rFonts w:hint="default" w:cs="Times New Roman"/>
                <w:b/>
                <w:bCs/>
                <w:color w:val="auto"/>
                <w:kern w:val="0"/>
                <w:sz w:val="24"/>
              </w:rPr>
            </w:pPr>
            <w:r>
              <w:rPr>
                <w:rStyle w:val="32"/>
                <w:rFonts w:hint="default" w:cs="Times New Roman"/>
                <w:color w:val="auto"/>
                <w:kern w:val="0"/>
                <w:sz w:val="24"/>
              </w:rPr>
              <w:t>批复文件名称及文号：国家发展改革委自然资源部关于印发《全国重要生态系统保护和修复重大工程总体规划（2021-2035年）》的通知，发改农经〔2020〕837号。</w:t>
            </w:r>
          </w:p>
        </w:tc>
      </w:tr>
      <w:tr w14:paraId="139FA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jc w:val="center"/>
        </w:trPr>
        <w:tc>
          <w:tcPr>
            <w:tcW w:w="1133" w:type="dxa"/>
            <w:noWrap w:val="0"/>
            <w:tcMar>
              <w:top w:w="16" w:type="dxa"/>
              <w:left w:w="16" w:type="dxa"/>
              <w:right w:w="16" w:type="dxa"/>
            </w:tcMar>
            <w:vAlign w:val="center"/>
          </w:tcPr>
          <w:p w14:paraId="1A289E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cs="Times New Roman"/>
                <w:b/>
                <w:bCs/>
                <w:color w:val="auto"/>
                <w:kern w:val="0"/>
                <w:sz w:val="24"/>
              </w:rPr>
            </w:pPr>
            <w:r>
              <w:rPr>
                <w:rFonts w:hint="default" w:cs="Times New Roman"/>
                <w:b/>
                <w:bCs/>
                <w:color w:val="auto"/>
                <w:sz w:val="24"/>
              </w:rPr>
              <w:t>规划环境影响评价情况</w:t>
            </w:r>
          </w:p>
        </w:tc>
        <w:tc>
          <w:tcPr>
            <w:tcW w:w="8169" w:type="dxa"/>
            <w:gridSpan w:val="3"/>
            <w:noWrap w:val="0"/>
            <w:tcMar>
              <w:top w:w="16" w:type="dxa"/>
              <w:left w:w="16" w:type="dxa"/>
              <w:right w:w="16" w:type="dxa"/>
            </w:tcMar>
            <w:vAlign w:val="center"/>
          </w:tcPr>
          <w:p w14:paraId="02CF5E69">
            <w:pPr>
              <w:keepNext w:val="0"/>
              <w:keepLines w:val="0"/>
              <w:suppressLineNumbers w:val="0"/>
              <w:spacing w:before="0" w:beforeAutospacing="0" w:after="0" w:afterAutospacing="0"/>
              <w:ind w:left="0" w:leftChars="0" w:right="0" w:firstLine="0" w:firstLineChars="0"/>
              <w:jc w:val="center"/>
              <w:rPr>
                <w:rFonts w:hint="default" w:cs="Times New Roman"/>
                <w:color w:val="auto"/>
                <w:kern w:val="0"/>
                <w:sz w:val="24"/>
              </w:rPr>
            </w:pPr>
            <w:r>
              <w:rPr>
                <w:rFonts w:hint="default" w:cs="Times New Roman"/>
                <w:color w:val="auto"/>
                <w:kern w:val="0"/>
                <w:sz w:val="24"/>
              </w:rPr>
              <w:t>无</w:t>
            </w:r>
          </w:p>
        </w:tc>
      </w:tr>
      <w:tr w14:paraId="3DB3B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33" w:type="dxa"/>
            <w:noWrap w:val="0"/>
            <w:tcMar>
              <w:top w:w="16" w:type="dxa"/>
              <w:left w:w="16" w:type="dxa"/>
              <w:right w:w="16" w:type="dxa"/>
            </w:tcMar>
            <w:vAlign w:val="center"/>
          </w:tcPr>
          <w:p w14:paraId="0ED007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firstLine="0" w:firstLineChars="0"/>
              <w:jc w:val="center"/>
              <w:textAlignment w:val="auto"/>
              <w:rPr>
                <w:rFonts w:hint="default" w:cs="Times New Roman"/>
                <w:b/>
                <w:bCs/>
                <w:color w:val="auto"/>
                <w:kern w:val="0"/>
                <w:sz w:val="24"/>
              </w:rPr>
            </w:pPr>
            <w:r>
              <w:rPr>
                <w:rFonts w:hint="default" w:cs="Times New Roman"/>
                <w:b/>
                <w:bCs/>
                <w:color w:val="auto"/>
                <w:kern w:val="0"/>
                <w:sz w:val="24"/>
              </w:rPr>
              <w:t>规划及</w:t>
            </w:r>
            <w:r>
              <w:rPr>
                <w:rFonts w:hint="default" w:cs="Times New Roman"/>
                <w:b/>
                <w:bCs/>
                <w:color w:val="auto"/>
                <w:sz w:val="24"/>
              </w:rPr>
              <w:t>规划环境影响评价</w:t>
            </w:r>
            <w:r>
              <w:rPr>
                <w:rFonts w:hint="default" w:cs="Times New Roman"/>
                <w:b/>
                <w:bCs/>
                <w:color w:val="auto"/>
                <w:kern w:val="0"/>
                <w:sz w:val="24"/>
              </w:rPr>
              <w:t>符合性分析</w:t>
            </w:r>
          </w:p>
        </w:tc>
        <w:tc>
          <w:tcPr>
            <w:tcW w:w="8169" w:type="dxa"/>
            <w:gridSpan w:val="3"/>
            <w:noWrap w:val="0"/>
            <w:tcMar>
              <w:top w:w="16" w:type="dxa"/>
              <w:left w:w="16" w:type="dxa"/>
              <w:right w:w="16" w:type="dxa"/>
            </w:tcMar>
            <w:vAlign w:val="center"/>
          </w:tcPr>
          <w:p w14:paraId="1B40F580">
            <w:pPr>
              <w:pStyle w:val="2"/>
              <w:keepLines w:val="0"/>
              <w:suppressLineNumbers w:val="0"/>
              <w:bidi w:val="0"/>
              <w:spacing w:before="0" w:beforeAutospacing="0" w:after="0" w:afterAutospacing="0"/>
              <w:ind w:left="0" w:right="0"/>
              <w:rPr>
                <w:rFonts w:hint="default"/>
                <w:color w:val="auto"/>
              </w:rPr>
            </w:pPr>
            <w:r>
              <w:rPr>
                <w:rFonts w:hint="eastAsia"/>
                <w:color w:val="auto"/>
              </w:rPr>
              <w:t>1</w:t>
            </w:r>
            <w:r>
              <w:rPr>
                <w:rFonts w:hint="eastAsia"/>
                <w:color w:val="auto"/>
                <w:lang w:val="en-US" w:eastAsia="zh-CN"/>
              </w:rPr>
              <w:t xml:space="preserve"> </w:t>
            </w:r>
            <w:r>
              <w:rPr>
                <w:rFonts w:hint="default"/>
                <w:color w:val="auto"/>
              </w:rPr>
              <w:t>项目与《</w:t>
            </w:r>
            <w:bookmarkStart w:id="1" w:name="_Hlk136461871"/>
            <w:r>
              <w:rPr>
                <w:rFonts w:hint="eastAsia"/>
                <w:color w:val="auto"/>
              </w:rPr>
              <w:t>中卫市矿产资源总体规划</w:t>
            </w:r>
            <w:r>
              <w:rPr>
                <w:rFonts w:hint="default"/>
                <w:color w:val="auto"/>
              </w:rPr>
              <w:t>(2021-2025年)》</w:t>
            </w:r>
            <w:bookmarkEnd w:id="1"/>
            <w:r>
              <w:rPr>
                <w:rFonts w:hint="default"/>
                <w:color w:val="auto"/>
              </w:rPr>
              <w:t>的符合性分析</w:t>
            </w:r>
          </w:p>
          <w:p w14:paraId="777A60D5">
            <w:pPr>
              <w:keepNext w:val="0"/>
              <w:keepLines w:val="0"/>
              <w:suppressLineNumbers w:val="0"/>
              <w:autoSpaceDE w:val="0"/>
              <w:autoSpaceDN w:val="0"/>
              <w:spacing w:before="0" w:beforeAutospacing="0" w:after="0" w:afterAutospacing="0"/>
              <w:ind w:left="0" w:right="0" w:firstLine="454" w:firstLineChars="200"/>
              <w:rPr>
                <w:rFonts w:hint="default" w:cs="Times New Roman"/>
                <w:color w:val="auto"/>
                <w:sz w:val="24"/>
              </w:rPr>
            </w:pPr>
            <w:r>
              <w:rPr>
                <w:rFonts w:hint="default" w:cs="Times New Roman"/>
                <w:color w:val="auto"/>
                <w:sz w:val="24"/>
              </w:rPr>
              <w:t>《中卫市矿产资源总体规划（2021-2025年）》（以下简称《规划》）依据《中华人民共和国矿产资源法》，《中华人民共和国矿产资源法实施细则》，《宁夏回族自治区矿产资源总体规划（2021-2025年）》和《中卫市国民经济和社会发展第十四个五年规划和二〇三五年远景目标纲要》制定</w:t>
            </w:r>
            <w:r>
              <w:rPr>
                <w:rFonts w:hint="eastAsia" w:cs="Times New Roman"/>
                <w:color w:val="auto"/>
                <w:sz w:val="24"/>
              </w:rPr>
              <w:t>而成，是“十四五”时期中卫市行政区内矿产资源勘查、开发利用与保护的指导性文件。</w:t>
            </w:r>
          </w:p>
          <w:p w14:paraId="29D4E0CF">
            <w:pPr>
              <w:pStyle w:val="33"/>
              <w:keepNext w:val="0"/>
              <w:keepLines w:val="0"/>
              <w:suppressLineNumbers w:val="0"/>
              <w:adjustRightInd/>
              <w:snapToGrid/>
              <w:spacing w:before="46" w:beforeAutospacing="0" w:after="46" w:afterAutospacing="0" w:line="240" w:lineRule="auto"/>
              <w:ind w:left="0" w:right="0" w:firstLine="454" w:firstLineChars="200"/>
              <w:jc w:val="both"/>
              <w:rPr>
                <w:rFonts w:hint="eastAsia" w:ascii="Times New Roman" w:cs="Times New Roman"/>
                <w:color w:val="auto"/>
                <w:sz w:val="24"/>
              </w:rPr>
            </w:pPr>
            <w:r>
              <w:rPr>
                <w:rFonts w:hint="eastAsia" w:ascii="Times New Roman" w:cs="Times New Roman"/>
                <w:color w:val="auto"/>
                <w:sz w:val="24"/>
              </w:rPr>
              <w:t>规划要求：</w:t>
            </w:r>
            <w:r>
              <w:rPr>
                <w:rFonts w:hint="eastAsia" w:ascii="Times New Roman" w:cs="Times New Roman"/>
                <w:b/>
                <w:color w:val="auto"/>
                <w:sz w:val="24"/>
              </w:rPr>
              <w:t>“</w:t>
            </w:r>
            <w:r>
              <w:rPr>
                <w:rFonts w:hint="default" w:ascii="Times New Roman" w:cs="Times New Roman"/>
                <w:b/>
                <w:color w:val="auto"/>
                <w:sz w:val="24"/>
              </w:rPr>
              <w:t>六、全面推进矿业绿色发展</w:t>
            </w:r>
            <w:r>
              <w:rPr>
                <w:rFonts w:hint="eastAsia" w:ascii="Times New Roman" w:cs="Times New Roman"/>
                <w:b/>
                <w:color w:val="auto"/>
                <w:sz w:val="24"/>
              </w:rPr>
              <w:t>”</w:t>
            </w:r>
            <w:r>
              <w:rPr>
                <w:rFonts w:hint="eastAsia" w:ascii="Times New Roman" w:cs="Times New Roman"/>
                <w:color w:val="auto"/>
                <w:sz w:val="24"/>
              </w:rPr>
              <w:t>全面推进绿色勘查、绿色矿山建设、矿区生态保护修复，将绿色发展理念贯穿于矿产资源保护、勘查、开发利用全过程，体现源头管控、过程控制和末端治理。</w:t>
            </w:r>
          </w:p>
          <w:p w14:paraId="67755B04">
            <w:pPr>
              <w:pStyle w:val="33"/>
              <w:keepNext w:val="0"/>
              <w:keepLines w:val="0"/>
              <w:suppressLineNumbers w:val="0"/>
              <w:adjustRightInd/>
              <w:snapToGrid/>
              <w:spacing w:before="46" w:beforeAutospacing="0" w:after="46" w:afterAutospacing="0" w:line="240" w:lineRule="auto"/>
              <w:ind w:left="0" w:right="0" w:firstLine="454" w:firstLineChars="200"/>
              <w:jc w:val="both"/>
              <w:rPr>
                <w:rFonts w:hint="eastAsia" w:ascii="Times New Roman" w:cs="Times New Roman"/>
                <w:color w:val="auto"/>
                <w:sz w:val="24"/>
              </w:rPr>
            </w:pPr>
            <w:r>
              <w:rPr>
                <w:rFonts w:hint="eastAsia" w:ascii="Times New Roman" w:cs="Times New Roman"/>
                <w:b/>
                <w:color w:val="auto"/>
                <w:sz w:val="24"/>
              </w:rPr>
              <w:t>“加快推进历史遗留废弃矿山生态修复。”</w:t>
            </w:r>
            <w:r>
              <w:rPr>
                <w:rFonts w:hint="eastAsia" w:ascii="Times New Roman" w:cs="Times New Roman"/>
                <w:color w:val="auto"/>
                <w:sz w:val="24"/>
              </w:rPr>
              <w:t>加大历史遗留废弃矿山生态修复力度，切实履行矿山生态修复责任。按照集中连片、重点突出、全面治理的原则，以矿山环境问题类似、区域接近的大型矿山或若干小型矿山群采区为单元，部署实施重点治理项目，提升生态环境质量和水土保持能力，筑牢绿色生态安全屏障。</w:t>
            </w:r>
          </w:p>
          <w:p w14:paraId="0441953F">
            <w:pPr>
              <w:keepNext w:val="0"/>
              <w:keepLines w:val="0"/>
              <w:suppressLineNumbers w:val="0"/>
              <w:spacing w:before="0" w:beforeAutospacing="0" w:after="0" w:afterAutospacing="0"/>
              <w:ind w:left="0" w:right="0" w:firstLine="454" w:firstLineChars="200"/>
              <w:rPr>
                <w:rFonts w:hint="eastAsia" w:cs="Times New Roman"/>
                <w:color w:val="auto"/>
                <w:sz w:val="24"/>
              </w:rPr>
            </w:pPr>
            <w:r>
              <w:rPr>
                <w:rFonts w:hint="eastAsia" w:cs="Times New Roman"/>
                <w:color w:val="auto"/>
                <w:sz w:val="24"/>
              </w:rPr>
              <w:t>本项目主要对历史遗留废弃矿山进行生态修复治理</w:t>
            </w:r>
            <w:r>
              <w:rPr>
                <w:rFonts w:hint="default" w:cs="Times New Roman"/>
                <w:color w:val="auto"/>
                <w:sz w:val="24"/>
              </w:rPr>
              <w:t>，总治理面积为</w:t>
            </w:r>
            <w:r>
              <w:rPr>
                <w:rFonts w:hint="eastAsia" w:cs="Times New Roman"/>
                <w:color w:val="auto"/>
                <w:kern w:val="0"/>
                <w:sz w:val="24"/>
                <w:lang w:val="en-US" w:eastAsia="zh-CN"/>
              </w:rPr>
              <w:t>33</w:t>
            </w:r>
            <w:r>
              <w:rPr>
                <w:rFonts w:hint="eastAsia" w:cs="Times New Roman"/>
                <w:color w:val="auto"/>
                <w:kern w:val="0"/>
                <w:sz w:val="24"/>
                <w:highlight w:val="none"/>
                <w:lang w:val="en-US" w:eastAsia="zh-CN"/>
              </w:rPr>
              <w:t>8.59</w:t>
            </w:r>
            <w:r>
              <w:rPr>
                <w:rFonts w:hint="default" w:cs="Times New Roman"/>
                <w:color w:val="auto"/>
                <w:sz w:val="24"/>
              </w:rPr>
              <w:t>hm</w:t>
            </w:r>
            <w:r>
              <w:rPr>
                <w:rFonts w:hint="default" w:cs="Times New Roman"/>
                <w:color w:val="auto"/>
                <w:sz w:val="24"/>
                <w:vertAlign w:val="superscript"/>
              </w:rPr>
              <w:t>2</w:t>
            </w:r>
            <w:r>
              <w:rPr>
                <w:rFonts w:hint="default" w:cs="Times New Roman"/>
                <w:color w:val="auto"/>
                <w:sz w:val="24"/>
              </w:rPr>
              <w:t>。项目的实施，有效提高区域生态环境自我修复能力，提高区域植被覆盖率，对建设黄河流域生态保护和高质量发展先行区具有重要意义。</w:t>
            </w:r>
            <w:r>
              <w:rPr>
                <w:rFonts w:hint="eastAsia" w:cs="Times New Roman"/>
                <w:color w:val="auto"/>
                <w:sz w:val="24"/>
              </w:rPr>
              <w:t>因此本项目符合</w:t>
            </w:r>
            <w:r>
              <w:rPr>
                <w:rFonts w:hint="default" w:cs="Times New Roman"/>
                <w:color w:val="auto"/>
                <w:sz w:val="24"/>
              </w:rPr>
              <w:t>《</w:t>
            </w:r>
            <w:r>
              <w:rPr>
                <w:rFonts w:hint="eastAsia" w:cs="Times New Roman"/>
                <w:color w:val="auto"/>
                <w:sz w:val="24"/>
              </w:rPr>
              <w:t>中卫市矿产资源总体规划</w:t>
            </w:r>
            <w:r>
              <w:rPr>
                <w:rFonts w:hint="default" w:cs="Times New Roman"/>
                <w:color w:val="auto"/>
                <w:sz w:val="24"/>
              </w:rPr>
              <w:t>(2021-2025年)》</w:t>
            </w:r>
            <w:r>
              <w:rPr>
                <w:rFonts w:hint="eastAsia" w:cs="Times New Roman"/>
                <w:color w:val="auto"/>
                <w:sz w:val="24"/>
              </w:rPr>
              <w:t>中相关要求。</w:t>
            </w:r>
          </w:p>
          <w:p w14:paraId="7A143E98">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2 </w:t>
            </w:r>
            <w:r>
              <w:rPr>
                <w:rFonts w:hint="eastAsia"/>
                <w:color w:val="auto"/>
              </w:rPr>
              <w:t>项目与《全国重要生态系统保护和修复重大工程总体规划（2021-2035年）》的符合性分析</w:t>
            </w:r>
          </w:p>
          <w:p w14:paraId="17E70D46">
            <w:pPr>
              <w:keepNext w:val="0"/>
              <w:keepLines w:val="0"/>
              <w:suppressLineNumbers w:val="0"/>
              <w:autoSpaceDE w:val="0"/>
              <w:autoSpaceDN w:val="0"/>
              <w:spacing w:before="0" w:beforeAutospacing="0" w:after="0" w:afterAutospacing="0"/>
              <w:ind w:left="0" w:right="0" w:firstLine="454" w:firstLineChars="200"/>
              <w:rPr>
                <w:rFonts w:hint="eastAsia" w:cs="Times New Roman"/>
                <w:color w:val="auto"/>
                <w:sz w:val="24"/>
              </w:rPr>
            </w:pPr>
            <w:r>
              <w:rPr>
                <w:rFonts w:hint="eastAsia" w:cs="Times New Roman"/>
                <w:color w:val="auto"/>
                <w:sz w:val="24"/>
              </w:rPr>
              <w:t>《全国重要生态系统保护和修复重大工程总体规划（2021-2035年）》（以下简称《规划》）研究提出：到2035年推进森林、草原、荒漠、河流、湖泊、湿地、海洋等自然生态系统保护和修复工作的主要目标，以及统筹山水林田湖草一体化保护和修复的总体布局、重点任务、重大工程和政策举措。《规划》是当前和今后一段时期推进全国重要生态系统保护和修复重大工程的指导性规划，是编制和实施有关重大工程建设规划的主要依据。</w:t>
            </w:r>
          </w:p>
          <w:p w14:paraId="388B4F4A">
            <w:pPr>
              <w:keepNext w:val="0"/>
              <w:keepLines w:val="0"/>
              <w:suppressLineNumbers w:val="0"/>
              <w:autoSpaceDE w:val="0"/>
              <w:autoSpaceDN w:val="0"/>
              <w:spacing w:before="0" w:beforeAutospacing="0" w:after="0" w:afterAutospacing="0"/>
              <w:ind w:left="0" w:right="0" w:firstLine="454" w:firstLineChars="200"/>
              <w:rPr>
                <w:rFonts w:hint="eastAsia" w:cs="Times New Roman"/>
                <w:color w:val="auto"/>
                <w:sz w:val="24"/>
              </w:rPr>
            </w:pPr>
            <w:r>
              <w:rPr>
                <w:rFonts w:hint="eastAsia" w:cs="Times New Roman"/>
                <w:color w:val="auto"/>
                <w:sz w:val="24"/>
              </w:rPr>
              <w:t>本项目位于宁夏回族自治区中卫市沙坡头区镇罗镇、柔远镇、东园镇、迎水桥镇，属于《规划》中黄河重点生态区，该区域主要生态问题有“矿产资源开采对生态系统破坏面大、破坏程度高、治理难度大”</w:t>
            </w:r>
            <w:r>
              <w:rPr>
                <w:rFonts w:hint="eastAsia" w:cs="Times New Roman"/>
                <w:color w:val="auto"/>
                <w:sz w:val="24"/>
                <w:lang w:eastAsia="zh-CN"/>
              </w:rPr>
              <w:t>，</w:t>
            </w:r>
            <w:r>
              <w:rPr>
                <w:rFonts w:hint="eastAsia" w:cs="Times New Roman"/>
                <w:color w:val="auto"/>
                <w:sz w:val="24"/>
              </w:rPr>
              <w:t>并提出主攻方向：加强矿区综合治理和生态修复，使区域内水土流失状况得到有效控制，完善自然保护地体系建设并保护区域内生物多样性。《规划》专栏4-2黄河重点生态区（含黄土高原生态屏障）生态保护和修复重点工程提出“5黄河重点生态区矿山生态修复：大力开展历史遗留矿山生态修复，实施地质环境治理、地形重塑、土壤重构、植被重建等综合治理，恢复矿山生态”。</w:t>
            </w:r>
          </w:p>
          <w:p w14:paraId="3EFD4BD2">
            <w:pPr>
              <w:keepNext w:val="0"/>
              <w:keepLines w:val="0"/>
              <w:suppressLineNumbers w:val="0"/>
              <w:autoSpaceDE w:val="0"/>
              <w:autoSpaceDN w:val="0"/>
              <w:spacing w:before="0" w:beforeAutospacing="0" w:after="0" w:afterAutospacing="0"/>
              <w:ind w:left="0" w:right="0" w:firstLine="454" w:firstLineChars="200"/>
              <w:rPr>
                <w:rFonts w:hint="default" w:cs="Times New Roman"/>
                <w:color w:val="auto"/>
                <w:kern w:val="0"/>
                <w:sz w:val="24"/>
              </w:rPr>
            </w:pPr>
            <w:r>
              <w:rPr>
                <w:rFonts w:hint="eastAsia" w:cs="Times New Roman"/>
                <w:color w:val="auto"/>
                <w:sz w:val="24"/>
              </w:rPr>
              <w:t>本项目治理历史遗留矿山面积</w:t>
            </w:r>
            <w:r>
              <w:rPr>
                <w:rFonts w:hint="eastAsia" w:cs="Times New Roman"/>
                <w:color w:val="auto"/>
                <w:kern w:val="0"/>
                <w:sz w:val="24"/>
                <w:lang w:val="en-US" w:eastAsia="zh-CN"/>
              </w:rPr>
              <w:t>33</w:t>
            </w:r>
            <w:r>
              <w:rPr>
                <w:rFonts w:hint="eastAsia" w:cs="Times New Roman"/>
                <w:color w:val="auto"/>
                <w:kern w:val="0"/>
                <w:sz w:val="24"/>
                <w:highlight w:val="none"/>
                <w:lang w:val="en-US" w:eastAsia="zh-CN"/>
              </w:rPr>
              <w:t>8.59</w:t>
            </w:r>
            <w:r>
              <w:rPr>
                <w:rFonts w:hint="eastAsia" w:cs="Times New Roman"/>
                <w:color w:val="auto"/>
                <w:sz w:val="24"/>
              </w:rPr>
              <w:t>hm</w:t>
            </w:r>
            <w:r>
              <w:rPr>
                <w:rFonts w:hint="eastAsia" w:cs="Times New Roman"/>
                <w:color w:val="auto"/>
                <w:sz w:val="24"/>
                <w:vertAlign w:val="superscript"/>
              </w:rPr>
              <w:t>2</w:t>
            </w:r>
            <w:r>
              <w:rPr>
                <w:rFonts w:hint="eastAsia" w:cs="Times New Roman"/>
                <w:color w:val="auto"/>
                <w:sz w:val="24"/>
              </w:rPr>
              <w:t>，本项目实施</w:t>
            </w:r>
            <w:r>
              <w:rPr>
                <w:rFonts w:hint="eastAsia" w:cs="Times New Roman"/>
                <w:color w:val="auto"/>
                <w:lang w:val="en-US" w:eastAsia="zh-CN"/>
              </w:rPr>
              <w:t>培坡护坡及凹陷处回填、场地平整、采坑回填、覆土工程、植被恢复工程、宣传牌工程、围栏工程</w:t>
            </w:r>
            <w:r>
              <w:rPr>
                <w:rFonts w:hint="eastAsia" w:ascii="宋体" w:hAnsi="宋体" w:eastAsia="宋体" w:cs="宋体"/>
                <w:color w:val="auto"/>
                <w:kern w:val="0"/>
                <w:sz w:val="24"/>
                <w:szCs w:val="24"/>
                <w:lang w:val="en-US" w:eastAsia="zh-CN" w:bidi="ar"/>
              </w:rPr>
              <w:t>等生态修复措施</w:t>
            </w:r>
            <w:r>
              <w:rPr>
                <w:rFonts w:hint="eastAsia" w:cs="Times New Roman"/>
                <w:color w:val="auto"/>
                <w:sz w:val="24"/>
              </w:rPr>
              <w:t>，可有效提高区域生态环境自我修复能力。因此，本项目符合《全国重要生态系统保护和修复重大工程总体规划（2021-2035年）》中的相关要求。</w:t>
            </w:r>
          </w:p>
        </w:tc>
      </w:tr>
      <w:tr w14:paraId="783D2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jc w:val="center"/>
        </w:trPr>
        <w:tc>
          <w:tcPr>
            <w:tcW w:w="1133" w:type="dxa"/>
            <w:noWrap w:val="0"/>
            <w:tcMar>
              <w:top w:w="16" w:type="dxa"/>
              <w:left w:w="16" w:type="dxa"/>
              <w:right w:w="16" w:type="dxa"/>
            </w:tcMar>
            <w:vAlign w:val="center"/>
          </w:tcPr>
          <w:p w14:paraId="7F69368F">
            <w:pPr>
              <w:keepNext w:val="0"/>
              <w:keepLines w:val="0"/>
              <w:suppressLineNumbers w:val="0"/>
              <w:autoSpaceDE w:val="0"/>
              <w:autoSpaceDN w:val="0"/>
              <w:spacing w:before="0" w:beforeAutospacing="0" w:after="0" w:afterAutospacing="0"/>
              <w:ind w:left="0" w:leftChars="0" w:right="0" w:firstLine="0" w:firstLineChars="0"/>
              <w:jc w:val="center"/>
              <w:rPr>
                <w:rFonts w:hint="default" w:cs="Times New Roman"/>
                <w:b/>
                <w:bCs/>
                <w:color w:val="auto"/>
                <w:kern w:val="0"/>
                <w:sz w:val="24"/>
              </w:rPr>
            </w:pPr>
            <w:bookmarkStart w:id="2" w:name="_Hlk56690880"/>
            <w:r>
              <w:rPr>
                <w:rFonts w:hint="default" w:cs="Times New Roman"/>
                <w:b/>
                <w:bCs/>
                <w:color w:val="auto"/>
                <w:kern w:val="0"/>
                <w:sz w:val="24"/>
              </w:rPr>
              <w:t>其他符合性分析</w:t>
            </w:r>
            <w:bookmarkEnd w:id="2"/>
          </w:p>
        </w:tc>
        <w:tc>
          <w:tcPr>
            <w:tcW w:w="8169" w:type="dxa"/>
            <w:gridSpan w:val="3"/>
            <w:noWrap w:val="0"/>
            <w:tcMar>
              <w:top w:w="16" w:type="dxa"/>
              <w:left w:w="16" w:type="dxa"/>
              <w:right w:w="16" w:type="dxa"/>
            </w:tcMar>
            <w:vAlign w:val="center"/>
          </w:tcPr>
          <w:p w14:paraId="10C8750B">
            <w:pPr>
              <w:pStyle w:val="2"/>
              <w:keepLines w:val="0"/>
              <w:suppressLineNumbers w:val="0"/>
              <w:bidi w:val="0"/>
              <w:spacing w:before="0" w:beforeAutospacing="0" w:after="0" w:afterAutospacing="0"/>
              <w:ind w:left="0" w:right="0"/>
              <w:rPr>
                <w:rFonts w:hint="default"/>
                <w:color w:val="auto"/>
              </w:rPr>
            </w:pPr>
            <w:r>
              <w:rPr>
                <w:rFonts w:hint="default"/>
                <w:color w:val="auto"/>
              </w:rPr>
              <w:t>1</w:t>
            </w:r>
            <w:r>
              <w:rPr>
                <w:rFonts w:hint="eastAsia"/>
                <w:color w:val="auto"/>
                <w:lang w:val="en-US" w:eastAsia="zh-CN"/>
              </w:rPr>
              <w:t xml:space="preserve"> </w:t>
            </w:r>
            <w:r>
              <w:rPr>
                <w:rFonts w:hint="default"/>
                <w:color w:val="auto"/>
              </w:rPr>
              <w:t>产业政策符合性分析</w:t>
            </w:r>
          </w:p>
          <w:p w14:paraId="0E48A628">
            <w:pPr>
              <w:keepNext w:val="0"/>
              <w:keepLines w:val="0"/>
              <w:widowControl/>
              <w:suppressLineNumbers w:val="0"/>
              <w:spacing w:before="0" w:beforeAutospacing="0" w:after="0" w:afterAutospacing="0"/>
              <w:ind w:left="0" w:right="0"/>
              <w:jc w:val="left"/>
              <w:rPr>
                <w:rFonts w:hint="default" w:eastAsia="宋体" w:cs="Times New Roman"/>
                <w:color w:val="auto"/>
                <w:sz w:val="24"/>
                <w:highlight w:val="yellow"/>
                <w:lang w:val="en-US" w:eastAsia="zh-CN"/>
              </w:rPr>
            </w:pPr>
            <w:r>
              <w:rPr>
                <w:rFonts w:hint="eastAsia" w:ascii="Times New Roman" w:hAnsi="Times New Roman" w:cs="Times New Roman"/>
                <w:color w:val="auto"/>
                <w:kern w:val="0"/>
                <w:sz w:val="24"/>
              </w:rPr>
              <w:t>根据中华人民共和国国家发展和改革委员会第7号令《产业结构调整指导目录（</w:t>
            </w:r>
            <w:r>
              <w:rPr>
                <w:rFonts w:hint="default" w:ascii="Times New Roman" w:hAnsi="Times New Roman" w:cs="Times New Roman"/>
                <w:color w:val="auto"/>
                <w:kern w:val="0"/>
                <w:sz w:val="24"/>
              </w:rPr>
              <w:t>20</w:t>
            </w:r>
            <w:r>
              <w:rPr>
                <w:rFonts w:hint="eastAsia" w:ascii="Times New Roman" w:hAnsi="Times New Roman" w:cs="Times New Roman"/>
                <w:color w:val="auto"/>
                <w:kern w:val="0"/>
                <w:sz w:val="24"/>
              </w:rPr>
              <w:t>24年本）》</w:t>
            </w:r>
            <w:r>
              <w:rPr>
                <w:rFonts w:hint="default" w:cs="Times New Roman"/>
                <w:color w:val="auto"/>
                <w:sz w:val="24"/>
                <w:highlight w:val="none"/>
              </w:rPr>
              <w:t>，本项目属于鼓励类：四十二、环境保护与资源节约综合利用—2、生态环境修复和资源利用：矿山生态环境恢复工程。</w:t>
            </w:r>
            <w:r>
              <w:rPr>
                <w:rFonts w:hint="eastAsia" w:cs="Times New Roman"/>
                <w:color w:val="auto"/>
                <w:sz w:val="24"/>
                <w:highlight w:val="none"/>
                <w:lang w:val="en-US" w:eastAsia="zh-CN"/>
              </w:rPr>
              <w:t>且本项目已取得中卫市沙坡头区发展和改革局“关于沙坡头区黄河北岸历史遗留矿山生态修复治理项目初步设计的批复，批复文号为：卫沙发改(审批)发〔2025〕4号”。</w:t>
            </w:r>
          </w:p>
          <w:p w14:paraId="1BB5FE51">
            <w:pPr>
              <w:pStyle w:val="2"/>
              <w:keepLines w:val="0"/>
              <w:suppressLineNumbers w:val="0"/>
              <w:bidi w:val="0"/>
              <w:spacing w:before="0" w:beforeAutospacing="0" w:after="0" w:afterAutospacing="0"/>
              <w:ind w:left="0" w:right="0"/>
              <w:rPr>
                <w:rFonts w:hint="default"/>
                <w:color w:val="auto"/>
              </w:rPr>
            </w:pPr>
            <w:r>
              <w:rPr>
                <w:rFonts w:hint="default"/>
                <w:color w:val="auto"/>
              </w:rPr>
              <w:t>2</w:t>
            </w:r>
            <w:r>
              <w:rPr>
                <w:rFonts w:hint="eastAsia"/>
                <w:color w:val="auto"/>
                <w:lang w:val="en-US" w:eastAsia="zh-CN"/>
              </w:rPr>
              <w:t xml:space="preserve"> “</w:t>
            </w:r>
            <w:r>
              <w:rPr>
                <w:rFonts w:hint="default"/>
                <w:color w:val="auto"/>
              </w:rPr>
              <w:t>三线一单</w:t>
            </w:r>
            <w:r>
              <w:rPr>
                <w:rFonts w:hint="eastAsia"/>
                <w:color w:val="auto"/>
                <w:lang w:val="en-US" w:eastAsia="zh-CN"/>
              </w:rPr>
              <w:t>”</w:t>
            </w:r>
            <w:r>
              <w:rPr>
                <w:rFonts w:hint="default"/>
                <w:color w:val="auto"/>
              </w:rPr>
              <w:t>符合性分析</w:t>
            </w:r>
          </w:p>
          <w:p w14:paraId="24557E85">
            <w:pPr>
              <w:keepNext w:val="0"/>
              <w:keepLines w:val="0"/>
              <w:suppressLineNumbers w:val="0"/>
              <w:bidi w:val="0"/>
              <w:spacing w:before="0" w:beforeAutospacing="0" w:after="0" w:afterAutospacing="0"/>
              <w:ind w:left="0" w:right="0"/>
              <w:rPr>
                <w:rFonts w:hint="eastAsia"/>
                <w:b/>
                <w:bCs/>
                <w:color w:val="auto"/>
              </w:rPr>
            </w:pPr>
            <w:r>
              <w:rPr>
                <w:rFonts w:hint="eastAsia"/>
                <w:b/>
                <w:bCs/>
                <w:color w:val="auto"/>
              </w:rPr>
              <w:t>⑴生态保护红线与生态空间</w:t>
            </w:r>
          </w:p>
          <w:p w14:paraId="01D9F728">
            <w:pPr>
              <w:keepNext w:val="0"/>
              <w:keepLines w:val="0"/>
              <w:suppressLineNumbers w:val="0"/>
              <w:bidi w:val="0"/>
              <w:spacing w:before="0" w:beforeAutospacing="0" w:after="0" w:afterAutospacing="0"/>
              <w:ind w:left="0" w:right="0"/>
              <w:rPr>
                <w:rFonts w:hint="eastAsia"/>
                <w:color w:val="auto"/>
                <w:lang w:val="en-US" w:eastAsia="zh-CN"/>
              </w:rPr>
            </w:pP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号），本项目不在中卫市生态保护红线范围内，符合生态保护红线相关要求。项目与中卫市生态保护红线位置关系见附图</w:t>
            </w:r>
            <w:r>
              <w:rPr>
                <w:rFonts w:hint="default" w:cs="Times New Roman"/>
                <w:color w:val="auto"/>
                <w:lang w:val="en-US" w:eastAsia="zh-CN"/>
              </w:rPr>
              <w:t>1-</w:t>
            </w:r>
            <w:r>
              <w:rPr>
                <w:rFonts w:hint="eastAsia" w:cs="Times New Roman"/>
                <w:color w:val="auto"/>
                <w:lang w:val="en-US" w:eastAsia="zh-CN"/>
              </w:rPr>
              <w:t>1</w:t>
            </w:r>
            <w:r>
              <w:rPr>
                <w:rFonts w:hint="eastAsia"/>
                <w:color w:val="auto"/>
                <w:lang w:val="en-US" w:eastAsia="zh-CN"/>
              </w:rPr>
              <w:t>。</w:t>
            </w:r>
          </w:p>
          <w:p w14:paraId="3BDAA06C">
            <w:pPr>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根据《市人民政府办公室关于发布</w:t>
            </w:r>
            <w:r>
              <w:rPr>
                <w:rFonts w:hint="default"/>
                <w:color w:val="auto"/>
                <w:lang w:val="en-US" w:eastAsia="zh-CN"/>
              </w:rPr>
              <w:t>&lt;</w:t>
            </w:r>
            <w:r>
              <w:rPr>
                <w:rFonts w:hint="eastAsia"/>
                <w:color w:val="auto"/>
                <w:lang w:val="en-US" w:eastAsia="zh-CN"/>
              </w:rPr>
              <w:t>中卫市生态环境分区管控动态更新成果</w:t>
            </w:r>
            <w:r>
              <w:rPr>
                <w:rFonts w:hint="default"/>
                <w:color w:val="auto"/>
                <w:lang w:val="en-US" w:eastAsia="zh-CN"/>
              </w:rPr>
              <w:t>&gt;</w:t>
            </w:r>
            <w:r>
              <w:rPr>
                <w:rFonts w:hint="eastAsia"/>
                <w:color w:val="auto"/>
                <w:lang w:val="en-US" w:eastAsia="zh-CN"/>
              </w:rPr>
              <w:t>的通知》（卫政办发〔</w:t>
            </w:r>
            <w:r>
              <w:rPr>
                <w:rFonts w:hint="default"/>
                <w:color w:val="auto"/>
                <w:lang w:val="en-US" w:eastAsia="zh-CN"/>
              </w:rPr>
              <w:t>2024</w:t>
            </w:r>
            <w:r>
              <w:rPr>
                <w:rFonts w:hint="eastAsia"/>
                <w:color w:val="auto"/>
                <w:lang w:val="en-US" w:eastAsia="zh-CN"/>
              </w:rPr>
              <w:t>〕</w:t>
            </w:r>
            <w:r>
              <w:rPr>
                <w:rFonts w:hint="default"/>
                <w:color w:val="auto"/>
                <w:lang w:val="en-US" w:eastAsia="zh-CN"/>
              </w:rPr>
              <w:t>33</w:t>
            </w:r>
            <w:r>
              <w:rPr>
                <w:rFonts w:hint="eastAsia"/>
                <w:color w:val="auto"/>
                <w:lang w:val="en-US" w:eastAsia="zh-CN"/>
              </w:rPr>
              <w:t>号），本项目部分治理区位于一般生态空间。一般生态空间管控要求为：</w:t>
            </w:r>
            <w:r>
              <w:rPr>
                <w:rFonts w:hint="default"/>
                <w:color w:val="auto"/>
              </w:rPr>
              <w:t>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空间，符合条件的农业开发项目，须依法由县级及以上地方人民政府统筹安排，有序引导生态空间用途之间的相互转换，鼓励向有利于生态功能提升的方向转变，严格限制不符合生态保护要求或有损生态功能的转换</w:t>
            </w:r>
            <w:r>
              <w:rPr>
                <w:rFonts w:hint="eastAsia"/>
                <w:color w:val="auto"/>
                <w:lang w:eastAsia="zh-CN"/>
              </w:rPr>
              <w:t>。</w:t>
            </w:r>
          </w:p>
          <w:p w14:paraId="286C515A">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本项目主要对历史遗留废弃矿山进行生态修复治理，</w:t>
            </w:r>
            <w:r>
              <w:rPr>
                <w:rFonts w:hint="default"/>
                <w:color w:val="auto"/>
              </w:rPr>
              <w:t>有利于</w:t>
            </w:r>
            <w:r>
              <w:rPr>
                <w:rFonts w:hint="eastAsia"/>
                <w:color w:val="auto"/>
                <w:lang w:val="en-US" w:eastAsia="zh-CN"/>
              </w:rPr>
              <w:t>向</w:t>
            </w:r>
            <w:r>
              <w:rPr>
                <w:rFonts w:hint="default"/>
                <w:color w:val="auto"/>
              </w:rPr>
              <w:t>生态功能提升的方向转变</w:t>
            </w:r>
            <w:r>
              <w:rPr>
                <w:rFonts w:hint="eastAsia"/>
                <w:color w:val="auto"/>
                <w:lang w:eastAsia="zh-CN"/>
              </w:rPr>
              <w:t>，</w:t>
            </w:r>
            <w:r>
              <w:rPr>
                <w:rFonts w:hint="eastAsia"/>
                <w:color w:val="auto"/>
                <w:lang w:val="en-US" w:eastAsia="zh-CN"/>
              </w:rPr>
              <w:t>符合</w:t>
            </w:r>
            <w:r>
              <w:rPr>
                <w:rFonts w:hint="default"/>
                <w:color w:val="auto"/>
              </w:rPr>
              <w:t>一般生态空间</w:t>
            </w:r>
            <w:r>
              <w:rPr>
                <w:rFonts w:hint="eastAsia"/>
                <w:color w:val="auto"/>
                <w:lang w:val="en-US" w:eastAsia="zh-CN"/>
              </w:rPr>
              <w:t>管控要求。本</w:t>
            </w:r>
            <w:r>
              <w:rPr>
                <w:rFonts w:hint="eastAsia" w:cs="Times New Roman"/>
                <w:color w:val="auto"/>
                <w:lang w:val="en-US" w:eastAsia="zh-CN"/>
              </w:rPr>
              <w:t>项目与</w:t>
            </w:r>
            <w:r>
              <w:rPr>
                <w:rFonts w:hint="eastAsia"/>
                <w:color w:val="auto"/>
                <w:lang w:val="en-US" w:eastAsia="zh-CN"/>
              </w:rPr>
              <w:t>中卫市生态空间分布图位置关系见</w:t>
            </w:r>
            <w:r>
              <w:rPr>
                <w:rFonts w:hint="eastAsia" w:cs="Times New Roman"/>
                <w:color w:val="auto"/>
                <w:lang w:val="en-US" w:eastAsia="zh-CN"/>
              </w:rPr>
              <w:t>附</w:t>
            </w:r>
            <w:r>
              <w:rPr>
                <w:rFonts w:hint="eastAsia"/>
                <w:color w:val="auto"/>
                <w:lang w:val="en-US" w:eastAsia="zh-CN"/>
              </w:rPr>
              <w:t>图1-2。</w:t>
            </w:r>
          </w:p>
          <w:p w14:paraId="7BC93678">
            <w:pPr>
              <w:keepNext w:val="0"/>
              <w:keepLines w:val="0"/>
              <w:suppressLineNumbers w:val="0"/>
              <w:bidi w:val="0"/>
              <w:spacing w:before="0" w:beforeAutospacing="0" w:after="0" w:afterAutospacing="0"/>
              <w:ind w:left="0" w:right="0"/>
              <w:rPr>
                <w:rFonts w:hint="default"/>
                <w:b/>
                <w:bCs/>
                <w:color w:val="auto"/>
              </w:rPr>
            </w:pPr>
            <w:r>
              <w:rPr>
                <w:rFonts w:hint="eastAsia"/>
                <w:b/>
                <w:bCs/>
                <w:color w:val="auto"/>
              </w:rPr>
              <w:t>⑵环境质量底线及分区管控</w:t>
            </w:r>
          </w:p>
          <w:p w14:paraId="3ACC822D">
            <w:pPr>
              <w:keepNext w:val="0"/>
              <w:keepLines w:val="0"/>
              <w:suppressLineNumbers w:val="0"/>
              <w:bidi w:val="0"/>
              <w:spacing w:before="0" w:beforeAutospacing="0" w:after="0" w:afterAutospacing="0"/>
              <w:ind w:left="0" w:right="0"/>
              <w:rPr>
                <w:rFonts w:hint="eastAsia" w:cs="Times New Roman"/>
                <w:b/>
                <w:bCs/>
                <w:color w:val="auto"/>
              </w:rPr>
            </w:pPr>
            <w:r>
              <w:rPr>
                <w:rFonts w:hint="eastAsia" w:cs="Times New Roman"/>
                <w:b/>
                <w:bCs/>
                <w:color w:val="auto"/>
              </w:rPr>
              <w:t>①大气环境质量底线及分区管控</w:t>
            </w:r>
          </w:p>
          <w:p w14:paraId="79B38FCD">
            <w:pPr>
              <w:keepNext w:val="0"/>
              <w:keepLines w:val="0"/>
              <w:suppressLineNumbers w:val="0"/>
              <w:bidi w:val="0"/>
              <w:spacing w:before="0" w:beforeAutospacing="0" w:after="0" w:afterAutospacing="0"/>
              <w:ind w:left="0" w:right="0"/>
              <w:rPr>
                <w:rFonts w:hint="eastAsia" w:cs="Times New Roman"/>
                <w:color w:val="auto"/>
                <w:lang w:eastAsia="zh-CN"/>
              </w:rPr>
            </w:pPr>
            <w:r>
              <w:rPr>
                <w:rFonts w:hint="eastAsia" w:cs="Times New Roman"/>
                <w:color w:val="auto"/>
                <w:lang w:val="en-US" w:eastAsia="zh-CN"/>
              </w:rPr>
              <w:t>大气环境质量底线：根据《市人民政府办公室关于发布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号）中大气环境质量底线，到2025年，沙坡头区细颗粒物（PM</w:t>
            </w:r>
            <w:r>
              <w:rPr>
                <w:rFonts w:hint="eastAsia" w:cs="Times New Roman"/>
                <w:color w:val="auto"/>
                <w:vertAlign w:val="subscript"/>
                <w:lang w:val="en-US" w:eastAsia="zh-CN"/>
              </w:rPr>
              <w:t>2.5</w:t>
            </w:r>
            <w:r>
              <w:rPr>
                <w:rFonts w:hint="eastAsia" w:cs="Times New Roman"/>
                <w:color w:val="auto"/>
                <w:lang w:val="en-US" w:eastAsia="zh-CN"/>
              </w:rPr>
              <w:t>）浓度达到30.0微克/立方米、可吸入颗粒物（PM</w:t>
            </w:r>
            <w:r>
              <w:rPr>
                <w:rFonts w:hint="eastAsia" w:cs="Times New Roman"/>
                <w:color w:val="auto"/>
                <w:vertAlign w:val="subscript"/>
                <w:lang w:val="en-US" w:eastAsia="zh-CN"/>
              </w:rPr>
              <w:t>10</w:t>
            </w:r>
            <w:r>
              <w:rPr>
                <w:rFonts w:hint="eastAsia" w:cs="Times New Roman"/>
                <w:color w:val="auto"/>
                <w:lang w:val="en-US" w:eastAsia="zh-CN"/>
              </w:rPr>
              <w:t>）浓度达到63.5微克/立方米。根据《2023年宁夏生态环境质量状况》评价结论，扣除沙尘天气影响，沙坡头区属于达标区。本项目运营期不排放废气，不会影响</w:t>
            </w:r>
            <w:r>
              <w:rPr>
                <w:rFonts w:hint="eastAsia" w:cs="Times New Roman"/>
                <w:color w:val="auto"/>
              </w:rPr>
              <w:t>大气环境质量底线</w:t>
            </w:r>
            <w:r>
              <w:rPr>
                <w:rFonts w:hint="eastAsia" w:cs="Times New Roman"/>
                <w:color w:val="auto"/>
                <w:lang w:eastAsia="zh-CN"/>
              </w:rPr>
              <w:t>。</w:t>
            </w:r>
          </w:p>
          <w:p w14:paraId="62AE36B2">
            <w:pPr>
              <w:keepNext w:val="0"/>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中卫市生态环境分区管控方案图集》及《中卫市生态环境分区管控方案文本》，基于大气环境脆弱性、敏感性、重要性评价结果，考虑大气污染传输规律和城市用地特征，识别网格单元主导属性，将中卫市划分为大气环境优先保护区、大气环境重点管控区和大气环境一般管控区，本项目位于沙坡头区，涉及大气环境高排放重点管控区、一般管控区、弱扩散重点管控区。分区管控符合性分析见表1-1。项目与中卫市大气环境分区管控图位置关系图见附图</w:t>
            </w:r>
            <w:r>
              <w:rPr>
                <w:rFonts w:hint="default" w:cs="Times New Roman"/>
                <w:color w:val="auto"/>
                <w:lang w:val="en-US" w:eastAsia="zh-CN"/>
              </w:rPr>
              <w:t>1-</w:t>
            </w:r>
            <w:r>
              <w:rPr>
                <w:rFonts w:hint="eastAsia" w:cs="Times New Roman"/>
                <w:color w:val="auto"/>
                <w:lang w:val="en-US" w:eastAsia="zh-CN"/>
              </w:rPr>
              <w:t>3。</w:t>
            </w:r>
          </w:p>
          <w:p w14:paraId="73FF6461">
            <w:pPr>
              <w:pStyle w:val="3"/>
              <w:keepNext w:val="0"/>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p>
          <w:p w14:paraId="5EA17B1B">
            <w:pPr>
              <w:pStyle w:val="3"/>
              <w:keepNext w:val="0"/>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p>
          <w:p w14:paraId="3ECF1CAF">
            <w:pPr>
              <w:pStyle w:val="3"/>
              <w:keepNext w:val="0"/>
              <w:keepLines w:val="0"/>
              <w:suppressLineNumbers w:val="0"/>
              <w:bidi w:val="0"/>
              <w:spacing w:before="0" w:beforeAutospacing="0" w:after="0" w:afterAutospacing="0"/>
              <w:ind w:left="0" w:right="0"/>
              <w:rPr>
                <w:rFonts w:hint="default"/>
                <w:color w:val="auto"/>
                <w:vertAlign w:val="baseline"/>
              </w:rPr>
            </w:pPr>
            <w:r>
              <w:rPr>
                <w:rFonts w:hint="default" w:ascii="黑体" w:hAnsi="宋体" w:eastAsia="黑体" w:cs="黑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1-</w:t>
            </w:r>
            <w:r>
              <w:rPr>
                <w:rFonts w:hint="eastAsia"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w:t>
            </w:r>
            <w:r>
              <w:rPr>
                <w:rFonts w:hint="eastAsia" w:cs="Times New Roman"/>
                <w:color w:val="auto"/>
                <w:kern w:val="0"/>
                <w:sz w:val="24"/>
                <w:szCs w:val="24"/>
                <w:lang w:val="en-US" w:eastAsia="zh-CN" w:bidi="ar"/>
              </w:rPr>
              <w:t xml:space="preserve"> </w:t>
            </w:r>
            <w:r>
              <w:rPr>
                <w:rFonts w:hint="eastAsia" w:ascii="黑体" w:hAnsi="宋体" w:eastAsia="黑体" w:cs="黑体"/>
                <w:color w:val="auto"/>
                <w:kern w:val="0"/>
                <w:sz w:val="24"/>
                <w:szCs w:val="24"/>
                <w:lang w:val="en-US" w:eastAsia="zh-CN" w:bidi="ar"/>
              </w:rPr>
              <w:t>大气环境分区管</w:t>
            </w:r>
            <w:r>
              <w:rPr>
                <w:rFonts w:hint="eastAsia" w:ascii="黑体" w:hAnsi="宋体" w:cs="黑体"/>
                <w:color w:val="auto"/>
                <w:kern w:val="0"/>
                <w:sz w:val="24"/>
                <w:szCs w:val="24"/>
                <w:lang w:val="en-US" w:eastAsia="zh-CN" w:bidi="ar"/>
              </w:rPr>
              <w:t>控</w:t>
            </w:r>
            <w:r>
              <w:rPr>
                <w:rFonts w:hint="eastAsia" w:ascii="黑体" w:hAnsi="宋体" w:eastAsia="黑体" w:cs="黑体"/>
                <w:color w:val="auto"/>
                <w:kern w:val="0"/>
                <w:sz w:val="24"/>
                <w:szCs w:val="24"/>
                <w:lang w:val="en-US" w:eastAsia="zh-CN" w:bidi="ar"/>
              </w:rPr>
              <w:t>符合性分析</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4357"/>
              <w:gridCol w:w="2517"/>
              <w:gridCol w:w="689"/>
            </w:tblGrid>
            <w:tr w14:paraId="24A84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6363E5F6">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类</w:t>
                  </w:r>
                </w:p>
                <w:p w14:paraId="113DAC38">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别</w:t>
                  </w:r>
                </w:p>
              </w:tc>
              <w:tc>
                <w:tcPr>
                  <w:tcW w:w="4357" w:type="dxa"/>
                  <w:tcBorders>
                    <w:tl2br w:val="nil"/>
                    <w:tr2bl w:val="nil"/>
                  </w:tcBorders>
                  <w:noWrap w:val="0"/>
                  <w:vAlign w:val="center"/>
                </w:tcPr>
                <w:p w14:paraId="3372CA22">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分区管控要求</w:t>
                  </w:r>
                </w:p>
              </w:tc>
              <w:tc>
                <w:tcPr>
                  <w:tcW w:w="2517" w:type="dxa"/>
                  <w:tcBorders>
                    <w:tl2br w:val="nil"/>
                    <w:tr2bl w:val="nil"/>
                  </w:tcBorders>
                  <w:noWrap w:val="0"/>
                  <w:vAlign w:val="center"/>
                </w:tcPr>
                <w:p w14:paraId="6DC14C25">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本项目情况</w:t>
                  </w:r>
                </w:p>
              </w:tc>
              <w:tc>
                <w:tcPr>
                  <w:tcW w:w="689" w:type="dxa"/>
                  <w:tcBorders>
                    <w:tl2br w:val="nil"/>
                    <w:tr2bl w:val="nil"/>
                  </w:tcBorders>
                  <w:noWrap w:val="0"/>
                  <w:vAlign w:val="center"/>
                </w:tcPr>
                <w:p w14:paraId="427E7176">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符合</w:t>
                  </w:r>
                </w:p>
                <w:p w14:paraId="4E05233D">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情况</w:t>
                  </w:r>
                </w:p>
              </w:tc>
            </w:tr>
            <w:tr w14:paraId="75D41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9E2019F">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一般管控区</w:t>
                  </w:r>
                </w:p>
              </w:tc>
              <w:tc>
                <w:tcPr>
                  <w:tcW w:w="4357" w:type="dxa"/>
                  <w:tcBorders>
                    <w:tl2br w:val="nil"/>
                    <w:tr2bl w:val="nil"/>
                  </w:tcBorders>
                  <w:noWrap w:val="0"/>
                  <w:vAlign w:val="center"/>
                </w:tcPr>
                <w:p w14:paraId="1AFE63D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tc>
              <w:tc>
                <w:tcPr>
                  <w:tcW w:w="2517" w:type="dxa"/>
                  <w:tcBorders>
                    <w:tl2br w:val="nil"/>
                    <w:tr2bl w:val="nil"/>
                  </w:tcBorders>
                  <w:noWrap w:val="0"/>
                  <w:vAlign w:val="center"/>
                </w:tcPr>
                <w:p w14:paraId="7EC992CD">
                  <w:pPr>
                    <w:pStyle w:val="33"/>
                    <w:keepNext w:val="0"/>
                    <w:keepLines w:val="0"/>
                    <w:suppressLineNumbers w:val="0"/>
                    <w:bidi w:val="0"/>
                    <w:spacing w:beforeAutospacing="0" w:afterAutospacing="0"/>
                    <w:ind w:left="0" w:right="0"/>
                    <w:rPr>
                      <w:rFonts w:hint="default" w:cs="Times New Roman"/>
                      <w:color w:val="auto"/>
                      <w:lang w:val="en-US"/>
                    </w:rPr>
                  </w:pPr>
                  <w:r>
                    <w:rPr>
                      <w:rFonts w:hint="eastAsia"/>
                      <w:color w:val="auto"/>
                      <w:lang w:val="en-US" w:eastAsia="zh-CN"/>
                    </w:rPr>
                    <w:t>本项目主要对历史遗留废弃矿山进行生态修复治理。营运期无废气产生，项目废气主要为施工期废气，其中施工扬尘采取措施为施工场地设置施工围挡、定期洒水降尘、运输车辆加盖篷布；临时堆土场采取措施为施工期临时堆土堆放在治理区内，并采用纤维网苫盖，定期洒水保湿；机械废气采取措施为加强机械设备管理和保养维修，合理降低使用次数</w:t>
                  </w:r>
                  <w:r>
                    <w:rPr>
                      <w:rFonts w:hint="eastAsia" w:cs="Times New Roman"/>
                      <w:color w:val="auto"/>
                      <w:lang w:val="en-US" w:eastAsia="zh-CN"/>
                    </w:rPr>
                    <w:t>。且随着施工期结束后，施工期废气影响也会消失。对环境影响较小</w:t>
                  </w:r>
                </w:p>
              </w:tc>
              <w:tc>
                <w:tcPr>
                  <w:tcW w:w="689" w:type="dxa"/>
                  <w:tcBorders>
                    <w:tl2br w:val="nil"/>
                    <w:tr2bl w:val="nil"/>
                  </w:tcBorders>
                  <w:noWrap w:val="0"/>
                  <w:vAlign w:val="center"/>
                </w:tcPr>
                <w:p w14:paraId="6F27E54E">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4FFAD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328878A">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高排放重点管控区</w:t>
                  </w:r>
                </w:p>
              </w:tc>
              <w:tc>
                <w:tcPr>
                  <w:tcW w:w="4357" w:type="dxa"/>
                  <w:tcBorders>
                    <w:tl2br w:val="nil"/>
                    <w:tr2bl w:val="nil"/>
                  </w:tcBorders>
                  <w:noWrap w:val="0"/>
                  <w:vAlign w:val="center"/>
                </w:tcPr>
                <w:p w14:paraId="6AC98C0E">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未达到大气环境质量标准的地区，新增排放大气污染物项目大气污染物排放总量实行倍减置换；已达到大气环境质量标准的地区，应当严格控制新增排放大气污染物项目大气污染物排放量（依据《宁夏回族自治区大气污染防治条例》）。全面淘汰工业园区（产业集聚区）内35蒸吨/小时及以下燃煤锅炉。城市建成区、集中供热覆盖区及天然气管网覆盖区一律禁止新建燃煤锅炉，逐步淘汰35蒸吨/小时及以下燃煤锅炉，保留及新建锅炉需达到特别排放限值要求。（依据《中卫市生态环境保护“十四五”规划》）</w:t>
                  </w:r>
                </w:p>
                <w:p w14:paraId="1980EC6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严格控制水泥、建材、铸造、焦化、冶炼等行业生产工艺过程及相关物料储存、输送等无组织排放，对煤炭、煤矸石、煤渣、煤灰、水泥、石灰等易产生粉尘的物料建设全封闭式堆场或采用防风抑尘网进行储存；运输采用密闭皮带、封闭通廊、管状带式输送机等方式，并采取洒水、喷淋、苫盖等综合措施进行抑尘。持续推进钢铁企业超低排放改造和工业炉窑大气污染治理，配套建设高效脱硫脱硝除尘等设施。推进制药、农药、焦化、染料等涉VOCs排放的工业企业建设高效VOCs治理设施。全面推进涉及VOCs排放的工业企业设备动静密封点、储存、装卸、废水处理系统、有组织工艺废气和非正常工况等源项整治，有效控制烟气脱硝和氨法脱硫过程中氨逃逸。升级钢铁、建材、化工、水泥领域工艺技术，控制工业过程温室气体排放。积极开展火电行业CO</w:t>
                  </w:r>
                  <w:r>
                    <w:rPr>
                      <w:rFonts w:hint="default" w:cs="Times New Roman"/>
                      <w:color w:val="auto"/>
                      <w:vertAlign w:val="subscript"/>
                    </w:rPr>
                    <w:t>2</w:t>
                  </w:r>
                  <w:r>
                    <w:rPr>
                      <w:rFonts w:hint="default" w:cs="Times New Roman"/>
                      <w:color w:val="auto"/>
                    </w:rPr>
                    <w:t>排放总量控制试点，提高煤炭高效利用水平。（依据《中卫市生态环境保护“十四五”规划》）</w:t>
                  </w:r>
                </w:p>
              </w:tc>
              <w:tc>
                <w:tcPr>
                  <w:tcW w:w="2517" w:type="dxa"/>
                  <w:tcBorders>
                    <w:tl2br w:val="nil"/>
                    <w:tr2bl w:val="nil"/>
                  </w:tcBorders>
                  <w:noWrap w:val="0"/>
                  <w:vAlign w:val="center"/>
                </w:tcPr>
                <w:p w14:paraId="2AEFD896">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本项目主要对历史遗留废弃矿山进行生态修复治理。不涉及</w:t>
                  </w:r>
                  <w:r>
                    <w:rPr>
                      <w:rFonts w:hint="default" w:cs="Times New Roman"/>
                      <w:color w:val="auto"/>
                    </w:rPr>
                    <w:t>水泥、建材、铸造、焦化、冶炼等行业</w:t>
                  </w:r>
                  <w:r>
                    <w:rPr>
                      <w:rFonts w:hint="eastAsia" w:cs="Times New Roman"/>
                      <w:color w:val="auto"/>
                      <w:lang w:eastAsia="zh-CN"/>
                    </w:rPr>
                    <w:t>，</w:t>
                  </w:r>
                  <w:r>
                    <w:rPr>
                      <w:rFonts w:hint="eastAsia" w:cs="Times New Roman"/>
                      <w:color w:val="auto"/>
                      <w:lang w:val="en-US" w:eastAsia="zh-CN"/>
                    </w:rPr>
                    <w:t>不涉及</w:t>
                  </w:r>
                  <w:r>
                    <w:rPr>
                      <w:rFonts w:hint="eastAsia" w:cs="Times New Roman"/>
                      <w:color w:val="auto"/>
                      <w:lang w:eastAsia="zh-CN"/>
                    </w:rPr>
                    <w:t>VOCs</w:t>
                  </w:r>
                  <w:r>
                    <w:rPr>
                      <w:rFonts w:hint="eastAsia" w:cs="Times New Roman"/>
                      <w:color w:val="auto"/>
                      <w:lang w:val="en-US" w:eastAsia="zh-CN"/>
                    </w:rPr>
                    <w:t>排放。营运期无废气产生，项目废气主要为施工期废气，</w:t>
                  </w:r>
                  <w:r>
                    <w:rPr>
                      <w:rFonts w:hint="eastAsia"/>
                      <w:color w:val="auto"/>
                      <w:lang w:val="en-US" w:eastAsia="zh-CN"/>
                    </w:rPr>
                    <w:t>其中施工扬尘采取措施为施工场地设置施工围挡、定期洒水降尘、运输车辆加盖篷布；临时堆土场采取措施为施工期临时堆土堆放在治理区内，并采用纤维网苫盖，定期洒水保湿；机械废气采取措施为加强机械设备管理和保养维修，合理降低使用次数。</w:t>
                  </w:r>
                  <w:r>
                    <w:rPr>
                      <w:rFonts w:hint="eastAsia" w:cs="Times New Roman"/>
                      <w:color w:val="auto"/>
                      <w:lang w:val="en-US" w:eastAsia="zh-CN"/>
                    </w:rPr>
                    <w:t>且随着施工期结束后，施工期废气影响也会消失</w:t>
                  </w:r>
                </w:p>
              </w:tc>
              <w:tc>
                <w:tcPr>
                  <w:tcW w:w="689" w:type="dxa"/>
                  <w:tcBorders>
                    <w:tl2br w:val="nil"/>
                    <w:tr2bl w:val="nil"/>
                  </w:tcBorders>
                  <w:noWrap w:val="0"/>
                  <w:vAlign w:val="center"/>
                </w:tcPr>
                <w:p w14:paraId="637DF2FE">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497A2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2FF593E2">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b/>
                      <w:bCs/>
                      <w:color w:val="auto"/>
                      <w:lang w:val="en-US" w:eastAsia="zh-CN"/>
                    </w:rPr>
                    <w:t>弱扩散重点管控区</w:t>
                  </w:r>
                </w:p>
              </w:tc>
              <w:tc>
                <w:tcPr>
                  <w:tcW w:w="4357" w:type="dxa"/>
                  <w:tcBorders>
                    <w:tl2br w:val="nil"/>
                    <w:tr2bl w:val="nil"/>
                  </w:tcBorders>
                  <w:noWrap w:val="0"/>
                  <w:vAlign w:val="center"/>
                </w:tcPr>
                <w:p w14:paraId="693C4EF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严格控制高耗能、高污染、低水平项目重复建设，对高耗能行业新增产能严格落实能耗、污染物排放量减量置换。（依据《中卫市空气质量改善“十四五”规划》）</w:t>
                  </w:r>
                </w:p>
              </w:tc>
              <w:tc>
                <w:tcPr>
                  <w:tcW w:w="2517" w:type="dxa"/>
                  <w:tcBorders>
                    <w:tl2br w:val="nil"/>
                    <w:tr2bl w:val="nil"/>
                  </w:tcBorders>
                  <w:noWrap w:val="0"/>
                  <w:vAlign w:val="center"/>
                </w:tcPr>
                <w:p w14:paraId="59616AD8">
                  <w:pPr>
                    <w:pStyle w:val="33"/>
                    <w:keepNext w:val="0"/>
                    <w:keepLines w:val="0"/>
                    <w:suppressLineNumbers w:val="0"/>
                    <w:bidi w:val="0"/>
                    <w:spacing w:beforeAutospacing="0" w:afterAutospacing="0"/>
                    <w:ind w:left="0" w:right="0"/>
                    <w:jc w:val="center"/>
                    <w:rPr>
                      <w:rFonts w:hint="default" w:eastAsia="宋体" w:cs="Times New Roman"/>
                      <w:color w:val="auto"/>
                      <w:lang w:val="en-US" w:eastAsia="zh-CN"/>
                    </w:rPr>
                  </w:pPr>
                  <w:r>
                    <w:rPr>
                      <w:rFonts w:hint="eastAsia" w:cs="Times New Roman"/>
                      <w:color w:val="auto"/>
                      <w:lang w:val="en-US" w:eastAsia="zh-CN"/>
                    </w:rPr>
                    <w:t>本项目不涉及</w:t>
                  </w:r>
                </w:p>
              </w:tc>
              <w:tc>
                <w:tcPr>
                  <w:tcW w:w="689" w:type="dxa"/>
                  <w:tcBorders>
                    <w:tl2br w:val="nil"/>
                    <w:tr2bl w:val="nil"/>
                  </w:tcBorders>
                  <w:noWrap w:val="0"/>
                  <w:vAlign w:val="center"/>
                </w:tcPr>
                <w:p w14:paraId="55555B8D">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bl>
          <w:p w14:paraId="1273058C">
            <w:pPr>
              <w:keepNext w:val="0"/>
              <w:keepLines w:val="0"/>
              <w:suppressLineNumbers w:val="0"/>
              <w:bidi w:val="0"/>
              <w:spacing w:before="0" w:beforeAutospacing="0" w:after="0" w:afterAutospacing="0"/>
              <w:ind w:left="0" w:right="0"/>
              <w:rPr>
                <w:rFonts w:hint="default"/>
                <w:b/>
                <w:bCs/>
                <w:color w:val="auto"/>
              </w:rPr>
            </w:pPr>
            <w:r>
              <w:rPr>
                <w:rFonts w:hint="eastAsia"/>
                <w:b/>
                <w:bCs/>
                <w:color w:val="auto"/>
              </w:rPr>
              <w:t>②水环境质量底线及分区管控</w:t>
            </w:r>
          </w:p>
          <w:p w14:paraId="1BD98CD9">
            <w:pPr>
              <w:keepNext w:val="0"/>
              <w:keepLines w:val="0"/>
              <w:suppressLineNumbers w:val="0"/>
              <w:spacing w:before="0" w:beforeAutospacing="0" w:after="0" w:afterAutospacing="0"/>
              <w:ind w:left="0" w:right="0" w:firstLine="454" w:firstLineChars="200"/>
              <w:rPr>
                <w:rFonts w:hint="default" w:cs="Times New Roman"/>
                <w:b/>
                <w:bCs/>
                <w:snapToGrid w:val="0"/>
                <w:color w:val="auto"/>
                <w:kern w:val="0"/>
                <w:sz w:val="24"/>
                <w:szCs w:val="22"/>
                <w:highlight w:val="none"/>
              </w:rPr>
            </w:pPr>
            <w:r>
              <w:rPr>
                <w:rFonts w:hint="eastAsia" w:cs="Times New Roman"/>
                <w:color w:val="auto"/>
                <w:lang w:val="en-US" w:eastAsia="zh-CN"/>
              </w:rPr>
              <w:t>水环境质量底线：根据《市人民政府办公室关于发布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号）中水环境质量底线，黄河干流-</w:t>
            </w:r>
            <w:r>
              <w:rPr>
                <w:rFonts w:hint="default" w:cs="Times New Roman"/>
                <w:color w:val="auto"/>
                <w:sz w:val="24"/>
                <w:highlight w:val="none"/>
              </w:rPr>
              <w:t>下河沿断面</w:t>
            </w:r>
            <w:r>
              <w:rPr>
                <w:rFonts w:hint="eastAsia" w:cs="Times New Roman"/>
                <w:color w:val="auto"/>
                <w:sz w:val="24"/>
                <w:highlight w:val="none"/>
                <w:lang w:val="en-US" w:eastAsia="zh-CN"/>
              </w:rPr>
              <w:t>2025年水质目标为</w:t>
            </w:r>
            <w:r>
              <w:rPr>
                <w:rFonts w:hint="default" w:cs="Times New Roman"/>
                <w:color w:val="auto"/>
                <w:sz w:val="24"/>
                <w:highlight w:val="none"/>
              </w:rPr>
              <w:t>Ⅱ类水质</w:t>
            </w:r>
            <w:r>
              <w:rPr>
                <w:rFonts w:hint="eastAsia" w:cs="Times New Roman"/>
                <w:color w:val="auto"/>
                <w:sz w:val="24"/>
                <w:highlight w:val="none"/>
                <w:lang w:eastAsia="zh-CN"/>
              </w:rPr>
              <w:t>。</w:t>
            </w:r>
            <w:r>
              <w:rPr>
                <w:rFonts w:hint="eastAsia" w:cs="Times New Roman"/>
                <w:color w:val="auto"/>
                <w:sz w:val="24"/>
                <w:highlight w:val="none"/>
                <w:lang w:val="en-US" w:eastAsia="zh-CN"/>
              </w:rPr>
              <w:t>本</w:t>
            </w:r>
            <w:r>
              <w:rPr>
                <w:rFonts w:hint="eastAsia" w:cs="Times New Roman"/>
                <w:color w:val="auto"/>
                <w:lang w:val="en-US" w:eastAsia="zh-CN"/>
              </w:rPr>
              <w:t>项目位于沙坡头区，黄河</w:t>
            </w:r>
            <w:r>
              <w:rPr>
                <w:rFonts w:hint="eastAsia" w:cs="Times New Roman"/>
                <w:color w:val="auto"/>
                <w:sz w:val="24"/>
                <w:highlight w:val="none"/>
                <w:lang w:val="en-US" w:eastAsia="zh-CN"/>
              </w:rPr>
              <w:t>位于A32治理区南侧，</w:t>
            </w:r>
            <w:r>
              <w:rPr>
                <w:rFonts w:hint="eastAsia" w:cs="Times New Roman"/>
                <w:color w:val="auto"/>
                <w:sz w:val="24"/>
                <w:highlight w:val="none"/>
              </w:rPr>
              <w:t>距离</w:t>
            </w:r>
            <w:r>
              <w:rPr>
                <w:rFonts w:hint="eastAsia" w:cs="Times New Roman"/>
                <w:color w:val="auto"/>
                <w:sz w:val="24"/>
                <w:highlight w:val="none"/>
                <w:lang w:val="en-US" w:eastAsia="zh-CN"/>
              </w:rPr>
              <w:t>2.2</w:t>
            </w:r>
            <w:r>
              <w:rPr>
                <w:rFonts w:hint="eastAsia" w:cs="Times New Roman"/>
                <w:color w:val="auto"/>
                <w:sz w:val="24"/>
                <w:highlight w:val="none"/>
              </w:rPr>
              <w:t>km，引用</w:t>
            </w:r>
            <w:r>
              <w:rPr>
                <w:rFonts w:hint="default" w:cs="Times New Roman"/>
                <w:color w:val="auto"/>
                <w:sz w:val="24"/>
                <w:highlight w:val="none"/>
              </w:rPr>
              <w:t>《202</w:t>
            </w:r>
            <w:r>
              <w:rPr>
                <w:rFonts w:hint="eastAsia" w:cs="Times New Roman"/>
                <w:color w:val="auto"/>
                <w:sz w:val="24"/>
                <w:highlight w:val="none"/>
                <w:lang w:val="en-US" w:eastAsia="zh-CN"/>
              </w:rPr>
              <w:t>3</w:t>
            </w:r>
            <w:r>
              <w:rPr>
                <w:rFonts w:hint="default" w:cs="Times New Roman"/>
                <w:color w:val="auto"/>
                <w:sz w:val="24"/>
                <w:highlight w:val="none"/>
              </w:rPr>
              <w:t>年宁夏生态环境质量状况报告》黄河中卫下河沿断面</w:t>
            </w:r>
            <w:r>
              <w:rPr>
                <w:rFonts w:hint="eastAsia" w:cs="Times New Roman"/>
                <w:color w:val="auto"/>
                <w:sz w:val="24"/>
                <w:highlight w:val="none"/>
              </w:rPr>
              <w:t>（甘肃一宁夏省界）</w:t>
            </w:r>
            <w:r>
              <w:rPr>
                <w:rFonts w:hint="default" w:cs="Times New Roman"/>
                <w:color w:val="auto"/>
                <w:sz w:val="24"/>
                <w:highlight w:val="none"/>
              </w:rPr>
              <w:t>的监测数据来评价本项目所在区域的地表水环境质量，202</w:t>
            </w:r>
            <w:r>
              <w:rPr>
                <w:rFonts w:hint="eastAsia" w:cs="Times New Roman"/>
                <w:color w:val="auto"/>
                <w:sz w:val="24"/>
                <w:highlight w:val="none"/>
                <w:lang w:val="en-US" w:eastAsia="zh-CN"/>
              </w:rPr>
              <w:t>3</w:t>
            </w:r>
            <w:r>
              <w:rPr>
                <w:rFonts w:hint="default" w:cs="Times New Roman"/>
                <w:color w:val="auto"/>
                <w:sz w:val="24"/>
                <w:highlight w:val="none"/>
              </w:rPr>
              <w:t>年黄河中卫下河沿断面的水质</w:t>
            </w:r>
            <w:r>
              <w:rPr>
                <w:rFonts w:hint="eastAsia" w:cs="Times New Roman"/>
                <w:color w:val="auto"/>
                <w:sz w:val="24"/>
                <w:highlight w:val="none"/>
                <w:lang w:val="en-US" w:eastAsia="zh-CN"/>
              </w:rPr>
              <w:t>为</w:t>
            </w:r>
            <w:r>
              <w:rPr>
                <w:rFonts w:hint="default" w:cs="Times New Roman"/>
                <w:color w:val="auto"/>
                <w:sz w:val="24"/>
                <w:highlight w:val="none"/>
              </w:rPr>
              <w:t>《地表水环境质量标准》Ⅱ类水质</w:t>
            </w:r>
            <w:r>
              <w:rPr>
                <w:rFonts w:hint="eastAsia" w:cs="Times New Roman"/>
                <w:color w:val="auto"/>
                <w:sz w:val="24"/>
                <w:highlight w:val="none"/>
                <w:lang w:eastAsia="zh-CN"/>
              </w:rPr>
              <w:t>，</w:t>
            </w:r>
            <w:r>
              <w:rPr>
                <w:rFonts w:hint="eastAsia" w:cs="Times New Roman"/>
                <w:color w:val="auto"/>
                <w:sz w:val="24"/>
                <w:highlight w:val="none"/>
                <w:lang w:val="en-US" w:eastAsia="zh-CN"/>
              </w:rPr>
              <w:t>满足</w:t>
            </w:r>
            <w:r>
              <w:rPr>
                <w:rFonts w:hint="default" w:cs="Times New Roman"/>
                <w:color w:val="auto"/>
                <w:sz w:val="24"/>
                <w:highlight w:val="none"/>
              </w:rPr>
              <w:t>Ⅱ类</w:t>
            </w:r>
            <w:r>
              <w:rPr>
                <w:rFonts w:hint="eastAsia" w:cs="Times New Roman"/>
                <w:color w:val="auto"/>
                <w:sz w:val="24"/>
                <w:highlight w:val="none"/>
                <w:lang w:val="en-US" w:eastAsia="zh-CN"/>
              </w:rPr>
              <w:t>考核标准</w:t>
            </w:r>
            <w:r>
              <w:rPr>
                <w:rFonts w:hint="eastAsia" w:cs="Times New Roman"/>
                <w:color w:val="auto"/>
                <w:sz w:val="24"/>
                <w:highlight w:val="none"/>
              </w:rPr>
              <w:t>。</w:t>
            </w:r>
          </w:p>
          <w:p w14:paraId="11BC6F9F">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号）中《中卫市生态环境分区管控方案图集》及《中卫市生态环境分区管控方案文本》</w:t>
            </w:r>
            <w:r>
              <w:rPr>
                <w:rFonts w:hint="eastAsia" w:cs="Times New Roman"/>
                <w:color w:val="auto"/>
                <w:lang w:eastAsia="zh-CN"/>
              </w:rPr>
              <w:t>，中卫市水环境管控分区共分为三大类：水环境优先保护区、水环境重点管控区（含水环境工业污染源重点管控区、水环境农业污染源重点管控区、水环境城镇生活污染源重点管控区）和水环境一般管控区。</w:t>
            </w:r>
            <w:r>
              <w:rPr>
                <w:rFonts w:hint="eastAsia" w:cs="Times New Roman"/>
                <w:color w:val="auto"/>
                <w:sz w:val="24"/>
                <w:highlight w:val="none"/>
                <w:lang w:val="en-US" w:eastAsia="zh-CN"/>
              </w:rPr>
              <w:t>本</w:t>
            </w:r>
            <w:r>
              <w:rPr>
                <w:rFonts w:hint="eastAsia" w:cs="Times New Roman"/>
                <w:color w:val="auto"/>
                <w:lang w:val="en-US" w:eastAsia="zh-CN"/>
              </w:rPr>
              <w:t>项目位于沙坡头区，涉及水环境优先先保护区、工业污染重点管控区、一般管控区。分区管控符合性分析见表1-2。项目与中卫市水环境分区管控图位置关系图见附图</w:t>
            </w:r>
            <w:r>
              <w:rPr>
                <w:rFonts w:hint="default" w:cs="Times New Roman"/>
                <w:color w:val="auto"/>
                <w:lang w:val="en-US" w:eastAsia="zh-CN"/>
              </w:rPr>
              <w:t>1-</w:t>
            </w:r>
            <w:r>
              <w:rPr>
                <w:rFonts w:hint="eastAsia" w:cs="Times New Roman"/>
                <w:color w:val="auto"/>
                <w:lang w:val="en-US" w:eastAsia="zh-CN"/>
              </w:rPr>
              <w:t>4。</w:t>
            </w:r>
          </w:p>
          <w:p w14:paraId="209814C8">
            <w:pPr>
              <w:pStyle w:val="3"/>
              <w:keepNext w:val="0"/>
              <w:keepLines w:val="0"/>
              <w:suppressLineNumbers w:val="0"/>
              <w:bidi w:val="0"/>
              <w:spacing w:before="0" w:beforeAutospacing="0" w:after="0" w:afterAutospacing="0"/>
              <w:ind w:left="0" w:right="0"/>
              <w:rPr>
                <w:rFonts w:hint="default"/>
                <w:color w:val="auto"/>
                <w:vertAlign w:val="baseline"/>
              </w:rPr>
            </w:pPr>
            <w:r>
              <w:rPr>
                <w:rFonts w:hint="default" w:ascii="黑体" w:hAnsi="宋体" w:eastAsia="黑体" w:cs="黑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 xml:space="preserve"> </w:t>
            </w:r>
            <w:r>
              <w:rPr>
                <w:rFonts w:hint="eastAsia" w:cs="Times New Roman"/>
                <w:color w:val="auto"/>
                <w:kern w:val="0"/>
                <w:sz w:val="24"/>
                <w:szCs w:val="24"/>
                <w:lang w:val="en-US" w:eastAsia="zh-CN" w:bidi="ar"/>
              </w:rPr>
              <w:t xml:space="preserve"> </w:t>
            </w:r>
            <w:r>
              <w:rPr>
                <w:rFonts w:hint="eastAsia" w:ascii="黑体" w:hAnsi="宋体" w:cs="黑体"/>
                <w:color w:val="auto"/>
                <w:kern w:val="0"/>
                <w:sz w:val="24"/>
                <w:szCs w:val="24"/>
                <w:lang w:val="en-US" w:eastAsia="zh-CN" w:bidi="ar"/>
              </w:rPr>
              <w:t>水</w:t>
            </w:r>
            <w:r>
              <w:rPr>
                <w:rFonts w:hint="eastAsia" w:ascii="黑体" w:hAnsi="宋体" w:eastAsia="黑体" w:cs="黑体"/>
                <w:color w:val="auto"/>
                <w:kern w:val="0"/>
                <w:sz w:val="24"/>
                <w:szCs w:val="24"/>
                <w:lang w:val="en-US" w:eastAsia="zh-CN" w:bidi="ar"/>
              </w:rPr>
              <w:t>环境分区管</w:t>
            </w:r>
            <w:r>
              <w:rPr>
                <w:rFonts w:hint="eastAsia" w:ascii="黑体" w:hAnsi="宋体" w:cs="黑体"/>
                <w:color w:val="auto"/>
                <w:kern w:val="0"/>
                <w:sz w:val="24"/>
                <w:szCs w:val="24"/>
                <w:lang w:val="en-US" w:eastAsia="zh-CN" w:bidi="ar"/>
              </w:rPr>
              <w:t>控</w:t>
            </w:r>
            <w:r>
              <w:rPr>
                <w:rFonts w:hint="eastAsia" w:ascii="黑体" w:hAnsi="宋体" w:eastAsia="黑体" w:cs="黑体"/>
                <w:color w:val="auto"/>
                <w:kern w:val="0"/>
                <w:sz w:val="24"/>
                <w:szCs w:val="24"/>
                <w:lang w:val="en-US" w:eastAsia="zh-CN" w:bidi="ar"/>
              </w:rPr>
              <w:t>符合性分析</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5440"/>
              <w:gridCol w:w="1434"/>
              <w:gridCol w:w="689"/>
            </w:tblGrid>
            <w:tr w14:paraId="5A2C6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159BBD31">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类</w:t>
                  </w:r>
                </w:p>
                <w:p w14:paraId="7AE51005">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别</w:t>
                  </w:r>
                </w:p>
              </w:tc>
              <w:tc>
                <w:tcPr>
                  <w:tcW w:w="5440" w:type="dxa"/>
                  <w:tcBorders>
                    <w:tl2br w:val="nil"/>
                    <w:tr2bl w:val="nil"/>
                  </w:tcBorders>
                  <w:noWrap w:val="0"/>
                  <w:vAlign w:val="center"/>
                </w:tcPr>
                <w:p w14:paraId="6B0D4878">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分区管控要求</w:t>
                  </w:r>
                </w:p>
              </w:tc>
              <w:tc>
                <w:tcPr>
                  <w:tcW w:w="1434" w:type="dxa"/>
                  <w:tcBorders>
                    <w:tl2br w:val="nil"/>
                    <w:tr2bl w:val="nil"/>
                  </w:tcBorders>
                  <w:noWrap w:val="0"/>
                  <w:vAlign w:val="center"/>
                </w:tcPr>
                <w:p w14:paraId="51B6CFB8">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本项目情况</w:t>
                  </w:r>
                </w:p>
              </w:tc>
              <w:tc>
                <w:tcPr>
                  <w:tcW w:w="689" w:type="dxa"/>
                  <w:tcBorders>
                    <w:tl2br w:val="nil"/>
                    <w:tr2bl w:val="nil"/>
                  </w:tcBorders>
                  <w:noWrap w:val="0"/>
                  <w:vAlign w:val="center"/>
                </w:tcPr>
                <w:p w14:paraId="5DFC533C">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符合</w:t>
                  </w:r>
                </w:p>
                <w:p w14:paraId="34C6EC99">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情况</w:t>
                  </w:r>
                </w:p>
              </w:tc>
            </w:tr>
            <w:tr w14:paraId="3BA01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6C06FB7F">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优先先保护区</w:t>
                  </w:r>
                </w:p>
              </w:tc>
              <w:tc>
                <w:tcPr>
                  <w:tcW w:w="5440" w:type="dxa"/>
                  <w:tcBorders>
                    <w:tl2br w:val="nil"/>
                    <w:tr2bl w:val="nil"/>
                  </w:tcBorders>
                  <w:noWrap w:val="0"/>
                  <w:vAlign w:val="center"/>
                </w:tcPr>
                <w:p w14:paraId="7A82F6EE">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严格落实《中华人民共和国水污染防治法》、《饮用水水源保护区污染防治管理规定》（原环境保护部令第16号）及其他有关法律法规对饮用水水源保护区的管理要求。在饮用水水源保护区内，禁止设置排污口。禁止在饮用水水源一级保护区内新建、改建、扩建与供水设施和保护水源无关的建设项目；已建成的与供水设施和保护水源无关的建设项目，由县级以上人民政府责令拆除或者关闭。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14:paraId="5D3FD73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严格落实《中华人民共和国自然保护区条例》、《湿地保护管理规定》（原国家林业局令2013年第32号）、《水产种质资源保护区管理暂行办法》（2016年5月30日修正）等有关法律法规对自然保护区、湿地公园及其他重要湿地、水产种质资源保护区等区域的管理要求</w:t>
                  </w:r>
                </w:p>
                <w:p w14:paraId="45617BBB">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以香山湖国家湿地公园、中宁天湖国家湿地公园为重点，开展重要湖泊湿地生态保护治理和水生生物多样性提升工作，确保湿地公园水位不降低，湿地面积不缩小。开展自然修复为主、人工诱导为辅的水生态修复工程。（依据《中卫市水生态环境保护十四五规划》）</w:t>
                  </w:r>
                </w:p>
                <w:p w14:paraId="0D1EFAC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以海原县南华山水源涵养区为重点，开展自然封育工作，采用自然封育为主，人工诱导为辅的手段，提高区域的水源涵养能力，使其能够稳定涵养海原县老城区水源地，保障人民群众饮水安全</w:t>
                  </w:r>
                </w:p>
                <w:p w14:paraId="2038835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结合黄河干流岸线确界工作，划定黄河中卫段河湖岸线，并开展制定岸线利用功能，对与岸线利用功能不相符的，进行清理整治，整治地段开展河湖生态缓冲带建设工作。严格实施《宁夏清水河岸线保护与利用规划》，清理整治与规划不相符的农业种植及人类活动，整治地段开展河湖生态缓冲带建设工作。（依据《中卫市水生态环境保护十四五规划》）</w:t>
                  </w:r>
                </w:p>
              </w:tc>
              <w:tc>
                <w:tcPr>
                  <w:tcW w:w="1434" w:type="dxa"/>
                  <w:tcBorders>
                    <w:tl2br w:val="nil"/>
                    <w:tr2bl w:val="nil"/>
                  </w:tcBorders>
                  <w:noWrap w:val="0"/>
                  <w:vAlign w:val="center"/>
                </w:tcPr>
                <w:p w14:paraId="3349E672">
                  <w:pPr>
                    <w:pStyle w:val="33"/>
                    <w:keepNext w:val="0"/>
                    <w:keepLines w:val="0"/>
                    <w:suppressLineNumbers w:val="0"/>
                    <w:bidi w:val="0"/>
                    <w:spacing w:beforeAutospacing="0" w:afterAutospacing="0"/>
                    <w:ind w:left="0" w:right="0"/>
                    <w:jc w:val="center"/>
                    <w:rPr>
                      <w:rFonts w:hint="eastAsia" w:eastAsia="宋体" w:cs="Times New Roman"/>
                      <w:color w:val="auto"/>
                      <w:lang w:val="en-US" w:eastAsia="zh-CN"/>
                    </w:rPr>
                  </w:pPr>
                  <w:r>
                    <w:rPr>
                      <w:rFonts w:hint="eastAsia" w:cs="Times New Roman"/>
                      <w:color w:val="auto"/>
                      <w:lang w:val="en-US" w:eastAsia="zh-CN"/>
                    </w:rPr>
                    <w:t>本项目位于沙坡头区，主要对历史遗留废弃矿山进行生态修复治理，不涉及</w:t>
                  </w:r>
                  <w:r>
                    <w:rPr>
                      <w:rFonts w:hint="eastAsia"/>
                      <w:color w:val="auto"/>
                      <w:lang w:val="en-US" w:eastAsia="zh-CN"/>
                    </w:rPr>
                    <w:t>水源保护区，不设置排污口</w:t>
                  </w:r>
                  <w:r>
                    <w:rPr>
                      <w:rFonts w:hint="eastAsia" w:cs="Times New Roman"/>
                      <w:color w:val="auto"/>
                      <w:lang w:eastAsia="zh-CN"/>
                    </w:rPr>
                    <w:t>，</w:t>
                  </w:r>
                  <w:r>
                    <w:rPr>
                      <w:rFonts w:hint="eastAsia" w:cs="Times New Roman"/>
                      <w:color w:val="auto"/>
                      <w:lang w:val="en-US" w:eastAsia="zh-CN"/>
                    </w:rPr>
                    <w:t>不涉及</w:t>
                  </w:r>
                  <w:r>
                    <w:rPr>
                      <w:rFonts w:hint="default" w:cs="Times New Roman"/>
                      <w:color w:val="auto"/>
                    </w:rPr>
                    <w:t>自然保护区、湿地公园及其他重要湿地、水产种质资源保护区</w:t>
                  </w:r>
                </w:p>
              </w:tc>
              <w:tc>
                <w:tcPr>
                  <w:tcW w:w="689" w:type="dxa"/>
                  <w:tcBorders>
                    <w:tl2br w:val="nil"/>
                    <w:tr2bl w:val="nil"/>
                  </w:tcBorders>
                  <w:noWrap w:val="0"/>
                  <w:vAlign w:val="center"/>
                </w:tcPr>
                <w:p w14:paraId="3789C75A">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41735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762DAB9E">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工业污染重点管控区</w:t>
                  </w:r>
                </w:p>
              </w:tc>
              <w:tc>
                <w:tcPr>
                  <w:tcW w:w="5440" w:type="dxa"/>
                  <w:tcBorders>
                    <w:tl2br w:val="nil"/>
                    <w:tr2bl w:val="nil"/>
                  </w:tcBorders>
                  <w:noWrap w:val="0"/>
                  <w:vAlign w:val="center"/>
                </w:tcPr>
                <w:p w14:paraId="298BEA2D">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对严重污染水环境的落后工艺和设备实行淘汰制度。禁止新建不符合国家产业政策的小型造纸、制革、印染、染料、炼焦、炼硫、炼砷、炼汞、炼油、电镀、农药、石棉、水泥、玻璃、钢铁、火电以及其他严重污染水环境的生产项目（依据《中华人民共和国水污染防治法》）。新建排放重点水污染物的工业项目应当进入符合相关产业规划的工业集聚区。（依据《宁夏回族自治区水污染防治条例》）</w:t>
                  </w:r>
                </w:p>
                <w:p w14:paraId="22E667A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各县（区）人民政府或工业园区管理机构要组织有关部门和单位对进入市政污水收集设施的工业企业进行排查和评估，评估认定污染物不能被城镇污水处理厂有效处理或可能影响城镇污水处理厂出水稳定达标的，要限期退出；评估可继续接入污水管网的工业企业，应当依法取得排水许可和排污许可。园区内农药、医药、染料等三类中间体项目，需完善废水脱盐装置并正常运行，加强杂盐产量与废水排放量之间关联性监管，防止企业以水带盐排放。（依据《中卫市生态环境保护“十四五”规划》）对进入园区污水处理厂的工业企业出水进行监测评估，将特征污染物纳入监督性监测及日常监管，强化企业废水预处理，确保达到园区污水处理厂纳管标准，保障园区污水处理厂设施稳定运行，处理后的尾水稳定达标排放。新建、升级工业园区应同步规划、建设污水集中处理回用设施。（依据《自治区环境保护“十三五”规划》）</w:t>
                  </w:r>
                </w:p>
              </w:tc>
              <w:tc>
                <w:tcPr>
                  <w:tcW w:w="1434" w:type="dxa"/>
                  <w:tcBorders>
                    <w:tl2br w:val="nil"/>
                    <w:tr2bl w:val="nil"/>
                  </w:tcBorders>
                  <w:noWrap w:val="0"/>
                  <w:vAlign w:val="center"/>
                </w:tcPr>
                <w:p w14:paraId="29D5227D">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本项目主要对历史遗留废弃矿山进行生态修复治理，不排放工业废水，不涉及</w:t>
                  </w:r>
                  <w:r>
                    <w:rPr>
                      <w:rFonts w:hint="default" w:cs="Times New Roman"/>
                      <w:color w:val="auto"/>
                    </w:rPr>
                    <w:t>小型造纸、制革、印染、染料、炼焦、炼硫、炼砷、炼汞、炼油、电镀、农药、石棉、水泥、玻璃、钢铁、火电以及其他严重污染水环境的生产项目</w:t>
                  </w:r>
                </w:p>
              </w:tc>
              <w:tc>
                <w:tcPr>
                  <w:tcW w:w="689" w:type="dxa"/>
                  <w:tcBorders>
                    <w:tl2br w:val="nil"/>
                    <w:tr2bl w:val="nil"/>
                  </w:tcBorders>
                  <w:noWrap w:val="0"/>
                  <w:vAlign w:val="center"/>
                </w:tcPr>
                <w:p w14:paraId="1F769CC3">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55E22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4" w:type="dxa"/>
                  <w:tcBorders>
                    <w:tl2br w:val="nil"/>
                    <w:tr2bl w:val="nil"/>
                  </w:tcBorders>
                  <w:noWrap w:val="0"/>
                  <w:vAlign w:val="center"/>
                </w:tcPr>
                <w:p w14:paraId="220A4884">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b/>
                      <w:bCs/>
                      <w:color w:val="auto"/>
                      <w:lang w:val="en-US" w:eastAsia="zh-CN"/>
                    </w:rPr>
                    <w:t>一般管控区</w:t>
                  </w:r>
                </w:p>
              </w:tc>
              <w:tc>
                <w:tcPr>
                  <w:tcW w:w="5440" w:type="dxa"/>
                  <w:tcBorders>
                    <w:tl2br w:val="nil"/>
                    <w:tr2bl w:val="nil"/>
                  </w:tcBorders>
                  <w:noWrap w:val="0"/>
                  <w:vAlign w:val="center"/>
                </w:tcPr>
                <w:p w14:paraId="535F518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tc>
              <w:tc>
                <w:tcPr>
                  <w:tcW w:w="1434" w:type="dxa"/>
                  <w:tcBorders>
                    <w:tl2br w:val="nil"/>
                    <w:tr2bl w:val="nil"/>
                  </w:tcBorders>
                  <w:noWrap w:val="0"/>
                  <w:vAlign w:val="center"/>
                </w:tcPr>
                <w:p w14:paraId="26CF3ED4">
                  <w:pPr>
                    <w:pStyle w:val="33"/>
                    <w:keepNext w:val="0"/>
                    <w:keepLines w:val="0"/>
                    <w:suppressLineNumbers w:val="0"/>
                    <w:bidi w:val="0"/>
                    <w:spacing w:beforeAutospacing="0" w:afterAutospacing="0"/>
                    <w:ind w:left="0" w:right="0"/>
                    <w:jc w:val="center"/>
                    <w:rPr>
                      <w:rFonts w:hint="default" w:eastAsia="宋体" w:cs="Times New Roman"/>
                      <w:color w:val="auto"/>
                      <w:lang w:val="en-US" w:eastAsia="zh-CN"/>
                    </w:rPr>
                  </w:pPr>
                  <w:r>
                    <w:rPr>
                      <w:rFonts w:hint="eastAsia" w:cs="Times New Roman"/>
                      <w:color w:val="auto"/>
                      <w:lang w:val="en-US" w:eastAsia="zh-CN"/>
                    </w:rPr>
                    <w:t>本项目运营期仅使用少量养护用水，不排放污水</w:t>
                  </w:r>
                </w:p>
              </w:tc>
              <w:tc>
                <w:tcPr>
                  <w:tcW w:w="689" w:type="dxa"/>
                  <w:tcBorders>
                    <w:tl2br w:val="nil"/>
                    <w:tr2bl w:val="nil"/>
                  </w:tcBorders>
                  <w:noWrap w:val="0"/>
                  <w:vAlign w:val="center"/>
                </w:tcPr>
                <w:p w14:paraId="26633676">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bl>
          <w:p w14:paraId="605EF2AA">
            <w:pPr>
              <w:keepNext w:val="0"/>
              <w:keepLines w:val="0"/>
              <w:suppressLineNumbers w:val="0"/>
              <w:bidi w:val="0"/>
              <w:spacing w:before="0" w:beforeAutospacing="0" w:after="0" w:afterAutospacing="0"/>
              <w:ind w:left="0" w:right="0"/>
              <w:rPr>
                <w:rFonts w:hint="default" w:cs="Times New Roman"/>
                <w:b/>
                <w:bCs/>
                <w:color w:val="auto"/>
              </w:rPr>
            </w:pPr>
            <w:r>
              <w:rPr>
                <w:rFonts w:hint="eastAsia" w:cs="Times New Roman"/>
                <w:b/>
                <w:bCs/>
                <w:color w:val="auto"/>
              </w:rPr>
              <w:t>③土壤环境风险管控底线及分区管控</w:t>
            </w:r>
          </w:p>
          <w:p w14:paraId="6762D905">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zh-CN"/>
              </w:rPr>
              <w:t>土壤环境质量底线：</w:t>
            </w: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w:t>
            </w:r>
            <w:r>
              <w:rPr>
                <w:rFonts w:hint="eastAsia" w:cs="Times New Roman"/>
                <w:color w:val="auto"/>
                <w:lang w:val="zh-CN"/>
              </w:rPr>
              <w:t>土壤</w:t>
            </w:r>
            <w:r>
              <w:rPr>
                <w:rFonts w:hint="eastAsia" w:cs="Times New Roman"/>
                <w:color w:val="auto"/>
                <w:lang w:val="en-US" w:eastAsia="zh-CN"/>
              </w:rPr>
              <w:t>环境质量底线，</w:t>
            </w:r>
            <w:r>
              <w:rPr>
                <w:rFonts w:hint="eastAsia" w:cs="Times New Roman"/>
                <w:color w:val="auto"/>
                <w:lang w:val="zh-CN"/>
              </w:rPr>
              <w:t>到2025年，全市土壤环境质量总体持续稳中向好，重点建设用地安全利用得到有效保障，受污染耕地和污染地块安全利用率完成自治区“十四五”考核目标。</w:t>
            </w:r>
          </w:p>
          <w:p w14:paraId="57FC0DA2">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中卫市生态环境分区管控方案图集》及《中卫市生态环境分区管控方案文本》，根据土壤环境质量现状、土地利用现状，综合考虑全市农用地土壤污染状况详查和重点行业企业用地详查结果，衔接现有污染地块名录、土壤环境重点监管企业清单等，将全市划分为农用地优先保护区、建设用地污染风险重点管控区和土壤环境一般管控区。</w:t>
            </w:r>
            <w:r>
              <w:rPr>
                <w:rFonts w:hint="eastAsia" w:cs="Times New Roman"/>
                <w:color w:val="auto"/>
                <w:sz w:val="24"/>
                <w:highlight w:val="none"/>
                <w:lang w:val="en-US" w:eastAsia="zh-CN"/>
              </w:rPr>
              <w:t>本</w:t>
            </w:r>
            <w:r>
              <w:rPr>
                <w:rFonts w:hint="eastAsia" w:cs="Times New Roman"/>
                <w:color w:val="auto"/>
                <w:lang w:val="en-US" w:eastAsia="zh-CN"/>
              </w:rPr>
              <w:t>项目位于沙坡头区，本项目涉及</w:t>
            </w:r>
            <w:r>
              <w:rPr>
                <w:rFonts w:hint="eastAsia" w:cs="Times New Roman"/>
                <w:color w:val="auto"/>
                <w:lang w:eastAsia="zh-CN"/>
              </w:rPr>
              <w:t>土壤污染风险</w:t>
            </w:r>
            <w:r>
              <w:rPr>
                <w:rFonts w:hint="eastAsia" w:cs="Times New Roman"/>
                <w:color w:val="auto"/>
                <w:lang w:val="en-US" w:eastAsia="zh-CN"/>
              </w:rPr>
              <w:t>农用地优先保护区、建设用地污染风险重点管控区、一般管控单元。分区管控符合性分析见表1-3。项目与中卫市</w:t>
            </w:r>
            <w:r>
              <w:rPr>
                <w:rFonts w:hint="eastAsia" w:cs="Times New Roman"/>
                <w:color w:val="auto"/>
                <w:lang w:eastAsia="zh-CN"/>
              </w:rPr>
              <w:t>土壤污染风险</w:t>
            </w:r>
            <w:r>
              <w:rPr>
                <w:rFonts w:hint="eastAsia" w:cs="Times New Roman"/>
                <w:color w:val="auto"/>
                <w:lang w:val="en-US" w:eastAsia="zh-CN"/>
              </w:rPr>
              <w:t>分区管控图位置关系图见附图</w:t>
            </w:r>
            <w:r>
              <w:rPr>
                <w:rFonts w:hint="default" w:cs="Times New Roman"/>
                <w:color w:val="auto"/>
                <w:lang w:val="en-US" w:eastAsia="zh-CN"/>
              </w:rPr>
              <w:t>1-</w:t>
            </w:r>
            <w:r>
              <w:rPr>
                <w:rFonts w:hint="eastAsia" w:cs="Times New Roman"/>
                <w:color w:val="auto"/>
                <w:lang w:val="en-US" w:eastAsia="zh-CN"/>
              </w:rPr>
              <w:t>5。</w:t>
            </w:r>
          </w:p>
          <w:p w14:paraId="10F10712">
            <w:pPr>
              <w:pStyle w:val="3"/>
              <w:keepNext w:val="0"/>
              <w:keepLines w:val="0"/>
              <w:suppressLineNumbers w:val="0"/>
              <w:bidi w:val="0"/>
              <w:spacing w:before="0" w:beforeAutospacing="0" w:after="0" w:afterAutospacing="0"/>
              <w:ind w:left="0" w:right="0"/>
              <w:rPr>
                <w:rFonts w:hint="eastAsia" w:ascii="黑体" w:hAnsi="宋体" w:eastAsia="黑体" w:cs="黑体"/>
                <w:color w:val="auto"/>
                <w:kern w:val="0"/>
                <w:sz w:val="24"/>
                <w:szCs w:val="24"/>
                <w:lang w:val="en-US" w:eastAsia="zh-CN" w:bidi="ar"/>
              </w:rPr>
            </w:pPr>
            <w:r>
              <w:rPr>
                <w:rFonts w:hint="eastAsia"/>
                <w:color w:val="auto"/>
                <w:lang w:val="en-US" w:eastAsia="zh-CN"/>
              </w:rPr>
              <w:t xml:space="preserve">表1-3  </w:t>
            </w:r>
            <w:r>
              <w:rPr>
                <w:rFonts w:hint="eastAsia"/>
                <w:color w:val="auto"/>
                <w:lang w:eastAsia="zh-CN"/>
              </w:rPr>
              <w:t>土壤污染风险</w:t>
            </w:r>
            <w:r>
              <w:rPr>
                <w:rFonts w:hint="eastAsia" w:ascii="黑体" w:hAnsi="宋体" w:eastAsia="黑体" w:cs="黑体"/>
                <w:color w:val="auto"/>
                <w:kern w:val="0"/>
                <w:sz w:val="24"/>
                <w:szCs w:val="24"/>
                <w:lang w:val="en-US" w:eastAsia="zh-CN" w:bidi="ar"/>
              </w:rPr>
              <w:t>分区管</w:t>
            </w:r>
            <w:r>
              <w:rPr>
                <w:rFonts w:hint="eastAsia" w:ascii="黑体" w:hAnsi="宋体" w:cs="黑体"/>
                <w:color w:val="auto"/>
                <w:kern w:val="0"/>
                <w:sz w:val="24"/>
                <w:szCs w:val="24"/>
                <w:lang w:val="en-US" w:eastAsia="zh-CN" w:bidi="ar"/>
              </w:rPr>
              <w:t>控</w:t>
            </w:r>
            <w:r>
              <w:rPr>
                <w:rFonts w:hint="eastAsia" w:ascii="黑体" w:hAnsi="宋体" w:eastAsia="黑体" w:cs="黑体"/>
                <w:color w:val="auto"/>
                <w:kern w:val="0"/>
                <w:sz w:val="24"/>
                <w:szCs w:val="24"/>
                <w:lang w:val="en-US" w:eastAsia="zh-CN" w:bidi="ar"/>
              </w:rPr>
              <w:t>符合性分析</w:t>
            </w:r>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4"/>
              <w:gridCol w:w="5331"/>
              <w:gridCol w:w="1543"/>
              <w:gridCol w:w="689"/>
            </w:tblGrid>
            <w:tr w14:paraId="476B4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14" w:type="dxa"/>
                  <w:tcBorders>
                    <w:tl2br w:val="nil"/>
                    <w:tr2bl w:val="nil"/>
                  </w:tcBorders>
                  <w:noWrap w:val="0"/>
                  <w:vAlign w:val="center"/>
                </w:tcPr>
                <w:p w14:paraId="0D1C81A5">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类</w:t>
                  </w:r>
                </w:p>
                <w:p w14:paraId="06DEB1ED">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别</w:t>
                  </w:r>
                </w:p>
              </w:tc>
              <w:tc>
                <w:tcPr>
                  <w:tcW w:w="5331" w:type="dxa"/>
                  <w:tcBorders>
                    <w:tl2br w:val="nil"/>
                    <w:tr2bl w:val="nil"/>
                  </w:tcBorders>
                  <w:noWrap w:val="0"/>
                  <w:vAlign w:val="center"/>
                </w:tcPr>
                <w:p w14:paraId="19E598A9">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分区管控要求</w:t>
                  </w:r>
                </w:p>
              </w:tc>
              <w:tc>
                <w:tcPr>
                  <w:tcW w:w="1543" w:type="dxa"/>
                  <w:tcBorders>
                    <w:tl2br w:val="nil"/>
                    <w:tr2bl w:val="nil"/>
                  </w:tcBorders>
                  <w:noWrap w:val="0"/>
                  <w:vAlign w:val="center"/>
                </w:tcPr>
                <w:p w14:paraId="7DFC1805">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本项目情况</w:t>
                  </w:r>
                </w:p>
              </w:tc>
              <w:tc>
                <w:tcPr>
                  <w:tcW w:w="689" w:type="dxa"/>
                  <w:tcBorders>
                    <w:tl2br w:val="nil"/>
                    <w:tr2bl w:val="nil"/>
                  </w:tcBorders>
                  <w:noWrap w:val="0"/>
                  <w:vAlign w:val="center"/>
                </w:tcPr>
                <w:p w14:paraId="1289AC28">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符合</w:t>
                  </w:r>
                </w:p>
                <w:p w14:paraId="5C1B6B73">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情况</w:t>
                  </w:r>
                </w:p>
              </w:tc>
            </w:tr>
            <w:tr w14:paraId="1975A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14" w:type="dxa"/>
                  <w:tcBorders>
                    <w:tl2br w:val="nil"/>
                    <w:tr2bl w:val="nil"/>
                  </w:tcBorders>
                  <w:noWrap w:val="0"/>
                  <w:vAlign w:val="center"/>
                </w:tcPr>
                <w:p w14:paraId="3E132839">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农用地优先保护区</w:t>
                  </w:r>
                </w:p>
              </w:tc>
              <w:tc>
                <w:tcPr>
                  <w:tcW w:w="5331" w:type="dxa"/>
                  <w:tcBorders>
                    <w:tl2br w:val="nil"/>
                    <w:tr2bl w:val="nil"/>
                  </w:tcBorders>
                  <w:noWrap w:val="0"/>
                  <w:vAlign w:val="center"/>
                </w:tcPr>
                <w:p w14:paraId="62BC3C29">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实行严格保护，确保其面积不减少、土壤环境质量不下降，除法律规定的重点建设项目选址确实无法避让外，其他任何建设不得占用（依据《土壤污染防治行动计划》）。严禁在优先保护类耕地集中区域新建污染土壤的行业企业，现有相关行业企业要加快新技术、新工艺提标改造步伐。（依据《中卫市生态环境保护“十四五”规划》）禁止任何单位和个人在基本农田保护区内建窑、建房、建坟、挖砂、采石、采矿、取土、堆放固体废弃物或者进行其他破坏基本农田的活动。（依据《基本农田保护条例》）</w:t>
                  </w:r>
                </w:p>
              </w:tc>
              <w:tc>
                <w:tcPr>
                  <w:tcW w:w="1543" w:type="dxa"/>
                  <w:tcBorders>
                    <w:tl2br w:val="nil"/>
                    <w:tr2bl w:val="nil"/>
                  </w:tcBorders>
                  <w:noWrap w:val="0"/>
                  <w:vAlign w:val="center"/>
                </w:tcPr>
                <w:p w14:paraId="4B51990A">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eastAsia" w:cs="Times New Roman"/>
                      <w:color w:val="auto"/>
                      <w:lang w:val="en-US" w:eastAsia="zh-CN"/>
                    </w:rPr>
                    <w:t>本项目主要对历史遗留废弃矿山进行生态修复治理。不改变土地原有农用地土地类型，项目建成后农用地面积增加。本项目不属于</w:t>
                  </w:r>
                  <w:r>
                    <w:rPr>
                      <w:rFonts w:hint="default" w:cs="Times New Roman"/>
                      <w:color w:val="auto"/>
                    </w:rPr>
                    <w:t>污染土壤的行业企业</w:t>
                  </w:r>
                  <w:r>
                    <w:rPr>
                      <w:rFonts w:hint="eastAsia" w:cs="Times New Roman"/>
                      <w:color w:val="auto"/>
                      <w:lang w:eastAsia="zh-CN"/>
                    </w:rPr>
                    <w:t>。</w:t>
                  </w:r>
                  <w:r>
                    <w:rPr>
                      <w:rFonts w:hint="eastAsia" w:cs="Times New Roman"/>
                      <w:color w:val="auto"/>
                      <w:lang w:val="en-US" w:eastAsia="zh-CN"/>
                    </w:rPr>
                    <w:t>不涉及</w:t>
                  </w:r>
                  <w:r>
                    <w:rPr>
                      <w:rFonts w:hint="default" w:cs="Times New Roman"/>
                      <w:color w:val="auto"/>
                    </w:rPr>
                    <w:t>建窑、建房、建坟、挖砂、采石、采矿、取土、堆放固体废弃物或者进行其他破坏基本农田的活动</w:t>
                  </w:r>
                </w:p>
              </w:tc>
              <w:tc>
                <w:tcPr>
                  <w:tcW w:w="689" w:type="dxa"/>
                  <w:tcBorders>
                    <w:tl2br w:val="nil"/>
                    <w:tr2bl w:val="nil"/>
                  </w:tcBorders>
                  <w:noWrap w:val="0"/>
                  <w:vAlign w:val="center"/>
                </w:tcPr>
                <w:p w14:paraId="50CF6790">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5F9E9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14" w:type="dxa"/>
                  <w:tcBorders>
                    <w:tl2br w:val="nil"/>
                    <w:tr2bl w:val="nil"/>
                  </w:tcBorders>
                  <w:noWrap w:val="0"/>
                  <w:vAlign w:val="center"/>
                </w:tcPr>
                <w:p w14:paraId="1315A5B0">
                  <w:pPr>
                    <w:pStyle w:val="33"/>
                    <w:keepNext w:val="0"/>
                    <w:keepLines w:val="0"/>
                    <w:suppressLineNumbers w:val="0"/>
                    <w:bidi w:val="0"/>
                    <w:spacing w:beforeAutospacing="0" w:afterAutospacing="0"/>
                    <w:ind w:left="0" w:right="0"/>
                    <w:jc w:val="center"/>
                    <w:rPr>
                      <w:rFonts w:hint="default" w:cs="Times New Roman"/>
                      <w:b/>
                      <w:bCs/>
                      <w:color w:val="auto"/>
                    </w:rPr>
                  </w:pPr>
                  <w:r>
                    <w:rPr>
                      <w:rFonts w:hint="eastAsia" w:cs="Times New Roman"/>
                      <w:b/>
                      <w:bCs/>
                      <w:color w:val="auto"/>
                      <w:lang w:val="en-US" w:eastAsia="zh-CN"/>
                    </w:rPr>
                    <w:t>建设用地污染风险重点管控区</w:t>
                  </w:r>
                </w:p>
              </w:tc>
              <w:tc>
                <w:tcPr>
                  <w:tcW w:w="5331" w:type="dxa"/>
                  <w:tcBorders>
                    <w:tl2br w:val="nil"/>
                    <w:tr2bl w:val="nil"/>
                  </w:tcBorders>
                  <w:noWrap w:val="0"/>
                  <w:vAlign w:val="center"/>
                </w:tcPr>
                <w:p w14:paraId="47B2456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根据建设用地土壤环境调查评估结果，逐步建立污染地块名录及其开发利用的负面清单，合理确定土地用途（依据《土壤污染防治行动计划》）。列入建设用地土壤污染风险管控和修复名录的地块，不得作为住宅、公共管理与公共服务用地（依据《土壤污染防治法》）。污染地块未经治理与修复，或者经治理与修复但未达到相关规划用地土壤环境质量要求的，有关环境保护主管部门不予批准选址涉及该污染地块的建设项目环境影响报告书或者报告表（依据《污染地块土壤环境管理办法》）</w:t>
                  </w:r>
                </w:p>
                <w:p w14:paraId="53E19E2E">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土壤环境污染重点监管单位涉及有毒有害物质的生产装置、储罐、管道，或者建设污水处理池、应急池等存在土壤污染风险的设施，应当按照国家有关标准和规范要求，设计、建成和安装有关防腐蚀、防泄漏设施和泄漏监测装置，防止有毒有害物质污染土壤和地下水（依据《宁夏回族自治区土壤污染防治条例》）。对拟收回土地使用权的有色金属冶炼、石油加工、化工、焦化、电镀、制革等行业企业用地，以及用途拟变更为居住和商业、学校、医疗、养老机构等公共设施的上述企业用地，由土地使用权人负责开展土壤环境状况调查评估；已经收回的，由所在地市、县级人民政府负责开展调查评估（依据《国务院关于印发土壤污染防治行动计划的通知国发〔2016〕31号》）</w:t>
                  </w:r>
                </w:p>
                <w:p w14:paraId="21434493">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严格执行重金属污染物排放标准并落实相关总量控制指标，加大监督检查力度，对整改后仍不达标的企业，依法责令其停业、关闭，并将企业名单向社会公开。继续淘汰涉重金属重点行业落后产能，完善重金属相关行业准入条件，禁止新建落后产能或产能严重过剩行业的建设项目。提高铅酸蓄电池等行业落后产能淘汰标准，逐步退出落后产能（依据《国务院关于印发土壤污染防治行动计划的通知国发〔2016〕31号》）。新、改、扩建涉重金属重点行业建设项目，必须遵循重金属污染物排放“减量置换”或“等量替换”原则。（依据《中卫市推进净土保卫战三年行动计划（2018年—2020年）》）</w:t>
                  </w:r>
                </w:p>
              </w:tc>
              <w:tc>
                <w:tcPr>
                  <w:tcW w:w="1543" w:type="dxa"/>
                  <w:tcBorders>
                    <w:tl2br w:val="nil"/>
                    <w:tr2bl w:val="nil"/>
                  </w:tcBorders>
                  <w:noWrap w:val="0"/>
                  <w:vAlign w:val="center"/>
                </w:tcPr>
                <w:p w14:paraId="1FFDF37D">
                  <w:pPr>
                    <w:pStyle w:val="33"/>
                    <w:keepNext w:val="0"/>
                    <w:keepLines w:val="0"/>
                    <w:suppressLineNumbers w:val="0"/>
                    <w:bidi w:val="0"/>
                    <w:spacing w:beforeAutospacing="0" w:afterAutospacing="0"/>
                    <w:ind w:left="0" w:right="0"/>
                    <w:rPr>
                      <w:rFonts w:hint="eastAsia" w:eastAsia="宋体"/>
                      <w:color w:val="auto"/>
                      <w:lang w:val="en-US" w:eastAsia="zh-CN"/>
                    </w:rPr>
                  </w:pPr>
                  <w:r>
                    <w:rPr>
                      <w:rFonts w:hint="eastAsia"/>
                      <w:color w:val="auto"/>
                      <w:lang w:val="en-US" w:eastAsia="zh-CN"/>
                    </w:rPr>
                    <w:t>本项目不涉及</w:t>
                  </w:r>
                  <w:r>
                    <w:rPr>
                      <w:rFonts w:hint="default" w:cs="Times New Roman"/>
                      <w:color w:val="auto"/>
                    </w:rPr>
                    <w:t>土壤环境污染重点监管单位涉及有毒有害物质</w:t>
                  </w:r>
                  <w:r>
                    <w:rPr>
                      <w:rFonts w:hint="eastAsia" w:cs="Times New Roman"/>
                      <w:color w:val="auto"/>
                      <w:lang w:eastAsia="zh-CN"/>
                    </w:rPr>
                    <w:t>，</w:t>
                  </w:r>
                  <w:r>
                    <w:rPr>
                      <w:rFonts w:hint="eastAsia" w:cs="Times New Roman"/>
                      <w:color w:val="auto"/>
                      <w:lang w:val="en-US" w:eastAsia="zh-CN"/>
                    </w:rPr>
                    <w:t>不涉及</w:t>
                  </w:r>
                  <w:r>
                    <w:rPr>
                      <w:rFonts w:hint="default" w:cs="Times New Roman"/>
                      <w:color w:val="auto"/>
                    </w:rPr>
                    <w:t>有色金属冶炼、石油加工、化工、焦化、电镀、制革等行业企业用地</w:t>
                  </w:r>
                  <w:r>
                    <w:rPr>
                      <w:rFonts w:hint="eastAsia" w:cs="Times New Roman"/>
                      <w:color w:val="auto"/>
                      <w:lang w:eastAsia="zh-CN"/>
                    </w:rPr>
                    <w:t>，</w:t>
                  </w:r>
                  <w:r>
                    <w:rPr>
                      <w:rFonts w:hint="default" w:cs="Times New Roman"/>
                      <w:color w:val="auto"/>
                    </w:rPr>
                    <w:t>及用途拟变更为居住和商业、学校、医疗、养老机构等公共设施的上述企业用地</w:t>
                  </w:r>
                  <w:r>
                    <w:rPr>
                      <w:rFonts w:hint="eastAsia" w:cs="Times New Roman"/>
                      <w:color w:val="auto"/>
                      <w:lang w:eastAsia="zh-CN"/>
                    </w:rPr>
                    <w:t>；</w:t>
                  </w:r>
                  <w:r>
                    <w:rPr>
                      <w:rFonts w:hint="eastAsia" w:cs="Times New Roman"/>
                      <w:color w:val="auto"/>
                      <w:lang w:val="en-US" w:eastAsia="zh-CN"/>
                    </w:rPr>
                    <w:t>不涉及</w:t>
                  </w:r>
                  <w:r>
                    <w:rPr>
                      <w:rFonts w:hint="default" w:cs="Times New Roman"/>
                      <w:color w:val="auto"/>
                    </w:rPr>
                    <w:t>重金属污染物排放</w:t>
                  </w:r>
                </w:p>
              </w:tc>
              <w:tc>
                <w:tcPr>
                  <w:tcW w:w="689" w:type="dxa"/>
                  <w:tcBorders>
                    <w:tl2br w:val="nil"/>
                    <w:tr2bl w:val="nil"/>
                  </w:tcBorders>
                  <w:noWrap w:val="0"/>
                  <w:vAlign w:val="center"/>
                </w:tcPr>
                <w:p w14:paraId="0601A506">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r w14:paraId="66A5AC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14" w:type="dxa"/>
                  <w:tcBorders>
                    <w:tl2br w:val="nil"/>
                    <w:tr2bl w:val="nil"/>
                  </w:tcBorders>
                  <w:noWrap w:val="0"/>
                  <w:vAlign w:val="center"/>
                </w:tcPr>
                <w:p w14:paraId="51F20E1C">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b/>
                      <w:bCs/>
                      <w:color w:val="auto"/>
                      <w:lang w:val="en-US" w:eastAsia="zh-CN"/>
                    </w:rPr>
                    <w:t>一般管控单元</w:t>
                  </w:r>
                </w:p>
              </w:tc>
              <w:tc>
                <w:tcPr>
                  <w:tcW w:w="5331" w:type="dxa"/>
                  <w:tcBorders>
                    <w:tl2br w:val="nil"/>
                    <w:tr2bl w:val="nil"/>
                  </w:tcBorders>
                  <w:noWrap w:val="0"/>
                  <w:vAlign w:val="center"/>
                </w:tcPr>
                <w:p w14:paraId="16ACA2A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在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543" w:type="dxa"/>
                  <w:tcBorders>
                    <w:tl2br w:val="nil"/>
                    <w:tr2bl w:val="nil"/>
                  </w:tcBorders>
                  <w:noWrap w:val="0"/>
                  <w:vAlign w:val="center"/>
                </w:tcPr>
                <w:p w14:paraId="7E275042">
                  <w:pPr>
                    <w:pStyle w:val="33"/>
                    <w:keepNext w:val="0"/>
                    <w:keepLines w:val="0"/>
                    <w:suppressLineNumbers w:val="0"/>
                    <w:bidi w:val="0"/>
                    <w:spacing w:beforeAutospacing="0" w:afterAutospacing="0"/>
                    <w:ind w:left="0" w:right="0"/>
                    <w:jc w:val="center"/>
                    <w:rPr>
                      <w:rFonts w:hint="default" w:eastAsia="宋体" w:cs="Times New Roman"/>
                      <w:color w:val="auto"/>
                      <w:lang w:val="en-US" w:eastAsia="zh-CN"/>
                    </w:rPr>
                  </w:pPr>
                  <w:r>
                    <w:rPr>
                      <w:rFonts w:hint="eastAsia" w:cs="Times New Roman"/>
                      <w:color w:val="auto"/>
                      <w:lang w:val="en-US" w:eastAsia="zh-CN"/>
                    </w:rPr>
                    <w:t>本项目不涉及</w:t>
                  </w:r>
                  <w:r>
                    <w:rPr>
                      <w:rFonts w:hint="default" w:cs="Times New Roman"/>
                      <w:color w:val="auto"/>
                    </w:rPr>
                    <w:t>有色金属冶炼、焦化等行业企业</w:t>
                  </w:r>
                  <w:r>
                    <w:rPr>
                      <w:rFonts w:hint="eastAsia" w:cs="Times New Roman"/>
                      <w:color w:val="auto"/>
                      <w:lang w:eastAsia="zh-CN"/>
                    </w:rPr>
                    <w:t>，</w:t>
                  </w:r>
                  <w:r>
                    <w:rPr>
                      <w:rFonts w:hint="eastAsia" w:cs="Times New Roman"/>
                      <w:color w:val="auto"/>
                      <w:lang w:val="en-US" w:eastAsia="zh-CN"/>
                    </w:rPr>
                    <w:t>不排放</w:t>
                  </w:r>
                  <w:r>
                    <w:rPr>
                      <w:rFonts w:hint="default" w:cs="Times New Roman"/>
                      <w:color w:val="auto"/>
                    </w:rPr>
                    <w:t>重点污染物</w:t>
                  </w:r>
                </w:p>
              </w:tc>
              <w:tc>
                <w:tcPr>
                  <w:tcW w:w="689" w:type="dxa"/>
                  <w:tcBorders>
                    <w:tl2br w:val="nil"/>
                    <w:tr2bl w:val="nil"/>
                  </w:tcBorders>
                  <w:noWrap w:val="0"/>
                  <w:vAlign w:val="center"/>
                </w:tcPr>
                <w:p w14:paraId="20F9F1A9">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符合</w:t>
                  </w:r>
                </w:p>
              </w:tc>
            </w:tr>
          </w:tbl>
          <w:p w14:paraId="076AC9EF">
            <w:pPr>
              <w:keepNext w:val="0"/>
              <w:keepLines w:val="0"/>
              <w:suppressLineNumbers w:val="0"/>
              <w:bidi w:val="0"/>
              <w:spacing w:before="0" w:beforeAutospacing="0" w:after="0" w:afterAutospacing="0"/>
              <w:ind w:left="0" w:right="0"/>
              <w:rPr>
                <w:rFonts w:hint="default"/>
                <w:b/>
                <w:bCs/>
                <w:color w:val="auto"/>
              </w:rPr>
            </w:pPr>
            <w:r>
              <w:rPr>
                <w:rFonts w:hint="eastAsia"/>
                <w:b/>
                <w:bCs/>
                <w:color w:val="auto"/>
              </w:rPr>
              <w:t>⑶资源利用上线及分区管控</w:t>
            </w:r>
          </w:p>
          <w:p w14:paraId="0D9EB454">
            <w:pPr>
              <w:keepNext w:val="0"/>
              <w:keepLines w:val="0"/>
              <w:suppressLineNumbers w:val="0"/>
              <w:bidi w:val="0"/>
              <w:spacing w:before="0" w:beforeAutospacing="0" w:after="0" w:afterAutospacing="0"/>
              <w:ind w:left="0" w:right="0"/>
              <w:rPr>
                <w:rFonts w:hint="eastAsia" w:cs="Times New Roman"/>
                <w:b/>
                <w:bCs/>
                <w:color w:val="auto"/>
              </w:rPr>
            </w:pPr>
            <w:r>
              <w:rPr>
                <w:rFonts w:hint="eastAsia" w:cs="Times New Roman"/>
                <w:b/>
                <w:bCs/>
                <w:color w:val="auto"/>
              </w:rPr>
              <w:t>①能源（煤炭）资源利用上线及分区管控</w:t>
            </w:r>
          </w:p>
          <w:p w14:paraId="67128432">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本项目运营期不涉及煤炭能源消耗。因此，项目的建设符合能源（煤炭）资源利用上线及分区管控要求</w:t>
            </w:r>
            <w:r>
              <w:rPr>
                <w:rFonts w:hint="eastAsia" w:cs="Times New Roman"/>
                <w:color w:val="auto"/>
              </w:rPr>
              <w:t>。</w:t>
            </w:r>
          </w:p>
          <w:p w14:paraId="7F99BB3C">
            <w:pPr>
              <w:keepNext w:val="0"/>
              <w:keepLines w:val="0"/>
              <w:suppressLineNumbers w:val="0"/>
              <w:bidi w:val="0"/>
              <w:spacing w:before="0" w:beforeAutospacing="0" w:after="0" w:afterAutospacing="0"/>
              <w:ind w:left="0" w:right="0"/>
              <w:rPr>
                <w:rFonts w:hint="eastAsia" w:cs="Times New Roman"/>
                <w:b/>
                <w:bCs/>
                <w:color w:val="auto"/>
              </w:rPr>
            </w:pPr>
            <w:r>
              <w:rPr>
                <w:rFonts w:hint="eastAsia" w:cs="Times New Roman"/>
                <w:b/>
                <w:bCs/>
                <w:color w:val="auto"/>
              </w:rPr>
              <w:t>②</w:t>
            </w:r>
            <w:r>
              <w:rPr>
                <w:rFonts w:hint="eastAsia" w:cs="Times New Roman"/>
                <w:b/>
                <w:bCs/>
                <w:color w:val="auto"/>
                <w:lang w:val="en-US" w:eastAsia="zh-CN"/>
              </w:rPr>
              <w:t>水资源利用上线及分区管控</w:t>
            </w:r>
          </w:p>
          <w:p w14:paraId="115BCE5D">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本项目施工期使用生活用水，运营期使用养护用水，用水量较少，不会对区域水资源利用造成影响，因此，本项目符合水资源利用上线及分区管控要求。</w:t>
            </w:r>
          </w:p>
          <w:p w14:paraId="4D374587">
            <w:pPr>
              <w:keepNext w:val="0"/>
              <w:keepLines w:val="0"/>
              <w:suppressLineNumbers w:val="0"/>
              <w:bidi w:val="0"/>
              <w:spacing w:before="0" w:beforeAutospacing="0" w:after="0" w:afterAutospacing="0"/>
              <w:ind w:left="0" w:right="0"/>
              <w:rPr>
                <w:rFonts w:hint="eastAsia" w:cs="Times New Roman"/>
                <w:b/>
                <w:bCs/>
                <w:color w:val="auto"/>
              </w:rPr>
            </w:pPr>
            <w:r>
              <w:rPr>
                <w:rFonts w:hint="eastAsia" w:cs="Times New Roman"/>
                <w:b/>
                <w:bCs/>
                <w:color w:val="auto"/>
                <w:lang w:val="en-US" w:eastAsia="zh-CN"/>
              </w:rPr>
              <w:t>③土地资源利用上线及分区管控</w:t>
            </w:r>
          </w:p>
          <w:p w14:paraId="0DCD5DA1">
            <w:pPr>
              <w:keepNext w:val="0"/>
              <w:keepLines w:val="0"/>
              <w:suppressLineNumbers w:val="0"/>
              <w:bidi w:val="0"/>
              <w:spacing w:before="0" w:beforeAutospacing="0" w:after="0" w:afterAutospacing="0"/>
              <w:ind w:left="0" w:right="0"/>
              <w:rPr>
                <w:rFonts w:hint="default" w:cs="Times New Roman"/>
                <w:color w:val="auto"/>
              </w:rPr>
            </w:pPr>
            <w:r>
              <w:rPr>
                <w:rFonts w:hint="eastAsia" w:ascii="Times New Roman" w:hAnsi="Times New Roman" w:eastAsia="宋体" w:cs="Times New Roman"/>
                <w:color w:val="auto"/>
                <w:sz w:val="24"/>
                <w:highlight w:val="none"/>
                <w:lang w:val="en-US" w:eastAsia="zh-CN"/>
              </w:rPr>
              <w:t>根据</w:t>
            </w:r>
            <w:r>
              <w:rPr>
                <w:rFonts w:hint="eastAsia" w:cs="Times New Roman"/>
                <w:color w:val="auto"/>
                <w:lang w:val="en-US" w:eastAsia="zh-CN"/>
              </w:rPr>
              <w:t>《市人民政府办公室关于发布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号）中《中卫市生态环境分区管控方案图集》及《中卫市生态环境分区管控方案文本》</w:t>
            </w:r>
            <w:r>
              <w:rPr>
                <w:rFonts w:hint="eastAsia" w:ascii="Times New Roman" w:hAnsi="Times New Roman" w:eastAsia="宋体" w:cs="Times New Roman"/>
                <w:color w:val="auto"/>
                <w:sz w:val="24"/>
                <w:highlight w:val="none"/>
                <w:lang w:val="en-US" w:eastAsia="zh-CN"/>
              </w:rPr>
              <w:t>，中卫市无土地资源重点管控区，所以本项目所在区域不属于土地资源重点管控区。本项目不新增临时占地</w:t>
            </w:r>
            <w:r>
              <w:rPr>
                <w:rFonts w:hint="eastAsia" w:cs="Times New Roman"/>
                <w:color w:val="auto"/>
                <w:lang w:val="en-US" w:eastAsia="zh-CN"/>
              </w:rPr>
              <w:t>。</w:t>
            </w:r>
          </w:p>
          <w:p w14:paraId="1E8447DA">
            <w:pPr>
              <w:keepNext w:val="0"/>
              <w:keepLines w:val="0"/>
              <w:suppressLineNumbers w:val="0"/>
              <w:bidi w:val="0"/>
              <w:spacing w:before="0" w:beforeAutospacing="0" w:after="0" w:afterAutospacing="0"/>
              <w:ind w:left="0" w:right="0"/>
              <w:rPr>
                <w:rFonts w:hint="default"/>
                <w:b/>
                <w:bCs/>
                <w:color w:val="auto"/>
              </w:rPr>
            </w:pPr>
            <w:r>
              <w:rPr>
                <w:rFonts w:hint="eastAsia"/>
                <w:b/>
                <w:bCs/>
                <w:color w:val="auto"/>
              </w:rPr>
              <w:t>⑷环境管控单元与准入清单</w:t>
            </w:r>
          </w:p>
          <w:p w14:paraId="7139548F">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根据《市人民政府办公室关于发布</w:t>
            </w:r>
            <w:r>
              <w:rPr>
                <w:rFonts w:hint="default" w:cs="Times New Roman"/>
                <w:color w:val="auto"/>
                <w:lang w:val="en-US" w:eastAsia="zh-CN"/>
              </w:rPr>
              <w:t>&lt;</w:t>
            </w:r>
            <w:r>
              <w:rPr>
                <w:rFonts w:hint="eastAsia" w:cs="Times New Roman"/>
                <w:color w:val="auto"/>
                <w:lang w:val="en-US" w:eastAsia="zh-CN"/>
              </w:rPr>
              <w:t>中卫市生态环境分区管控动态更新成果</w:t>
            </w:r>
            <w:r>
              <w:rPr>
                <w:rFonts w:hint="default" w:cs="Times New Roman"/>
                <w:color w:val="auto"/>
                <w:lang w:val="en-US" w:eastAsia="zh-CN"/>
              </w:rPr>
              <w:t>&gt;</w:t>
            </w:r>
            <w:r>
              <w:rPr>
                <w:rFonts w:hint="eastAsia" w:cs="Times New Roman"/>
                <w:color w:val="auto"/>
                <w:lang w:val="en-US" w:eastAsia="zh-CN"/>
              </w:rPr>
              <w:t>的通知》（卫政办发〔</w:t>
            </w:r>
            <w:r>
              <w:rPr>
                <w:rFonts w:hint="default" w:cs="Times New Roman"/>
                <w:color w:val="auto"/>
                <w:lang w:val="en-US" w:eastAsia="zh-CN"/>
              </w:rPr>
              <w:t>2024</w:t>
            </w:r>
            <w:r>
              <w:rPr>
                <w:rFonts w:hint="eastAsia" w:cs="Times New Roman"/>
                <w:color w:val="auto"/>
                <w:lang w:val="en-US" w:eastAsia="zh-CN"/>
              </w:rPr>
              <w:t>〕</w:t>
            </w:r>
            <w:r>
              <w:rPr>
                <w:rFonts w:hint="default" w:cs="Times New Roman"/>
                <w:color w:val="auto"/>
                <w:lang w:val="en-US" w:eastAsia="zh-CN"/>
              </w:rPr>
              <w:t>33</w:t>
            </w:r>
            <w:r>
              <w:rPr>
                <w:rFonts w:hint="eastAsia" w:cs="Times New Roman"/>
                <w:color w:val="auto"/>
                <w:lang w:val="en-US" w:eastAsia="zh-CN"/>
              </w:rPr>
              <w:t>号）中《中卫市生态环境分区管控方案图集》及《中卫市生态环境分区管控方案文本》可知本项目涉及生态环境</w:t>
            </w:r>
            <w:r>
              <w:rPr>
                <w:rFonts w:hint="eastAsia" w:cs="Times New Roman"/>
                <w:color w:val="auto"/>
                <w:lang w:eastAsia="zh-CN"/>
              </w:rPr>
              <w:t>优先保护单元、重点管控单元、一般管控单元</w:t>
            </w:r>
            <w:r>
              <w:rPr>
                <w:rFonts w:hint="eastAsia" w:cs="Times New Roman"/>
                <w:color w:val="auto"/>
                <w:lang w:val="en-US" w:eastAsia="zh-CN"/>
              </w:rPr>
              <w:t>。项目与中卫市生态环境分区管控图位置关系图见附图</w:t>
            </w:r>
            <w:r>
              <w:rPr>
                <w:rFonts w:hint="default" w:cs="Times New Roman"/>
                <w:color w:val="auto"/>
                <w:lang w:val="en-US" w:eastAsia="zh-CN"/>
              </w:rPr>
              <w:t>1-</w:t>
            </w:r>
            <w:r>
              <w:rPr>
                <w:rFonts w:hint="eastAsia" w:cs="Times New Roman"/>
                <w:color w:val="auto"/>
                <w:lang w:val="en-US" w:eastAsia="zh-CN"/>
              </w:rPr>
              <w:t>6。</w:t>
            </w:r>
          </w:p>
          <w:p w14:paraId="588305CF">
            <w:pPr>
              <w:keepNext w:val="0"/>
              <w:keepLines w:val="0"/>
              <w:suppressLineNumbers w:val="0"/>
              <w:bidi w:val="0"/>
              <w:spacing w:before="0" w:beforeAutospacing="0" w:after="0" w:afterAutospacing="0"/>
              <w:ind w:left="0" w:right="0"/>
              <w:rPr>
                <w:rFonts w:hint="eastAsia" w:cs="Times New Roman"/>
                <w:color w:val="auto"/>
                <w:highlight w:val="none"/>
                <w:lang w:val="en-US" w:eastAsia="zh-CN"/>
              </w:rPr>
            </w:pPr>
            <w:r>
              <w:rPr>
                <w:rFonts w:hint="eastAsia" w:cs="Times New Roman"/>
                <w:color w:val="auto"/>
              </w:rPr>
              <w:t>项目与</w:t>
            </w:r>
            <w:r>
              <w:rPr>
                <w:rFonts w:hint="eastAsia" w:cs="Times New Roman"/>
                <w:color w:val="auto"/>
                <w:lang w:val="en-US" w:eastAsia="zh-CN"/>
              </w:rPr>
              <w:t>中卫</w:t>
            </w:r>
            <w:r>
              <w:rPr>
                <w:rFonts w:hint="eastAsia" w:cs="Times New Roman"/>
                <w:color w:val="auto"/>
              </w:rPr>
              <w:t>市市级生态环境准入清单符合性分析见下表1-</w:t>
            </w:r>
            <w:r>
              <w:rPr>
                <w:rFonts w:hint="eastAsia" w:cs="Times New Roman"/>
                <w:color w:val="auto"/>
                <w:lang w:val="en-US" w:eastAsia="zh-CN"/>
              </w:rPr>
              <w:t>4</w:t>
            </w:r>
            <w:r>
              <w:rPr>
                <w:rFonts w:hint="eastAsia" w:cs="Times New Roman"/>
                <w:color w:val="auto"/>
              </w:rPr>
              <w:t>，</w:t>
            </w:r>
            <w:r>
              <w:rPr>
                <w:rFonts w:hint="eastAsia" w:cs="Times New Roman"/>
                <w:color w:val="auto"/>
                <w:highlight w:val="none"/>
              </w:rPr>
              <w:t>与</w:t>
            </w:r>
            <w:r>
              <w:rPr>
                <w:rFonts w:hint="eastAsia" w:cs="Times New Roman"/>
                <w:color w:val="auto"/>
                <w:highlight w:val="none"/>
                <w:lang w:val="en-US" w:eastAsia="zh-CN"/>
              </w:rPr>
              <w:t>沙坡头区环境管控单元生态环境准入清单符合性</w:t>
            </w:r>
            <w:r>
              <w:rPr>
                <w:rFonts w:hint="eastAsia" w:cs="Times New Roman"/>
                <w:color w:val="auto"/>
                <w:highlight w:val="none"/>
              </w:rPr>
              <w:t>分析见下表1-</w:t>
            </w:r>
            <w:r>
              <w:rPr>
                <w:rFonts w:hint="eastAsia" w:cs="Times New Roman"/>
                <w:color w:val="auto"/>
                <w:highlight w:val="none"/>
                <w:lang w:val="en-US" w:eastAsia="zh-CN"/>
              </w:rPr>
              <w:t>5</w:t>
            </w:r>
            <w:r>
              <w:rPr>
                <w:rFonts w:hint="eastAsia" w:cs="Times New Roman"/>
                <w:color w:val="auto"/>
                <w:highlight w:val="none"/>
              </w:rPr>
              <w:t>。</w:t>
            </w:r>
          </w:p>
          <w:p w14:paraId="615D320D">
            <w:pPr>
              <w:pStyle w:val="6"/>
              <w:suppressLineNumbers w:val="0"/>
              <w:bidi w:val="0"/>
              <w:spacing w:before="0" w:after="0"/>
              <w:ind w:left="0" w:right="0"/>
              <w:rPr>
                <w:rFonts w:hint="default" w:ascii="黑体" w:hAnsi="宋体" w:eastAsia="黑体" w:cs="黑体"/>
                <w:color w:val="auto"/>
                <w:kern w:val="0"/>
                <w:sz w:val="24"/>
                <w:szCs w:val="24"/>
                <w:lang w:val="en-US" w:eastAsia="zh-CN" w:bidi="ar"/>
              </w:rPr>
            </w:pPr>
            <w:r>
              <w:rPr>
                <w:rFonts w:hint="eastAsia" w:cs="Times New Roman"/>
                <w:color w:val="auto"/>
                <w:lang w:val="en-US" w:eastAsia="zh-CN"/>
              </w:rPr>
              <w:t xml:space="preserve">表1-4  </w:t>
            </w:r>
            <w:r>
              <w:rPr>
                <w:rFonts w:hint="default" w:cs="Times New Roman"/>
                <w:color w:val="auto"/>
              </w:rPr>
              <w:t>本项目与</w:t>
            </w:r>
            <w:r>
              <w:rPr>
                <w:rFonts w:hint="eastAsia" w:cs="Times New Roman"/>
                <w:color w:val="auto"/>
                <w:lang w:val="en-US" w:eastAsia="zh-CN"/>
              </w:rPr>
              <w:t>中卫</w:t>
            </w:r>
            <w:r>
              <w:rPr>
                <w:rFonts w:hint="eastAsia" w:cs="Times New Roman"/>
                <w:color w:val="auto"/>
              </w:rPr>
              <w:t>市市级生态环境准入清单</w:t>
            </w:r>
            <w:r>
              <w:rPr>
                <w:rFonts w:hint="default" w:cs="Times New Roman"/>
                <w:color w:val="auto"/>
              </w:rPr>
              <w:t>符合性分析表</w:t>
            </w:r>
          </w:p>
          <w:tbl>
            <w:tblPr>
              <w:tblStyle w:val="26"/>
              <w:tblW w:w="49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9"/>
              <w:gridCol w:w="704"/>
              <w:gridCol w:w="3632"/>
              <w:gridCol w:w="2476"/>
              <w:gridCol w:w="698"/>
            </w:tblGrid>
            <w:tr w14:paraId="647EE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gridSpan w:val="2"/>
                  <w:noWrap w:val="0"/>
                  <w:vAlign w:val="center"/>
                </w:tcPr>
                <w:p w14:paraId="498C7058">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管控维度</w:t>
                  </w:r>
                </w:p>
              </w:tc>
              <w:tc>
                <w:tcPr>
                  <w:tcW w:w="3632" w:type="dxa"/>
                  <w:noWrap w:val="0"/>
                  <w:vAlign w:val="center"/>
                </w:tcPr>
                <w:p w14:paraId="7ED8867B">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准入要求</w:t>
                  </w:r>
                </w:p>
              </w:tc>
              <w:tc>
                <w:tcPr>
                  <w:tcW w:w="2476" w:type="dxa"/>
                  <w:noWrap w:val="0"/>
                  <w:vAlign w:val="center"/>
                </w:tcPr>
                <w:p w14:paraId="0D8EF97B">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本项目情况</w:t>
                  </w:r>
                </w:p>
              </w:tc>
              <w:tc>
                <w:tcPr>
                  <w:tcW w:w="698" w:type="dxa"/>
                  <w:noWrap w:val="0"/>
                  <w:vAlign w:val="center"/>
                </w:tcPr>
                <w:p w14:paraId="566EC4B1">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符合性</w:t>
                  </w:r>
                </w:p>
              </w:tc>
            </w:tr>
            <w:tr w14:paraId="465F1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1D70149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A1空间布局约束</w:t>
                  </w:r>
                </w:p>
              </w:tc>
              <w:tc>
                <w:tcPr>
                  <w:tcW w:w="704" w:type="dxa"/>
                  <w:vMerge w:val="restart"/>
                  <w:noWrap w:val="0"/>
                  <w:vAlign w:val="center"/>
                </w:tcPr>
                <w:p w14:paraId="59DEAE5F">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A1.1禁止开发建设活动的要求</w:t>
                  </w:r>
                </w:p>
              </w:tc>
              <w:tc>
                <w:tcPr>
                  <w:tcW w:w="3632" w:type="dxa"/>
                  <w:noWrap w:val="0"/>
                  <w:vAlign w:val="center"/>
                </w:tcPr>
                <w:p w14:paraId="38652663">
                  <w:pPr>
                    <w:pStyle w:val="33"/>
                    <w:keepNext w:val="0"/>
                    <w:keepLines w:val="0"/>
                    <w:suppressLineNumbers w:val="0"/>
                    <w:bidi w:val="0"/>
                    <w:spacing w:beforeAutospacing="0" w:afterAutospacing="0"/>
                    <w:ind w:left="0" w:right="0"/>
                    <w:rPr>
                      <w:rFonts w:hint="eastAsia" w:cs="Times New Roman"/>
                      <w:color w:val="auto"/>
                    </w:rPr>
                  </w:pPr>
                  <w:r>
                    <w:rPr>
                      <w:rFonts w:hint="default" w:cs="Times New Roman"/>
                      <w:color w:val="auto"/>
                    </w:rPr>
                    <w:t>严禁在黄河干流及主要支流临岸1公里范围内新建</w:t>
                  </w:r>
                  <w:r>
                    <w:rPr>
                      <w:rFonts w:hint="eastAsia" w:cs="Times New Roman"/>
                      <w:color w:val="auto"/>
                    </w:rPr>
                    <w:t>“两高一资”</w:t>
                  </w:r>
                  <w:r>
                    <w:rPr>
                      <w:rFonts w:hint="default" w:cs="Times New Roman"/>
                      <w:color w:val="auto"/>
                    </w:rPr>
                    <w:t>项目及相关产业园区</w:t>
                  </w:r>
                </w:p>
              </w:tc>
              <w:tc>
                <w:tcPr>
                  <w:tcW w:w="2476" w:type="dxa"/>
                  <w:noWrap w:val="0"/>
                  <w:vAlign w:val="center"/>
                </w:tcPr>
                <w:p w14:paraId="2C6DDBD3">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374E649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214D7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AB2C061">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657A532A">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5174273F">
                  <w:pPr>
                    <w:pStyle w:val="33"/>
                    <w:keepNext w:val="0"/>
                    <w:keepLines w:val="0"/>
                    <w:suppressLineNumbers w:val="0"/>
                    <w:bidi w:val="0"/>
                    <w:spacing w:beforeAutospacing="0" w:afterAutospacing="0"/>
                    <w:ind w:left="0" w:right="0"/>
                    <w:rPr>
                      <w:rFonts w:hint="eastAsia" w:cs="Times New Roman"/>
                      <w:color w:val="auto"/>
                    </w:rPr>
                  </w:pPr>
                  <w:r>
                    <w:rPr>
                      <w:rFonts w:hint="default" w:cs="Times New Roman"/>
                      <w:color w:val="auto"/>
                    </w:rPr>
                    <w:t>黄河沿线两岸3公里范围内不再新建养殖场</w:t>
                  </w:r>
                </w:p>
              </w:tc>
              <w:tc>
                <w:tcPr>
                  <w:tcW w:w="2476" w:type="dxa"/>
                  <w:noWrap w:val="0"/>
                  <w:vAlign w:val="center"/>
                </w:tcPr>
                <w:p w14:paraId="0A7C215B">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3CD2B43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439E8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18A3A7B">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2191D5A3">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6D8FE9A6">
                  <w:pPr>
                    <w:pStyle w:val="33"/>
                    <w:keepNext w:val="0"/>
                    <w:keepLines w:val="0"/>
                    <w:suppressLineNumbers w:val="0"/>
                    <w:bidi w:val="0"/>
                    <w:spacing w:beforeAutospacing="0" w:afterAutospacing="0"/>
                    <w:ind w:left="0" w:right="0"/>
                    <w:rPr>
                      <w:rFonts w:hint="eastAsia" w:cs="Times New Roman"/>
                      <w:color w:val="auto"/>
                    </w:rPr>
                  </w:pPr>
                  <w:r>
                    <w:rPr>
                      <w:rFonts w:hint="default" w:cs="Times New Roman"/>
                      <w:color w:val="auto"/>
                    </w:rPr>
                    <w:t>所有工业企业原则上一律入园，工业园区及产业集聚区外不再建设工业项目</w:t>
                  </w:r>
                </w:p>
              </w:tc>
              <w:tc>
                <w:tcPr>
                  <w:tcW w:w="2476" w:type="dxa"/>
                  <w:noWrap w:val="0"/>
                  <w:vAlign w:val="center"/>
                </w:tcPr>
                <w:p w14:paraId="7E6BEBE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6BE5E90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26B28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0BBB134">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4789476A">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41DACAF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禁止露天焚烧产生有毒有害烟尘和恶臭气体的物质或将其用作燃料</w:t>
                  </w:r>
                </w:p>
              </w:tc>
              <w:tc>
                <w:tcPr>
                  <w:tcW w:w="2476" w:type="dxa"/>
                  <w:noWrap w:val="0"/>
                  <w:vAlign w:val="center"/>
                </w:tcPr>
                <w:p w14:paraId="2D71E9A2">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2A5B14FB">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367C26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CCA0979">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0B7B0177">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FC9E1BF">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除已列入计划内项目，“十四五”期间不再新增燃煤自备电厂（区域背压式供热机组除外）</w:t>
                  </w:r>
                </w:p>
              </w:tc>
              <w:tc>
                <w:tcPr>
                  <w:tcW w:w="2476" w:type="dxa"/>
                  <w:noWrap w:val="0"/>
                  <w:vAlign w:val="center"/>
                </w:tcPr>
                <w:p w14:paraId="5CFB4680">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3CA70DDA">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1DD20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B4C12B0">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74F11CAC">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090BB96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严禁在优先保护类耕地集中区域新建污染土壤的行业企业</w:t>
                  </w:r>
                </w:p>
              </w:tc>
              <w:tc>
                <w:tcPr>
                  <w:tcW w:w="2476" w:type="dxa"/>
                  <w:noWrap w:val="0"/>
                  <w:vAlign w:val="center"/>
                </w:tcPr>
                <w:p w14:paraId="56FABE2D">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本项目不涉及</w:t>
                  </w:r>
                </w:p>
              </w:tc>
              <w:tc>
                <w:tcPr>
                  <w:tcW w:w="698" w:type="dxa"/>
                  <w:noWrap w:val="0"/>
                  <w:vAlign w:val="center"/>
                </w:tcPr>
                <w:p w14:paraId="5037116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08DF7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BED3014">
                  <w:pPr>
                    <w:pStyle w:val="33"/>
                    <w:keepNext w:val="0"/>
                    <w:keepLines w:val="0"/>
                    <w:suppressLineNumbers w:val="0"/>
                    <w:bidi w:val="0"/>
                    <w:spacing w:beforeAutospacing="0" w:afterAutospacing="0"/>
                    <w:ind w:left="0" w:right="0"/>
                    <w:rPr>
                      <w:rFonts w:hint="default" w:cs="Times New Roman"/>
                      <w:color w:val="auto"/>
                    </w:rPr>
                  </w:pPr>
                </w:p>
              </w:tc>
              <w:tc>
                <w:tcPr>
                  <w:tcW w:w="704" w:type="dxa"/>
                  <w:noWrap w:val="0"/>
                  <w:vAlign w:val="center"/>
                </w:tcPr>
                <w:p w14:paraId="7E5C44C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A1.2限制开发建设活动的要求</w:t>
                  </w:r>
                </w:p>
              </w:tc>
              <w:tc>
                <w:tcPr>
                  <w:tcW w:w="3632" w:type="dxa"/>
                  <w:noWrap w:val="0"/>
                  <w:vAlign w:val="center"/>
                </w:tcPr>
                <w:p w14:paraId="4D9CD2C2">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2476" w:type="dxa"/>
                  <w:noWrap w:val="0"/>
                  <w:vAlign w:val="center"/>
                </w:tcPr>
                <w:p w14:paraId="2E163CEA">
                  <w:pPr>
                    <w:pStyle w:val="33"/>
                    <w:keepNext w:val="0"/>
                    <w:keepLines w:val="0"/>
                    <w:suppressLineNumbers w:val="0"/>
                    <w:bidi w:val="0"/>
                    <w:spacing w:beforeAutospacing="0" w:afterAutospacing="0"/>
                    <w:ind w:left="0" w:right="0"/>
                    <w:rPr>
                      <w:rFonts w:hint="eastAsia" w:cs="Times New Roman"/>
                      <w:color w:val="auto"/>
                      <w:lang w:eastAsia="zh-CN"/>
                    </w:rPr>
                  </w:pPr>
                  <w:r>
                    <w:rPr>
                      <w:rFonts w:hint="eastAsia" w:cs="Times New Roman"/>
                      <w:color w:val="auto"/>
                    </w:rPr>
                    <w:t>本项目不涉及“两高”</w:t>
                  </w:r>
                  <w:r>
                    <w:rPr>
                      <w:rFonts w:hint="default" w:cs="Times New Roman"/>
                      <w:color w:val="auto"/>
                    </w:rPr>
                    <w:t>行业和产能过剩行业用地、用电等</w:t>
                  </w:r>
                </w:p>
              </w:tc>
              <w:tc>
                <w:tcPr>
                  <w:tcW w:w="698" w:type="dxa"/>
                  <w:noWrap w:val="0"/>
                  <w:vAlign w:val="center"/>
                </w:tcPr>
                <w:p w14:paraId="4479396A">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39435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CF8A788">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restart"/>
                  <w:noWrap w:val="0"/>
                  <w:vAlign w:val="center"/>
                </w:tcPr>
                <w:p w14:paraId="3379263E">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A1.3不符合空间布局要求活动的退出要求</w:t>
                  </w:r>
                </w:p>
              </w:tc>
              <w:tc>
                <w:tcPr>
                  <w:tcW w:w="3632" w:type="dxa"/>
                  <w:noWrap w:val="0"/>
                  <w:vAlign w:val="center"/>
                </w:tcPr>
                <w:p w14:paraId="477BFD06">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对列入建设用地土壤污染风险管控和修复名录需要实施修复的地块，土壤污染责任人应当按照规定编制修复方案，报所在地生态环境主管部门备案并实施</w:t>
                  </w:r>
                </w:p>
              </w:tc>
              <w:tc>
                <w:tcPr>
                  <w:tcW w:w="2476" w:type="dxa"/>
                  <w:noWrap w:val="0"/>
                  <w:vAlign w:val="center"/>
                </w:tcPr>
                <w:p w14:paraId="78F12B6D">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w:t>
                  </w:r>
                  <w:r>
                    <w:rPr>
                      <w:rFonts w:hint="eastAsia" w:cs="Times New Roman"/>
                      <w:color w:val="auto"/>
                      <w:lang w:val="en-US" w:eastAsia="zh-CN"/>
                    </w:rPr>
                    <w:t>涉及</w:t>
                  </w:r>
                  <w:r>
                    <w:rPr>
                      <w:rFonts w:hint="eastAsia" w:cs="Times New Roman"/>
                      <w:color w:val="auto"/>
                    </w:rPr>
                    <w:t>建设用地土壤污染风险管控和修复名录需要实施修复的地块</w:t>
                  </w:r>
                </w:p>
              </w:tc>
              <w:tc>
                <w:tcPr>
                  <w:tcW w:w="698" w:type="dxa"/>
                  <w:noWrap w:val="0"/>
                  <w:vAlign w:val="center"/>
                </w:tcPr>
                <w:p w14:paraId="65199133">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7D4F2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E24ED69">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4886C08C">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5ADFB27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严格管控自然保护地范围内非生态活动，稳妥推进核心区内居民、耕地、矿权有序退出</w:t>
                  </w:r>
                </w:p>
              </w:tc>
              <w:tc>
                <w:tcPr>
                  <w:tcW w:w="2476" w:type="dxa"/>
                  <w:noWrap w:val="0"/>
                  <w:vAlign w:val="center"/>
                </w:tcPr>
                <w:p w14:paraId="07B0077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45ED3E19">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28D09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4BF21FD8">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212ECA7D">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20691D25">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对所有现状不达标的养殖场，明确治理时限和治理措施，在规定时间内不能完成污染治理的养殖场，要按照有关规定实施严肃处罚</w:t>
                  </w:r>
                </w:p>
              </w:tc>
              <w:tc>
                <w:tcPr>
                  <w:tcW w:w="2476" w:type="dxa"/>
                  <w:noWrap w:val="0"/>
                  <w:vAlign w:val="center"/>
                </w:tcPr>
                <w:p w14:paraId="65FE17F5">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0F65903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0F1E6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34BCEBA">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6E37BC5D">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CE8788C">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2476" w:type="dxa"/>
                  <w:noWrap w:val="0"/>
                  <w:vAlign w:val="center"/>
                </w:tcPr>
                <w:p w14:paraId="48799B29">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4C4551A6">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41AF8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0614951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A2污染物排放管控</w:t>
                  </w:r>
                </w:p>
              </w:tc>
              <w:tc>
                <w:tcPr>
                  <w:tcW w:w="704" w:type="dxa"/>
                  <w:vMerge w:val="restart"/>
                  <w:noWrap w:val="0"/>
                  <w:vAlign w:val="center"/>
                </w:tcPr>
                <w:p w14:paraId="26E35992">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A2.1允许排放量要求</w:t>
                  </w:r>
                </w:p>
              </w:tc>
              <w:tc>
                <w:tcPr>
                  <w:tcW w:w="3632" w:type="dxa"/>
                  <w:noWrap w:val="0"/>
                  <w:vAlign w:val="center"/>
                </w:tcPr>
                <w:p w14:paraId="0EEF53D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化学需氧量、氨氮、氮氧化物和挥发性有机物排放总量完成自治区下达任务</w:t>
                  </w:r>
                </w:p>
              </w:tc>
              <w:tc>
                <w:tcPr>
                  <w:tcW w:w="2476" w:type="dxa"/>
                  <w:noWrap w:val="0"/>
                  <w:vAlign w:val="center"/>
                </w:tcPr>
                <w:p w14:paraId="755EABC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44B9C9B9">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36B97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FF0932A">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1187CA7A">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44C44B29">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PM</w:t>
                  </w:r>
                  <w:r>
                    <w:rPr>
                      <w:rFonts w:hint="eastAsia" w:cs="Times New Roman"/>
                      <w:color w:val="auto"/>
                      <w:vertAlign w:val="subscript"/>
                      <w:lang w:val="en-US" w:eastAsia="zh-CN"/>
                    </w:rPr>
                    <w:t>2.5</w:t>
                  </w:r>
                  <w:r>
                    <w:rPr>
                      <w:rFonts w:hint="eastAsia" w:cs="Times New Roman"/>
                      <w:color w:val="auto"/>
                    </w:rPr>
                    <w:t>和</w:t>
                  </w:r>
                  <w:r>
                    <w:rPr>
                      <w:rFonts w:hint="eastAsia" w:cs="Times New Roman"/>
                      <w:color w:val="auto"/>
                      <w:lang w:val="en-US" w:eastAsia="zh-CN"/>
                    </w:rPr>
                    <w:t>O</w:t>
                  </w:r>
                  <w:r>
                    <w:rPr>
                      <w:rFonts w:hint="eastAsia" w:cs="Times New Roman"/>
                      <w:color w:val="auto"/>
                      <w:vertAlign w:val="subscript"/>
                      <w:lang w:val="en-US" w:eastAsia="zh-CN"/>
                    </w:rPr>
                    <w:t>3</w:t>
                  </w:r>
                  <w:r>
                    <w:rPr>
                      <w:rFonts w:hint="eastAsia" w:cs="Times New Roman"/>
                      <w:color w:val="auto"/>
                    </w:rPr>
                    <w:t>未达标城市，新、改、扩建项目实施更严格的污染物排放总量控制要求，所需二氧化硫、NOx、VO</w:t>
                  </w:r>
                  <w:r>
                    <w:rPr>
                      <w:rFonts w:hint="eastAsia" w:cs="Times New Roman"/>
                      <w:color w:val="auto"/>
                      <w:lang w:val="en-US" w:eastAsia="zh-CN"/>
                    </w:rPr>
                    <w:t>C</w:t>
                  </w:r>
                  <w:r>
                    <w:rPr>
                      <w:rFonts w:hint="eastAsia" w:cs="Times New Roman"/>
                      <w:color w:val="auto"/>
                    </w:rPr>
                    <w:t>s排放量指标要进行减量替代</w:t>
                  </w:r>
                </w:p>
              </w:tc>
              <w:tc>
                <w:tcPr>
                  <w:tcW w:w="2476" w:type="dxa"/>
                  <w:noWrap w:val="0"/>
                  <w:vAlign w:val="center"/>
                </w:tcPr>
                <w:p w14:paraId="0C793AD8">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rPr>
                    <w:t>本项目</w:t>
                  </w:r>
                  <w:r>
                    <w:rPr>
                      <w:rFonts w:hint="eastAsia" w:cs="Times New Roman"/>
                      <w:color w:val="auto"/>
                      <w:lang w:val="en-US" w:eastAsia="zh-CN"/>
                    </w:rPr>
                    <w:t>不涉及</w:t>
                  </w:r>
                </w:p>
              </w:tc>
              <w:tc>
                <w:tcPr>
                  <w:tcW w:w="698" w:type="dxa"/>
                  <w:noWrap w:val="0"/>
                  <w:vAlign w:val="center"/>
                </w:tcPr>
                <w:p w14:paraId="2E359CA1">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06A27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AE26C7B">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13B02214">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39C60B64">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w:t>
                  </w:r>
                  <w:r>
                    <w:rPr>
                      <w:rFonts w:hint="eastAsia" w:cs="Times New Roman"/>
                      <w:color w:val="auto"/>
                      <w:lang w:eastAsia="zh-CN"/>
                    </w:rPr>
                    <w:t>：</w:t>
                  </w:r>
                  <w:r>
                    <w:rPr>
                      <w:rFonts w:hint="eastAsia" w:cs="Times New Roman"/>
                      <w:color w:val="auto"/>
                    </w:rPr>
                    <w:t>1</w:t>
                  </w:r>
                </w:p>
              </w:tc>
              <w:tc>
                <w:tcPr>
                  <w:tcW w:w="2476" w:type="dxa"/>
                  <w:noWrap w:val="0"/>
                  <w:vAlign w:val="center"/>
                </w:tcPr>
                <w:p w14:paraId="72D9B4C4">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本项目不属于</w:t>
                  </w:r>
                  <w:r>
                    <w:rPr>
                      <w:rFonts w:hint="default" w:cs="Times New Roman"/>
                      <w:color w:val="auto"/>
                    </w:rPr>
                    <w:t>重金属重点行业建设项目</w:t>
                  </w:r>
                </w:p>
              </w:tc>
              <w:tc>
                <w:tcPr>
                  <w:tcW w:w="698" w:type="dxa"/>
                  <w:noWrap w:val="0"/>
                  <w:vAlign w:val="center"/>
                </w:tcPr>
                <w:p w14:paraId="5BA5AD81">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08D4A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6ED46AE2">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3D8AB477">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E1C344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到2025年，中卫市畜禽养殖废物综合利用率达到95%，规模养殖场粪污处理设施装备配套率达到100%</w:t>
                  </w:r>
                </w:p>
              </w:tc>
              <w:tc>
                <w:tcPr>
                  <w:tcW w:w="2476" w:type="dxa"/>
                  <w:noWrap w:val="0"/>
                  <w:vAlign w:val="center"/>
                </w:tcPr>
                <w:p w14:paraId="5968077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本项目不涉及</w:t>
                  </w:r>
                </w:p>
              </w:tc>
              <w:tc>
                <w:tcPr>
                  <w:tcW w:w="698" w:type="dxa"/>
                  <w:noWrap w:val="0"/>
                  <w:vAlign w:val="center"/>
                </w:tcPr>
                <w:p w14:paraId="0FEB634E">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35AD7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D559309">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restart"/>
                  <w:noWrap w:val="0"/>
                  <w:vAlign w:val="center"/>
                </w:tcPr>
                <w:p w14:paraId="498FECA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A2.2现有源提标升级改造</w:t>
                  </w:r>
                </w:p>
              </w:tc>
              <w:tc>
                <w:tcPr>
                  <w:tcW w:w="3632" w:type="dxa"/>
                  <w:noWrap w:val="0"/>
                  <w:vAlign w:val="center"/>
                </w:tcPr>
                <w:p w14:paraId="11ABC2F1">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力争到2024年底，所有钢铁企业主要大气污染物基本达到超低排放指标限值</w:t>
                  </w:r>
                  <w:r>
                    <w:rPr>
                      <w:rFonts w:hint="eastAsia" w:cs="Times New Roman"/>
                      <w:color w:val="auto"/>
                      <w:lang w:eastAsia="zh-CN"/>
                    </w:rPr>
                    <w:t>；</w:t>
                  </w:r>
                  <w:r>
                    <w:rPr>
                      <w:rFonts w:hint="eastAsia" w:cs="Times New Roman"/>
                      <w:color w:val="auto"/>
                    </w:rPr>
                    <w:t>有序推进水泥行业超低排放改造计划，水泥熟料窑改造后氮氧化物排放浓度不高于100毫克/立方米</w:t>
                  </w:r>
                  <w:r>
                    <w:rPr>
                      <w:rFonts w:hint="eastAsia" w:cs="Times New Roman"/>
                      <w:color w:val="auto"/>
                      <w:lang w:eastAsia="zh-CN"/>
                    </w:rPr>
                    <w:t>；</w:t>
                  </w:r>
                  <w:r>
                    <w:rPr>
                      <w:rFonts w:hint="eastAsia" w:cs="Times New Roman"/>
                      <w:color w:val="auto"/>
                    </w:rPr>
                    <w:t>焦化企业参照《关于推进实施钢铁行业超低排放的意见》要求实施升级改造，改造后氮氧化物排放浓度不高于150毫克/立方米</w:t>
                  </w:r>
                </w:p>
              </w:tc>
              <w:tc>
                <w:tcPr>
                  <w:tcW w:w="2476" w:type="dxa"/>
                  <w:noWrap w:val="0"/>
                  <w:vAlign w:val="center"/>
                </w:tcPr>
                <w:p w14:paraId="1670442A">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本项目不涉及</w:t>
                  </w:r>
                  <w:r>
                    <w:rPr>
                      <w:rFonts w:hint="eastAsia" w:cs="Times New Roman"/>
                      <w:color w:val="auto"/>
                      <w:lang w:val="en-US" w:eastAsia="zh-CN"/>
                    </w:rPr>
                    <w:t>相关企业</w:t>
                  </w:r>
                </w:p>
              </w:tc>
              <w:tc>
                <w:tcPr>
                  <w:tcW w:w="698" w:type="dxa"/>
                  <w:noWrap w:val="0"/>
                  <w:vAlign w:val="center"/>
                </w:tcPr>
                <w:p w14:paraId="3659A831">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3C63B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799CED0">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3F0D659F">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62429C3">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2024年底前，烧结、炼铁、炼钢轧钢、自备电厂等有组织排放污染物实行超低排放限值</w:t>
                  </w:r>
                </w:p>
              </w:tc>
              <w:tc>
                <w:tcPr>
                  <w:tcW w:w="2476" w:type="dxa"/>
                  <w:noWrap w:val="0"/>
                  <w:vAlign w:val="center"/>
                </w:tcPr>
                <w:p w14:paraId="72E88AD3">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本项目不涉及</w:t>
                  </w:r>
                </w:p>
              </w:tc>
              <w:tc>
                <w:tcPr>
                  <w:tcW w:w="698" w:type="dxa"/>
                  <w:noWrap w:val="0"/>
                  <w:vAlign w:val="center"/>
                </w:tcPr>
                <w:p w14:paraId="6FE42302">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符合</w:t>
                  </w:r>
                </w:p>
              </w:tc>
            </w:tr>
            <w:tr w14:paraId="23C3A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1657EE3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A3环境风险防控</w:t>
                  </w:r>
                </w:p>
              </w:tc>
              <w:tc>
                <w:tcPr>
                  <w:tcW w:w="704" w:type="dxa"/>
                  <w:vMerge w:val="restart"/>
                  <w:noWrap w:val="0"/>
                  <w:vAlign w:val="center"/>
                </w:tcPr>
                <w:p w14:paraId="161B0BA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A3.1联防联控要求</w:t>
                  </w:r>
                </w:p>
              </w:tc>
              <w:tc>
                <w:tcPr>
                  <w:tcW w:w="3632" w:type="dxa"/>
                  <w:noWrap w:val="0"/>
                  <w:vAlign w:val="center"/>
                </w:tcPr>
                <w:p w14:paraId="47A3EEF9">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健全市生态环境局与公安、交通、应急、气象、水务等部门联动机制，细化落实各相关部门之间联防联控责任与任务分工，联合开展突发环境污染事件处置应急演练，提高联防联控实战能力</w:t>
                  </w:r>
                </w:p>
              </w:tc>
              <w:tc>
                <w:tcPr>
                  <w:tcW w:w="2476" w:type="dxa"/>
                  <w:noWrap w:val="0"/>
                  <w:vAlign w:val="center"/>
                </w:tcPr>
                <w:p w14:paraId="6ACDA92D">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本项目不涉及</w:t>
                  </w:r>
                </w:p>
              </w:tc>
              <w:tc>
                <w:tcPr>
                  <w:tcW w:w="698" w:type="dxa"/>
                  <w:noWrap w:val="0"/>
                  <w:vAlign w:val="center"/>
                </w:tcPr>
                <w:p w14:paraId="34D98E25">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7B514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2E6E1CA0">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2438B950">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073428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以黄河干流和主要支流为重点，严控石化、化工、有色金属、印染、原料药制造等行业企业环境风险，加强油气管道环境风险防范，开展新污染物环境调査监测和环境风险评估，推进流域突发环境风险调査与监控预警体系建设，构建市-县(区)-区城-企业四级应急物资储备网络</w:t>
                  </w:r>
                </w:p>
              </w:tc>
              <w:tc>
                <w:tcPr>
                  <w:tcW w:w="2476" w:type="dxa"/>
                  <w:noWrap w:val="0"/>
                  <w:vAlign w:val="center"/>
                </w:tcPr>
                <w:p w14:paraId="52EC6A37">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rPr>
                    <w:t>本项目不涉及</w:t>
                  </w:r>
                </w:p>
              </w:tc>
              <w:tc>
                <w:tcPr>
                  <w:tcW w:w="698" w:type="dxa"/>
                  <w:noWrap w:val="0"/>
                  <w:vAlign w:val="center"/>
                </w:tcPr>
                <w:p w14:paraId="04537788">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rPr>
                    <w:t>符合</w:t>
                  </w:r>
                </w:p>
              </w:tc>
            </w:tr>
            <w:tr w14:paraId="4D27F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2F3ED8B">
                  <w:pPr>
                    <w:pStyle w:val="33"/>
                    <w:keepNext w:val="0"/>
                    <w:keepLines w:val="0"/>
                    <w:suppressLineNumbers w:val="0"/>
                    <w:bidi w:val="0"/>
                    <w:spacing w:beforeAutospacing="0" w:afterAutospacing="0"/>
                    <w:ind w:left="0" w:right="0"/>
                    <w:rPr>
                      <w:rFonts w:hint="default" w:cs="Times New Roman"/>
                      <w:color w:val="auto"/>
                    </w:rPr>
                  </w:pPr>
                </w:p>
              </w:tc>
              <w:tc>
                <w:tcPr>
                  <w:tcW w:w="704" w:type="dxa"/>
                  <w:noWrap w:val="0"/>
                  <w:vAlign w:val="center"/>
                </w:tcPr>
                <w:p w14:paraId="028AC27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A3.2企业环境风险防控要求</w:t>
                  </w:r>
                </w:p>
              </w:tc>
              <w:tc>
                <w:tcPr>
                  <w:tcW w:w="3632" w:type="dxa"/>
                  <w:noWrap w:val="0"/>
                  <w:vAlign w:val="center"/>
                </w:tcPr>
                <w:p w14:paraId="254CCC68">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紧盯涉危险废物涉重金属企业、化工园区、水源地，强化环境应急三级防控体系建设，落实企业环境安全主体责任，推行企业突发环境事件应急预案电子备案</w:t>
                  </w:r>
                </w:p>
              </w:tc>
              <w:tc>
                <w:tcPr>
                  <w:tcW w:w="2476" w:type="dxa"/>
                  <w:noWrap w:val="0"/>
                  <w:vAlign w:val="center"/>
                </w:tcPr>
                <w:p w14:paraId="228B46D2">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本项目不涉及</w:t>
                  </w:r>
                </w:p>
              </w:tc>
              <w:tc>
                <w:tcPr>
                  <w:tcW w:w="698" w:type="dxa"/>
                  <w:noWrap w:val="0"/>
                  <w:vAlign w:val="center"/>
                </w:tcPr>
                <w:p w14:paraId="3FC570E0">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510E5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restart"/>
                  <w:noWrap w:val="0"/>
                  <w:vAlign w:val="center"/>
                </w:tcPr>
                <w:p w14:paraId="4CED528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A4资源利用效率要求</w:t>
                  </w:r>
                </w:p>
              </w:tc>
              <w:tc>
                <w:tcPr>
                  <w:tcW w:w="704" w:type="dxa"/>
                  <w:vMerge w:val="restart"/>
                  <w:noWrap w:val="0"/>
                  <w:vAlign w:val="center"/>
                </w:tcPr>
                <w:p w14:paraId="0C5CC734">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A4.1能源利用总量及效率要求</w:t>
                  </w:r>
                </w:p>
              </w:tc>
              <w:tc>
                <w:tcPr>
                  <w:tcW w:w="3632" w:type="dxa"/>
                  <w:noWrap w:val="0"/>
                  <w:vAlign w:val="center"/>
                </w:tcPr>
                <w:p w14:paraId="27AD4636">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全面贯彻落实国家和自治区下达煤炭消费总量目标，严格控制耗煤行业煤炭新增量，优先保障民生供暖新增用煤需求</w:t>
                  </w:r>
                </w:p>
              </w:tc>
              <w:tc>
                <w:tcPr>
                  <w:tcW w:w="2476" w:type="dxa"/>
                  <w:noWrap w:val="0"/>
                  <w:vAlign w:val="center"/>
                </w:tcPr>
                <w:p w14:paraId="68B678F2">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本项目不涉及</w:t>
                  </w:r>
                </w:p>
              </w:tc>
              <w:tc>
                <w:tcPr>
                  <w:tcW w:w="698" w:type="dxa"/>
                  <w:noWrap w:val="0"/>
                  <w:vAlign w:val="center"/>
                </w:tcPr>
                <w:p w14:paraId="31CA19EE">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5521F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0000F9EC">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2D0146AC">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09886251">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新增产能必须符合国内先进能效标准</w:t>
                  </w:r>
                </w:p>
              </w:tc>
              <w:tc>
                <w:tcPr>
                  <w:tcW w:w="2476" w:type="dxa"/>
                  <w:noWrap w:val="0"/>
                  <w:vAlign w:val="center"/>
                </w:tcPr>
                <w:p w14:paraId="14F208DD">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本项目不涉及</w:t>
                  </w:r>
                </w:p>
              </w:tc>
              <w:tc>
                <w:tcPr>
                  <w:tcW w:w="698" w:type="dxa"/>
                  <w:noWrap w:val="0"/>
                  <w:vAlign w:val="center"/>
                </w:tcPr>
                <w:p w14:paraId="35098A97">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符合</w:t>
                  </w:r>
                </w:p>
              </w:tc>
            </w:tr>
            <w:tr w14:paraId="1A5F8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5C741E48">
                  <w:pPr>
                    <w:pStyle w:val="33"/>
                    <w:keepNext w:val="0"/>
                    <w:keepLines w:val="0"/>
                    <w:suppressLineNumbers w:val="0"/>
                    <w:bidi w:val="0"/>
                    <w:spacing w:beforeAutospacing="0" w:afterAutospacing="0"/>
                    <w:ind w:left="0" w:right="0"/>
                    <w:rPr>
                      <w:rFonts w:hint="default" w:cs="Times New Roman"/>
                      <w:color w:val="auto"/>
                    </w:rPr>
                  </w:pPr>
                </w:p>
              </w:tc>
              <w:tc>
                <w:tcPr>
                  <w:tcW w:w="704" w:type="dxa"/>
                  <w:vMerge w:val="continue"/>
                  <w:noWrap w:val="0"/>
                  <w:vAlign w:val="center"/>
                </w:tcPr>
                <w:p w14:paraId="14A62B45">
                  <w:pPr>
                    <w:pStyle w:val="33"/>
                    <w:keepNext w:val="0"/>
                    <w:keepLines w:val="0"/>
                    <w:suppressLineNumbers w:val="0"/>
                    <w:bidi w:val="0"/>
                    <w:spacing w:beforeAutospacing="0" w:afterAutospacing="0"/>
                    <w:ind w:left="0" w:right="0"/>
                    <w:rPr>
                      <w:rFonts w:hint="default" w:cs="Times New Roman"/>
                      <w:color w:val="auto"/>
                    </w:rPr>
                  </w:pPr>
                </w:p>
              </w:tc>
              <w:tc>
                <w:tcPr>
                  <w:tcW w:w="3632" w:type="dxa"/>
                  <w:noWrap w:val="0"/>
                  <w:vAlign w:val="center"/>
                </w:tcPr>
                <w:p w14:paraId="7482AB88">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国家大气污染防治重点区域内新建耗煤项目应严格按规定采取煤炭消费减量普代措施，不得使用高污染燃料作为煤炭减量替代措施</w:t>
                  </w:r>
                </w:p>
              </w:tc>
              <w:tc>
                <w:tcPr>
                  <w:tcW w:w="2476" w:type="dxa"/>
                  <w:noWrap w:val="0"/>
                  <w:vAlign w:val="center"/>
                </w:tcPr>
                <w:p w14:paraId="79690222">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本项目不涉及</w:t>
                  </w:r>
                </w:p>
              </w:tc>
              <w:tc>
                <w:tcPr>
                  <w:tcW w:w="698" w:type="dxa"/>
                  <w:noWrap w:val="0"/>
                  <w:vAlign w:val="center"/>
                </w:tcPr>
                <w:p w14:paraId="3BE7FF94">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r w14:paraId="7B59B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 w:type="dxa"/>
                  <w:vMerge w:val="continue"/>
                  <w:noWrap w:val="0"/>
                  <w:vAlign w:val="center"/>
                </w:tcPr>
                <w:p w14:paraId="10758E30">
                  <w:pPr>
                    <w:pStyle w:val="33"/>
                    <w:keepNext w:val="0"/>
                    <w:keepLines w:val="0"/>
                    <w:suppressLineNumbers w:val="0"/>
                    <w:bidi w:val="0"/>
                    <w:spacing w:beforeAutospacing="0" w:afterAutospacing="0"/>
                    <w:ind w:left="0" w:right="0"/>
                    <w:rPr>
                      <w:rFonts w:hint="default" w:cs="Times New Roman"/>
                      <w:color w:val="auto"/>
                    </w:rPr>
                  </w:pPr>
                </w:p>
              </w:tc>
              <w:tc>
                <w:tcPr>
                  <w:tcW w:w="704" w:type="dxa"/>
                  <w:noWrap w:val="0"/>
                  <w:vAlign w:val="center"/>
                </w:tcPr>
                <w:p w14:paraId="557E3E8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A4.2水资源利用总量及效率要求</w:t>
                  </w:r>
                </w:p>
              </w:tc>
              <w:tc>
                <w:tcPr>
                  <w:tcW w:w="3632" w:type="dxa"/>
                  <w:noWrap w:val="0"/>
                  <w:vAlign w:val="center"/>
                </w:tcPr>
                <w:p w14:paraId="17273D6A">
                  <w:pPr>
                    <w:pStyle w:val="33"/>
                    <w:keepNext w:val="0"/>
                    <w:keepLines w:val="0"/>
                    <w:suppressLineNumbers w:val="0"/>
                    <w:bidi w:val="0"/>
                    <w:spacing w:beforeAutospacing="0" w:afterAutospacing="0"/>
                    <w:ind w:left="0" w:right="0"/>
                    <w:rPr>
                      <w:rFonts w:hint="eastAsia" w:cs="Times New Roman"/>
                      <w:color w:val="auto"/>
                    </w:rPr>
                  </w:pPr>
                  <w:r>
                    <w:rPr>
                      <w:rFonts w:hint="default" w:cs="Times New Roman"/>
                      <w:color w:val="auto"/>
                    </w:rPr>
                    <w:t>建立水资源刚性约束制度，严格准入条件，按照地区取水总量限值审核新、改、扩建项目，取水总量不得超过地区水资源取用上限或承载能力</w:t>
                  </w:r>
                </w:p>
              </w:tc>
              <w:tc>
                <w:tcPr>
                  <w:tcW w:w="2476" w:type="dxa"/>
                  <w:noWrap w:val="0"/>
                  <w:vAlign w:val="center"/>
                </w:tcPr>
                <w:p w14:paraId="242CE493">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本项目运营期使用水量养护用水，对</w:t>
                  </w:r>
                  <w:r>
                    <w:rPr>
                      <w:rFonts w:hint="default" w:cs="Times New Roman"/>
                      <w:color w:val="auto"/>
                    </w:rPr>
                    <w:t>地区水资源承载能力</w:t>
                  </w:r>
                  <w:r>
                    <w:rPr>
                      <w:rFonts w:hint="eastAsia" w:cs="Times New Roman"/>
                      <w:color w:val="auto"/>
                      <w:lang w:val="en-US" w:eastAsia="zh-CN"/>
                    </w:rPr>
                    <w:t>影响较小</w:t>
                  </w:r>
                </w:p>
              </w:tc>
              <w:tc>
                <w:tcPr>
                  <w:tcW w:w="698" w:type="dxa"/>
                  <w:noWrap w:val="0"/>
                  <w:vAlign w:val="center"/>
                </w:tcPr>
                <w:p w14:paraId="54BEEB1D">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符合</w:t>
                  </w:r>
                </w:p>
              </w:tc>
            </w:tr>
          </w:tbl>
          <w:p w14:paraId="2C40F003">
            <w:pPr>
              <w:pStyle w:val="3"/>
              <w:keepNext w:val="0"/>
              <w:keepLines w:val="0"/>
              <w:suppressLineNumbers w:val="0"/>
              <w:bidi w:val="0"/>
              <w:spacing w:before="0" w:beforeAutospacing="0" w:after="0" w:afterAutospacing="0"/>
              <w:ind w:left="0" w:right="0"/>
              <w:rPr>
                <w:rFonts w:hint="eastAsia"/>
                <w:color w:val="auto"/>
              </w:rPr>
            </w:pPr>
            <w:r>
              <w:rPr>
                <w:rFonts w:hint="eastAsia"/>
                <w:color w:val="auto"/>
                <w:lang w:val="en-US" w:eastAsia="zh-CN"/>
              </w:rPr>
              <w:t>表1-5  本项目</w:t>
            </w:r>
            <w:r>
              <w:rPr>
                <w:rFonts w:hint="eastAsia"/>
                <w:color w:val="auto"/>
              </w:rPr>
              <w:t>与</w:t>
            </w:r>
            <w:r>
              <w:rPr>
                <w:rFonts w:hint="eastAsia"/>
                <w:color w:val="auto"/>
                <w:lang w:val="en-US" w:eastAsia="zh-CN"/>
              </w:rPr>
              <w:t>沙坡头环境管控单元生态环境准入清单符合性</w:t>
            </w:r>
            <w:r>
              <w:rPr>
                <w:rFonts w:hint="eastAsia"/>
                <w:color w:val="auto"/>
              </w:rPr>
              <w:t>分析</w:t>
            </w:r>
          </w:p>
          <w:tbl>
            <w:tblPr>
              <w:tblStyle w:val="26"/>
              <w:tblpPr w:leftFromText="180" w:rightFromText="180" w:vertAnchor="text" w:tblpXSpec="center" w:tblpY="1"/>
              <w:tblOverlap w:val="never"/>
              <w:tblW w:w="8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920"/>
              <w:gridCol w:w="704"/>
              <w:gridCol w:w="806"/>
              <w:gridCol w:w="3039"/>
              <w:gridCol w:w="1926"/>
              <w:gridCol w:w="644"/>
            </w:tblGrid>
            <w:tr w14:paraId="61387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tcBorders>
                    <w:tl2br w:val="nil"/>
                    <w:tr2bl w:val="nil"/>
                  </w:tcBorders>
                  <w:noWrap w:val="0"/>
                  <w:vAlign w:val="center"/>
                </w:tcPr>
                <w:p w14:paraId="698B85A5">
                  <w:pPr>
                    <w:pStyle w:val="33"/>
                    <w:keepNext w:val="0"/>
                    <w:keepLines w:val="0"/>
                    <w:suppressLineNumbers w:val="0"/>
                    <w:bidi w:val="0"/>
                    <w:spacing w:beforeAutospacing="0" w:afterAutospacing="0"/>
                    <w:ind w:left="0" w:right="0"/>
                    <w:rPr>
                      <w:rFonts w:hint="default" w:cs="Times New Roman"/>
                      <w:b/>
                      <w:bCs/>
                      <w:color w:val="auto"/>
                      <w:lang w:val="en-US" w:eastAsia="zh-CN"/>
                    </w:rPr>
                  </w:pPr>
                  <w:r>
                    <w:rPr>
                      <w:rFonts w:hint="default" w:cs="Times New Roman"/>
                      <w:b/>
                      <w:bCs/>
                      <w:color w:val="auto"/>
                      <w:lang w:val="en-US" w:eastAsia="zh-CN"/>
                    </w:rPr>
                    <w:t>环境管控单元名称</w:t>
                  </w:r>
                </w:p>
              </w:tc>
              <w:tc>
                <w:tcPr>
                  <w:tcW w:w="704" w:type="dxa"/>
                  <w:tcBorders>
                    <w:tl2br w:val="nil"/>
                    <w:tr2bl w:val="nil"/>
                  </w:tcBorders>
                  <w:noWrap w:val="0"/>
                  <w:vAlign w:val="center"/>
                </w:tcPr>
                <w:p w14:paraId="4B424835">
                  <w:pPr>
                    <w:pStyle w:val="33"/>
                    <w:keepNext w:val="0"/>
                    <w:keepLines w:val="0"/>
                    <w:suppressLineNumbers w:val="0"/>
                    <w:bidi w:val="0"/>
                    <w:spacing w:beforeAutospacing="0" w:afterAutospacing="0"/>
                    <w:ind w:left="0" w:right="0"/>
                    <w:rPr>
                      <w:rFonts w:hint="default" w:cs="Times New Roman"/>
                      <w:b/>
                      <w:bCs/>
                      <w:color w:val="auto"/>
                      <w:lang w:val="en-US" w:eastAsia="zh-CN"/>
                    </w:rPr>
                  </w:pPr>
                  <w:r>
                    <w:rPr>
                      <w:rFonts w:hint="default" w:cs="Times New Roman"/>
                      <w:b/>
                      <w:bCs/>
                      <w:color w:val="auto"/>
                      <w:lang w:val="en-US" w:eastAsia="zh-CN"/>
                    </w:rPr>
                    <w:t>要素属性</w:t>
                  </w:r>
                </w:p>
              </w:tc>
              <w:tc>
                <w:tcPr>
                  <w:tcW w:w="3845" w:type="dxa"/>
                  <w:gridSpan w:val="2"/>
                  <w:tcBorders>
                    <w:tl2br w:val="nil"/>
                    <w:tr2bl w:val="nil"/>
                  </w:tcBorders>
                  <w:noWrap w:val="0"/>
                  <w:vAlign w:val="center"/>
                </w:tcPr>
                <w:p w14:paraId="6D99E4A9">
                  <w:pPr>
                    <w:pStyle w:val="33"/>
                    <w:keepNext w:val="0"/>
                    <w:keepLines w:val="0"/>
                    <w:suppressLineNumbers w:val="0"/>
                    <w:bidi w:val="0"/>
                    <w:spacing w:beforeAutospacing="0" w:afterAutospacing="0"/>
                    <w:ind w:left="0" w:right="0"/>
                    <w:rPr>
                      <w:rFonts w:hint="default" w:cs="Times New Roman"/>
                      <w:b/>
                      <w:bCs/>
                      <w:color w:val="auto"/>
                      <w:lang w:val="en-US" w:eastAsia="zh-CN"/>
                    </w:rPr>
                  </w:pPr>
                  <w:r>
                    <w:rPr>
                      <w:rFonts w:hint="default" w:cs="Times New Roman"/>
                      <w:b/>
                      <w:bCs/>
                      <w:color w:val="auto"/>
                      <w:lang w:val="en-US" w:eastAsia="zh-CN"/>
                    </w:rPr>
                    <w:t>管控要求</w:t>
                  </w:r>
                </w:p>
              </w:tc>
              <w:tc>
                <w:tcPr>
                  <w:tcW w:w="1926" w:type="dxa"/>
                  <w:tcBorders>
                    <w:tl2br w:val="nil"/>
                    <w:tr2bl w:val="nil"/>
                  </w:tcBorders>
                  <w:noWrap w:val="0"/>
                  <w:vAlign w:val="center"/>
                </w:tcPr>
                <w:p w14:paraId="675629F9">
                  <w:pPr>
                    <w:pStyle w:val="33"/>
                    <w:keepNext w:val="0"/>
                    <w:keepLines w:val="0"/>
                    <w:suppressLineNumbers w:val="0"/>
                    <w:bidi w:val="0"/>
                    <w:spacing w:beforeAutospacing="0" w:afterAutospacing="0"/>
                    <w:ind w:left="0" w:right="0"/>
                    <w:rPr>
                      <w:rFonts w:hint="default" w:cs="Times New Roman"/>
                      <w:b/>
                      <w:bCs/>
                      <w:color w:val="auto"/>
                      <w:lang w:val="en-US" w:eastAsia="zh-CN"/>
                    </w:rPr>
                  </w:pPr>
                  <w:r>
                    <w:rPr>
                      <w:rFonts w:hint="default" w:cs="Times New Roman"/>
                      <w:b/>
                      <w:bCs/>
                      <w:color w:val="auto"/>
                      <w:lang w:val="en-US" w:eastAsia="zh-CN"/>
                    </w:rPr>
                    <w:t>本项目情况</w:t>
                  </w:r>
                </w:p>
              </w:tc>
              <w:tc>
                <w:tcPr>
                  <w:tcW w:w="644" w:type="dxa"/>
                  <w:tcBorders>
                    <w:tl2br w:val="nil"/>
                    <w:tr2bl w:val="nil"/>
                  </w:tcBorders>
                  <w:noWrap w:val="0"/>
                  <w:vAlign w:val="center"/>
                </w:tcPr>
                <w:p w14:paraId="5A412EAB">
                  <w:pPr>
                    <w:pStyle w:val="33"/>
                    <w:keepNext w:val="0"/>
                    <w:keepLines w:val="0"/>
                    <w:suppressLineNumbers w:val="0"/>
                    <w:bidi w:val="0"/>
                    <w:spacing w:beforeAutospacing="0" w:afterAutospacing="0"/>
                    <w:ind w:left="0" w:right="0"/>
                    <w:rPr>
                      <w:rFonts w:hint="default" w:cs="Times New Roman"/>
                      <w:b/>
                      <w:bCs/>
                      <w:color w:val="auto"/>
                      <w:lang w:val="en-US" w:eastAsia="zh-CN"/>
                    </w:rPr>
                  </w:pPr>
                  <w:r>
                    <w:rPr>
                      <w:rFonts w:hint="default" w:cs="Times New Roman"/>
                      <w:b/>
                      <w:bCs/>
                      <w:color w:val="auto"/>
                      <w:lang w:val="en-US" w:eastAsia="zh-CN"/>
                    </w:rPr>
                    <w:t>是否符合</w:t>
                  </w:r>
                </w:p>
              </w:tc>
            </w:tr>
            <w:tr w14:paraId="6E13B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restart"/>
                  <w:tcBorders>
                    <w:tl2br w:val="nil"/>
                    <w:tr2bl w:val="nil"/>
                  </w:tcBorders>
                  <w:noWrap w:val="0"/>
                  <w:vAlign w:val="center"/>
                </w:tcPr>
                <w:p w14:paraId="6675B1DD">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rPr>
                    <w:t>ZH64050210003沙坡头区优先保护单元1</w:t>
                  </w:r>
                </w:p>
              </w:tc>
              <w:tc>
                <w:tcPr>
                  <w:tcW w:w="704" w:type="dxa"/>
                  <w:vMerge w:val="restart"/>
                  <w:tcBorders>
                    <w:tl2br w:val="nil"/>
                    <w:tr2bl w:val="nil"/>
                  </w:tcBorders>
                  <w:noWrap w:val="0"/>
                  <w:vAlign w:val="center"/>
                </w:tcPr>
                <w:p w14:paraId="26E6732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生态保护红线</w:t>
                  </w:r>
                </w:p>
                <w:p w14:paraId="7F32B046">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rPr>
                    <w:t>+生态空间</w:t>
                  </w:r>
                </w:p>
              </w:tc>
              <w:tc>
                <w:tcPr>
                  <w:tcW w:w="806" w:type="dxa"/>
                  <w:tcBorders>
                    <w:tl2br w:val="nil"/>
                    <w:tr2bl w:val="nil"/>
                  </w:tcBorders>
                  <w:noWrap w:val="0"/>
                  <w:vAlign w:val="center"/>
                </w:tcPr>
                <w:p w14:paraId="57B98A0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空间布局约束</w:t>
                  </w:r>
                </w:p>
              </w:tc>
              <w:tc>
                <w:tcPr>
                  <w:tcW w:w="3039" w:type="dxa"/>
                  <w:tcBorders>
                    <w:tl2br w:val="nil"/>
                    <w:tr2bl w:val="nil"/>
                  </w:tcBorders>
                  <w:noWrap w:val="0"/>
                  <w:vAlign w:val="center"/>
                </w:tcPr>
                <w:p w14:paraId="1C51D4B1">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1.</w:t>
                  </w:r>
                  <w:r>
                    <w:rPr>
                      <w:rFonts w:hint="default" w:cs="Times New Roman"/>
                      <w:color w:val="auto"/>
                    </w:rPr>
                    <w:t>禁止新建项目乱征滥占草地、破坏沙生植被，</w:t>
                  </w:r>
                  <w:r>
                    <w:rPr>
                      <w:rFonts w:hint="default" w:cs="Times New Roman"/>
                      <w:color w:val="auto"/>
                      <w:highlight w:val="none"/>
                    </w:rPr>
                    <w:t>严格限制在区域内采砂取土</w:t>
                  </w:r>
                </w:p>
                <w:p w14:paraId="2AFFBD34">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2.</w:t>
                  </w:r>
                  <w:r>
                    <w:rPr>
                      <w:rFonts w:hint="default" w:cs="Times New Roman"/>
                      <w:color w:val="auto"/>
                    </w:rPr>
                    <w:t>生态保护红线内自然保护地核心保护区外，禁止开发性、生产性建设活动，在符合法律法规的前提下，仅允许十类对生态功能不造成破坏的有限人为活动。一般生态空间内，在生态保护红线正面清单的基础上，仅允许开展生态修复等对生态环境扰动较小、不损害或有利于提升生态功能的开发项目</w:t>
                  </w:r>
                </w:p>
                <w:p w14:paraId="1FE44A66">
                  <w:pPr>
                    <w:pStyle w:val="33"/>
                    <w:keepNext w:val="0"/>
                    <w:keepLines w:val="0"/>
                    <w:numPr>
                      <w:ilvl w:val="0"/>
                      <w:numId w:val="0"/>
                    </w:numPr>
                    <w:suppressLineNumbers w:val="0"/>
                    <w:bidi w:val="0"/>
                    <w:spacing w:beforeAutospacing="0" w:afterAutospacing="0"/>
                    <w:ind w:left="0" w:leftChars="0" w:right="0"/>
                    <w:jc w:val="center"/>
                    <w:rPr>
                      <w:rFonts w:hint="default" w:cs="Times New Roman"/>
                      <w:color w:val="auto"/>
                      <w:lang w:val="en-US" w:eastAsia="zh-CN"/>
                    </w:rPr>
                  </w:pPr>
                  <w:r>
                    <w:rPr>
                      <w:rFonts w:hint="default" w:cs="Times New Roman"/>
                      <w:color w:val="auto"/>
                    </w:rPr>
                    <w:t>3.对区域内“散乱污”企业根据实际情况采取关停或搬迁入园措施。禁养区内现有的畜禽养殖场（小区）污染物的排放要符合《畜禽养殖污染物排放标准》的要求，并限期实现关停、转产或搬迁</w:t>
                  </w:r>
                </w:p>
              </w:tc>
              <w:tc>
                <w:tcPr>
                  <w:tcW w:w="1926" w:type="dxa"/>
                  <w:tcBorders>
                    <w:tl2br w:val="nil"/>
                    <w:tr2bl w:val="nil"/>
                  </w:tcBorders>
                  <w:noWrap w:val="0"/>
                  <w:vAlign w:val="center"/>
                </w:tcPr>
                <w:p w14:paraId="6AFFA4E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1.本项目主要对历史遗留废弃矿山进行生态修复治理，不涉及新增占地，施工期破坏的植被施工结束后进行植被恢复。本项目在治理区内取土，回用于各治理区内采坑回填、土方回填、覆土工程、场地平整 、培坡护坡等工程，取土后对取土场进行植被恢复，有利于环境质量的提升</w:t>
                  </w:r>
                </w:p>
                <w:p w14:paraId="656F7459">
                  <w:pPr>
                    <w:pStyle w:val="33"/>
                    <w:keepNext w:val="0"/>
                    <w:keepLines w:val="0"/>
                    <w:suppressLineNumbers w:val="0"/>
                    <w:bidi w:val="0"/>
                    <w:spacing w:beforeAutospacing="0" w:afterAutospacing="0"/>
                    <w:ind w:left="0" w:right="0"/>
                    <w:rPr>
                      <w:rFonts w:hint="eastAsia" w:cs="Times New Roman"/>
                      <w:color w:val="auto"/>
                      <w:lang w:eastAsia="zh-CN"/>
                    </w:rPr>
                  </w:pPr>
                  <w:r>
                    <w:rPr>
                      <w:rFonts w:hint="eastAsia" w:cs="Times New Roman"/>
                      <w:color w:val="auto"/>
                      <w:lang w:val="en-US" w:eastAsia="zh-CN"/>
                    </w:rPr>
                    <w:t>2.本项目不涉及</w:t>
                  </w:r>
                  <w:r>
                    <w:rPr>
                      <w:rFonts w:hint="default" w:cs="Times New Roman"/>
                      <w:color w:val="auto"/>
                    </w:rPr>
                    <w:t>生态保护红线</w:t>
                  </w:r>
                </w:p>
                <w:p w14:paraId="14F7BD33">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3.本项目不涉及</w:t>
                  </w:r>
                </w:p>
              </w:tc>
              <w:tc>
                <w:tcPr>
                  <w:tcW w:w="644" w:type="dxa"/>
                  <w:tcBorders>
                    <w:tl2br w:val="nil"/>
                    <w:tr2bl w:val="nil"/>
                  </w:tcBorders>
                  <w:noWrap w:val="0"/>
                  <w:vAlign w:val="center"/>
                </w:tcPr>
                <w:p w14:paraId="106D40D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10678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6E1F51BC">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730C2AFC">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5CCBC1C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污染物排放管控</w:t>
                  </w:r>
                </w:p>
              </w:tc>
              <w:tc>
                <w:tcPr>
                  <w:tcW w:w="3039" w:type="dxa"/>
                  <w:tcBorders>
                    <w:tl2br w:val="nil"/>
                    <w:tr2bl w:val="nil"/>
                  </w:tcBorders>
                  <w:noWrap w:val="0"/>
                  <w:vAlign w:val="center"/>
                </w:tcPr>
                <w:p w14:paraId="1ED52FF3">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098972D9">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30891500">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2C66D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6ED29C87">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569D545C">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5472D746">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环境风险防控</w:t>
                  </w:r>
                </w:p>
              </w:tc>
              <w:tc>
                <w:tcPr>
                  <w:tcW w:w="3039" w:type="dxa"/>
                  <w:tcBorders>
                    <w:tl2br w:val="nil"/>
                    <w:tr2bl w:val="nil"/>
                  </w:tcBorders>
                  <w:noWrap w:val="0"/>
                  <w:vAlign w:val="center"/>
                </w:tcPr>
                <w:p w14:paraId="548C4144">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3032207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1C8A3406">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11A0D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0AE76D85">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41006D48">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3B348F3C">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资源开发效率</w:t>
                  </w:r>
                </w:p>
              </w:tc>
              <w:tc>
                <w:tcPr>
                  <w:tcW w:w="3039" w:type="dxa"/>
                  <w:tcBorders>
                    <w:tl2br w:val="nil"/>
                    <w:tr2bl w:val="nil"/>
                  </w:tcBorders>
                  <w:noWrap w:val="0"/>
                  <w:vAlign w:val="center"/>
                </w:tcPr>
                <w:p w14:paraId="315D28E7">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10EFB3BA">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6A8658AE">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5CF85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restart"/>
                  <w:tcBorders>
                    <w:tl2br w:val="nil"/>
                    <w:tr2bl w:val="nil"/>
                  </w:tcBorders>
                  <w:noWrap w:val="0"/>
                  <w:vAlign w:val="center"/>
                </w:tcPr>
                <w:p w14:paraId="729F057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rPr>
                    <w:t>ZH64050220001中卫工业园区重点管控单元</w:t>
                  </w:r>
                </w:p>
              </w:tc>
              <w:tc>
                <w:tcPr>
                  <w:tcW w:w="704" w:type="dxa"/>
                  <w:vMerge w:val="restart"/>
                  <w:tcBorders>
                    <w:tl2br w:val="nil"/>
                    <w:tr2bl w:val="nil"/>
                  </w:tcBorders>
                  <w:noWrap w:val="0"/>
                  <w:vAlign w:val="center"/>
                </w:tcPr>
                <w:p w14:paraId="6FFDA600">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rPr>
                    <w:t>水环境工业污染重点管控区、大气环境高排放重点管控区</w:t>
                  </w:r>
                </w:p>
              </w:tc>
              <w:tc>
                <w:tcPr>
                  <w:tcW w:w="806" w:type="dxa"/>
                  <w:tcBorders>
                    <w:tl2br w:val="nil"/>
                    <w:tr2bl w:val="nil"/>
                  </w:tcBorders>
                  <w:noWrap w:val="0"/>
                  <w:vAlign w:val="center"/>
                </w:tcPr>
                <w:p w14:paraId="6909C25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空间布局约束</w:t>
                  </w:r>
                </w:p>
              </w:tc>
              <w:tc>
                <w:tcPr>
                  <w:tcW w:w="3039" w:type="dxa"/>
                  <w:tcBorders>
                    <w:tl2br w:val="nil"/>
                    <w:tr2bl w:val="nil"/>
                  </w:tcBorders>
                  <w:noWrap w:val="0"/>
                  <w:vAlign w:val="center"/>
                </w:tcPr>
                <w:p w14:paraId="7B26DF7F">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1.</w:t>
                  </w:r>
                  <w:r>
                    <w:rPr>
                      <w:rFonts w:hint="default" w:cs="Times New Roman"/>
                      <w:color w:val="auto"/>
                    </w:rPr>
                    <w:t>未完成区域大气环境质量改善目标要求的，禁止涉相应大气污染物排放的建设项目准入。</w:t>
                  </w:r>
                </w:p>
                <w:p w14:paraId="42F80FEB">
                  <w:pPr>
                    <w:pStyle w:val="33"/>
                    <w:keepNext w:val="0"/>
                    <w:keepLines w:val="0"/>
                    <w:numPr>
                      <w:ilvl w:val="0"/>
                      <w:numId w:val="0"/>
                    </w:numPr>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rPr>
                    <w:t>2.限制煤炭、电力、有色、建材，高污染的医药、农药、化工等行业新建项目</w:t>
                  </w:r>
                </w:p>
              </w:tc>
              <w:tc>
                <w:tcPr>
                  <w:tcW w:w="1926" w:type="dxa"/>
                  <w:tcBorders>
                    <w:tl2br w:val="nil"/>
                    <w:tr2bl w:val="nil"/>
                  </w:tcBorders>
                  <w:noWrap w:val="0"/>
                  <w:vAlign w:val="center"/>
                </w:tcPr>
                <w:p w14:paraId="4DE40273">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1.本项目不涉及</w:t>
                  </w:r>
                  <w:r>
                    <w:rPr>
                      <w:rFonts w:hint="default" w:cs="Times New Roman"/>
                      <w:color w:val="auto"/>
                    </w:rPr>
                    <w:t>污染物排放</w:t>
                  </w:r>
                </w:p>
                <w:p w14:paraId="4E295B8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2.本项目不涉及</w:t>
                  </w:r>
                </w:p>
              </w:tc>
              <w:tc>
                <w:tcPr>
                  <w:tcW w:w="644" w:type="dxa"/>
                  <w:tcBorders>
                    <w:tl2br w:val="nil"/>
                    <w:tr2bl w:val="nil"/>
                  </w:tcBorders>
                  <w:noWrap w:val="0"/>
                  <w:vAlign w:val="center"/>
                </w:tcPr>
                <w:p w14:paraId="4F6EE416">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28DD1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579FCC4B">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25CBDFAC">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6CBF5045">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污染物排放管控</w:t>
                  </w:r>
                </w:p>
              </w:tc>
              <w:tc>
                <w:tcPr>
                  <w:tcW w:w="3039" w:type="dxa"/>
                  <w:tcBorders>
                    <w:tl2br w:val="nil"/>
                    <w:tr2bl w:val="nil"/>
                  </w:tcBorders>
                  <w:noWrap w:val="0"/>
                  <w:vAlign w:val="center"/>
                </w:tcPr>
                <w:p w14:paraId="5D4BF320">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1.</w:t>
                  </w:r>
                  <w:r>
                    <w:rPr>
                      <w:rFonts w:hint="default" w:cs="Times New Roman"/>
                      <w:color w:val="auto"/>
                    </w:rPr>
                    <w:t>现有产生大气污染物的工业企业应持续开展节能减排</w:t>
                  </w:r>
                </w:p>
                <w:p w14:paraId="641C86AA">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default" w:cs="Times New Roman"/>
                      <w:color w:val="auto"/>
                    </w:rPr>
                    <w:t>2.新建项目实施主要大气污染物和VOCS排放减量替代</w:t>
                  </w:r>
                </w:p>
                <w:p w14:paraId="09509DEA">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default" w:cs="Times New Roman"/>
                      <w:color w:val="auto"/>
                    </w:rPr>
                    <w:t>3.新建项目严格执行环境影响评价制度，污染物排放应符合园区执行标准，并符合行政主管部门下达的总量指标</w:t>
                  </w:r>
                </w:p>
                <w:p w14:paraId="5B4F946F">
                  <w:pPr>
                    <w:pStyle w:val="33"/>
                    <w:keepNext w:val="0"/>
                    <w:keepLines w:val="0"/>
                    <w:numPr>
                      <w:ilvl w:val="0"/>
                      <w:numId w:val="0"/>
                    </w:numPr>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rPr>
                    <w:t>4.列入重点排污单位名录的企业应加强污染治理设施的运行管理，确保稳定达标排放</w:t>
                  </w:r>
                </w:p>
              </w:tc>
              <w:tc>
                <w:tcPr>
                  <w:tcW w:w="1926" w:type="dxa"/>
                  <w:tcBorders>
                    <w:tl2br w:val="nil"/>
                    <w:tr2bl w:val="nil"/>
                  </w:tcBorders>
                  <w:noWrap w:val="0"/>
                  <w:vAlign w:val="center"/>
                </w:tcPr>
                <w:p w14:paraId="4470CE9F">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1.本项目不涉及</w:t>
                  </w:r>
                </w:p>
                <w:p w14:paraId="5C7053ED">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2.本项目不涉及</w:t>
                  </w:r>
                </w:p>
                <w:p w14:paraId="68AEAA16">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3.本项目不涉及</w:t>
                  </w:r>
                </w:p>
                <w:p w14:paraId="0B25E8C9">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4.本项目不涉及</w:t>
                  </w:r>
                </w:p>
              </w:tc>
              <w:tc>
                <w:tcPr>
                  <w:tcW w:w="644" w:type="dxa"/>
                  <w:tcBorders>
                    <w:tl2br w:val="nil"/>
                    <w:tr2bl w:val="nil"/>
                  </w:tcBorders>
                  <w:noWrap w:val="0"/>
                  <w:vAlign w:val="center"/>
                </w:tcPr>
                <w:p w14:paraId="11CA526C">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261F1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463BBC35">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02A44BC5">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6DEEFE5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环境风险防控</w:t>
                  </w:r>
                </w:p>
              </w:tc>
              <w:tc>
                <w:tcPr>
                  <w:tcW w:w="3039" w:type="dxa"/>
                  <w:tcBorders>
                    <w:tl2br w:val="nil"/>
                    <w:tr2bl w:val="nil"/>
                  </w:tcBorders>
                  <w:noWrap w:val="0"/>
                  <w:vAlign w:val="center"/>
                </w:tcPr>
                <w:p w14:paraId="7142CAFF">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eastAsia" w:cs="Times New Roman"/>
                      <w:color w:val="auto"/>
                      <w:lang w:val="en-US" w:eastAsia="zh-CN"/>
                    </w:rPr>
                    <w:t>1.</w:t>
                  </w:r>
                  <w:r>
                    <w:rPr>
                      <w:rFonts w:hint="default" w:cs="Times New Roman"/>
                      <w:color w:val="auto"/>
                    </w:rPr>
                    <w:t>原宁夏明盛染化有限公司场地在修复治理后，应符合相关土壤环境质量标准后，严格控制土地用途。土壤环境污染重点监管企业应加强用地土壤环境监测和土壤污染风险防控</w:t>
                  </w:r>
                </w:p>
                <w:p w14:paraId="5B252CC7">
                  <w:pPr>
                    <w:pStyle w:val="33"/>
                    <w:keepNext w:val="0"/>
                    <w:keepLines w:val="0"/>
                    <w:numPr>
                      <w:ilvl w:val="0"/>
                      <w:numId w:val="0"/>
                    </w:numPr>
                    <w:suppressLineNumbers w:val="0"/>
                    <w:bidi w:val="0"/>
                    <w:spacing w:beforeAutospacing="0" w:afterAutospacing="0"/>
                    <w:ind w:left="0" w:right="0"/>
                    <w:jc w:val="center"/>
                    <w:rPr>
                      <w:rFonts w:hint="default" w:cs="Times New Roman"/>
                      <w:color w:val="auto"/>
                    </w:rPr>
                  </w:pPr>
                  <w:r>
                    <w:rPr>
                      <w:rFonts w:hint="default" w:cs="Times New Roman"/>
                      <w:color w:val="auto"/>
                    </w:rPr>
                    <w:t>2.园区应建立严格的环境风险防控体系。应特别防控园区企业对腾格里沙漠及沙坡头自然保护区的侵占和污染事件</w:t>
                  </w:r>
                </w:p>
                <w:p w14:paraId="537E0B3F">
                  <w:pPr>
                    <w:pStyle w:val="33"/>
                    <w:keepNext w:val="0"/>
                    <w:keepLines w:val="0"/>
                    <w:numPr>
                      <w:ilvl w:val="0"/>
                      <w:numId w:val="0"/>
                    </w:numPr>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rPr>
                    <w:t>3.危险废物处理处置企业在贮存、转移、利用、处置危险废物过程中，应配套防扬散、防流失、防渗漏及其他防治污染环境的措施</w:t>
                  </w:r>
                </w:p>
              </w:tc>
              <w:tc>
                <w:tcPr>
                  <w:tcW w:w="1926" w:type="dxa"/>
                  <w:tcBorders>
                    <w:tl2br w:val="nil"/>
                    <w:tr2bl w:val="nil"/>
                  </w:tcBorders>
                  <w:noWrap w:val="0"/>
                  <w:vAlign w:val="center"/>
                </w:tcPr>
                <w:p w14:paraId="2214A593">
                  <w:pPr>
                    <w:pStyle w:val="33"/>
                    <w:keepNext w:val="0"/>
                    <w:keepLines w:val="0"/>
                    <w:suppressLineNumbers w:val="0"/>
                    <w:bidi w:val="0"/>
                    <w:spacing w:beforeAutospacing="0" w:afterAutospacing="0"/>
                    <w:ind w:left="0" w:right="0"/>
                    <w:jc w:val="center"/>
                    <w:rPr>
                      <w:rFonts w:hint="eastAsia" w:cs="Times New Roman"/>
                      <w:color w:val="auto"/>
                      <w:lang w:val="en-US" w:eastAsia="zh-CN"/>
                    </w:rPr>
                  </w:pPr>
                  <w:r>
                    <w:rPr>
                      <w:rFonts w:hint="eastAsia" w:cs="Times New Roman"/>
                      <w:color w:val="auto"/>
                      <w:lang w:val="en-US" w:eastAsia="zh-CN"/>
                    </w:rPr>
                    <w:t>1.本项目不涉及</w:t>
                  </w:r>
                </w:p>
                <w:p w14:paraId="05C02CF3">
                  <w:pPr>
                    <w:pStyle w:val="33"/>
                    <w:keepNext w:val="0"/>
                    <w:keepLines w:val="0"/>
                    <w:suppressLineNumbers w:val="0"/>
                    <w:bidi w:val="0"/>
                    <w:spacing w:beforeAutospacing="0" w:afterAutospacing="0"/>
                    <w:ind w:left="0" w:right="0"/>
                    <w:jc w:val="center"/>
                    <w:rPr>
                      <w:rFonts w:hint="eastAsia" w:cs="Times New Roman"/>
                      <w:color w:val="auto"/>
                      <w:lang w:val="en-US" w:eastAsia="zh-CN"/>
                    </w:rPr>
                  </w:pPr>
                  <w:r>
                    <w:rPr>
                      <w:rFonts w:hint="eastAsia" w:cs="Times New Roman"/>
                      <w:color w:val="auto"/>
                      <w:lang w:val="en-US" w:eastAsia="zh-CN"/>
                    </w:rPr>
                    <w:t>2.本项目不涉及</w:t>
                  </w:r>
                </w:p>
                <w:p w14:paraId="74DAC393">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eastAsia" w:cs="Times New Roman"/>
                      <w:color w:val="auto"/>
                      <w:lang w:val="en-US" w:eastAsia="zh-CN"/>
                    </w:rPr>
                    <w:t>3.本项目不涉及</w:t>
                  </w:r>
                </w:p>
              </w:tc>
              <w:tc>
                <w:tcPr>
                  <w:tcW w:w="644" w:type="dxa"/>
                  <w:tcBorders>
                    <w:tl2br w:val="nil"/>
                    <w:tr2bl w:val="nil"/>
                  </w:tcBorders>
                  <w:noWrap w:val="0"/>
                  <w:vAlign w:val="center"/>
                </w:tcPr>
                <w:p w14:paraId="02399A6E">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0FD82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0A3A34C2">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44B3B7BE">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767A1808">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资源开发效率</w:t>
                  </w:r>
                </w:p>
              </w:tc>
              <w:tc>
                <w:tcPr>
                  <w:tcW w:w="3039" w:type="dxa"/>
                  <w:tcBorders>
                    <w:tl2br w:val="nil"/>
                    <w:tr2bl w:val="nil"/>
                  </w:tcBorders>
                  <w:noWrap w:val="0"/>
                  <w:vAlign w:val="center"/>
                </w:tcPr>
                <w:p w14:paraId="1C1B930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1.2025年前园区黄河水工业取水上限为1991.22万吨/年，其余新增工业用水均需利用再生水作为生产用水</w:t>
                  </w:r>
                </w:p>
                <w:p w14:paraId="1C7C888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rPr>
                    <w:t>2.到2025年，园区煤炭资源利用上线为474.71万t（不含4×660MW热电项目），不包括原料煤</w:t>
                  </w:r>
                </w:p>
              </w:tc>
              <w:tc>
                <w:tcPr>
                  <w:tcW w:w="1926" w:type="dxa"/>
                  <w:tcBorders>
                    <w:tl2br w:val="nil"/>
                    <w:tr2bl w:val="nil"/>
                  </w:tcBorders>
                  <w:noWrap w:val="0"/>
                  <w:vAlign w:val="center"/>
                </w:tcPr>
                <w:p w14:paraId="4B393A63">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1.本项目运营期仅使用少量养护用水，不涉及新增工业用水</w:t>
                  </w:r>
                </w:p>
                <w:p w14:paraId="28CD0BEE">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2.本项目不涉及</w:t>
                  </w:r>
                </w:p>
              </w:tc>
              <w:tc>
                <w:tcPr>
                  <w:tcW w:w="644" w:type="dxa"/>
                  <w:tcBorders>
                    <w:tl2br w:val="nil"/>
                    <w:tr2bl w:val="nil"/>
                  </w:tcBorders>
                  <w:noWrap w:val="0"/>
                  <w:vAlign w:val="center"/>
                </w:tcPr>
                <w:p w14:paraId="55F97CC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498913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restart"/>
                  <w:tcBorders>
                    <w:tl2br w:val="nil"/>
                    <w:tr2bl w:val="nil"/>
                  </w:tcBorders>
                  <w:noWrap w:val="0"/>
                  <w:vAlign w:val="center"/>
                </w:tcPr>
                <w:p w14:paraId="34F8CB38">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eastAsia" w:cs="Times New Roman"/>
                      <w:color w:val="auto"/>
                      <w:lang w:val="en-US" w:eastAsia="zh-CN"/>
                    </w:rPr>
                  </w:pPr>
                  <w:r>
                    <w:rPr>
                      <w:rFonts w:hint="default" w:cs="Times New Roman"/>
                      <w:color w:val="auto"/>
                    </w:rPr>
                    <w:t>ZH64050230001沙坡头区一般管控单元</w:t>
                  </w:r>
                  <w:r>
                    <w:rPr>
                      <w:rFonts w:hint="eastAsia" w:cs="Times New Roman"/>
                      <w:color w:val="auto"/>
                      <w:lang w:val="en-US" w:eastAsia="zh-CN"/>
                    </w:rPr>
                    <w:t>1</w:t>
                  </w:r>
                </w:p>
              </w:tc>
              <w:tc>
                <w:tcPr>
                  <w:tcW w:w="704" w:type="dxa"/>
                  <w:vMerge w:val="restart"/>
                  <w:tcBorders>
                    <w:tl2br w:val="nil"/>
                    <w:tr2bl w:val="nil"/>
                  </w:tcBorders>
                  <w:noWrap w:val="0"/>
                  <w:vAlign w:val="center"/>
                </w:tcPr>
                <w:p w14:paraId="2BB1F766">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lang w:val="en-US" w:eastAsia="zh-CN"/>
                    </w:rPr>
                  </w:pPr>
                  <w:r>
                    <w:rPr>
                      <w:rFonts w:hint="default" w:cs="Times New Roman"/>
                      <w:color w:val="auto"/>
                    </w:rPr>
                    <w:t>水环境工业污染重点管控区、大气环境高排放重点管控区</w:t>
                  </w:r>
                </w:p>
              </w:tc>
              <w:tc>
                <w:tcPr>
                  <w:tcW w:w="806" w:type="dxa"/>
                  <w:tcBorders>
                    <w:tl2br w:val="nil"/>
                    <w:tr2bl w:val="nil"/>
                  </w:tcBorders>
                  <w:noWrap w:val="0"/>
                  <w:vAlign w:val="center"/>
                </w:tcPr>
                <w:p w14:paraId="44BE3C23">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lang w:val="en-US" w:eastAsia="zh-CN"/>
                    </w:rPr>
                  </w:pPr>
                  <w:r>
                    <w:rPr>
                      <w:rFonts w:hint="default" w:cs="Times New Roman"/>
                      <w:color w:val="auto"/>
                      <w:lang w:val="en-US" w:eastAsia="zh-CN"/>
                    </w:rPr>
                    <w:t>空间布局约束</w:t>
                  </w:r>
                </w:p>
              </w:tc>
              <w:tc>
                <w:tcPr>
                  <w:tcW w:w="3039" w:type="dxa"/>
                  <w:tcBorders>
                    <w:tl2br w:val="nil"/>
                    <w:tr2bl w:val="nil"/>
                  </w:tcBorders>
                  <w:noWrap w:val="0"/>
                  <w:vAlign w:val="center"/>
                </w:tcPr>
                <w:p w14:paraId="2B06F945">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rPr>
                  </w:pPr>
                  <w:r>
                    <w:rPr>
                      <w:rFonts w:hint="default" w:cs="Times New Roman"/>
                      <w:color w:val="auto"/>
                    </w:rPr>
                    <w:t>1.禁止新建项目乱征滥占草地、破坏沙生植被，</w:t>
                  </w:r>
                  <w:r>
                    <w:rPr>
                      <w:rFonts w:hint="default" w:cs="Times New Roman"/>
                      <w:color w:val="auto"/>
                      <w:highlight w:val="none"/>
                    </w:rPr>
                    <w:t>严格限制在区域内采砂取土</w:t>
                  </w:r>
                </w:p>
                <w:p w14:paraId="0E6A83A7">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both"/>
                    <w:textAlignment w:val="auto"/>
                    <w:rPr>
                      <w:rFonts w:hint="default" w:cs="Times New Roman"/>
                      <w:color w:val="auto"/>
                    </w:rPr>
                  </w:pPr>
                  <w:r>
                    <w:rPr>
                      <w:rFonts w:hint="eastAsia" w:cs="Times New Roman"/>
                      <w:color w:val="auto"/>
                      <w:lang w:val="en-US" w:eastAsia="zh-CN"/>
                    </w:rPr>
                    <w:t>2.</w:t>
                  </w:r>
                  <w:r>
                    <w:rPr>
                      <w:rFonts w:hint="default" w:cs="Times New Roman"/>
                      <w:color w:val="auto"/>
                    </w:rPr>
                    <w:t>限制无序发展光伏产业。严格限制在农用地优先保护区集中区域新建医药、垃圾焚烧、铅酸蓄电池制造回收、电子废弃物拆解、危险废物处置和危险化学品生产、储存、使用等行业项目</w:t>
                  </w:r>
                </w:p>
                <w:p w14:paraId="7F763FC1">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rPr>
                  </w:pPr>
                  <w:r>
                    <w:rPr>
                      <w:rFonts w:hint="default" w:cs="Times New Roman"/>
                      <w:color w:val="auto"/>
                    </w:rPr>
                    <w:t>3.在满足产业准入、总量控制、排放标准等国家和地方相关管理制度要求的前提下，集约发展</w:t>
                  </w:r>
                </w:p>
                <w:p w14:paraId="24EA18AC">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lang w:val="en-US" w:eastAsia="zh-CN"/>
                    </w:rPr>
                  </w:pPr>
                  <w:r>
                    <w:rPr>
                      <w:rFonts w:hint="default" w:cs="Times New Roman"/>
                      <w:color w:val="auto"/>
                    </w:rPr>
                    <w:t>4.深入推进“散乱污”工业企业整治工作，对不符合国家或自治区产业政策、依法应办理而未办理相关审批或登记手续、违法排污严重的工业企业，限期关停拆除</w:t>
                  </w:r>
                </w:p>
              </w:tc>
              <w:tc>
                <w:tcPr>
                  <w:tcW w:w="1926" w:type="dxa"/>
                  <w:tcBorders>
                    <w:tl2br w:val="nil"/>
                    <w:tr2bl w:val="nil"/>
                  </w:tcBorders>
                  <w:noWrap w:val="0"/>
                  <w:vAlign w:val="center"/>
                </w:tcPr>
                <w:p w14:paraId="074FA1B2">
                  <w:pPr>
                    <w:pStyle w:val="33"/>
                    <w:keepNext w:val="0"/>
                    <w:keepLines w:val="0"/>
                    <w:suppressLineNumbers w:val="0"/>
                    <w:bidi w:val="0"/>
                    <w:spacing w:beforeAutospacing="0" w:afterAutospacing="0"/>
                    <w:ind w:left="0" w:right="0"/>
                    <w:jc w:val="center"/>
                    <w:rPr>
                      <w:rFonts w:hint="eastAsia" w:cs="Times New Roman"/>
                      <w:color w:val="auto"/>
                      <w:lang w:val="en-US" w:eastAsia="zh-CN"/>
                    </w:rPr>
                  </w:pPr>
                  <w:r>
                    <w:rPr>
                      <w:rFonts w:hint="eastAsia" w:cs="Times New Roman"/>
                      <w:color w:val="auto"/>
                      <w:lang w:val="en-US" w:eastAsia="zh-CN"/>
                    </w:rPr>
                    <w:t>1.本项目主要对历史遗留废弃矿山进行生态修复治理，不涉及新增占地，施工期破坏的植被施工结束后进行植被恢复，本项目在治理区内取土，回用于各治理区内采坑回填、土方回填、覆土工程、场地平整 、培坡护坡等工程，取土后对取土场进行植被恢复，有利于环境质量的提升</w:t>
                  </w:r>
                </w:p>
                <w:p w14:paraId="56C2F1EA">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color w:val="auto"/>
                      <w:lang w:val="en-US" w:eastAsia="zh-CN"/>
                    </w:rPr>
                  </w:pPr>
                  <w:r>
                    <w:rPr>
                      <w:rFonts w:hint="eastAsia" w:cs="Times New Roman"/>
                      <w:color w:val="auto"/>
                      <w:lang w:val="en-US" w:eastAsia="zh-CN"/>
                    </w:rPr>
                    <w:t>2.本项目不涉及</w:t>
                  </w:r>
                </w:p>
                <w:p w14:paraId="044A43F5">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eastAsia" w:cs="Times New Roman"/>
                      <w:color w:val="auto"/>
                      <w:lang w:val="en-US" w:eastAsia="zh-CN"/>
                    </w:rPr>
                  </w:pPr>
                  <w:r>
                    <w:rPr>
                      <w:rFonts w:hint="eastAsia" w:cs="Times New Roman"/>
                      <w:color w:val="auto"/>
                      <w:lang w:val="en-US" w:eastAsia="zh-CN"/>
                    </w:rPr>
                    <w:t>3.本项目不涉及</w:t>
                  </w:r>
                </w:p>
                <w:p w14:paraId="2B249115">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jc w:val="center"/>
                    <w:textAlignment w:val="auto"/>
                    <w:rPr>
                      <w:rFonts w:hint="default" w:cs="Times New Roman"/>
                      <w:color w:val="auto"/>
                      <w:lang w:val="en-US" w:eastAsia="zh-CN"/>
                    </w:rPr>
                  </w:pPr>
                  <w:r>
                    <w:rPr>
                      <w:rFonts w:hint="eastAsia" w:cs="Times New Roman"/>
                      <w:color w:val="auto"/>
                      <w:lang w:val="en-US" w:eastAsia="zh-CN"/>
                    </w:rPr>
                    <w:t>4.本项目不涉及</w:t>
                  </w:r>
                </w:p>
              </w:tc>
              <w:tc>
                <w:tcPr>
                  <w:tcW w:w="644" w:type="dxa"/>
                  <w:tcBorders>
                    <w:tl2br w:val="nil"/>
                    <w:tr2bl w:val="nil"/>
                  </w:tcBorders>
                  <w:noWrap w:val="0"/>
                  <w:vAlign w:val="center"/>
                </w:tcPr>
                <w:p w14:paraId="47AAF4D6">
                  <w:pPr>
                    <w:pStyle w:val="33"/>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rPr>
                      <w:rFonts w:hint="default" w:cs="Times New Roman"/>
                      <w:color w:val="auto"/>
                      <w:lang w:val="en-US" w:eastAsia="zh-CN"/>
                    </w:rPr>
                  </w:pPr>
                  <w:r>
                    <w:rPr>
                      <w:rFonts w:hint="default" w:cs="Times New Roman"/>
                      <w:color w:val="auto"/>
                      <w:lang w:val="en-US" w:eastAsia="zh-CN"/>
                    </w:rPr>
                    <w:t>符合</w:t>
                  </w:r>
                </w:p>
              </w:tc>
            </w:tr>
            <w:tr w14:paraId="706EC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67E84F6B">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2EE17499">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6F70B6E9">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污染物排放管控</w:t>
                  </w:r>
                </w:p>
              </w:tc>
              <w:tc>
                <w:tcPr>
                  <w:tcW w:w="3039" w:type="dxa"/>
                  <w:tcBorders>
                    <w:tl2br w:val="nil"/>
                    <w:tr2bl w:val="nil"/>
                  </w:tcBorders>
                  <w:noWrap w:val="0"/>
                  <w:vAlign w:val="center"/>
                </w:tcPr>
                <w:p w14:paraId="5DC07C17">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6E9C51EF">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678E15AA">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064CE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20" w:type="dxa"/>
                  <w:vMerge w:val="continue"/>
                  <w:tcBorders>
                    <w:tl2br w:val="nil"/>
                    <w:tr2bl w:val="nil"/>
                  </w:tcBorders>
                  <w:noWrap w:val="0"/>
                  <w:vAlign w:val="center"/>
                </w:tcPr>
                <w:p w14:paraId="725DD041">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16253ECE">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42925DDD">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环境风险防控</w:t>
                  </w:r>
                </w:p>
              </w:tc>
              <w:tc>
                <w:tcPr>
                  <w:tcW w:w="3039" w:type="dxa"/>
                  <w:tcBorders>
                    <w:tl2br w:val="nil"/>
                    <w:tr2bl w:val="nil"/>
                  </w:tcBorders>
                  <w:noWrap w:val="0"/>
                  <w:vAlign w:val="center"/>
                </w:tcPr>
                <w:p w14:paraId="215A0407">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712FFE5E">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704C0473">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r w14:paraId="6763E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20" w:type="dxa"/>
                  <w:vMerge w:val="continue"/>
                  <w:tcBorders>
                    <w:tl2br w:val="nil"/>
                    <w:tr2bl w:val="nil"/>
                  </w:tcBorders>
                  <w:noWrap w:val="0"/>
                  <w:vAlign w:val="center"/>
                </w:tcPr>
                <w:p w14:paraId="47007588">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704" w:type="dxa"/>
                  <w:vMerge w:val="continue"/>
                  <w:tcBorders>
                    <w:tl2br w:val="nil"/>
                    <w:tr2bl w:val="nil"/>
                  </w:tcBorders>
                  <w:noWrap w:val="0"/>
                  <w:vAlign w:val="center"/>
                </w:tcPr>
                <w:p w14:paraId="45C5EB2F">
                  <w:pPr>
                    <w:pStyle w:val="33"/>
                    <w:keepNext w:val="0"/>
                    <w:keepLines w:val="0"/>
                    <w:suppressLineNumbers w:val="0"/>
                    <w:bidi w:val="0"/>
                    <w:spacing w:beforeAutospacing="0" w:afterAutospacing="0"/>
                    <w:ind w:left="0" w:right="0"/>
                    <w:rPr>
                      <w:rFonts w:hint="default" w:cs="Times New Roman"/>
                      <w:color w:val="auto"/>
                      <w:lang w:val="en-US" w:eastAsia="zh-CN"/>
                    </w:rPr>
                  </w:pPr>
                </w:p>
              </w:tc>
              <w:tc>
                <w:tcPr>
                  <w:tcW w:w="806" w:type="dxa"/>
                  <w:tcBorders>
                    <w:tl2br w:val="nil"/>
                    <w:tr2bl w:val="nil"/>
                  </w:tcBorders>
                  <w:noWrap w:val="0"/>
                  <w:vAlign w:val="center"/>
                </w:tcPr>
                <w:p w14:paraId="323C61D8">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资源开发效率</w:t>
                  </w:r>
                </w:p>
              </w:tc>
              <w:tc>
                <w:tcPr>
                  <w:tcW w:w="3039" w:type="dxa"/>
                  <w:tcBorders>
                    <w:tl2br w:val="nil"/>
                    <w:tr2bl w:val="nil"/>
                  </w:tcBorders>
                  <w:noWrap w:val="0"/>
                  <w:vAlign w:val="center"/>
                </w:tcPr>
                <w:p w14:paraId="6919D4D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926" w:type="dxa"/>
                  <w:tcBorders>
                    <w:tl2br w:val="nil"/>
                    <w:tr2bl w:val="nil"/>
                  </w:tcBorders>
                  <w:noWrap w:val="0"/>
                  <w:vAlign w:val="center"/>
                </w:tcPr>
                <w:p w14:paraId="403534DC">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644" w:type="dxa"/>
                  <w:tcBorders>
                    <w:tl2br w:val="nil"/>
                    <w:tr2bl w:val="nil"/>
                  </w:tcBorders>
                  <w:noWrap w:val="0"/>
                  <w:vAlign w:val="center"/>
                </w:tcPr>
                <w:p w14:paraId="4363DBF0">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符合</w:t>
                  </w:r>
                </w:p>
              </w:tc>
            </w:tr>
          </w:tbl>
          <w:p w14:paraId="6545ABAD">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3 </w:t>
            </w:r>
            <w:r>
              <w:rPr>
                <w:rFonts w:hint="eastAsia"/>
                <w:color w:val="auto"/>
              </w:rPr>
              <w:t>项目与《矿山生态环境保护与恢复治理技术规范（试行）》 （HJ651-2013）相符性分析</w:t>
            </w:r>
          </w:p>
          <w:p w14:paraId="068B8955">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本项目与</w:t>
            </w:r>
            <w:r>
              <w:rPr>
                <w:rFonts w:hint="eastAsia"/>
                <w:color w:val="auto"/>
              </w:rPr>
              <w:t>《矿山生态环境保护与恢复治理技术规范（试行）》 （HJ651-2013）相符性分析</w:t>
            </w:r>
            <w:r>
              <w:rPr>
                <w:rFonts w:hint="eastAsia"/>
                <w:color w:val="auto"/>
                <w:lang w:val="en-US" w:eastAsia="zh-CN"/>
              </w:rPr>
              <w:t>见表1-6。</w:t>
            </w:r>
          </w:p>
          <w:p w14:paraId="488CB343">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721FCA9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274E7095">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098150F0">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6319B629">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65135AF7">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rPr>
            </w:pPr>
          </w:p>
          <w:p w14:paraId="213DF119">
            <w:pPr>
              <w:pStyle w:val="3"/>
              <w:keepNext w:val="0"/>
              <w:keepLines w:val="0"/>
              <w:suppressLineNumbers w:val="0"/>
              <w:bidi w:val="0"/>
              <w:spacing w:before="0" w:beforeAutospacing="0" w:after="0" w:afterAutospacing="0"/>
              <w:ind w:left="0" w:right="0"/>
              <w:rPr>
                <w:rFonts w:hint="eastAsia"/>
                <w:color w:val="auto"/>
              </w:rPr>
            </w:pPr>
            <w:r>
              <w:rPr>
                <w:rFonts w:hint="default"/>
                <w:color w:val="auto"/>
              </w:rPr>
              <w:t>表1-</w:t>
            </w:r>
            <w:r>
              <w:rPr>
                <w:rFonts w:hint="eastAsia"/>
                <w:color w:val="auto"/>
                <w:lang w:val="en-US" w:eastAsia="zh-CN"/>
              </w:rPr>
              <w:t>6</w:t>
            </w:r>
            <w:r>
              <w:rPr>
                <w:rFonts w:hint="default"/>
                <w:color w:val="auto"/>
              </w:rPr>
              <w:t xml:space="preserve"> </w:t>
            </w:r>
            <w:r>
              <w:rPr>
                <w:rFonts w:hint="eastAsia"/>
                <w:color w:val="auto"/>
                <w:lang w:val="en-US" w:eastAsia="zh-CN"/>
              </w:rPr>
              <w:t xml:space="preserve"> </w:t>
            </w:r>
            <w:r>
              <w:rPr>
                <w:rFonts w:hint="default"/>
                <w:color w:val="auto"/>
              </w:rPr>
              <w:t>本项目与《矿山生态环境保护与恢复治理技术规范（试行）》 （HJ651-2013）相符性分析</w:t>
            </w:r>
          </w:p>
          <w:tbl>
            <w:tblPr>
              <w:tblStyle w:val="26"/>
              <w:tblW w:w="494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50"/>
              <w:gridCol w:w="2871"/>
              <w:gridCol w:w="797"/>
            </w:tblGrid>
            <w:tr w14:paraId="75D56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4350" w:type="dxa"/>
                  <w:noWrap w:val="0"/>
                  <w:vAlign w:val="center"/>
                </w:tcPr>
                <w:p w14:paraId="0ED322A6">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default" w:cs="Times New Roman"/>
                      <w:b/>
                      <w:bCs/>
                      <w:color w:val="auto"/>
                    </w:rPr>
                  </w:pPr>
                  <w:r>
                    <w:rPr>
                      <w:rFonts w:hint="eastAsia" w:cs="Times New Roman"/>
                      <w:b/>
                      <w:bCs/>
                      <w:color w:val="auto"/>
                    </w:rPr>
                    <w:t>矿山生态环境保护与恢复治理的一般要求</w:t>
                  </w:r>
                </w:p>
              </w:tc>
              <w:tc>
                <w:tcPr>
                  <w:tcW w:w="2871" w:type="dxa"/>
                  <w:noWrap w:val="0"/>
                  <w:vAlign w:val="center"/>
                </w:tcPr>
                <w:p w14:paraId="3DFEA755">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auto"/>
                    </w:rPr>
                  </w:pPr>
                  <w:r>
                    <w:rPr>
                      <w:rFonts w:hint="eastAsia" w:cs="Times New Roman"/>
                      <w:b/>
                      <w:bCs/>
                      <w:color w:val="auto"/>
                    </w:rPr>
                    <w:t>本项目</w:t>
                  </w:r>
                </w:p>
              </w:tc>
              <w:tc>
                <w:tcPr>
                  <w:tcW w:w="797" w:type="dxa"/>
                  <w:noWrap w:val="0"/>
                  <w:vAlign w:val="center"/>
                </w:tcPr>
                <w:p w14:paraId="67D1D1FE">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b/>
                      <w:bCs/>
                      <w:color w:val="auto"/>
                    </w:rPr>
                  </w:pPr>
                  <w:r>
                    <w:rPr>
                      <w:rFonts w:hint="eastAsia" w:cs="Times New Roman"/>
                      <w:b/>
                      <w:bCs/>
                      <w:color w:val="auto"/>
                    </w:rPr>
                    <w:t>是否符合</w:t>
                  </w:r>
                </w:p>
              </w:tc>
            </w:tr>
            <w:tr w14:paraId="0B435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350" w:type="dxa"/>
                  <w:noWrap w:val="0"/>
                  <w:vAlign w:val="center"/>
                </w:tcPr>
                <w:p w14:paraId="7B0B19CD">
                  <w:pPr>
                    <w:pStyle w:val="33"/>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禁止在依法划定的自然保护区、风景名胜区、森林公园、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2871" w:type="dxa"/>
                  <w:noWrap w:val="0"/>
                  <w:vAlign w:val="center"/>
                </w:tcPr>
                <w:p w14:paraId="2713A888">
                  <w:pPr>
                    <w:pStyle w:val="33"/>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本项目不属于采矿项目，属于</w:t>
                  </w:r>
                  <w:r>
                    <w:rPr>
                      <w:rFonts w:hint="default" w:cs="Times New Roman"/>
                      <w:color w:val="auto"/>
                    </w:rPr>
                    <w:t>矿山生态环境恢复</w:t>
                  </w:r>
                  <w:r>
                    <w:rPr>
                      <w:rFonts w:hint="eastAsia" w:cs="Times New Roman"/>
                      <w:color w:val="auto"/>
                    </w:rPr>
                    <w:t>项目</w:t>
                  </w:r>
                </w:p>
              </w:tc>
              <w:tc>
                <w:tcPr>
                  <w:tcW w:w="797" w:type="dxa"/>
                  <w:noWrap w:val="0"/>
                  <w:vAlign w:val="center"/>
                </w:tcPr>
                <w:p w14:paraId="585A8834">
                  <w:pPr>
                    <w:pStyle w:val="33"/>
                    <w:keepNext w:val="0"/>
                    <w:keepLines w:val="0"/>
                    <w:pageBreakBefore w:val="0"/>
                    <w:widowControl w:val="0"/>
                    <w:suppressLineNumbers w:val="0"/>
                    <w:kinsoku/>
                    <w:wordWrap w:val="0"/>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符合</w:t>
                  </w:r>
                </w:p>
              </w:tc>
            </w:tr>
            <w:tr w14:paraId="22732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350" w:type="dxa"/>
                  <w:noWrap w:val="0"/>
                  <w:vAlign w:val="center"/>
                </w:tcPr>
                <w:p w14:paraId="3FDB526B">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矿产资源开发活动应符合国家和区域主体功能区规划、生态功能区划、生态环境保护规划的要求，采取有效预防和保护措施，避免或减轻矿产资源开发活动造成的生态破坏和环境污染</w:t>
                  </w:r>
                </w:p>
              </w:tc>
              <w:tc>
                <w:tcPr>
                  <w:tcW w:w="2871" w:type="dxa"/>
                  <w:noWrap w:val="0"/>
                  <w:vAlign w:val="center"/>
                </w:tcPr>
                <w:p w14:paraId="3A6649DA">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本项目不涉及矿产资源开发活动</w:t>
                  </w:r>
                </w:p>
              </w:tc>
              <w:tc>
                <w:tcPr>
                  <w:tcW w:w="797" w:type="dxa"/>
                  <w:noWrap w:val="0"/>
                  <w:vAlign w:val="center"/>
                </w:tcPr>
                <w:p w14:paraId="1C79F4D5">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符合</w:t>
                  </w:r>
                </w:p>
              </w:tc>
            </w:tr>
            <w:tr w14:paraId="1D541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350" w:type="dxa"/>
                  <w:noWrap w:val="0"/>
                  <w:vAlign w:val="center"/>
                </w:tcPr>
                <w:p w14:paraId="3396AC64">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坚持“预防为主、防治结合、过程控制”的原则，将矿山生态环境保护与恢复治理贯穿矿产资源开采的全过程。根据矿山生态环境保护与恢复治理的重点任务，合理确定矿山生态保护与恢复治理分区优化矿区生产与生活空间格局。采用新技术、新方法、新工艺提高矿山生态环境保护和恢复治理水平</w:t>
                  </w:r>
                </w:p>
              </w:tc>
              <w:tc>
                <w:tcPr>
                  <w:tcW w:w="2871" w:type="dxa"/>
                  <w:noWrap w:val="0"/>
                  <w:vAlign w:val="center"/>
                </w:tcPr>
                <w:p w14:paraId="32484118">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本</w:t>
                  </w:r>
                  <w:r>
                    <w:rPr>
                      <w:rFonts w:hint="default" w:cs="Times New Roman"/>
                      <w:color w:val="auto"/>
                    </w:rPr>
                    <w:t>项目通过</w:t>
                  </w:r>
                  <w:r>
                    <w:rPr>
                      <w:rFonts w:hint="eastAsia" w:cs="Times New Roman"/>
                      <w:color w:val="auto"/>
                      <w:lang w:val="en-US" w:eastAsia="zh-CN"/>
                    </w:rPr>
                    <w:t>培坡护坡及凹陷处回填、场地平整、采坑回填、覆土工程、植被恢复工程、宣传牌工程、围栏工程等生态修复措施</w:t>
                  </w:r>
                  <w:r>
                    <w:rPr>
                      <w:rFonts w:hint="eastAsia" w:cs="Times New Roman"/>
                      <w:color w:val="auto"/>
                    </w:rPr>
                    <w:t>，恢复区域内的植被和被破坏的地形地貌，防止水土流失，减轻地质灾害，消除生态环境问题及隐患</w:t>
                  </w:r>
                </w:p>
              </w:tc>
              <w:tc>
                <w:tcPr>
                  <w:tcW w:w="797" w:type="dxa"/>
                  <w:noWrap w:val="0"/>
                  <w:vAlign w:val="center"/>
                </w:tcPr>
                <w:p w14:paraId="19FCEEEF">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符合</w:t>
                  </w:r>
                </w:p>
              </w:tc>
            </w:tr>
            <w:tr w14:paraId="728C3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4350" w:type="dxa"/>
                  <w:noWrap w:val="0"/>
                  <w:vAlign w:val="center"/>
                </w:tcPr>
                <w:p w14:paraId="305CBFF6">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恢复治理后的各类场地应实现，安全稳定，对人类和动植物不造成威胁；对周边环境不产生污染，与周边自然环境和景观相协调；恢复土地基本功能，因地制宜实现士地可持续利用；区域整体生态功能得到保护和恢复</w:t>
                  </w:r>
                </w:p>
              </w:tc>
              <w:tc>
                <w:tcPr>
                  <w:tcW w:w="2871" w:type="dxa"/>
                  <w:noWrap w:val="0"/>
                  <w:vAlign w:val="center"/>
                </w:tcPr>
                <w:p w14:paraId="1A0B00F3">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恢复治理后的各类场地对周边环境不会产生污染，区域整体生态功能得到保护和恢复</w:t>
                  </w:r>
                </w:p>
              </w:tc>
              <w:tc>
                <w:tcPr>
                  <w:tcW w:w="797" w:type="dxa"/>
                  <w:noWrap w:val="0"/>
                  <w:vAlign w:val="center"/>
                </w:tcPr>
                <w:p w14:paraId="1E44B9D5">
                  <w:pPr>
                    <w:pStyle w:val="33"/>
                    <w:keepNext w:val="0"/>
                    <w:keepLines/>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ind w:left="0" w:right="0"/>
                    <w:textAlignment w:val="auto"/>
                    <w:rPr>
                      <w:rFonts w:hint="eastAsia" w:cs="Times New Roman"/>
                      <w:color w:val="auto"/>
                    </w:rPr>
                  </w:pPr>
                  <w:r>
                    <w:rPr>
                      <w:rFonts w:hint="eastAsia" w:cs="Times New Roman"/>
                      <w:color w:val="auto"/>
                    </w:rPr>
                    <w:t>符合</w:t>
                  </w:r>
                </w:p>
              </w:tc>
            </w:tr>
          </w:tbl>
          <w:p w14:paraId="436D3C2D">
            <w:pPr>
              <w:pStyle w:val="51"/>
              <w:keepNext w:val="0"/>
              <w:keepLines w:val="0"/>
              <w:suppressLineNumbers w:val="0"/>
              <w:spacing w:before="0" w:beforeAutospacing="0" w:after="0" w:afterAutospacing="0"/>
              <w:ind w:left="0" w:right="0" w:firstLine="454" w:firstLineChars="200"/>
              <w:rPr>
                <w:rFonts w:hint="eastAsia" w:cs="Times New Roman"/>
                <w:color w:val="auto"/>
                <w:kern w:val="0"/>
              </w:rPr>
            </w:pPr>
            <w:r>
              <w:rPr>
                <w:rFonts w:hint="eastAsia" w:cs="Times New Roman"/>
                <w:color w:val="auto"/>
              </w:rPr>
              <w:t>综上，本项目符合《矿山生态环境保护与恢复治理技术规范（试行）》（HJ651-2013）中的相关要求。</w:t>
            </w:r>
          </w:p>
          <w:p w14:paraId="0192011F">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4 </w:t>
            </w:r>
            <w:r>
              <w:rPr>
                <w:rFonts w:hint="default"/>
                <w:color w:val="auto"/>
              </w:rPr>
              <w:t>与《宁夏回族自治区建设黄河流域生态保护和高质量发展先行区促进条例》符合性分析</w:t>
            </w:r>
          </w:p>
          <w:p w14:paraId="233A3CA4">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根据《宁夏回族自治区建设黄河流域生态保护和高质量发展先行又促进条例》第三章生态环境保护和治理、第十八条</w:t>
            </w:r>
            <w:r>
              <w:rPr>
                <w:rFonts w:hint="eastAsia" w:ascii="TimesNewRomanPSMT" w:hAnsi="TimesNewRomanPSMT" w:eastAsia="宋体" w:cs="TimesNewRomanPSMT"/>
                <w:b w:val="0"/>
                <w:bCs w:val="0"/>
                <w:color w:val="auto"/>
                <w:sz w:val="24"/>
                <w:szCs w:val="24"/>
                <w:lang w:eastAsia="zh-CN"/>
              </w:rPr>
              <w:t>：</w:t>
            </w:r>
            <w:r>
              <w:rPr>
                <w:rFonts w:hint="default" w:ascii="宋体" w:hAnsi="宋体" w:eastAsia="宋体" w:cs="宋体"/>
                <w:b w:val="0"/>
                <w:bCs w:val="0"/>
                <w:color w:val="auto"/>
                <w:sz w:val="24"/>
                <w:szCs w:val="24"/>
              </w:rPr>
              <w:t>“具县级以上人民政府应当因地制宜采取消除地质灾害隐患、土地复垦、恢复植被防治污染等措施，加快开展历史遗留矿山生态环境治理和恢复，加强对在建和生产矿山的监督管理，督促采矿权人履行矿山污染防治和生态修复责任。”</w:t>
            </w:r>
          </w:p>
          <w:p w14:paraId="0E969889">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本项目</w:t>
            </w:r>
            <w:r>
              <w:rPr>
                <w:rFonts w:hint="eastAsia" w:ascii="宋体" w:hAnsi="宋体" w:cs="宋体"/>
                <w:b w:val="0"/>
                <w:bCs w:val="0"/>
                <w:color w:val="auto"/>
                <w:sz w:val="24"/>
                <w:szCs w:val="24"/>
                <w:lang w:val="en-US" w:eastAsia="zh-CN"/>
              </w:rPr>
              <w:t>位于沙坡头区，拟对</w:t>
            </w:r>
            <w:r>
              <w:rPr>
                <w:rFonts w:hint="eastAsia"/>
                <w:color w:val="auto"/>
                <w:sz w:val="24"/>
                <w:lang w:val="en-US" w:eastAsia="zh-CN"/>
              </w:rPr>
              <w:t>历史遗留矿山进行</w:t>
            </w:r>
            <w:r>
              <w:rPr>
                <w:rFonts w:hint="eastAsia" w:cs="Times New Roman"/>
                <w:color w:val="auto"/>
                <w:lang w:val="en-US" w:eastAsia="zh-CN"/>
              </w:rPr>
              <w:t>培坡护坡及凹陷处回填、场地平整、采坑回填、覆土工程、植被恢复工程、宣传牌工程</w:t>
            </w:r>
            <w:r>
              <w:rPr>
                <w:rFonts w:hint="eastAsia" w:ascii="宋体" w:hAnsi="宋体" w:eastAsia="宋体" w:cs="宋体"/>
                <w:color w:val="auto"/>
                <w:kern w:val="0"/>
                <w:sz w:val="24"/>
                <w:szCs w:val="24"/>
                <w:lang w:val="en-US" w:eastAsia="zh-CN" w:bidi="ar"/>
              </w:rPr>
              <w:t>等工程措施</w:t>
            </w:r>
            <w:r>
              <w:rPr>
                <w:rFonts w:hint="eastAsia" w:cs="Times New Roman"/>
                <w:color w:val="auto"/>
                <w:lang w:val="en-US" w:eastAsia="zh-CN"/>
              </w:rPr>
              <w:t>，</w:t>
            </w:r>
            <w:r>
              <w:rPr>
                <w:rFonts w:hint="default" w:ascii="宋体" w:hAnsi="宋体" w:eastAsia="宋体" w:cs="宋体"/>
                <w:b w:val="0"/>
                <w:bCs w:val="0"/>
                <w:color w:val="auto"/>
                <w:sz w:val="24"/>
                <w:szCs w:val="24"/>
              </w:rPr>
              <w:t>建设完成后可消除滑坡等地质灾害影响，恢复自然地形地貌，使地貌与周边环境相协调。符合《宁夏回族自治区建设黄河流域生态保护和高质量发展先行区促进条例》相关要求。</w:t>
            </w:r>
          </w:p>
          <w:p w14:paraId="5CCA60B8">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5 与《中卫市生态环境保护“十四五”规划》符合性分析</w:t>
            </w:r>
          </w:p>
          <w:p w14:paraId="2554EC76">
            <w:pPr>
              <w:keepNext w:val="0"/>
              <w:keepLines w:val="0"/>
              <w:suppressLineNumbers w:val="0"/>
              <w:bidi w:val="0"/>
              <w:spacing w:before="0" w:beforeAutospacing="0" w:after="0" w:afterAutospacing="0"/>
              <w:ind w:left="0" w:right="0"/>
              <w:rPr>
                <w:rFonts w:hint="default" w:ascii="宋体" w:hAnsi="宋体" w:cs="宋体"/>
                <w:b w:val="0"/>
                <w:bCs w:val="0"/>
                <w:color w:val="auto"/>
                <w:sz w:val="24"/>
                <w:szCs w:val="24"/>
                <w:lang w:val="en-US" w:eastAsia="zh-CN"/>
              </w:rPr>
            </w:pPr>
            <w:r>
              <w:rPr>
                <w:rFonts w:hint="default" w:ascii="宋体" w:hAnsi="宋体" w:cs="宋体"/>
                <w:b w:val="0"/>
                <w:bCs w:val="0"/>
                <w:color w:val="auto"/>
                <w:sz w:val="24"/>
                <w:szCs w:val="24"/>
                <w:lang w:val="en-US" w:eastAsia="zh-CN"/>
              </w:rPr>
              <w:t>《中卫市生态环境保护“十四五”规划》第七章第二节要求</w:t>
            </w:r>
            <w:r>
              <w:rPr>
                <w:rFonts w:hint="eastAsia" w:ascii="宋体" w:hAnsi="宋体" w:cs="宋体"/>
                <w:b w:val="0"/>
                <w:bCs w:val="0"/>
                <w:color w:val="auto"/>
                <w:sz w:val="24"/>
                <w:szCs w:val="24"/>
                <w:lang w:val="en-US" w:eastAsia="zh-CN"/>
              </w:rPr>
              <w:t>：</w:t>
            </w:r>
            <w:r>
              <w:rPr>
                <w:rFonts w:hint="default" w:ascii="宋体" w:hAnsi="宋体" w:cs="宋体"/>
                <w:b w:val="0"/>
                <w:bCs w:val="0"/>
                <w:color w:val="auto"/>
                <w:sz w:val="24"/>
                <w:szCs w:val="24"/>
                <w:lang w:val="en-US" w:eastAsia="zh-CN"/>
              </w:rPr>
              <w:t>加强矿山地质环境保护与生态恢复，推进绿色矿山建设，督促矿山企业依法依规编制矿山地质环境保护与土地复垦方案，制定落实露天矿山生态修复计划</w:t>
            </w:r>
            <w:r>
              <w:rPr>
                <w:rFonts w:hint="eastAsia" w:ascii="宋体" w:hAnsi="宋体" w:cs="宋体"/>
                <w:b w:val="0"/>
                <w:bCs w:val="0"/>
                <w:color w:val="auto"/>
                <w:sz w:val="24"/>
                <w:szCs w:val="24"/>
                <w:lang w:val="en-US" w:eastAsia="zh-CN"/>
              </w:rPr>
              <w:t>。</w:t>
            </w:r>
          </w:p>
          <w:p w14:paraId="70AD8039">
            <w:pPr>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color w:val="auto"/>
                <w:lang w:val="en-US" w:eastAsia="zh-CN"/>
              </w:rPr>
              <w:t>本项目通过培坡护坡及凹陷处回填、场地平整、采坑回填、覆土工程、植被恢复工程、宣传牌工程、围栏工程等工程措施对项目区</w:t>
            </w:r>
            <w:r>
              <w:rPr>
                <w:rFonts w:hint="eastAsia" w:cs="Times New Roman"/>
                <w:color w:val="auto"/>
                <w:sz w:val="24"/>
                <w:lang w:eastAsia="zh-CN"/>
              </w:rPr>
              <w:t>历史遗留废弃矿山</w:t>
            </w:r>
            <w:r>
              <w:rPr>
                <w:rFonts w:hint="eastAsia" w:cs="Times New Roman"/>
                <w:color w:val="auto"/>
                <w:sz w:val="24"/>
                <w:lang w:val="en-US" w:eastAsia="zh-CN"/>
              </w:rPr>
              <w:t>进行</w:t>
            </w:r>
            <w:r>
              <w:rPr>
                <w:rFonts w:hint="eastAsia" w:cs="Times New Roman"/>
                <w:color w:val="auto"/>
                <w:sz w:val="24"/>
                <w:lang w:eastAsia="zh-CN"/>
              </w:rPr>
              <w:t>恢复治理，</w:t>
            </w:r>
            <w:r>
              <w:rPr>
                <w:rFonts w:hint="eastAsia" w:cs="Times New Roman"/>
                <w:b w:val="0"/>
                <w:bCs w:val="0"/>
                <w:snapToGrid w:val="0"/>
                <w:color w:val="auto"/>
                <w:kern w:val="0"/>
                <w:sz w:val="24"/>
                <w:szCs w:val="22"/>
                <w:lang w:val="en-US" w:eastAsia="zh-CN"/>
              </w:rPr>
              <w:t>有利于</w:t>
            </w:r>
            <w:r>
              <w:rPr>
                <w:rFonts w:hint="default" w:ascii="宋体" w:hAnsi="宋体" w:cs="宋体"/>
                <w:b w:val="0"/>
                <w:bCs w:val="0"/>
                <w:color w:val="auto"/>
                <w:sz w:val="24"/>
                <w:szCs w:val="24"/>
                <w:lang w:val="en-US" w:eastAsia="zh-CN"/>
              </w:rPr>
              <w:t>加强</w:t>
            </w:r>
            <w:r>
              <w:rPr>
                <w:rFonts w:hint="eastAsia" w:cs="Times New Roman"/>
                <w:b w:val="0"/>
                <w:bCs w:val="0"/>
                <w:snapToGrid w:val="0"/>
                <w:color w:val="auto"/>
                <w:kern w:val="0"/>
                <w:sz w:val="24"/>
                <w:szCs w:val="22"/>
              </w:rPr>
              <w:t>中卫市沙坡头区</w:t>
            </w:r>
            <w:r>
              <w:rPr>
                <w:rFonts w:hint="default" w:ascii="宋体" w:hAnsi="宋体" w:cs="宋体"/>
                <w:b w:val="0"/>
                <w:bCs w:val="0"/>
                <w:color w:val="auto"/>
                <w:sz w:val="24"/>
                <w:szCs w:val="24"/>
                <w:lang w:val="en-US" w:eastAsia="zh-CN"/>
              </w:rPr>
              <w:t>矿山地质环境保护与生态恢复</w:t>
            </w:r>
            <w:r>
              <w:rPr>
                <w:rFonts w:hint="eastAsia" w:ascii="宋体" w:hAnsi="宋体" w:cs="宋体"/>
                <w:b w:val="0"/>
                <w:bCs w:val="0"/>
                <w:color w:val="auto"/>
                <w:sz w:val="24"/>
                <w:szCs w:val="24"/>
                <w:lang w:val="en-US" w:eastAsia="zh-CN"/>
              </w:rPr>
              <w:t>，</w:t>
            </w:r>
            <w:r>
              <w:rPr>
                <w:rFonts w:hint="default"/>
                <w:color w:val="auto"/>
                <w:lang w:val="en-US" w:eastAsia="zh-CN"/>
              </w:rPr>
              <w:t>项目符合《规划》要求。</w:t>
            </w:r>
          </w:p>
          <w:p w14:paraId="30C22301">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 与《中卫市沙坡头区生态环境保护“十四五”规划》符合性分析</w:t>
            </w:r>
          </w:p>
          <w:p w14:paraId="18F698DD">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本项目位于中卫市沙坡头区，根据《中卫市沙坡头区生态环境保护“十四五”规划》</w:t>
            </w:r>
            <w:r>
              <w:rPr>
                <w:rFonts w:hint="eastAsia"/>
                <w:color w:val="auto"/>
                <w:lang w:val="en-US" w:eastAsia="zh-CN"/>
              </w:rPr>
              <w:t>：</w:t>
            </w:r>
            <w:r>
              <w:rPr>
                <w:rFonts w:hint="default"/>
                <w:color w:val="auto"/>
                <w:lang w:val="en-US" w:eastAsia="zh-CN"/>
              </w:rPr>
              <w:t>坚持系统谋划，整体推进。牢固树立和践行绿水青山就是金山银山的理念，坚持山水林田湖草系统治理，加强生态建设与修复、环境保护与治理、资源节约与集约利用，对减污降碳协同增效一体谋划、一体部署、一体推进，从根本上解决环境污染问题。</w:t>
            </w:r>
          </w:p>
          <w:p w14:paraId="6337BB80">
            <w:pPr>
              <w:keepNext w:val="0"/>
              <w:keepLines w:val="0"/>
              <w:suppressLineNumbers w:val="0"/>
              <w:bidi w:val="0"/>
              <w:spacing w:before="0" w:beforeAutospacing="0" w:after="0" w:afterAutospacing="0"/>
              <w:ind w:left="0" w:right="0"/>
              <w:rPr>
                <w:rFonts w:hint="default"/>
                <w:color w:val="auto"/>
                <w:lang w:val="en-US" w:eastAsia="zh-CN"/>
              </w:rPr>
            </w:pPr>
            <w:r>
              <w:rPr>
                <w:rFonts w:hint="eastAsia" w:cs="Times New Roman"/>
                <w:color w:val="auto"/>
                <w:lang w:val="en-US" w:eastAsia="zh-CN"/>
              </w:rPr>
              <w:t>本项目通过培坡护坡及凹陷处回填、场地平整、采坑回填、覆土工程、植被恢复工程、宣传牌工程、围栏工程等工程措施对项目区</w:t>
            </w:r>
            <w:r>
              <w:rPr>
                <w:rFonts w:hint="eastAsia" w:cs="Times New Roman"/>
                <w:color w:val="auto"/>
                <w:sz w:val="24"/>
                <w:lang w:eastAsia="zh-CN"/>
              </w:rPr>
              <w:t>历史遗留废弃矿山</w:t>
            </w:r>
            <w:r>
              <w:rPr>
                <w:rFonts w:hint="eastAsia" w:cs="Times New Roman"/>
                <w:color w:val="auto"/>
                <w:sz w:val="24"/>
                <w:lang w:val="en-US" w:eastAsia="zh-CN"/>
              </w:rPr>
              <w:t>进行</w:t>
            </w:r>
            <w:r>
              <w:rPr>
                <w:rFonts w:hint="eastAsia" w:cs="Times New Roman"/>
                <w:color w:val="auto"/>
                <w:sz w:val="24"/>
                <w:lang w:eastAsia="zh-CN"/>
              </w:rPr>
              <w:t>恢复治理</w:t>
            </w:r>
            <w:r>
              <w:rPr>
                <w:rFonts w:hint="default"/>
                <w:color w:val="auto"/>
                <w:lang w:val="en-US" w:eastAsia="zh-CN"/>
              </w:rPr>
              <w:t>。</w:t>
            </w:r>
            <w:r>
              <w:rPr>
                <w:rFonts w:hint="eastAsia" w:cs="Times New Roman"/>
                <w:b w:val="0"/>
                <w:bCs w:val="0"/>
                <w:snapToGrid w:val="0"/>
                <w:color w:val="auto"/>
                <w:kern w:val="0"/>
                <w:sz w:val="24"/>
                <w:szCs w:val="22"/>
                <w:lang w:val="en-US" w:eastAsia="zh-CN"/>
              </w:rPr>
              <w:t>有利于</w:t>
            </w:r>
            <w:r>
              <w:rPr>
                <w:rFonts w:hint="default"/>
                <w:color w:val="auto"/>
                <w:lang w:val="en-US" w:eastAsia="zh-CN"/>
              </w:rPr>
              <w:t>加强生态建设与修复、环境保护与治理</w:t>
            </w:r>
            <w:r>
              <w:rPr>
                <w:rFonts w:hint="eastAsia"/>
                <w:color w:val="auto"/>
                <w:lang w:val="en-US" w:eastAsia="zh-CN"/>
              </w:rPr>
              <w:t>要求，</w:t>
            </w:r>
            <w:r>
              <w:rPr>
                <w:rFonts w:hint="default"/>
                <w:color w:val="auto"/>
                <w:lang w:val="en-US" w:eastAsia="zh-CN"/>
              </w:rPr>
              <w:t>项目符合《规划》要求。</w:t>
            </w:r>
          </w:p>
          <w:p w14:paraId="00F1FE69">
            <w:pPr>
              <w:pStyle w:val="2"/>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7 与《宁夏回族自治区长城保护条例》符合性分析</w:t>
            </w:r>
          </w:p>
          <w:p w14:paraId="7DFF5597">
            <w:pPr>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宁夏回族自治区长城保护条例》第四条：长城保护利用应当坚持保护为主、抢救第一、合理利用、加强管理的方针，坚持科学规划、原状保护、公益优先、属地管理的原则，保护长城的真实性、完整性和历史风貌。</w:t>
            </w:r>
            <w:r>
              <w:rPr>
                <w:rFonts w:hint="default"/>
                <w:color w:val="auto"/>
                <w:highlight w:val="none"/>
                <w:lang w:val="en-US" w:eastAsia="zh-CN"/>
              </w:rPr>
              <w:t>第十三条</w:t>
            </w:r>
            <w:r>
              <w:rPr>
                <w:rFonts w:hint="eastAsia"/>
                <w:color w:val="auto"/>
                <w:highlight w:val="none"/>
                <w:lang w:val="en-US" w:eastAsia="zh-CN"/>
              </w:rPr>
              <w:t>：</w:t>
            </w:r>
            <w:r>
              <w:rPr>
                <w:rFonts w:hint="default"/>
                <w:color w:val="auto"/>
                <w:highlight w:val="none"/>
                <w:lang w:val="en-US" w:eastAsia="zh-CN"/>
              </w:rPr>
              <w:t>长城保护范围内不得进行其他工程建设，不得从事爆破、钻探、挖掘等作业；确需进行相关作业的，应当依法履行报批程序，并保证长城安全</w:t>
            </w:r>
            <w:r>
              <w:rPr>
                <w:rFonts w:hint="eastAsia"/>
                <w:color w:val="auto"/>
                <w:highlight w:val="none"/>
                <w:lang w:val="en-US" w:eastAsia="zh-CN"/>
              </w:rPr>
              <w:t>。</w:t>
            </w:r>
          </w:p>
          <w:p w14:paraId="3D2D7D4B">
            <w:pPr>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本项目治理区范围内长城遗址有围栏，本项目实施时</w:t>
            </w:r>
            <w:r>
              <w:rPr>
                <w:rFonts w:hint="default" w:ascii="Arial" w:hAnsi="Arial" w:eastAsia="Arial" w:cs="Arial"/>
                <w:i w:val="0"/>
                <w:iCs w:val="0"/>
                <w:caps w:val="0"/>
                <w:color w:val="auto"/>
                <w:spacing w:val="0"/>
                <w:sz w:val="24"/>
                <w:szCs w:val="24"/>
                <w:shd w:val="clear" w:fill="FFFFFF"/>
              </w:rPr>
              <w:t>限制施工机械活动范围</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采用低振动设备，并铺设减震材料降低回填、</w:t>
            </w:r>
            <w:r>
              <w:rPr>
                <w:rFonts w:hint="eastAsia" w:ascii="Arial" w:hAnsi="Arial" w:eastAsia="宋体" w:cs="Arial"/>
                <w:i w:val="0"/>
                <w:iCs w:val="0"/>
                <w:caps w:val="0"/>
                <w:color w:val="auto"/>
                <w:spacing w:val="0"/>
                <w:sz w:val="24"/>
                <w:szCs w:val="24"/>
                <w:shd w:val="clear" w:fill="FFFFFF"/>
                <w:lang w:val="en-US" w:eastAsia="zh-CN"/>
              </w:rPr>
              <w:t>开挖</w:t>
            </w:r>
            <w:r>
              <w:rPr>
                <w:rFonts w:hint="default" w:ascii="Arial" w:hAnsi="Arial" w:eastAsia="Arial" w:cs="Arial"/>
                <w:i w:val="0"/>
                <w:iCs w:val="0"/>
                <w:caps w:val="0"/>
                <w:color w:val="auto"/>
                <w:spacing w:val="0"/>
                <w:sz w:val="24"/>
                <w:szCs w:val="24"/>
                <w:shd w:val="clear" w:fill="FFFFFF"/>
              </w:rPr>
              <w:t>作业</w:t>
            </w:r>
            <w:r>
              <w:rPr>
                <w:rFonts w:hint="eastAsia" w:ascii="Arial" w:hAnsi="Arial" w:eastAsia="宋体" w:cs="Arial"/>
                <w:i w:val="0"/>
                <w:iCs w:val="0"/>
                <w:caps w:val="0"/>
                <w:color w:val="auto"/>
                <w:spacing w:val="0"/>
                <w:sz w:val="24"/>
                <w:szCs w:val="24"/>
                <w:shd w:val="clear" w:fill="FFFFFF"/>
                <w:lang w:val="en-US" w:eastAsia="zh-CN"/>
              </w:rPr>
              <w:t>等</w:t>
            </w:r>
            <w:r>
              <w:rPr>
                <w:rFonts w:hint="default" w:ascii="Arial" w:hAnsi="Arial" w:eastAsia="Arial" w:cs="Arial"/>
                <w:i w:val="0"/>
                <w:iCs w:val="0"/>
                <w:caps w:val="0"/>
                <w:color w:val="auto"/>
                <w:spacing w:val="0"/>
                <w:sz w:val="24"/>
                <w:szCs w:val="24"/>
                <w:shd w:val="clear" w:fill="FFFFFF"/>
              </w:rPr>
              <w:t>对遗址地基的扰动</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对紧邻遗址的施工段，设置临时支撑架或防尘篷布，防止飞石、扬尘直接冲击遗址表面</w:t>
            </w:r>
            <w:r>
              <w:rPr>
                <w:rFonts w:hint="eastAsia" w:ascii="Arial" w:hAnsi="Arial" w:eastAsia="宋体" w:cs="Arial"/>
                <w:i w:val="0"/>
                <w:iCs w:val="0"/>
                <w:caps w:val="0"/>
                <w:color w:val="auto"/>
                <w:spacing w:val="0"/>
                <w:sz w:val="24"/>
                <w:szCs w:val="24"/>
                <w:shd w:val="clear" w:fill="FFFFFF"/>
                <w:lang w:eastAsia="zh-CN"/>
              </w:rPr>
              <w:t>；</w:t>
            </w:r>
            <w:r>
              <w:rPr>
                <w:rFonts w:hint="eastAsia"/>
                <w:color w:val="auto"/>
              </w:rPr>
              <w:t>项目施工期加强施工期人员教育，严禁破坏</w:t>
            </w:r>
            <w:r>
              <w:rPr>
                <w:rFonts w:hint="eastAsia"/>
                <w:color w:val="auto"/>
                <w:lang w:val="en-US" w:eastAsia="zh-CN"/>
              </w:rPr>
              <w:t>长城遗址</w:t>
            </w:r>
            <w:r>
              <w:rPr>
                <w:rFonts w:hint="eastAsia"/>
                <w:color w:val="auto"/>
              </w:rPr>
              <w:t>，严禁施工人员及施工机械随意破坏</w:t>
            </w:r>
            <w:r>
              <w:rPr>
                <w:rFonts w:hint="eastAsia"/>
                <w:color w:val="auto"/>
                <w:lang w:val="en-US" w:eastAsia="zh-CN"/>
              </w:rPr>
              <w:t>长城遗址</w:t>
            </w:r>
            <w:r>
              <w:rPr>
                <w:rFonts w:hint="eastAsia"/>
                <w:color w:val="auto"/>
              </w:rPr>
              <w:t>周边植被，施工结束后，立即进行植被恢复</w:t>
            </w:r>
            <w:r>
              <w:rPr>
                <w:rFonts w:hint="eastAsia"/>
                <w:color w:val="auto"/>
                <w:lang w:eastAsia="zh-CN"/>
              </w:rPr>
              <w:t>。</w:t>
            </w:r>
            <w:r>
              <w:rPr>
                <w:rFonts w:hint="eastAsia"/>
                <w:color w:val="auto"/>
                <w:lang w:val="en-US" w:eastAsia="zh-CN"/>
              </w:rPr>
              <w:t>符合</w:t>
            </w:r>
            <w:r>
              <w:rPr>
                <w:rFonts w:hint="eastAsia"/>
                <w:color w:val="auto"/>
                <w:highlight w:val="none"/>
                <w:lang w:val="en-US" w:eastAsia="zh-CN"/>
              </w:rPr>
              <w:t>《宁夏回族自治区长城保护条例》要求。</w:t>
            </w:r>
          </w:p>
          <w:p w14:paraId="30ACCDC1">
            <w:pPr>
              <w:pStyle w:val="2"/>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8 与《</w:t>
            </w:r>
            <w:r>
              <w:rPr>
                <w:rFonts w:hint="eastAsia"/>
                <w:color w:val="auto"/>
                <w:highlight w:val="none"/>
              </w:rPr>
              <w:t>黄河上游风沙区(中卫)历史遗留废弃矿山生态修复示范工程项目实施方案</w:t>
            </w:r>
            <w:r>
              <w:rPr>
                <w:rFonts w:hint="eastAsia"/>
                <w:color w:val="auto"/>
                <w:highlight w:val="none"/>
                <w:lang w:val="en-US" w:eastAsia="zh-CN"/>
              </w:rPr>
              <w:t>》符合性分析</w:t>
            </w:r>
          </w:p>
          <w:p w14:paraId="75DD334A">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lang w:val="en-US"/>
              </w:rPr>
            </w:pPr>
            <w:r>
              <w:rPr>
                <w:rFonts w:hint="eastAsia" w:cs="Times New Roman"/>
                <w:color w:val="auto"/>
                <w:sz w:val="24"/>
                <w:szCs w:val="24"/>
                <w:lang w:val="en-US" w:eastAsia="zh-CN"/>
              </w:rPr>
              <w:t>本项目位于黄河北岸，属于</w:t>
            </w:r>
            <w:r>
              <w:rPr>
                <w:rFonts w:hint="eastAsia" w:ascii="Times New Roman" w:hAnsi="Times New Roman" w:eastAsia="宋体" w:cs="Times New Roman"/>
                <w:color w:val="auto"/>
                <w:sz w:val="24"/>
                <w:szCs w:val="24"/>
              </w:rPr>
              <w:t>《黄河上游风沙区(中卫)历史遗留废弃矿山生态修复示范工程项目实施方案</w:t>
            </w:r>
            <w:r>
              <w:rPr>
                <w:rFonts w:hint="eastAsia" w:cs="Times New Roman"/>
                <w:color w:val="auto"/>
                <w:sz w:val="24"/>
                <w:szCs w:val="24"/>
                <w:lang w:val="en-US" w:eastAsia="zh-CN"/>
              </w:rPr>
              <w:t>优化成果</w:t>
            </w: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新增子项目（详见附件3）。</w:t>
            </w:r>
            <w:r>
              <w:rPr>
                <w:rFonts w:hint="eastAsia" w:cs="Times New Roman"/>
                <w:color w:val="auto"/>
                <w:lang w:val="en-US" w:eastAsia="zh-CN"/>
              </w:rPr>
              <w:t>通过培坡护坡及凹陷处回填、场地平整、采坑回填、覆土工程、植被恢复工程、宣传牌工程、围栏工程等工程措施对黄河北岸</w:t>
            </w:r>
            <w:r>
              <w:rPr>
                <w:rFonts w:hint="eastAsia" w:cs="Times New Roman"/>
                <w:color w:val="auto"/>
                <w:sz w:val="24"/>
                <w:lang w:eastAsia="zh-CN"/>
              </w:rPr>
              <w:t>历史遗留废弃矿山</w:t>
            </w:r>
            <w:r>
              <w:rPr>
                <w:rFonts w:hint="eastAsia" w:cs="Times New Roman"/>
                <w:color w:val="auto"/>
                <w:sz w:val="24"/>
                <w:lang w:val="en-US" w:eastAsia="zh-CN"/>
              </w:rPr>
              <w:t>进行</w:t>
            </w:r>
            <w:r>
              <w:rPr>
                <w:rFonts w:hint="eastAsia" w:cs="Times New Roman"/>
                <w:color w:val="auto"/>
                <w:sz w:val="24"/>
                <w:lang w:eastAsia="zh-CN"/>
              </w:rPr>
              <w:t>恢复治理。</w:t>
            </w:r>
            <w:r>
              <w:rPr>
                <w:rFonts w:hint="eastAsia" w:cs="Times New Roman"/>
                <w:color w:val="auto"/>
                <w:sz w:val="24"/>
                <w:szCs w:val="24"/>
                <w:lang w:val="en-US" w:eastAsia="zh-CN"/>
              </w:rPr>
              <w:t>符合《黄河上游风沙区(中卫)历史遗留废弃矿山生态修复示范工程项目实施方案》。</w:t>
            </w:r>
          </w:p>
          <w:p w14:paraId="721708E1">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3C5EB791">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76777CA6">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3123C2C5">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25F83D21">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1B665F65">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7037121E">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4F00B102">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59CB1792">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1C6A27C8">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58C16CB8">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08DAF90D">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1D1DA90C">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5BC2F478">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7C9A946E">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368284FD">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3A556938">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18ABACEA">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7C53C392">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0E8C259A">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6FB13454">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p w14:paraId="2AD825DB">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p>
        </w:tc>
      </w:tr>
    </w:tbl>
    <w:p w14:paraId="10CD270E">
      <w:pPr>
        <w:spacing w:line="360" w:lineRule="auto"/>
        <w:outlineLvl w:val="0"/>
        <w:rPr>
          <w:rFonts w:eastAsia="黑体"/>
          <w:color w:val="auto"/>
          <w:sz w:val="30"/>
        </w:rPr>
        <w:sectPr>
          <w:footerReference r:id="rId7" w:type="default"/>
          <w:pgSz w:w="11905" w:h="16838"/>
          <w:pgMar w:top="1417" w:right="1417" w:bottom="1417" w:left="1417" w:header="851" w:footer="964" w:gutter="0"/>
          <w:pgBorders>
            <w:top w:val="none" w:sz="0" w:space="0"/>
            <w:left w:val="none" w:sz="0" w:space="0"/>
            <w:bottom w:val="none" w:sz="0" w:space="0"/>
            <w:right w:val="none" w:sz="0" w:space="0"/>
          </w:pgBorders>
          <w:pgNumType w:start="1"/>
          <w:cols w:space="0" w:num="1"/>
          <w:rtlGutter w:val="0"/>
          <w:docGrid w:type="linesAndChars" w:linePitch="466" w:charSpace="-2709"/>
        </w:sectPr>
      </w:pPr>
    </w:p>
    <w:p w14:paraId="3B815395">
      <w:pPr>
        <w:pStyle w:val="4"/>
        <w:bidi w:val="0"/>
        <w:rPr>
          <w:color w:val="auto"/>
        </w:rPr>
      </w:pPr>
      <w:r>
        <w:rPr>
          <w:color w:val="auto"/>
        </w:rPr>
        <w:t>二、建设内容</w:t>
      </w:r>
    </w:p>
    <w:tbl>
      <w:tblPr>
        <w:tblStyle w:val="26"/>
        <w:tblW w:w="90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444"/>
      </w:tblGrid>
      <w:tr w14:paraId="2451B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646" w:type="dxa"/>
            <w:noWrap w:val="0"/>
            <w:vAlign w:val="center"/>
          </w:tcPr>
          <w:p w14:paraId="3C069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cs="Times New Roman"/>
                <w:color w:val="auto"/>
                <w:kern w:val="0"/>
                <w:sz w:val="24"/>
              </w:rPr>
            </w:pPr>
            <w:r>
              <w:rPr>
                <w:rFonts w:hint="default" w:cs="Times New Roman"/>
                <w:b/>
                <w:bCs/>
                <w:color w:val="auto"/>
                <w:kern w:val="0"/>
                <w:sz w:val="24"/>
              </w:rPr>
              <w:t>地理位置</w:t>
            </w:r>
          </w:p>
        </w:tc>
        <w:tc>
          <w:tcPr>
            <w:tcW w:w="8444" w:type="dxa"/>
            <w:noWrap w:val="0"/>
            <w:vAlign w:val="center"/>
          </w:tcPr>
          <w:p w14:paraId="46542DB5">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1 项目地理位置</w:t>
            </w:r>
          </w:p>
          <w:p w14:paraId="75739C28">
            <w:pPr>
              <w:keepNext w:val="0"/>
              <w:keepLines w:val="0"/>
              <w:suppressLineNumbers w:val="0"/>
              <w:spacing w:before="0" w:beforeAutospacing="0" w:after="0" w:afterAutospacing="0"/>
              <w:ind w:left="0" w:right="0" w:firstLine="454" w:firstLineChars="200"/>
              <w:rPr>
                <w:rFonts w:hint="default" w:eastAsia="宋体" w:cs="Times New Roman"/>
                <w:color w:val="auto"/>
                <w:kern w:val="0"/>
                <w:sz w:val="24"/>
                <w:highlight w:val="yellow"/>
                <w:lang w:val="en-US" w:eastAsia="zh-CN"/>
              </w:rPr>
            </w:pPr>
            <w:r>
              <w:rPr>
                <w:rFonts w:hint="eastAsia" w:cs="Times New Roman"/>
                <w:color w:val="auto"/>
                <w:kern w:val="0"/>
                <w:sz w:val="24"/>
                <w:lang w:val="en-US" w:eastAsia="zh-CN"/>
              </w:rPr>
              <w:t>本</w:t>
            </w:r>
            <w:r>
              <w:rPr>
                <w:rFonts w:hint="default" w:cs="Times New Roman"/>
                <w:color w:val="auto"/>
                <w:kern w:val="0"/>
                <w:sz w:val="24"/>
              </w:rPr>
              <w:t>项目位于</w:t>
            </w:r>
            <w:r>
              <w:rPr>
                <w:rFonts w:hint="eastAsia" w:cs="Times New Roman"/>
                <w:color w:val="auto"/>
                <w:sz w:val="24"/>
                <w:lang w:eastAsia="zh-CN"/>
              </w:rPr>
              <w:t>中</w:t>
            </w:r>
            <w:r>
              <w:rPr>
                <w:rFonts w:hint="eastAsia" w:ascii="Times New Roman" w:hAnsi="Times New Roman" w:cs="Times New Roman"/>
                <w:color w:val="auto"/>
                <w:sz w:val="24"/>
                <w:szCs w:val="24"/>
                <w:u w:val="none"/>
                <w:lang w:val="en-US" w:eastAsia="zh-CN"/>
              </w:rPr>
              <w:t>卫</w:t>
            </w:r>
            <w:r>
              <w:rPr>
                <w:rFonts w:hint="default" w:ascii="Times New Roman" w:hAnsi="Times New Roman" w:cs="Times New Roman"/>
                <w:color w:val="auto"/>
                <w:sz w:val="24"/>
                <w:szCs w:val="24"/>
                <w:u w:val="none"/>
              </w:rPr>
              <w:t>市沙坡头区镇罗镇、柔远镇、东园镇、迎水桥镇</w:t>
            </w:r>
            <w:r>
              <w:rPr>
                <w:rFonts w:hint="default" w:cs="Times New Roman"/>
                <w:color w:val="auto"/>
                <w:kern w:val="0"/>
                <w:sz w:val="24"/>
              </w:rPr>
              <w:t>，</w:t>
            </w:r>
            <w:r>
              <w:rPr>
                <w:rFonts w:hint="eastAsia" w:cs="Times New Roman"/>
                <w:color w:val="auto"/>
                <w:kern w:val="0"/>
                <w:sz w:val="24"/>
              </w:rPr>
              <w:t>项目区涉及范围较广，各个治理区分散分布</w:t>
            </w:r>
            <w:r>
              <w:rPr>
                <w:rFonts w:hint="default" w:cs="Times New Roman"/>
                <w:color w:val="auto"/>
                <w:kern w:val="0"/>
                <w:sz w:val="24"/>
              </w:rPr>
              <w:t>。</w:t>
            </w:r>
            <w:r>
              <w:rPr>
                <w:rFonts w:hint="eastAsia" w:cs="Times New Roman"/>
                <w:color w:val="auto"/>
                <w:kern w:val="0"/>
                <w:sz w:val="24"/>
              </w:rPr>
              <w:t>共有</w:t>
            </w:r>
            <w:r>
              <w:rPr>
                <w:rFonts w:hint="eastAsia" w:cs="Times New Roman"/>
                <w:color w:val="auto"/>
                <w:kern w:val="0"/>
                <w:sz w:val="24"/>
                <w:lang w:val="en-US" w:eastAsia="zh-CN"/>
              </w:rPr>
              <w:t>35</w:t>
            </w:r>
            <w:r>
              <w:rPr>
                <w:rFonts w:hint="eastAsia" w:cs="Times New Roman"/>
                <w:color w:val="auto"/>
                <w:kern w:val="0"/>
                <w:sz w:val="24"/>
              </w:rPr>
              <w:t>个治理</w:t>
            </w:r>
            <w:r>
              <w:rPr>
                <w:rFonts w:hint="eastAsia" w:cs="Times New Roman"/>
                <w:color w:val="auto"/>
                <w:kern w:val="0"/>
                <w:sz w:val="24"/>
                <w:lang w:val="en-US" w:eastAsia="zh-CN"/>
              </w:rPr>
              <w:t>区，总治理面积33</w:t>
            </w:r>
            <w:r>
              <w:rPr>
                <w:rFonts w:hint="eastAsia" w:cs="Times New Roman"/>
                <w:color w:val="auto"/>
                <w:kern w:val="0"/>
                <w:sz w:val="24"/>
                <w:highlight w:val="none"/>
                <w:lang w:val="en-US" w:eastAsia="zh-CN"/>
              </w:rPr>
              <w:t>8.59hm</w:t>
            </w:r>
            <w:r>
              <w:rPr>
                <w:rFonts w:hint="eastAsia" w:cs="Times New Roman"/>
                <w:color w:val="auto"/>
                <w:kern w:val="0"/>
                <w:sz w:val="24"/>
                <w:highlight w:val="none"/>
                <w:vertAlign w:val="superscript"/>
                <w:lang w:val="en-US" w:eastAsia="zh-CN"/>
              </w:rPr>
              <w:t>2</w:t>
            </w:r>
            <w:r>
              <w:rPr>
                <w:rFonts w:hint="eastAsia" w:cs="Times New Roman"/>
                <w:color w:val="auto"/>
                <w:kern w:val="0"/>
                <w:sz w:val="24"/>
                <w:highlight w:val="none"/>
                <w:lang w:val="en-US" w:eastAsia="zh-CN"/>
              </w:rPr>
              <w:t>，各治理区所在位置见表2-1，地理坐标见：一、建设项目基本情况地理坐标，地理位置图见附图2-1。</w:t>
            </w:r>
          </w:p>
          <w:p w14:paraId="1D78F70E">
            <w:pPr>
              <w:pStyle w:val="3"/>
              <w:keepNext w:val="0"/>
              <w:keepLines w:val="0"/>
              <w:suppressLineNumbers w:val="0"/>
              <w:bidi w:val="0"/>
              <w:spacing w:before="0" w:beforeAutospacing="0" w:after="0" w:afterAutospacing="0"/>
              <w:ind w:left="0" w:right="0"/>
              <w:rPr>
                <w:rFonts w:hint="default"/>
                <w:color w:val="auto"/>
                <w:lang w:val="en-US"/>
              </w:rPr>
            </w:pPr>
            <w:r>
              <w:rPr>
                <w:rFonts w:hint="default"/>
                <w:color w:val="auto"/>
                <w:highlight w:val="none"/>
              </w:rPr>
              <w:t>表2-1</w:t>
            </w:r>
            <w:r>
              <w:rPr>
                <w:rFonts w:hint="eastAsia"/>
                <w:color w:val="auto"/>
                <w:highlight w:val="none"/>
              </w:rPr>
              <w:t xml:space="preserve">  </w:t>
            </w:r>
            <w:r>
              <w:rPr>
                <w:rFonts w:hint="default"/>
                <w:color w:val="auto"/>
                <w:highlight w:val="none"/>
              </w:rPr>
              <w:t>各治理区</w:t>
            </w:r>
            <w:r>
              <w:rPr>
                <w:rFonts w:hint="eastAsia"/>
                <w:color w:val="auto"/>
                <w:highlight w:val="none"/>
                <w:lang w:val="en-US" w:eastAsia="zh-CN"/>
              </w:rPr>
              <w:t>所在位置一览表</w:t>
            </w:r>
          </w:p>
          <w:tbl>
            <w:tblPr>
              <w:tblStyle w:val="27"/>
              <w:tblW w:w="8228"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7057"/>
            </w:tblGrid>
            <w:tr w14:paraId="774176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dxa"/>
                  <w:tcBorders>
                    <w:tl2br w:val="nil"/>
                    <w:tr2bl w:val="nil"/>
                  </w:tcBorders>
                  <w:vAlign w:val="center"/>
                </w:tcPr>
                <w:p w14:paraId="5151B317">
                  <w:pPr>
                    <w:pStyle w:val="33"/>
                    <w:keepNext w:val="0"/>
                    <w:keepLines w:val="0"/>
                    <w:suppressLineNumbers w:val="0"/>
                    <w:bidi w:val="0"/>
                    <w:spacing w:beforeAutospacing="0" w:afterAutospacing="0"/>
                    <w:ind w:left="0" w:right="0"/>
                    <w:jc w:val="center"/>
                    <w:rPr>
                      <w:rFonts w:hint="eastAsia" w:eastAsia="宋体"/>
                      <w:b/>
                      <w:bCs/>
                      <w:color w:val="auto"/>
                      <w:lang w:val="en-US" w:eastAsia="zh-CN"/>
                    </w:rPr>
                  </w:pPr>
                  <w:r>
                    <w:rPr>
                      <w:rFonts w:hint="eastAsia"/>
                      <w:b/>
                      <w:bCs/>
                      <w:color w:val="auto"/>
                      <w:lang w:val="en-US" w:eastAsia="zh-CN"/>
                    </w:rPr>
                    <w:t>行政区</w:t>
                  </w:r>
                </w:p>
              </w:tc>
              <w:tc>
                <w:tcPr>
                  <w:tcW w:w="7057" w:type="dxa"/>
                  <w:tcBorders>
                    <w:tl2br w:val="nil"/>
                    <w:tr2bl w:val="nil"/>
                  </w:tcBorders>
                  <w:vAlign w:val="center"/>
                </w:tcPr>
                <w:p w14:paraId="34921909">
                  <w:pPr>
                    <w:pStyle w:val="33"/>
                    <w:keepNext w:val="0"/>
                    <w:keepLines w:val="0"/>
                    <w:suppressLineNumbers w:val="0"/>
                    <w:bidi w:val="0"/>
                    <w:spacing w:beforeAutospacing="0" w:afterAutospacing="0"/>
                    <w:ind w:left="0" w:right="0"/>
                    <w:jc w:val="center"/>
                    <w:rPr>
                      <w:rFonts w:hint="default" w:eastAsia="宋体"/>
                      <w:b/>
                      <w:bCs/>
                      <w:color w:val="auto"/>
                      <w:lang w:val="en-US" w:eastAsia="zh-CN"/>
                    </w:rPr>
                  </w:pPr>
                  <w:r>
                    <w:rPr>
                      <w:rFonts w:hint="eastAsia"/>
                      <w:b/>
                      <w:bCs/>
                      <w:color w:val="auto"/>
                      <w:lang w:val="en-US" w:eastAsia="zh-CN"/>
                    </w:rPr>
                    <w:t>治理点位</w:t>
                  </w:r>
                </w:p>
              </w:tc>
            </w:tr>
            <w:tr w14:paraId="5A608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dxa"/>
                  <w:tcBorders>
                    <w:tl2br w:val="nil"/>
                    <w:tr2bl w:val="nil"/>
                  </w:tcBorders>
                  <w:shd w:val="clear" w:color="auto" w:fill="auto"/>
                  <w:vAlign w:val="center"/>
                </w:tcPr>
                <w:p w14:paraId="535C45BF">
                  <w:pPr>
                    <w:pStyle w:val="33"/>
                    <w:keepNext w:val="0"/>
                    <w:keepLines w:val="0"/>
                    <w:suppressLineNumbers w:val="0"/>
                    <w:bidi w:val="0"/>
                    <w:spacing w:beforeAutospacing="0" w:afterAutospacing="0"/>
                    <w:ind w:left="0" w:right="0"/>
                    <w:jc w:val="center"/>
                    <w:rPr>
                      <w:rFonts w:hint="default"/>
                      <w:color w:val="auto"/>
                      <w:lang w:val="en-US" w:eastAsia="zh-CN"/>
                    </w:rPr>
                  </w:pPr>
                  <w:r>
                    <w:rPr>
                      <w:rFonts w:hint="default"/>
                      <w:color w:val="auto"/>
                    </w:rPr>
                    <w:t>镇罗镇</w:t>
                  </w:r>
                </w:p>
              </w:tc>
              <w:tc>
                <w:tcPr>
                  <w:tcW w:w="7057" w:type="dxa"/>
                  <w:tcBorders>
                    <w:tl2br w:val="nil"/>
                    <w:tr2bl w:val="nil"/>
                  </w:tcBorders>
                  <w:vAlign w:val="center"/>
                </w:tcPr>
                <w:p w14:paraId="3C6F4158">
                  <w:pPr>
                    <w:pStyle w:val="33"/>
                    <w:keepNext w:val="0"/>
                    <w:keepLines w:val="0"/>
                    <w:suppressLineNumbers w:val="0"/>
                    <w:bidi w:val="0"/>
                    <w:spacing w:beforeAutospacing="0" w:afterAutospacing="0"/>
                    <w:ind w:left="0" w:right="0"/>
                    <w:jc w:val="center"/>
                    <w:rPr>
                      <w:rFonts w:hint="default"/>
                      <w:color w:val="auto"/>
                      <w:lang w:val="en-US" w:eastAsia="zh-CN"/>
                    </w:rPr>
                  </w:pPr>
                  <w:r>
                    <w:rPr>
                      <w:rFonts w:hint="eastAsia"/>
                      <w:color w:val="auto"/>
                      <w:lang w:val="en-US" w:eastAsia="zh-CN"/>
                    </w:rPr>
                    <w:t>A7、A24、A25、A26、A27、A28、A29、A30、A31、A32、A33、A34</w:t>
                  </w:r>
                </w:p>
              </w:tc>
            </w:tr>
            <w:tr w14:paraId="41ED4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dxa"/>
                  <w:tcBorders>
                    <w:tl2br w:val="nil"/>
                    <w:tr2bl w:val="nil"/>
                  </w:tcBorders>
                  <w:shd w:val="clear" w:color="auto" w:fill="auto"/>
                  <w:vAlign w:val="center"/>
                </w:tcPr>
                <w:p w14:paraId="5F8ED9FD">
                  <w:pPr>
                    <w:pStyle w:val="33"/>
                    <w:keepNext w:val="0"/>
                    <w:keepLines w:val="0"/>
                    <w:suppressLineNumbers w:val="0"/>
                    <w:bidi w:val="0"/>
                    <w:spacing w:beforeAutospacing="0" w:afterAutospacing="0"/>
                    <w:ind w:left="0" w:right="0"/>
                    <w:jc w:val="center"/>
                    <w:rPr>
                      <w:rFonts w:hint="default"/>
                      <w:color w:val="auto"/>
                      <w:lang w:val="en-US" w:eastAsia="zh-CN"/>
                    </w:rPr>
                  </w:pPr>
                  <w:r>
                    <w:rPr>
                      <w:rFonts w:hint="default"/>
                      <w:color w:val="auto"/>
                    </w:rPr>
                    <w:t>柔远镇</w:t>
                  </w:r>
                </w:p>
              </w:tc>
              <w:tc>
                <w:tcPr>
                  <w:tcW w:w="7057" w:type="dxa"/>
                  <w:tcBorders>
                    <w:tl2br w:val="nil"/>
                    <w:tr2bl w:val="nil"/>
                  </w:tcBorders>
                  <w:vAlign w:val="center"/>
                </w:tcPr>
                <w:p w14:paraId="617CAF7C">
                  <w:pPr>
                    <w:pStyle w:val="33"/>
                    <w:keepNext w:val="0"/>
                    <w:keepLines w:val="0"/>
                    <w:suppressLineNumbers w:val="0"/>
                    <w:bidi w:val="0"/>
                    <w:spacing w:beforeAutospacing="0" w:afterAutospacing="0"/>
                    <w:ind w:left="0" w:right="0"/>
                    <w:jc w:val="center"/>
                    <w:rPr>
                      <w:rFonts w:hint="default" w:eastAsia="宋体"/>
                      <w:color w:val="auto"/>
                      <w:lang w:val="en-US" w:eastAsia="zh-CN"/>
                    </w:rPr>
                  </w:pPr>
                  <w:r>
                    <w:rPr>
                      <w:rFonts w:hint="eastAsia"/>
                      <w:color w:val="auto"/>
                      <w:lang w:val="en-US" w:eastAsia="zh-CN"/>
                    </w:rPr>
                    <w:t>A2</w:t>
                  </w:r>
                </w:p>
              </w:tc>
            </w:tr>
            <w:tr w14:paraId="3C803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dxa"/>
                  <w:tcBorders>
                    <w:tl2br w:val="nil"/>
                    <w:tr2bl w:val="nil"/>
                  </w:tcBorders>
                  <w:vAlign w:val="center"/>
                </w:tcPr>
                <w:p w14:paraId="0DE32DCD">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东园镇</w:t>
                  </w:r>
                </w:p>
              </w:tc>
              <w:tc>
                <w:tcPr>
                  <w:tcW w:w="7057" w:type="dxa"/>
                  <w:tcBorders>
                    <w:tl2br w:val="nil"/>
                    <w:tr2bl w:val="nil"/>
                  </w:tcBorders>
                  <w:vAlign w:val="center"/>
                </w:tcPr>
                <w:p w14:paraId="63C68A54">
                  <w:pPr>
                    <w:pStyle w:val="33"/>
                    <w:keepNext w:val="0"/>
                    <w:keepLines w:val="0"/>
                    <w:suppressLineNumbers w:val="0"/>
                    <w:bidi w:val="0"/>
                    <w:spacing w:beforeAutospacing="0" w:afterAutospacing="0"/>
                    <w:ind w:left="0" w:right="0"/>
                    <w:jc w:val="center"/>
                    <w:rPr>
                      <w:rFonts w:hint="default"/>
                      <w:color w:val="auto"/>
                      <w:lang w:val="en-US"/>
                    </w:rPr>
                  </w:pPr>
                  <w:r>
                    <w:rPr>
                      <w:rFonts w:hint="eastAsia"/>
                      <w:color w:val="auto"/>
                      <w:lang w:val="en-US" w:eastAsia="zh-CN"/>
                    </w:rPr>
                    <w:t>A3、A4、A5、A6、A8、A9、A10、A11、A12、A13、A14、A15、A16、A17、A18、A19、A20、A21、A22、A23、A35</w:t>
                  </w:r>
                </w:p>
              </w:tc>
            </w:tr>
            <w:tr w14:paraId="44529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dxa"/>
                  <w:tcBorders>
                    <w:tl2br w:val="nil"/>
                    <w:tr2bl w:val="nil"/>
                  </w:tcBorders>
                  <w:vAlign w:val="center"/>
                </w:tcPr>
                <w:p w14:paraId="2BD2A208">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迎水桥镇</w:t>
                  </w:r>
                </w:p>
              </w:tc>
              <w:tc>
                <w:tcPr>
                  <w:tcW w:w="7057" w:type="dxa"/>
                  <w:tcBorders>
                    <w:tl2br w:val="nil"/>
                    <w:tr2bl w:val="nil"/>
                  </w:tcBorders>
                  <w:vAlign w:val="center"/>
                </w:tcPr>
                <w:p w14:paraId="03304EC6">
                  <w:pPr>
                    <w:pStyle w:val="33"/>
                    <w:keepNext w:val="0"/>
                    <w:keepLines w:val="0"/>
                    <w:suppressLineNumbers w:val="0"/>
                    <w:bidi w:val="0"/>
                    <w:spacing w:beforeAutospacing="0" w:afterAutospacing="0"/>
                    <w:ind w:left="0" w:right="0"/>
                    <w:jc w:val="center"/>
                    <w:rPr>
                      <w:rFonts w:hint="default"/>
                      <w:color w:val="auto"/>
                    </w:rPr>
                  </w:pPr>
                  <w:r>
                    <w:rPr>
                      <w:rFonts w:hint="eastAsia"/>
                      <w:color w:val="auto"/>
                      <w:lang w:val="en-US" w:eastAsia="zh-CN"/>
                    </w:rPr>
                    <w:t>A1</w:t>
                  </w:r>
                </w:p>
              </w:tc>
            </w:tr>
          </w:tbl>
          <w:p w14:paraId="5F67A279">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 项目建设背景</w:t>
            </w:r>
          </w:p>
          <w:p w14:paraId="4F0AB27E">
            <w:pPr>
              <w:pStyle w:val="33"/>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40" w:lineRule="auto"/>
              <w:ind w:left="0" w:right="0" w:firstLine="454"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根据沙坡头区委2023年第9次常委会议精神及《黄河上游风沙区(中卫)历史遗留废弃矿山生态修复示范工程项目实施方案》等</w:t>
            </w:r>
            <w:r>
              <w:rPr>
                <w:rFonts w:hint="default" w:ascii="Times New Roman" w:hAnsi="Times New Roman" w:eastAsia="宋体" w:cs="Times New Roman"/>
                <w:color w:val="auto"/>
                <w:sz w:val="24"/>
                <w:szCs w:val="24"/>
              </w:rPr>
              <w:t>相关文件精神，为落实打造绿色生态宝地部署和守</w:t>
            </w:r>
            <w:r>
              <w:rPr>
                <w:rFonts w:hint="eastAsia" w:ascii="宋体" w:hAnsi="宋体" w:eastAsia="宋体" w:cs="宋体"/>
                <w:color w:val="auto"/>
                <w:sz w:val="24"/>
                <w:szCs w:val="24"/>
              </w:rPr>
              <w:t>好“改善生态环境的生命线”，</w:t>
            </w:r>
            <w:r>
              <w:rPr>
                <w:rFonts w:hint="default" w:ascii="Times New Roman" w:hAnsi="Times New Roman" w:eastAsia="宋体" w:cs="Times New Roman"/>
                <w:color w:val="auto"/>
                <w:sz w:val="24"/>
                <w:szCs w:val="24"/>
              </w:rPr>
              <w:t>尽快融入黄河流域生态保护和高质量发展重大国家战略任务中，中卫市</w:t>
            </w:r>
            <w:r>
              <w:rPr>
                <w:rFonts w:hint="eastAsia" w:ascii="宋体" w:hAnsi="宋体" w:eastAsia="宋体" w:cs="宋体"/>
                <w:color w:val="auto"/>
                <w:sz w:val="24"/>
                <w:szCs w:val="24"/>
              </w:rPr>
              <w:t>在“十四五”期间统筹推进山水林田湖</w:t>
            </w:r>
            <w:r>
              <w:rPr>
                <w:rFonts w:hint="default" w:ascii="Times New Roman" w:hAnsi="Times New Roman" w:eastAsia="宋体" w:cs="Times New Roman"/>
                <w:color w:val="auto"/>
                <w:sz w:val="24"/>
                <w:szCs w:val="24"/>
              </w:rPr>
              <w:t>草沙综合治理，加快开展北部沙区综合治理、中部荒漠草原生态修复、南部山区水源涵养林建设，持续实施大规模国土绿化行动，努力建设绿色生态屏障。</w:t>
            </w:r>
          </w:p>
          <w:p w14:paraId="36604C10">
            <w:pPr>
              <w:keepNext w:val="0"/>
              <w:keepLines w:val="0"/>
              <w:suppressLineNumbers w:val="0"/>
              <w:spacing w:before="0" w:beforeAutospacing="0" w:after="0" w:afterAutospacing="0"/>
              <w:ind w:left="0" w:right="0"/>
              <w:rPr>
                <w:rFonts w:hint="default"/>
                <w:color w:val="auto"/>
              </w:rPr>
            </w:pPr>
            <w:r>
              <w:rPr>
                <w:rFonts w:hint="eastAsia" w:cs="Times New Roman"/>
                <w:color w:val="auto"/>
                <w:sz w:val="24"/>
                <w:szCs w:val="24"/>
                <w:lang w:val="en-US" w:eastAsia="zh-CN"/>
              </w:rPr>
              <w:t>本项目属于</w:t>
            </w:r>
            <w:r>
              <w:rPr>
                <w:rFonts w:hint="eastAsia" w:ascii="Times New Roman" w:hAnsi="Times New Roman" w:eastAsia="宋体" w:cs="Times New Roman"/>
                <w:color w:val="auto"/>
                <w:sz w:val="24"/>
                <w:szCs w:val="24"/>
              </w:rPr>
              <w:t>《黄河上游风沙区(中卫)历史遗留废弃矿山生态修复示范工程项目实施方案</w:t>
            </w:r>
            <w:r>
              <w:rPr>
                <w:rFonts w:hint="eastAsia" w:cs="Times New Roman"/>
                <w:color w:val="auto"/>
                <w:sz w:val="24"/>
                <w:szCs w:val="24"/>
                <w:lang w:val="en-US" w:eastAsia="zh-CN"/>
              </w:rPr>
              <w:t>优化成果</w:t>
            </w:r>
            <w:r>
              <w:rPr>
                <w:rFonts w:hint="eastAsia" w:ascii="Times New Roman" w:hAnsi="Times New Roman" w:eastAsia="宋体" w:cs="Times New Roman"/>
                <w:color w:val="auto"/>
                <w:sz w:val="24"/>
                <w:szCs w:val="24"/>
              </w:rPr>
              <w:t>》</w:t>
            </w:r>
            <w:r>
              <w:rPr>
                <w:rFonts w:hint="eastAsia" w:cs="Times New Roman"/>
                <w:color w:val="auto"/>
                <w:sz w:val="24"/>
                <w:szCs w:val="24"/>
                <w:lang w:val="en-US" w:eastAsia="zh-CN"/>
              </w:rPr>
              <w:t>新增子项目（详见附件3）。</w:t>
            </w:r>
            <w:r>
              <w:rPr>
                <w:rFonts w:hint="eastAsia" w:ascii="Times New Roman" w:hAnsi="Times New Roman" w:eastAsia="宋体" w:cs="Times New Roman"/>
                <w:color w:val="auto"/>
                <w:sz w:val="24"/>
                <w:szCs w:val="24"/>
              </w:rPr>
              <w:t>由于矿山开采，留下大面积矿坑和</w:t>
            </w:r>
            <w:r>
              <w:rPr>
                <w:rFonts w:hint="eastAsia" w:ascii="Times New Roman" w:hAnsi="Times New Roman" w:eastAsia="宋体" w:cs="Times New Roman"/>
                <w:color w:val="auto"/>
                <w:sz w:val="24"/>
                <w:szCs w:val="24"/>
                <w:lang w:val="en-US" w:eastAsia="zh-CN"/>
              </w:rPr>
              <w:t>岩石</w:t>
            </w:r>
            <w:r>
              <w:rPr>
                <w:rFonts w:hint="eastAsia" w:ascii="Times New Roman" w:hAnsi="Times New Roman" w:eastAsia="宋体" w:cs="Times New Roman"/>
                <w:color w:val="auto"/>
                <w:sz w:val="24"/>
                <w:szCs w:val="24"/>
              </w:rPr>
              <w:t>渣等堆积物使本就环境脆弱、植被稀少的戈壁荒漠化加剧，影响区域的环境质量。尽管各部门不断加大整治力度，但是由于缺乏系统的符合自然生态规律的技术和经验，也没有形成统一的治理规范和生态修复治理方案，难以形成管护合力，生态问题已严重威胁到区域生态安全，阻碍黄河两岸生态保护和高质量发展的进程。</w:t>
            </w:r>
          </w:p>
          <w:p w14:paraId="205F1986">
            <w:pPr>
              <w:keepNext w:val="0"/>
              <w:keepLines w:val="0"/>
              <w:suppressLineNumbers w:val="0"/>
              <w:bidi w:val="0"/>
              <w:spacing w:before="0" w:beforeAutospacing="0" w:after="0" w:afterAutospacing="0"/>
              <w:ind w:left="0" w:right="0"/>
              <w:rPr>
                <w:rFonts w:hint="eastAsia" w:eastAsia="宋体" w:cs="Times New Roman"/>
                <w:color w:val="auto"/>
                <w:kern w:val="0"/>
                <w:szCs w:val="21"/>
                <w:lang w:eastAsia="zh-CN"/>
              </w:rPr>
            </w:pPr>
            <w:r>
              <w:rPr>
                <w:rFonts w:hint="default" w:ascii="Times New Roman" w:hAnsi="Times New Roman" w:eastAsia="宋体" w:cs="Times New Roman"/>
                <w:color w:val="auto"/>
                <w:sz w:val="24"/>
                <w:szCs w:val="24"/>
              </w:rPr>
              <w:t>为此，</w:t>
            </w:r>
            <w:r>
              <w:rPr>
                <w:rFonts w:hint="eastAsia" w:ascii="Times New Roman" w:hAnsi="Times New Roman" w:eastAsia="宋体" w:cs="Times New Roman"/>
                <w:color w:val="auto"/>
                <w:sz w:val="24"/>
                <w:szCs w:val="24"/>
              </w:rPr>
              <w:t>中卫市沙坡头区自然资源局</w:t>
            </w:r>
            <w:r>
              <w:rPr>
                <w:rFonts w:hint="default" w:ascii="Times New Roman" w:hAnsi="Times New Roman" w:eastAsia="宋体" w:cs="Times New Roman"/>
                <w:color w:val="auto"/>
                <w:sz w:val="24"/>
                <w:szCs w:val="24"/>
              </w:rPr>
              <w:t>积极部署，认真谋划，充分发挥重点生态修复治理资金职能作用，提高生态修复治理资金预算安排的科学性和精准性，提出该项目。该项目的实施，对推进中卫市生态环境保护具有重要意义。</w:t>
            </w:r>
          </w:p>
        </w:tc>
      </w:tr>
      <w:tr w14:paraId="6FBBB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646" w:type="dxa"/>
            <w:noWrap w:val="0"/>
            <w:vAlign w:val="center"/>
          </w:tcPr>
          <w:p w14:paraId="10B24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kern w:val="0"/>
                <w:szCs w:val="21"/>
              </w:rPr>
            </w:pPr>
            <w:r>
              <w:rPr>
                <w:rFonts w:hint="default" w:cs="Times New Roman"/>
                <w:b/>
                <w:bCs/>
                <w:color w:val="auto"/>
                <w:kern w:val="0"/>
                <w:sz w:val="24"/>
              </w:rPr>
              <w:t>项目组成及规模</w:t>
            </w:r>
          </w:p>
        </w:tc>
        <w:tc>
          <w:tcPr>
            <w:tcW w:w="8444" w:type="dxa"/>
            <w:noWrap w:val="0"/>
            <w:vAlign w:val="center"/>
          </w:tcPr>
          <w:p w14:paraId="1BCD2BF7">
            <w:pPr>
              <w:pStyle w:val="2"/>
              <w:keepLines w:val="0"/>
              <w:suppressLineNumbers w:val="0"/>
              <w:bidi w:val="0"/>
              <w:spacing w:before="0" w:beforeAutospacing="0" w:after="0" w:afterAutospacing="0"/>
              <w:ind w:left="0" w:right="0"/>
              <w:jc w:val="left"/>
              <w:rPr>
                <w:rFonts w:hint="default" w:ascii="Times New Roman" w:hAnsi="Times New Roman" w:eastAsia="黑体" w:cs="Times New Roman"/>
                <w:bCs/>
                <w:color w:val="auto"/>
                <w:lang w:val="en-US" w:eastAsia="zh-CN"/>
              </w:rPr>
            </w:pPr>
            <w:r>
              <w:rPr>
                <w:rFonts w:hint="eastAsia" w:cs="Times New Roman"/>
                <w:bCs/>
                <w:color w:val="auto"/>
                <w:lang w:val="en-US" w:eastAsia="zh-CN"/>
              </w:rPr>
              <w:t>1</w:t>
            </w:r>
            <w:r>
              <w:rPr>
                <w:rFonts w:hint="eastAsia" w:ascii="Times New Roman" w:hAnsi="Times New Roman" w:cs="Times New Roman"/>
                <w:bCs/>
                <w:color w:val="auto"/>
                <w:lang w:val="en-US" w:eastAsia="zh-CN"/>
              </w:rPr>
              <w:t xml:space="preserve"> 建设内容与规模</w:t>
            </w:r>
          </w:p>
          <w:p w14:paraId="2168B6EE">
            <w:pPr>
              <w:keepNext w:val="0"/>
              <w:keepLines w:val="0"/>
              <w:suppressLineNumbers w:val="0"/>
              <w:bidi w:val="0"/>
              <w:spacing w:before="0" w:beforeAutospacing="0" w:after="0" w:afterAutospacing="0"/>
              <w:ind w:left="0" w:right="0"/>
              <w:jc w:val="left"/>
              <w:rPr>
                <w:rFonts w:hint="default"/>
                <w:color w:val="auto"/>
              </w:rPr>
            </w:pPr>
            <w:r>
              <w:rPr>
                <w:rFonts w:hint="eastAsia" w:cs="Times New Roman"/>
                <w:color w:val="auto"/>
                <w:sz w:val="24"/>
                <w:szCs w:val="24"/>
                <w:lang w:val="en-US" w:eastAsia="zh-CN"/>
              </w:rPr>
              <w:t>本项目建设内容为：</w:t>
            </w:r>
            <w:r>
              <w:rPr>
                <w:rFonts w:hint="default"/>
                <w:color w:val="auto"/>
              </w:rPr>
              <w:t>采坑回填13.5</w:t>
            </w:r>
            <w:r>
              <w:rPr>
                <w:rFonts w:hint="eastAsia" w:cs="Times New Roman"/>
                <w:color w:val="auto"/>
                <w:sz w:val="24"/>
                <w:szCs w:val="24"/>
                <w:lang w:val="en-US" w:eastAsia="zh-CN"/>
              </w:rPr>
              <w:t>万m</w:t>
            </w:r>
            <w:r>
              <w:rPr>
                <w:rFonts w:hint="eastAsia" w:cs="Times New Roman"/>
                <w:color w:val="auto"/>
                <w:sz w:val="24"/>
                <w:szCs w:val="24"/>
                <w:vertAlign w:val="superscript"/>
                <w:lang w:val="en-US" w:eastAsia="zh-CN"/>
              </w:rPr>
              <w:t>3</w:t>
            </w:r>
            <w:r>
              <w:rPr>
                <w:rFonts w:hint="default"/>
                <w:color w:val="auto"/>
              </w:rPr>
              <w:t>，培坡护坡30</w:t>
            </w:r>
            <w:r>
              <w:rPr>
                <w:rFonts w:hint="eastAsia" w:cs="Times New Roman"/>
                <w:color w:val="auto"/>
                <w:sz w:val="24"/>
                <w:szCs w:val="24"/>
                <w:lang w:val="en-US" w:eastAsia="zh-CN"/>
              </w:rPr>
              <w:t>万m</w:t>
            </w:r>
            <w:r>
              <w:rPr>
                <w:rFonts w:hint="eastAsia" w:cs="Times New Roman"/>
                <w:color w:val="auto"/>
                <w:sz w:val="24"/>
                <w:szCs w:val="24"/>
                <w:vertAlign w:val="superscript"/>
                <w:lang w:val="en-US" w:eastAsia="zh-CN"/>
              </w:rPr>
              <w:t>3</w:t>
            </w:r>
            <w:r>
              <w:rPr>
                <w:rFonts w:hint="default"/>
                <w:color w:val="auto"/>
              </w:rPr>
              <w:t>，覆土厚度0.3</w:t>
            </w:r>
            <w:r>
              <w:rPr>
                <w:rFonts w:hint="eastAsia" w:cs="Times New Roman"/>
                <w:color w:val="auto"/>
                <w:sz w:val="24"/>
                <w:szCs w:val="24"/>
                <w:lang w:val="en-US" w:eastAsia="zh-CN"/>
              </w:rPr>
              <w:t>m，</w:t>
            </w:r>
            <w:r>
              <w:rPr>
                <w:rFonts w:hint="default"/>
                <w:color w:val="auto"/>
              </w:rPr>
              <w:t>覆土量59.4</w:t>
            </w:r>
            <w:r>
              <w:rPr>
                <w:rFonts w:hint="eastAsia" w:cs="Times New Roman"/>
                <w:color w:val="auto"/>
                <w:sz w:val="24"/>
                <w:szCs w:val="24"/>
                <w:lang w:val="en-US" w:eastAsia="zh-CN"/>
              </w:rPr>
              <w:t>万m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w:t>
            </w:r>
            <w:r>
              <w:rPr>
                <w:rFonts w:hint="default"/>
                <w:color w:val="auto"/>
              </w:rPr>
              <w:t>穴播绿化</w:t>
            </w:r>
            <w:r>
              <w:rPr>
                <w:rFonts w:hint="eastAsia" w:cs="Times New Roman"/>
                <w:color w:val="auto"/>
                <w:sz w:val="24"/>
                <w:szCs w:val="24"/>
                <w:lang w:val="en-US" w:eastAsia="zh-CN"/>
              </w:rPr>
              <w:t>304hm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w:t>
            </w:r>
            <w:r>
              <w:rPr>
                <w:rFonts w:hint="default"/>
                <w:color w:val="auto"/>
              </w:rPr>
              <w:t>场地平整125.3</w:t>
            </w:r>
            <w:r>
              <w:rPr>
                <w:rFonts w:hint="eastAsia" w:cs="Times New Roman"/>
                <w:color w:val="auto"/>
                <w:sz w:val="24"/>
                <w:szCs w:val="24"/>
                <w:lang w:val="en-US" w:eastAsia="zh-CN"/>
              </w:rPr>
              <w:t>万m</w:t>
            </w:r>
            <w:r>
              <w:rPr>
                <w:rFonts w:hint="eastAsia" w:cs="Times New Roman"/>
                <w:color w:val="auto"/>
                <w:sz w:val="24"/>
                <w:szCs w:val="24"/>
                <w:vertAlign w:val="superscript"/>
                <w:lang w:val="en-US" w:eastAsia="zh-CN"/>
              </w:rPr>
              <w:t>3</w:t>
            </w:r>
            <w:r>
              <w:rPr>
                <w:rFonts w:hint="default"/>
                <w:color w:val="auto"/>
              </w:rPr>
              <w:t>，栽植旱榆2.98万株，围栏430</w:t>
            </w:r>
            <w:r>
              <w:rPr>
                <w:rFonts w:hint="eastAsia" w:cs="Times New Roman"/>
                <w:color w:val="auto"/>
                <w:sz w:val="24"/>
                <w:szCs w:val="24"/>
                <w:lang w:val="en-US" w:eastAsia="zh-CN"/>
              </w:rPr>
              <w:t>m</w:t>
            </w:r>
            <w:r>
              <w:rPr>
                <w:rFonts w:hint="default"/>
                <w:color w:val="auto"/>
              </w:rPr>
              <w:t>等。</w:t>
            </w:r>
          </w:p>
          <w:p w14:paraId="13C15EC2">
            <w:pPr>
              <w:keepNext w:val="0"/>
              <w:keepLines w:val="0"/>
              <w:suppressLineNumbers w:val="0"/>
              <w:bidi w:val="0"/>
              <w:spacing w:before="0" w:beforeAutospacing="0" w:after="0" w:afterAutospacing="0"/>
              <w:ind w:left="0" w:right="0"/>
              <w:jc w:val="left"/>
              <w:rPr>
                <w:rFonts w:hint="default" w:eastAsia="宋体" w:cs="Times New Roman"/>
                <w:color w:val="auto"/>
                <w:sz w:val="24"/>
                <w:szCs w:val="24"/>
                <w:lang w:val="en-US" w:eastAsia="zh-CN"/>
              </w:rPr>
            </w:pPr>
            <w:r>
              <w:rPr>
                <w:rFonts w:hint="eastAsia" w:cs="Times New Roman"/>
                <w:color w:val="auto"/>
                <w:sz w:val="24"/>
                <w:szCs w:val="24"/>
                <w:lang w:val="en-US" w:eastAsia="zh-CN"/>
              </w:rPr>
              <w:t>建设规模为：</w:t>
            </w:r>
            <w:r>
              <w:rPr>
                <w:rFonts w:hint="eastAsia"/>
                <w:color w:val="auto"/>
                <w:lang w:val="en-US" w:eastAsia="zh-CN"/>
              </w:rPr>
              <w:t>生态修复治理区面积338.59hm</w:t>
            </w:r>
            <w:r>
              <w:rPr>
                <w:rFonts w:hint="eastAsia"/>
                <w:color w:val="auto"/>
                <w:vertAlign w:val="superscript"/>
                <w:lang w:val="en-US" w:eastAsia="zh-CN"/>
              </w:rPr>
              <w:t>2</w:t>
            </w:r>
            <w:r>
              <w:rPr>
                <w:rFonts w:hint="eastAsia"/>
                <w:color w:val="auto"/>
                <w:lang w:val="en-US" w:eastAsia="zh-CN"/>
              </w:rPr>
              <w:t>，各治理区面积见表2-2。</w:t>
            </w:r>
          </w:p>
          <w:p w14:paraId="016A762D">
            <w:pPr>
              <w:pStyle w:val="3"/>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表2-2  各治理区治理面积一览表</w:t>
            </w:r>
          </w:p>
          <w:tbl>
            <w:tblPr>
              <w:tblStyle w:val="26"/>
              <w:tblW w:w="82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8"/>
              <w:gridCol w:w="4271"/>
            </w:tblGrid>
            <w:tr w14:paraId="66B60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988" w:type="dxa"/>
                  <w:noWrap w:val="0"/>
                  <w:vAlign w:val="center"/>
                </w:tcPr>
                <w:p w14:paraId="259B3277">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治理区编号</w:t>
                  </w:r>
                </w:p>
              </w:tc>
              <w:tc>
                <w:tcPr>
                  <w:tcW w:w="4271" w:type="dxa"/>
                  <w:noWrap w:val="0"/>
                  <w:vAlign w:val="center"/>
                </w:tcPr>
                <w:p w14:paraId="13E933BD">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治理</w:t>
                  </w:r>
                  <w:r>
                    <w:rPr>
                      <w:rFonts w:hint="default" w:cs="Times New Roman"/>
                      <w:b/>
                      <w:bCs/>
                      <w:color w:val="auto"/>
                      <w:lang w:val="en-US" w:eastAsia="zh-CN"/>
                    </w:rPr>
                    <w:t>面积</w:t>
                  </w:r>
                  <w:r>
                    <w:rPr>
                      <w:rFonts w:hint="default" w:cs="Times New Roman"/>
                      <w:b/>
                      <w:bCs/>
                      <w:color w:val="auto"/>
                    </w:rPr>
                    <w:t>（</w:t>
                  </w:r>
                  <w:r>
                    <w:rPr>
                      <w:rFonts w:hint="default" w:cs="Times New Roman"/>
                      <w:b/>
                      <w:bCs/>
                      <w:color w:val="auto"/>
                      <w:lang w:val="en-US" w:eastAsia="zh-CN"/>
                    </w:rPr>
                    <w:t>h</w:t>
                  </w:r>
                  <w:r>
                    <w:rPr>
                      <w:rFonts w:hint="default" w:cs="Times New Roman"/>
                      <w:b/>
                      <w:bCs/>
                      <w:color w:val="auto"/>
                    </w:rPr>
                    <w:t>m</w:t>
                  </w:r>
                  <w:r>
                    <w:rPr>
                      <w:rFonts w:hint="default" w:cs="Times New Roman"/>
                      <w:b/>
                      <w:bCs/>
                      <w:color w:val="auto"/>
                      <w:vertAlign w:val="superscript"/>
                    </w:rPr>
                    <w:t>2</w:t>
                  </w:r>
                  <w:r>
                    <w:rPr>
                      <w:rFonts w:hint="default" w:cs="Times New Roman"/>
                      <w:b/>
                      <w:bCs/>
                      <w:color w:val="auto"/>
                    </w:rPr>
                    <w:t>）</w:t>
                  </w:r>
                </w:p>
              </w:tc>
            </w:tr>
            <w:tr w14:paraId="5AE3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405E8EEF">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lang w:val="en-US" w:eastAsia="zh-CN"/>
                    </w:rPr>
                    <w:t>A1</w:t>
                  </w:r>
                </w:p>
              </w:tc>
              <w:tc>
                <w:tcPr>
                  <w:tcW w:w="4271" w:type="dxa"/>
                  <w:noWrap w:val="0"/>
                  <w:vAlign w:val="center"/>
                </w:tcPr>
                <w:p w14:paraId="676B919C">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rPr>
                    <w:t>8.34</w:t>
                  </w:r>
                </w:p>
              </w:tc>
            </w:tr>
            <w:tr w14:paraId="413FE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4D0BA82A">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w:t>
                  </w:r>
                </w:p>
              </w:tc>
              <w:tc>
                <w:tcPr>
                  <w:tcW w:w="4271" w:type="dxa"/>
                  <w:noWrap w:val="0"/>
                  <w:vAlign w:val="center"/>
                </w:tcPr>
                <w:p w14:paraId="687F276D">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2.91</w:t>
                  </w:r>
                </w:p>
              </w:tc>
            </w:tr>
            <w:tr w14:paraId="675F0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479BB27">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A3</w:t>
                  </w:r>
                </w:p>
              </w:tc>
              <w:tc>
                <w:tcPr>
                  <w:tcW w:w="4271" w:type="dxa"/>
                  <w:noWrap w:val="0"/>
                  <w:vAlign w:val="center"/>
                </w:tcPr>
                <w:p w14:paraId="13A3E15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2.51</w:t>
                  </w:r>
                </w:p>
              </w:tc>
            </w:tr>
            <w:tr w14:paraId="1CEE0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035A2EDF">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A4</w:t>
                  </w:r>
                </w:p>
              </w:tc>
              <w:tc>
                <w:tcPr>
                  <w:tcW w:w="4271" w:type="dxa"/>
                  <w:noWrap w:val="0"/>
                  <w:vAlign w:val="center"/>
                </w:tcPr>
                <w:p w14:paraId="1B07D6D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5.17</w:t>
                  </w:r>
                </w:p>
              </w:tc>
            </w:tr>
            <w:tr w14:paraId="5C253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54ECA91D">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A5</w:t>
                  </w:r>
                </w:p>
              </w:tc>
              <w:tc>
                <w:tcPr>
                  <w:tcW w:w="4271" w:type="dxa"/>
                  <w:noWrap w:val="0"/>
                  <w:vAlign w:val="center"/>
                </w:tcPr>
                <w:p w14:paraId="7400382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62.3</w:t>
                  </w:r>
                </w:p>
              </w:tc>
            </w:tr>
            <w:tr w14:paraId="6BB8A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0D62759A">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A6</w:t>
                  </w:r>
                </w:p>
              </w:tc>
              <w:tc>
                <w:tcPr>
                  <w:tcW w:w="4271" w:type="dxa"/>
                  <w:noWrap w:val="0"/>
                  <w:vAlign w:val="center"/>
                </w:tcPr>
                <w:p w14:paraId="79548F2A">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29.97</w:t>
                  </w:r>
                </w:p>
              </w:tc>
            </w:tr>
            <w:tr w14:paraId="557086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5745259">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A7</w:t>
                  </w:r>
                </w:p>
              </w:tc>
              <w:tc>
                <w:tcPr>
                  <w:tcW w:w="4271" w:type="dxa"/>
                  <w:noWrap w:val="0"/>
                  <w:vAlign w:val="center"/>
                </w:tcPr>
                <w:p w14:paraId="04EE7021">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2.52</w:t>
                  </w:r>
                </w:p>
              </w:tc>
            </w:tr>
            <w:tr w14:paraId="0D287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4994A81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A8</w:t>
                  </w:r>
                </w:p>
              </w:tc>
              <w:tc>
                <w:tcPr>
                  <w:tcW w:w="4271" w:type="dxa"/>
                  <w:noWrap w:val="0"/>
                  <w:vAlign w:val="center"/>
                </w:tcPr>
                <w:p w14:paraId="02D5A3E1">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1.31</w:t>
                  </w:r>
                </w:p>
              </w:tc>
            </w:tr>
            <w:tr w14:paraId="5D58D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449B039D">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A9</w:t>
                  </w:r>
                </w:p>
              </w:tc>
              <w:tc>
                <w:tcPr>
                  <w:tcW w:w="4271" w:type="dxa"/>
                  <w:noWrap w:val="0"/>
                  <w:vAlign w:val="center"/>
                </w:tcPr>
                <w:p w14:paraId="7054BA9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10.62</w:t>
                  </w:r>
                </w:p>
              </w:tc>
            </w:tr>
            <w:tr w14:paraId="7B698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0D2BD67">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A10</w:t>
                  </w:r>
                </w:p>
              </w:tc>
              <w:tc>
                <w:tcPr>
                  <w:tcW w:w="4271" w:type="dxa"/>
                  <w:noWrap w:val="0"/>
                  <w:vAlign w:val="center"/>
                </w:tcPr>
                <w:p w14:paraId="0C93B0E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1.65</w:t>
                  </w:r>
                </w:p>
              </w:tc>
            </w:tr>
            <w:tr w14:paraId="78B97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4F590656">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A11</w:t>
                  </w:r>
                </w:p>
              </w:tc>
              <w:tc>
                <w:tcPr>
                  <w:tcW w:w="4271" w:type="dxa"/>
                  <w:noWrap w:val="0"/>
                  <w:vAlign w:val="center"/>
                </w:tcPr>
                <w:p w14:paraId="7248D78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7.38</w:t>
                  </w:r>
                </w:p>
              </w:tc>
            </w:tr>
            <w:tr w14:paraId="58F95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65BD6536">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A12</w:t>
                  </w:r>
                </w:p>
              </w:tc>
              <w:tc>
                <w:tcPr>
                  <w:tcW w:w="4271" w:type="dxa"/>
                  <w:noWrap w:val="0"/>
                  <w:vAlign w:val="center"/>
                </w:tcPr>
                <w:p w14:paraId="612E655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9.45</w:t>
                  </w:r>
                </w:p>
              </w:tc>
            </w:tr>
            <w:tr w14:paraId="6A1EB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D08BE4B">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A13</w:t>
                  </w:r>
                </w:p>
              </w:tc>
              <w:tc>
                <w:tcPr>
                  <w:tcW w:w="4271" w:type="dxa"/>
                  <w:noWrap w:val="0"/>
                  <w:vAlign w:val="center"/>
                </w:tcPr>
                <w:p w14:paraId="08256109">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0.7</w:t>
                  </w:r>
                </w:p>
              </w:tc>
            </w:tr>
            <w:tr w14:paraId="78BEF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61452A4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A14</w:t>
                  </w:r>
                </w:p>
              </w:tc>
              <w:tc>
                <w:tcPr>
                  <w:tcW w:w="4271" w:type="dxa"/>
                  <w:noWrap w:val="0"/>
                  <w:vAlign w:val="center"/>
                </w:tcPr>
                <w:p w14:paraId="43ED49E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20.35</w:t>
                  </w:r>
                </w:p>
              </w:tc>
            </w:tr>
            <w:tr w14:paraId="35CC3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7C43E0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A15</w:t>
                  </w:r>
                </w:p>
              </w:tc>
              <w:tc>
                <w:tcPr>
                  <w:tcW w:w="4271" w:type="dxa"/>
                  <w:noWrap w:val="0"/>
                  <w:vAlign w:val="center"/>
                </w:tcPr>
                <w:p w14:paraId="2388D41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21.91</w:t>
                  </w:r>
                </w:p>
              </w:tc>
            </w:tr>
            <w:tr w14:paraId="0E6E5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549820F1">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A16</w:t>
                  </w:r>
                </w:p>
              </w:tc>
              <w:tc>
                <w:tcPr>
                  <w:tcW w:w="4271" w:type="dxa"/>
                  <w:noWrap w:val="0"/>
                  <w:vAlign w:val="center"/>
                </w:tcPr>
                <w:p w14:paraId="620BD0C0">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rPr>
                    <w:t>5.14</w:t>
                  </w:r>
                </w:p>
              </w:tc>
            </w:tr>
            <w:tr w14:paraId="66C76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5BD6D9A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A17</w:t>
                  </w:r>
                </w:p>
              </w:tc>
              <w:tc>
                <w:tcPr>
                  <w:tcW w:w="4271" w:type="dxa"/>
                  <w:noWrap w:val="0"/>
                  <w:vAlign w:val="center"/>
                </w:tcPr>
                <w:p w14:paraId="73E957F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3.44</w:t>
                  </w:r>
                </w:p>
              </w:tc>
            </w:tr>
            <w:tr w14:paraId="41E82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2C449C44">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A18</w:t>
                  </w:r>
                </w:p>
              </w:tc>
              <w:tc>
                <w:tcPr>
                  <w:tcW w:w="4271" w:type="dxa"/>
                  <w:noWrap w:val="0"/>
                  <w:vAlign w:val="center"/>
                </w:tcPr>
                <w:p w14:paraId="59E9C05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5.2</w:t>
                  </w:r>
                </w:p>
              </w:tc>
            </w:tr>
            <w:tr w14:paraId="3151E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7E3C4D9B">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A19</w:t>
                  </w:r>
                </w:p>
              </w:tc>
              <w:tc>
                <w:tcPr>
                  <w:tcW w:w="4271" w:type="dxa"/>
                  <w:noWrap w:val="0"/>
                  <w:vAlign w:val="center"/>
                </w:tcPr>
                <w:p w14:paraId="2A4731F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1.07</w:t>
                  </w:r>
                </w:p>
              </w:tc>
            </w:tr>
            <w:tr w14:paraId="0DE0DD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201B9D56">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A20</w:t>
                  </w:r>
                </w:p>
              </w:tc>
              <w:tc>
                <w:tcPr>
                  <w:tcW w:w="4271" w:type="dxa"/>
                  <w:noWrap w:val="0"/>
                  <w:vAlign w:val="center"/>
                </w:tcPr>
                <w:p w14:paraId="5FD3C546">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21.03</w:t>
                  </w:r>
                </w:p>
              </w:tc>
            </w:tr>
            <w:tr w14:paraId="36D49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0B5E3090">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A21</w:t>
                  </w:r>
                </w:p>
              </w:tc>
              <w:tc>
                <w:tcPr>
                  <w:tcW w:w="4271" w:type="dxa"/>
                  <w:noWrap w:val="0"/>
                  <w:vAlign w:val="center"/>
                </w:tcPr>
                <w:p w14:paraId="645DB6DC">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1.15</w:t>
                  </w:r>
                </w:p>
              </w:tc>
            </w:tr>
            <w:tr w14:paraId="7A28D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3B1E08F1">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A22</w:t>
                  </w:r>
                </w:p>
              </w:tc>
              <w:tc>
                <w:tcPr>
                  <w:tcW w:w="4271" w:type="dxa"/>
                  <w:noWrap w:val="0"/>
                  <w:vAlign w:val="center"/>
                </w:tcPr>
                <w:p w14:paraId="43544BCA">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8.38</w:t>
                  </w:r>
                </w:p>
              </w:tc>
            </w:tr>
            <w:tr w14:paraId="0A5EA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2D7A52E9">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A23</w:t>
                  </w:r>
                </w:p>
              </w:tc>
              <w:tc>
                <w:tcPr>
                  <w:tcW w:w="4271" w:type="dxa"/>
                  <w:noWrap w:val="0"/>
                  <w:vAlign w:val="center"/>
                </w:tcPr>
                <w:p w14:paraId="70A2A22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14.04</w:t>
                  </w:r>
                </w:p>
              </w:tc>
            </w:tr>
            <w:tr w14:paraId="20E81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629671B7">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A24</w:t>
                  </w:r>
                </w:p>
              </w:tc>
              <w:tc>
                <w:tcPr>
                  <w:tcW w:w="4271" w:type="dxa"/>
                  <w:noWrap w:val="0"/>
                  <w:vAlign w:val="center"/>
                </w:tcPr>
                <w:p w14:paraId="3101290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1.21</w:t>
                  </w:r>
                </w:p>
              </w:tc>
            </w:tr>
            <w:tr w14:paraId="14830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5D312AAD">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A25</w:t>
                  </w:r>
                </w:p>
              </w:tc>
              <w:tc>
                <w:tcPr>
                  <w:tcW w:w="4271" w:type="dxa"/>
                  <w:noWrap w:val="0"/>
                  <w:vAlign w:val="center"/>
                </w:tcPr>
                <w:p w14:paraId="2D58790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10.85</w:t>
                  </w:r>
                </w:p>
              </w:tc>
            </w:tr>
            <w:tr w14:paraId="07FEB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83BCFA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A26</w:t>
                  </w:r>
                </w:p>
              </w:tc>
              <w:tc>
                <w:tcPr>
                  <w:tcW w:w="4271" w:type="dxa"/>
                  <w:noWrap w:val="0"/>
                  <w:vAlign w:val="center"/>
                </w:tcPr>
                <w:p w14:paraId="583686B9">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4.24</w:t>
                  </w:r>
                </w:p>
              </w:tc>
            </w:tr>
            <w:tr w14:paraId="5ED69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1CE5FBC9">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A27</w:t>
                  </w:r>
                </w:p>
              </w:tc>
              <w:tc>
                <w:tcPr>
                  <w:tcW w:w="4271" w:type="dxa"/>
                  <w:noWrap w:val="0"/>
                  <w:vAlign w:val="center"/>
                </w:tcPr>
                <w:p w14:paraId="3965C2A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21.03</w:t>
                  </w:r>
                </w:p>
              </w:tc>
            </w:tr>
            <w:tr w14:paraId="7C2BE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988" w:type="dxa"/>
                  <w:noWrap w:val="0"/>
                  <w:vAlign w:val="center"/>
                </w:tcPr>
                <w:p w14:paraId="7DE2DF97">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A28</w:t>
                  </w:r>
                </w:p>
              </w:tc>
              <w:tc>
                <w:tcPr>
                  <w:tcW w:w="4271" w:type="dxa"/>
                  <w:noWrap w:val="0"/>
                  <w:vAlign w:val="center"/>
                </w:tcPr>
                <w:p w14:paraId="00366CD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5.49</w:t>
                  </w:r>
                </w:p>
              </w:tc>
            </w:tr>
            <w:tr w14:paraId="2B31F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3988" w:type="dxa"/>
                  <w:noWrap w:val="0"/>
                  <w:vAlign w:val="center"/>
                </w:tcPr>
                <w:p w14:paraId="07E08045">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A29</w:t>
                  </w:r>
                </w:p>
              </w:tc>
              <w:tc>
                <w:tcPr>
                  <w:tcW w:w="4271" w:type="dxa"/>
                  <w:noWrap w:val="0"/>
                  <w:vAlign w:val="center"/>
                </w:tcPr>
                <w:p w14:paraId="4810631A">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1.75</w:t>
                  </w:r>
                </w:p>
              </w:tc>
            </w:tr>
            <w:tr w14:paraId="176B0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988" w:type="dxa"/>
                  <w:noWrap w:val="0"/>
                  <w:vAlign w:val="center"/>
                </w:tcPr>
                <w:p w14:paraId="60E7C472">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A30</w:t>
                  </w:r>
                </w:p>
              </w:tc>
              <w:tc>
                <w:tcPr>
                  <w:tcW w:w="4271" w:type="dxa"/>
                  <w:noWrap w:val="0"/>
                  <w:vAlign w:val="center"/>
                </w:tcPr>
                <w:p w14:paraId="605234BC">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2.56</w:t>
                  </w:r>
                </w:p>
              </w:tc>
            </w:tr>
            <w:tr w14:paraId="79369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3870F001">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A31</w:t>
                  </w:r>
                </w:p>
              </w:tc>
              <w:tc>
                <w:tcPr>
                  <w:tcW w:w="4271" w:type="dxa"/>
                  <w:noWrap w:val="0"/>
                  <w:vAlign w:val="center"/>
                </w:tcPr>
                <w:p w14:paraId="065D86FB">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3.42</w:t>
                  </w:r>
                </w:p>
              </w:tc>
            </w:tr>
            <w:tr w14:paraId="66E13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222307BD">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A32</w:t>
                  </w:r>
                </w:p>
              </w:tc>
              <w:tc>
                <w:tcPr>
                  <w:tcW w:w="4271" w:type="dxa"/>
                  <w:noWrap w:val="0"/>
                  <w:vAlign w:val="center"/>
                </w:tcPr>
                <w:p w14:paraId="035C44AD">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1.85</w:t>
                  </w:r>
                </w:p>
              </w:tc>
            </w:tr>
            <w:tr w14:paraId="36C29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06707B2A">
                  <w:pPr>
                    <w:pStyle w:val="33"/>
                    <w:keepNext w:val="0"/>
                    <w:keepLines w:val="0"/>
                    <w:suppressLineNumbers w:val="0"/>
                    <w:bidi w:val="0"/>
                    <w:spacing w:beforeAutospacing="0" w:afterAutospacing="0"/>
                    <w:ind w:left="0" w:right="0"/>
                    <w:jc w:val="center"/>
                    <w:rPr>
                      <w:rFonts w:hint="default" w:cs="Times New Roman"/>
                      <w:color w:val="auto"/>
                      <w:lang w:val="en-US"/>
                    </w:rPr>
                  </w:pPr>
                  <w:r>
                    <w:rPr>
                      <w:rFonts w:hint="default" w:cs="Times New Roman"/>
                      <w:color w:val="auto"/>
                      <w:lang w:val="en-US" w:eastAsia="zh-CN"/>
                    </w:rPr>
                    <w:t>A33</w:t>
                  </w:r>
                </w:p>
              </w:tc>
              <w:tc>
                <w:tcPr>
                  <w:tcW w:w="4271" w:type="dxa"/>
                  <w:noWrap w:val="0"/>
                  <w:vAlign w:val="center"/>
                </w:tcPr>
                <w:p w14:paraId="66BA5D3C">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18.49</w:t>
                  </w:r>
                </w:p>
              </w:tc>
            </w:tr>
            <w:tr w14:paraId="664C9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07BB518D">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lang w:val="en-US" w:eastAsia="zh-CN"/>
                    </w:rPr>
                    <w:t>A34</w:t>
                  </w:r>
                </w:p>
              </w:tc>
              <w:tc>
                <w:tcPr>
                  <w:tcW w:w="4271" w:type="dxa"/>
                  <w:noWrap w:val="0"/>
                  <w:vAlign w:val="center"/>
                </w:tcPr>
                <w:p w14:paraId="6577D26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20.12</w:t>
                  </w:r>
                </w:p>
              </w:tc>
            </w:tr>
            <w:tr w14:paraId="2DD1F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88" w:type="dxa"/>
                  <w:noWrap w:val="0"/>
                  <w:vAlign w:val="center"/>
                </w:tcPr>
                <w:p w14:paraId="2A84C0FF">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default" w:cs="Times New Roman"/>
                      <w:color w:val="auto"/>
                      <w:lang w:val="en-US" w:eastAsia="zh-CN"/>
                    </w:rPr>
                    <w:t>A35</w:t>
                  </w:r>
                </w:p>
              </w:tc>
              <w:tc>
                <w:tcPr>
                  <w:tcW w:w="4271" w:type="dxa"/>
                  <w:noWrap w:val="0"/>
                  <w:vAlign w:val="center"/>
                </w:tcPr>
                <w:p w14:paraId="57ABE3A9">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1.04</w:t>
                  </w:r>
                </w:p>
              </w:tc>
            </w:tr>
            <w:tr w14:paraId="0A665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3988" w:type="dxa"/>
                  <w:noWrap w:val="0"/>
                  <w:vAlign w:val="center"/>
                </w:tcPr>
                <w:p w14:paraId="4CC43874">
                  <w:pPr>
                    <w:pStyle w:val="33"/>
                    <w:keepNext w:val="0"/>
                    <w:keepLines w:val="0"/>
                    <w:suppressLineNumbers w:val="0"/>
                    <w:bidi w:val="0"/>
                    <w:spacing w:beforeAutospacing="0" w:afterAutospacing="0"/>
                    <w:ind w:left="0" w:right="0"/>
                    <w:jc w:val="center"/>
                    <w:rPr>
                      <w:rFonts w:hint="default" w:cs="Times New Roman"/>
                      <w:color w:val="auto"/>
                      <w:lang w:val="en-US" w:eastAsia="zh-CN"/>
                    </w:rPr>
                  </w:pPr>
                  <w:r>
                    <w:rPr>
                      <w:rFonts w:hint="eastAsia" w:cs="Times New Roman"/>
                      <w:color w:val="auto"/>
                      <w:lang w:val="en-US" w:eastAsia="zh-CN"/>
                    </w:rPr>
                    <w:t>合计</w:t>
                  </w:r>
                </w:p>
              </w:tc>
              <w:tc>
                <w:tcPr>
                  <w:tcW w:w="4271" w:type="dxa"/>
                  <w:noWrap w:val="0"/>
                  <w:vAlign w:val="center"/>
                </w:tcPr>
                <w:p w14:paraId="047B3773">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338.59</w:t>
                  </w:r>
                </w:p>
              </w:tc>
            </w:tr>
          </w:tbl>
          <w:p w14:paraId="2181B224">
            <w:pPr>
              <w:pStyle w:val="2"/>
              <w:keepLines w:val="0"/>
              <w:suppressLineNumbers w:val="0"/>
              <w:bidi w:val="0"/>
              <w:spacing w:before="0" w:beforeAutospacing="0" w:after="0" w:afterAutospacing="0"/>
              <w:ind w:left="0" w:right="0"/>
              <w:jc w:val="left"/>
              <w:rPr>
                <w:rFonts w:hint="default"/>
                <w:color w:val="auto"/>
              </w:rPr>
            </w:pPr>
            <w:r>
              <w:rPr>
                <w:rFonts w:hint="eastAsia"/>
                <w:color w:val="auto"/>
                <w:lang w:val="en-US" w:eastAsia="zh-CN"/>
              </w:rPr>
              <w:t xml:space="preserve">2 </w:t>
            </w:r>
            <w:r>
              <w:rPr>
                <w:rFonts w:hint="default"/>
                <w:color w:val="auto"/>
              </w:rPr>
              <w:t>项目主要工程内容</w:t>
            </w:r>
          </w:p>
          <w:p w14:paraId="740FE785">
            <w:pPr>
              <w:keepNext w:val="0"/>
              <w:keepLines w:val="0"/>
              <w:suppressLineNumbers w:val="0"/>
              <w:spacing w:before="0" w:beforeAutospacing="0" w:after="0" w:afterAutospacing="0"/>
              <w:ind w:left="0" w:right="0"/>
              <w:jc w:val="left"/>
              <w:rPr>
                <w:rFonts w:hint="default" w:eastAsia="宋体" w:cs="Times New Roman"/>
                <w:color w:val="auto"/>
                <w:lang w:val="en-US" w:eastAsia="zh-CN"/>
              </w:rPr>
            </w:pPr>
            <w:r>
              <w:rPr>
                <w:rFonts w:hint="eastAsia" w:ascii="Times New Roman" w:hAnsi="Times New Roman" w:cs="Times New Roman"/>
                <w:bCs/>
                <w:color w:val="auto"/>
                <w:lang w:val="en-US" w:eastAsia="zh-CN"/>
              </w:rPr>
              <w:t>本项目主要工程内容见表2-</w:t>
            </w:r>
            <w:r>
              <w:rPr>
                <w:rFonts w:hint="eastAsia" w:cs="Times New Roman"/>
                <w:bCs/>
                <w:color w:val="auto"/>
                <w:lang w:val="en-US" w:eastAsia="zh-CN"/>
              </w:rPr>
              <w:t>3</w:t>
            </w:r>
            <w:r>
              <w:rPr>
                <w:rFonts w:hint="eastAsia" w:ascii="Times New Roman" w:hAnsi="Times New Roman" w:cs="Times New Roman"/>
                <w:bCs/>
                <w:color w:val="auto"/>
                <w:lang w:val="en-US" w:eastAsia="zh-CN"/>
              </w:rPr>
              <w:t>。</w:t>
            </w:r>
          </w:p>
          <w:p w14:paraId="1C055BB3">
            <w:pPr>
              <w:pStyle w:val="3"/>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表2-</w:t>
            </w:r>
            <w:r>
              <w:rPr>
                <w:rFonts w:hint="eastAsia"/>
                <w:color w:val="auto"/>
                <w:highlight w:val="none"/>
                <w:lang w:val="en-US" w:eastAsia="zh-CN"/>
              </w:rPr>
              <w:t>3</w:t>
            </w:r>
            <w:r>
              <w:rPr>
                <w:rFonts w:hint="eastAsia"/>
                <w:color w:val="auto"/>
                <w:highlight w:val="none"/>
              </w:rPr>
              <w:t xml:space="preserve">  </w:t>
            </w:r>
            <w:r>
              <w:rPr>
                <w:rFonts w:hint="default"/>
                <w:color w:val="auto"/>
                <w:highlight w:val="none"/>
              </w:rPr>
              <w:t>本项目主要工程内容一览表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05"/>
              <w:gridCol w:w="797"/>
              <w:gridCol w:w="6273"/>
            </w:tblGrid>
            <w:tr w14:paraId="6928C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noWrap w:val="0"/>
                  <w:vAlign w:val="center"/>
                </w:tcPr>
                <w:p w14:paraId="25FD4240">
                  <w:pPr>
                    <w:pStyle w:val="33"/>
                    <w:keepNext w:val="0"/>
                    <w:keepLines w:val="0"/>
                    <w:suppressLineNumbers w:val="0"/>
                    <w:bidi w:val="0"/>
                    <w:spacing w:beforeAutospacing="0" w:afterAutospacing="0"/>
                    <w:ind w:left="0" w:right="0"/>
                    <w:jc w:val="left"/>
                    <w:rPr>
                      <w:rFonts w:hint="default" w:cs="Times New Roman"/>
                      <w:b/>
                      <w:bCs/>
                      <w:color w:val="auto"/>
                    </w:rPr>
                  </w:pPr>
                  <w:r>
                    <w:rPr>
                      <w:rFonts w:hint="default" w:cs="Times New Roman"/>
                      <w:b/>
                      <w:bCs/>
                      <w:color w:val="auto"/>
                    </w:rPr>
                    <w:t>工程类别</w:t>
                  </w:r>
                </w:p>
              </w:tc>
              <w:tc>
                <w:tcPr>
                  <w:tcW w:w="733" w:type="pct"/>
                  <w:gridSpan w:val="2"/>
                  <w:noWrap w:val="0"/>
                  <w:vAlign w:val="center"/>
                </w:tcPr>
                <w:p w14:paraId="187EBFC1">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工程名称</w:t>
                  </w:r>
                </w:p>
              </w:tc>
              <w:tc>
                <w:tcPr>
                  <w:tcW w:w="3825" w:type="pct"/>
                  <w:noWrap w:val="0"/>
                  <w:vAlign w:val="center"/>
                </w:tcPr>
                <w:p w14:paraId="3311379C">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主要内容</w:t>
                  </w:r>
                </w:p>
              </w:tc>
            </w:tr>
            <w:tr w14:paraId="7F35D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restart"/>
                  <w:noWrap w:val="0"/>
                  <w:vAlign w:val="center"/>
                </w:tcPr>
                <w:p w14:paraId="4DA998A4">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b/>
                      <w:bCs/>
                      <w:color w:val="auto"/>
                    </w:rPr>
                    <w:t>主体工程</w:t>
                  </w:r>
                </w:p>
              </w:tc>
              <w:tc>
                <w:tcPr>
                  <w:tcW w:w="247" w:type="pct"/>
                  <w:vMerge w:val="restart"/>
                  <w:shd w:val="clear" w:color="auto" w:fill="auto"/>
                  <w:noWrap w:val="0"/>
                  <w:vAlign w:val="center"/>
                </w:tcPr>
                <w:p w14:paraId="4D684592">
                  <w:pPr>
                    <w:pStyle w:val="33"/>
                    <w:keepNext w:val="0"/>
                    <w:keepLines w:val="0"/>
                    <w:suppressLineNumbers w:val="0"/>
                    <w:bidi w:val="0"/>
                    <w:spacing w:beforeAutospacing="0" w:afterAutospacing="0"/>
                    <w:ind w:left="0" w:right="0"/>
                    <w:jc w:val="center"/>
                    <w:rPr>
                      <w:rFonts w:hint="default"/>
                      <w:color w:val="auto"/>
                      <w:lang w:val="en-US" w:eastAsia="zh-CN"/>
                    </w:rPr>
                  </w:pPr>
                  <w:r>
                    <w:rPr>
                      <w:rFonts w:hint="eastAsia"/>
                      <w:color w:val="auto"/>
                      <w:lang w:val="en-US" w:eastAsia="zh-CN"/>
                    </w:rPr>
                    <w:t>生态修复治理工程</w:t>
                  </w:r>
                </w:p>
              </w:tc>
              <w:tc>
                <w:tcPr>
                  <w:tcW w:w="486" w:type="pct"/>
                  <w:shd w:val="clear" w:color="auto" w:fill="auto"/>
                  <w:noWrap w:val="0"/>
                  <w:vAlign w:val="center"/>
                </w:tcPr>
                <w:p w14:paraId="3F68BEEF">
                  <w:pPr>
                    <w:pStyle w:val="33"/>
                    <w:keepNext w:val="0"/>
                    <w:keepLines w:val="0"/>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s="Times New Roman"/>
                      <w:color w:val="auto"/>
                      <w:lang w:val="en-US" w:eastAsia="zh-CN"/>
                    </w:rPr>
                    <w:t>A1</w:t>
                  </w:r>
                </w:p>
              </w:tc>
              <w:tc>
                <w:tcPr>
                  <w:tcW w:w="3825" w:type="pct"/>
                  <w:noWrap w:val="0"/>
                  <w:vAlign w:val="center"/>
                </w:tcPr>
                <w:p w14:paraId="512337EC">
                  <w:pPr>
                    <w:pStyle w:val="33"/>
                    <w:keepNext w:val="0"/>
                    <w:keepLines w:val="0"/>
                    <w:suppressLineNumbers w:val="0"/>
                    <w:bidi w:val="0"/>
                    <w:spacing w:beforeAutospacing="0" w:afterAutospacing="0"/>
                    <w:ind w:left="0" w:right="0"/>
                    <w:jc w:val="left"/>
                    <w:rPr>
                      <w:rFonts w:hint="eastAsia" w:ascii="Times New Roman" w:hAnsi="Times New Roman" w:cs="Times New Roman"/>
                      <w:color w:val="auto"/>
                      <w:kern w:val="0"/>
                      <w:sz w:val="21"/>
                      <w:szCs w:val="21"/>
                      <w:lang w:eastAsia="zh-CN"/>
                    </w:rPr>
                  </w:pPr>
                  <w:r>
                    <w:rPr>
                      <w:rFonts w:hint="default" w:ascii="Times New Roman" w:hAnsi="Times New Roman" w:cs="Times New Roman"/>
                      <w:color w:val="auto"/>
                      <w:kern w:val="0"/>
                      <w:sz w:val="21"/>
                      <w:szCs w:val="21"/>
                    </w:rPr>
                    <w:t>A1治理区划分为10个小分区</w:t>
                  </w:r>
                  <w:r>
                    <w:rPr>
                      <w:rFonts w:hint="eastAsia" w:ascii="Times New Roman" w:hAnsi="Times New Roman" w:cs="Times New Roman"/>
                      <w:color w:val="auto"/>
                      <w:kern w:val="0"/>
                      <w:sz w:val="21"/>
                      <w:szCs w:val="21"/>
                      <w:lang w:eastAsia="zh-CN"/>
                    </w:rPr>
                    <w:t>：</w:t>
                  </w:r>
                </w:p>
                <w:p w14:paraId="27ABABC1">
                  <w:pPr>
                    <w:pStyle w:val="33"/>
                    <w:keepNext w:val="0"/>
                    <w:keepLines w:val="0"/>
                    <w:suppressLineNumbers w:val="0"/>
                    <w:bidi w:val="0"/>
                    <w:spacing w:beforeAutospacing="0" w:afterAutospacing="0"/>
                    <w:ind w:left="0" w:right="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A1-1、A1-5现状场地平整，治理措施为覆土+穴播草籽绿化+培坡护坡；</w:t>
                  </w:r>
                </w:p>
                <w:p w14:paraId="0AADC726">
                  <w:pPr>
                    <w:pStyle w:val="33"/>
                    <w:keepNext w:val="0"/>
                    <w:keepLines w:val="0"/>
                    <w:suppressLineNumbers w:val="0"/>
                    <w:bidi w:val="0"/>
                    <w:spacing w:beforeAutospacing="0" w:afterAutospacing="0"/>
                    <w:ind w:left="0" w:right="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A1-2、A1-3、A1-6、A1-7现状植被稀疏，治理措施为穴播草籽绿化；</w:t>
                  </w:r>
                </w:p>
                <w:p w14:paraId="7DA9D761">
                  <w:pPr>
                    <w:pStyle w:val="33"/>
                    <w:keepNext w:val="0"/>
                    <w:keepLines w:val="0"/>
                    <w:suppressLineNumbers w:val="0"/>
                    <w:bidi w:val="0"/>
                    <w:spacing w:beforeAutospacing="0" w:afterAutospacing="0"/>
                    <w:ind w:left="0" w:right="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A1-4现状为坑塘，里面有水，治理措施周边设置围栏；A1-8为取土场，取土后穴播草籽</w:t>
                  </w:r>
                  <w:r>
                    <w:rPr>
                      <w:rFonts w:hint="eastAsia" w:cs="Times New Roman"/>
                      <w:color w:val="auto"/>
                      <w:kern w:val="0"/>
                      <w:sz w:val="21"/>
                      <w:szCs w:val="21"/>
                      <w:lang w:eastAsia="zh-CN"/>
                    </w:rPr>
                    <w:t>，</w:t>
                  </w:r>
                  <w:r>
                    <w:rPr>
                      <w:rFonts w:hint="eastAsia" w:cs="Times New Roman"/>
                      <w:color w:val="auto"/>
                      <w:kern w:val="0"/>
                      <w:sz w:val="21"/>
                      <w:szCs w:val="21"/>
                      <w:lang w:val="en-US" w:eastAsia="zh-CN"/>
                    </w:rPr>
                    <w:t>取土场面积70078m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，取土深度0.9m，取土量63070m</w:t>
                  </w:r>
                  <w:r>
                    <w:rPr>
                      <w:rFonts w:hint="eastAsia"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rPr>
                    <w:t>；</w:t>
                  </w:r>
                </w:p>
                <w:p w14:paraId="32F93D7B">
                  <w:pPr>
                    <w:pStyle w:val="33"/>
                    <w:keepNext w:val="0"/>
                    <w:keepLines w:val="0"/>
                    <w:suppressLineNumbers w:val="0"/>
                    <w:bidi w:val="0"/>
                    <w:spacing w:beforeAutospacing="0" w:afterAutospacing="0"/>
                    <w:ind w:left="0" w:right="0"/>
                    <w:jc w:val="left"/>
                    <w:rPr>
                      <w:rFonts w:hint="eastAsia" w:eastAsia="宋体" w:cs="Times New Roman"/>
                      <w:color w:val="auto"/>
                      <w:lang w:eastAsia="zh-CN"/>
                    </w:rPr>
                  </w:pPr>
                  <w:r>
                    <w:rPr>
                      <w:rFonts w:hint="default" w:ascii="Times New Roman" w:hAnsi="Times New Roman" w:cs="Times New Roman"/>
                      <w:color w:val="auto"/>
                      <w:kern w:val="0"/>
                      <w:sz w:val="21"/>
                      <w:szCs w:val="21"/>
                    </w:rPr>
                    <w:t>A1-9、A1-10为采坑，回填后穴播草籽绿化</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采坑1平面面积为880m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,最大深度为2.5m，容积为2661.17m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；采坑2平面面积为402m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,最大深度为3.5m，容积为922.85m</w:t>
                  </w:r>
                  <w:r>
                    <w:rPr>
                      <w:rFonts w:hint="default" w:ascii="Times New Roman" w:hAnsi="Times New Roman" w:cs="Times New Roman"/>
                      <w:color w:val="auto"/>
                      <w:kern w:val="0"/>
                      <w:sz w:val="21"/>
                      <w:szCs w:val="21"/>
                      <w:vertAlign w:val="superscript"/>
                    </w:rPr>
                    <w:t>3</w:t>
                  </w:r>
                </w:p>
              </w:tc>
            </w:tr>
            <w:tr w14:paraId="5CB57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2A4F5849">
                  <w:pPr>
                    <w:pStyle w:val="33"/>
                    <w:keepNext w:val="0"/>
                    <w:keepLines w:val="0"/>
                    <w:suppressLineNumbers w:val="0"/>
                    <w:bidi w:val="0"/>
                    <w:spacing w:beforeAutospacing="0" w:afterAutospacing="0"/>
                    <w:ind w:left="0" w:right="0"/>
                    <w:jc w:val="left"/>
                    <w:rPr>
                      <w:rFonts w:hint="default"/>
                      <w:color w:val="auto"/>
                    </w:rPr>
                  </w:pPr>
                </w:p>
              </w:tc>
              <w:tc>
                <w:tcPr>
                  <w:tcW w:w="247" w:type="pct"/>
                  <w:vMerge w:val="continue"/>
                  <w:shd w:val="clear" w:color="auto" w:fill="auto"/>
                  <w:noWrap w:val="0"/>
                  <w:vAlign w:val="center"/>
                </w:tcPr>
                <w:p w14:paraId="58D92040">
                  <w:pPr>
                    <w:pStyle w:val="33"/>
                    <w:keepNext w:val="0"/>
                    <w:keepLines w:val="0"/>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486" w:type="pct"/>
                  <w:shd w:val="clear" w:color="auto" w:fill="auto"/>
                  <w:noWrap w:val="0"/>
                  <w:vAlign w:val="center"/>
                </w:tcPr>
                <w:p w14:paraId="48BEDB31">
                  <w:pPr>
                    <w:pStyle w:val="33"/>
                    <w:keepNext w:val="0"/>
                    <w:keepLines w:val="0"/>
                    <w:suppressLineNumbers w:val="0"/>
                    <w:bidi w:val="0"/>
                    <w:spacing w:beforeAutospacing="0" w:afterAutospacing="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s="Times New Roman"/>
                      <w:color w:val="auto"/>
                      <w:lang w:val="en-US" w:eastAsia="zh-CN"/>
                    </w:rPr>
                    <w:t>A2</w:t>
                  </w:r>
                </w:p>
              </w:tc>
              <w:tc>
                <w:tcPr>
                  <w:tcW w:w="3825" w:type="pct"/>
                  <w:noWrap w:val="0"/>
                  <w:vAlign w:val="center"/>
                </w:tcPr>
                <w:p w14:paraId="1B0269AC">
                  <w:pPr>
                    <w:pStyle w:val="33"/>
                    <w:keepNext w:val="0"/>
                    <w:keepLines w:val="0"/>
                    <w:suppressLineNumbers w:val="0"/>
                    <w:bidi w:val="0"/>
                    <w:spacing w:beforeAutospacing="0" w:afterAutospacing="0"/>
                    <w:ind w:left="0" w:right="0"/>
                    <w:jc w:val="left"/>
                    <w:rPr>
                      <w:rFonts w:hint="eastAsia"/>
                      <w:color w:val="auto"/>
                      <w:lang w:eastAsia="zh-CN"/>
                    </w:rPr>
                  </w:pPr>
                  <w:r>
                    <w:rPr>
                      <w:rFonts w:hint="default"/>
                      <w:color w:val="auto"/>
                    </w:rPr>
                    <w:t>A2治理区划分为4个小分区</w:t>
                  </w:r>
                  <w:r>
                    <w:rPr>
                      <w:rFonts w:hint="eastAsia"/>
                      <w:color w:val="auto"/>
                      <w:lang w:eastAsia="zh-CN"/>
                    </w:rPr>
                    <w:t>：</w:t>
                  </w:r>
                </w:p>
                <w:p w14:paraId="15FEB91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A2-1治理措施为场地平整；</w:t>
                  </w:r>
                </w:p>
                <w:p w14:paraId="57DBFE50">
                  <w:pPr>
                    <w:pStyle w:val="33"/>
                    <w:keepNext w:val="0"/>
                    <w:keepLines w:val="0"/>
                    <w:suppressLineNumbers w:val="0"/>
                    <w:bidi w:val="0"/>
                    <w:spacing w:beforeAutospacing="0" w:afterAutospacing="0"/>
                    <w:ind w:left="0" w:right="0"/>
                    <w:jc w:val="left"/>
                    <w:rPr>
                      <w:rFonts w:hint="default" w:eastAsia="宋体"/>
                      <w:color w:val="auto"/>
                      <w:lang w:val="en-US" w:eastAsia="zh-CN"/>
                    </w:rPr>
                  </w:pPr>
                  <w:r>
                    <w:rPr>
                      <w:rFonts w:hint="default"/>
                      <w:color w:val="auto"/>
                    </w:rPr>
                    <w:t>A2-2现状为房屋，A2-4现状为水渠、乡村道路；A2-3现状为水浇地，为基本农田</w:t>
                  </w:r>
                  <w:r>
                    <w:rPr>
                      <w:rFonts w:hint="eastAsia"/>
                      <w:color w:val="auto"/>
                      <w:lang w:eastAsia="zh-CN"/>
                    </w:rPr>
                    <w:t>，</w:t>
                  </w:r>
                  <w:r>
                    <w:rPr>
                      <w:rFonts w:hint="eastAsia"/>
                      <w:color w:val="auto"/>
                      <w:lang w:val="en-US" w:eastAsia="zh-CN"/>
                    </w:rPr>
                    <w:t>保持现状，不对其进行治理</w:t>
                  </w:r>
                </w:p>
              </w:tc>
            </w:tr>
            <w:tr w14:paraId="0FCAF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650FC8A7">
                  <w:pPr>
                    <w:pStyle w:val="33"/>
                    <w:keepNext w:val="0"/>
                    <w:keepLines w:val="0"/>
                    <w:suppressLineNumbers w:val="0"/>
                    <w:bidi w:val="0"/>
                    <w:spacing w:beforeAutospacing="0" w:afterAutospacing="0"/>
                    <w:ind w:left="0" w:right="0"/>
                    <w:jc w:val="left"/>
                    <w:rPr>
                      <w:rFonts w:hint="default"/>
                      <w:color w:val="auto"/>
                    </w:rPr>
                  </w:pPr>
                </w:p>
              </w:tc>
              <w:tc>
                <w:tcPr>
                  <w:tcW w:w="247" w:type="pct"/>
                  <w:vMerge w:val="continue"/>
                  <w:shd w:val="clear" w:color="auto" w:fill="auto"/>
                  <w:noWrap w:val="0"/>
                  <w:vAlign w:val="center"/>
                </w:tcPr>
                <w:p w14:paraId="35E594CD">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00FB885E">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w:t>
                  </w:r>
                </w:p>
              </w:tc>
              <w:tc>
                <w:tcPr>
                  <w:tcW w:w="3825" w:type="pct"/>
                  <w:noWrap w:val="0"/>
                  <w:vAlign w:val="center"/>
                </w:tcPr>
                <w:p w14:paraId="6791A550">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A3治理区划分为4个小分区</w:t>
                  </w:r>
                  <w:r>
                    <w:rPr>
                      <w:rFonts w:hint="eastAsia"/>
                      <w:color w:val="auto"/>
                      <w:lang w:eastAsia="zh-CN"/>
                    </w:rPr>
                    <w:t>：</w:t>
                  </w:r>
                </w:p>
                <w:p w14:paraId="597FD490">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A3-2、A3-3治理措施为覆土+穴播草籽绿化；</w:t>
                  </w:r>
                </w:p>
                <w:p w14:paraId="7220EB81">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A3-1、A3-4治理措施为穴播草籽绿化</w:t>
                  </w:r>
                </w:p>
              </w:tc>
            </w:tr>
            <w:tr w14:paraId="577E2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0F7966DD">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01B02711">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1517FA42">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A4</w:t>
                  </w:r>
                </w:p>
              </w:tc>
              <w:tc>
                <w:tcPr>
                  <w:tcW w:w="3825" w:type="pct"/>
                  <w:noWrap w:val="0"/>
                  <w:vAlign w:val="center"/>
                </w:tcPr>
                <w:p w14:paraId="742A114E">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A4治理区划分为2个小区</w:t>
                  </w:r>
                  <w:r>
                    <w:rPr>
                      <w:rFonts w:hint="eastAsia"/>
                      <w:color w:val="auto"/>
                      <w:lang w:eastAsia="zh-CN"/>
                    </w:rPr>
                    <w:t>：</w:t>
                  </w:r>
                </w:p>
                <w:p w14:paraId="0CE6C74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A4-1治理措施为场地平整+覆土+穴播草籽绿化；</w:t>
                  </w:r>
                </w:p>
                <w:p w14:paraId="6456283D">
                  <w:pPr>
                    <w:pStyle w:val="33"/>
                    <w:keepNext w:val="0"/>
                    <w:keepLines w:val="0"/>
                    <w:suppressLineNumbers w:val="0"/>
                    <w:bidi w:val="0"/>
                    <w:spacing w:beforeAutospacing="0" w:afterAutospacing="0"/>
                    <w:ind w:left="0" w:right="0"/>
                    <w:jc w:val="left"/>
                    <w:rPr>
                      <w:rFonts w:hint="default"/>
                      <w:color w:val="auto"/>
                    </w:rPr>
                  </w:pPr>
                  <w:r>
                    <w:rPr>
                      <w:rFonts w:hint="default"/>
                      <w:color w:val="auto"/>
                    </w:rPr>
                    <w:t>A4-2治理措施为穴播草籽绿化</w:t>
                  </w:r>
                </w:p>
              </w:tc>
            </w:tr>
            <w:tr w14:paraId="3B987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45DE4EB9">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152A3538">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FD2710C">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A5</w:t>
                  </w:r>
                </w:p>
              </w:tc>
              <w:tc>
                <w:tcPr>
                  <w:tcW w:w="3825" w:type="pct"/>
                  <w:noWrap w:val="0"/>
                  <w:vAlign w:val="center"/>
                </w:tcPr>
                <w:p w14:paraId="653F8E48">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A5治理区划分为11个小分区</w:t>
                  </w:r>
                  <w:r>
                    <w:rPr>
                      <w:rFonts w:hint="eastAsia"/>
                      <w:color w:val="auto"/>
                      <w:lang w:eastAsia="zh-CN"/>
                    </w:rPr>
                    <w:t>：</w:t>
                  </w:r>
                </w:p>
                <w:p w14:paraId="52424CE0">
                  <w:pPr>
                    <w:pStyle w:val="33"/>
                    <w:keepNext w:val="0"/>
                    <w:keepLines w:val="0"/>
                    <w:suppressLineNumbers w:val="0"/>
                    <w:bidi w:val="0"/>
                    <w:spacing w:beforeAutospacing="0" w:afterAutospacing="0"/>
                    <w:ind w:left="0" w:right="0"/>
                    <w:jc w:val="left"/>
                    <w:rPr>
                      <w:rFonts w:hint="default"/>
                      <w:color w:val="auto"/>
                    </w:rPr>
                  </w:pPr>
                  <w:r>
                    <w:rPr>
                      <w:rFonts w:hint="default"/>
                      <w:color w:val="auto"/>
                    </w:rPr>
                    <w:t>A5-1、A5-2、A5-4治理措施为场地平整+覆土+穴播草籽绿化+培坡护坡；</w:t>
                  </w:r>
                </w:p>
                <w:p w14:paraId="548C1CB8">
                  <w:pPr>
                    <w:pStyle w:val="33"/>
                    <w:keepNext w:val="0"/>
                    <w:keepLines w:val="0"/>
                    <w:suppressLineNumbers w:val="0"/>
                    <w:bidi w:val="0"/>
                    <w:spacing w:beforeAutospacing="0" w:afterAutospacing="0"/>
                    <w:ind w:left="0" w:right="0"/>
                    <w:jc w:val="left"/>
                    <w:rPr>
                      <w:rFonts w:hint="default"/>
                      <w:color w:val="auto"/>
                    </w:rPr>
                  </w:pPr>
                  <w:r>
                    <w:rPr>
                      <w:rFonts w:hint="default"/>
                      <w:color w:val="auto"/>
                    </w:rPr>
                    <w:t>A5-5、A5-6、A5-7现状为采坑，回填后穴播草籽绿化；</w:t>
                  </w:r>
                  <w:r>
                    <w:rPr>
                      <w:rFonts w:hint="default" w:ascii="Times New Roman" w:hAnsi="Times New Roman" w:cs="Times New Roman"/>
                      <w:color w:val="auto"/>
                      <w:kern w:val="0"/>
                      <w:sz w:val="21"/>
                      <w:szCs w:val="21"/>
                    </w:rPr>
                    <w:t>采坑1平面面积为2775m</w:t>
                  </w:r>
                  <w:r>
                    <w:rPr>
                      <w:rFonts w:hint="default" w:ascii="Times New Roman" w:hAnsi="Times New Roman" w:cs="Times New Roman"/>
                      <w:color w:val="auto"/>
                      <w:kern w:val="0"/>
                      <w:sz w:val="21"/>
                      <w:szCs w:val="21"/>
                      <w:vertAlign w:val="superscript"/>
                    </w:rPr>
                    <w:t>2</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最大深度为3.0m，容积为3809.32m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；采坑2平面面积为824.35m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,最大深度为4.5m，容积为2885.23m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；采坑3平面面积为691.53m</w:t>
                  </w:r>
                  <w:r>
                    <w:rPr>
                      <w:rFonts w:hint="default" w:ascii="Times New Roman" w:hAnsi="Times New Roman" w:cs="Times New Roman"/>
                      <w:color w:val="auto"/>
                      <w:kern w:val="0"/>
                      <w:sz w:val="21"/>
                      <w:szCs w:val="21"/>
                      <w:vertAlign w:val="superscript"/>
                    </w:rPr>
                    <w:t>2</w:t>
                  </w:r>
                  <w:r>
                    <w:rPr>
                      <w:rFonts w:hint="eastAsia" w:cs="Times New Roman"/>
                      <w:color w:val="auto"/>
                      <w:kern w:val="0"/>
                      <w:sz w:val="21"/>
                      <w:szCs w:val="21"/>
                      <w:lang w:eastAsia="zh-CN"/>
                    </w:rPr>
                    <w:t>，</w:t>
                  </w:r>
                  <w:r>
                    <w:rPr>
                      <w:rFonts w:hint="default" w:ascii="Times New Roman" w:hAnsi="Times New Roman" w:cs="Times New Roman"/>
                      <w:color w:val="auto"/>
                      <w:kern w:val="0"/>
                      <w:sz w:val="21"/>
                      <w:szCs w:val="21"/>
                    </w:rPr>
                    <w:t>最大深度为3.0m，容积为2074.59m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p w14:paraId="3176774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A5-8、A5-9、A5-10、A5-11为取土场，取土后穴播草籽绿化</w:t>
                  </w:r>
                  <w:r>
                    <w:rPr>
                      <w:rFonts w:hint="eastAsia"/>
                      <w:color w:val="auto"/>
                      <w:lang w:eastAsia="zh-CN"/>
                    </w:rPr>
                    <w:t>，</w:t>
                  </w:r>
                  <w:r>
                    <w:rPr>
                      <w:rFonts w:hint="eastAsia" w:cs="Times New Roman"/>
                      <w:color w:val="auto"/>
                      <w:kern w:val="0"/>
                      <w:sz w:val="21"/>
                      <w:szCs w:val="21"/>
                      <w:lang w:val="en-US" w:eastAsia="zh-CN"/>
                    </w:rPr>
                    <w:t>取土场面积</w:t>
                  </w:r>
                  <w:r>
                    <w:rPr>
                      <w:rFonts w:hint="eastAsia" w:cs="Times New Roman"/>
                      <w:color w:val="auto"/>
                      <w:kern w:val="0"/>
                      <w:sz w:val="21"/>
                      <w:szCs w:val="21"/>
                      <w:vertAlign w:val="baseline"/>
                      <w:lang w:val="en-US" w:eastAsia="zh-CN"/>
                    </w:rPr>
                    <w:t>202519</w:t>
                  </w:r>
                  <w:r>
                    <w:rPr>
                      <w:rFonts w:hint="eastAsia" w:cs="Times New Roman"/>
                      <w:color w:val="auto"/>
                      <w:kern w:val="0"/>
                      <w:sz w:val="21"/>
                      <w:szCs w:val="21"/>
                      <w:lang w:val="en-US" w:eastAsia="zh-CN"/>
                    </w:rPr>
                    <w:t>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，取土深度1.0m，取土量202519m</w:t>
                  </w:r>
                  <w:r>
                    <w:rPr>
                      <w:rFonts w:hint="eastAsia" w:cs="Times New Roman"/>
                      <w:color w:val="auto"/>
                      <w:kern w:val="0"/>
                      <w:sz w:val="21"/>
                      <w:szCs w:val="21"/>
                      <w:vertAlign w:val="superscript"/>
                      <w:lang w:val="en-US" w:eastAsia="zh-CN"/>
                    </w:rPr>
                    <w:t>3</w:t>
                  </w:r>
                </w:p>
              </w:tc>
            </w:tr>
            <w:tr w14:paraId="3ED2B0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12A0A3CB">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FFA46A4">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1C1E0397">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A6</w:t>
                  </w:r>
                </w:p>
              </w:tc>
              <w:tc>
                <w:tcPr>
                  <w:tcW w:w="3825" w:type="pct"/>
                  <w:noWrap w:val="0"/>
                  <w:vAlign w:val="center"/>
                </w:tcPr>
                <w:p w14:paraId="0A413AF3">
                  <w:pPr>
                    <w:pStyle w:val="33"/>
                    <w:keepNext w:val="0"/>
                    <w:keepLines w:val="0"/>
                    <w:suppressLineNumbers w:val="0"/>
                    <w:tabs>
                      <w:tab w:val="left" w:pos="3958"/>
                    </w:tabs>
                    <w:bidi w:val="0"/>
                    <w:spacing w:beforeAutospacing="0" w:afterAutospacing="0"/>
                    <w:ind w:left="0" w:right="0"/>
                    <w:jc w:val="left"/>
                    <w:rPr>
                      <w:rFonts w:hint="eastAsia" w:eastAsia="宋体"/>
                      <w:color w:val="auto"/>
                      <w:lang w:eastAsia="zh-CN"/>
                    </w:rPr>
                  </w:pPr>
                  <w:r>
                    <w:rPr>
                      <w:rFonts w:hint="default"/>
                      <w:color w:val="auto"/>
                    </w:rPr>
                    <w:t>A6治理区划分为5个小分区</w:t>
                  </w:r>
                  <w:r>
                    <w:rPr>
                      <w:rFonts w:hint="eastAsia"/>
                      <w:color w:val="auto"/>
                      <w:lang w:eastAsia="zh-CN"/>
                    </w:rPr>
                    <w:t>：</w:t>
                  </w:r>
                  <w:r>
                    <w:rPr>
                      <w:rFonts w:hint="eastAsia"/>
                      <w:color w:val="auto"/>
                      <w:lang w:eastAsia="zh-CN"/>
                    </w:rPr>
                    <w:tab/>
                  </w:r>
                </w:p>
                <w:p w14:paraId="037F3E85">
                  <w:pPr>
                    <w:pStyle w:val="33"/>
                    <w:keepNext w:val="0"/>
                    <w:keepLines w:val="0"/>
                    <w:suppressLineNumbers w:val="0"/>
                    <w:bidi w:val="0"/>
                    <w:spacing w:beforeAutospacing="0" w:afterAutospacing="0"/>
                    <w:ind w:left="0" w:right="0"/>
                    <w:jc w:val="left"/>
                    <w:rPr>
                      <w:rFonts w:hint="default"/>
                      <w:color w:val="auto"/>
                    </w:rPr>
                  </w:pPr>
                  <w:r>
                    <w:rPr>
                      <w:rFonts w:hint="default"/>
                      <w:color w:val="auto"/>
                    </w:rPr>
                    <w:t>A6-1治理措施为场地平整+覆土+穴播草籽绿化+栽植旱榆绿化；</w:t>
                  </w:r>
                </w:p>
                <w:p w14:paraId="438E174F">
                  <w:pPr>
                    <w:pStyle w:val="33"/>
                    <w:keepNext w:val="0"/>
                    <w:keepLines w:val="0"/>
                    <w:suppressLineNumbers w:val="0"/>
                    <w:bidi w:val="0"/>
                    <w:spacing w:beforeAutospacing="0" w:afterAutospacing="0"/>
                    <w:ind w:left="0" w:right="0"/>
                    <w:jc w:val="left"/>
                    <w:rPr>
                      <w:rFonts w:hint="default"/>
                      <w:color w:val="auto"/>
                    </w:rPr>
                  </w:pPr>
                  <w:r>
                    <w:rPr>
                      <w:rFonts w:hint="default"/>
                      <w:color w:val="auto"/>
                    </w:rPr>
                    <w:t>A6-2治理措施为穴播草籽、；</w:t>
                  </w:r>
                </w:p>
                <w:p w14:paraId="407988B6">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A6-3、A6-4、A6-5为取土场，取土后穴播草籽绿化</w:t>
                  </w:r>
                  <w:r>
                    <w:rPr>
                      <w:rFonts w:hint="eastAsia"/>
                      <w:color w:val="auto"/>
                      <w:lang w:eastAsia="zh-CN"/>
                    </w:rPr>
                    <w:t>，</w:t>
                  </w:r>
                  <w:r>
                    <w:rPr>
                      <w:rFonts w:hint="eastAsia" w:cs="Times New Roman"/>
                      <w:color w:val="auto"/>
                      <w:kern w:val="0"/>
                      <w:sz w:val="21"/>
                      <w:szCs w:val="21"/>
                      <w:lang w:val="en-US" w:eastAsia="zh-CN"/>
                    </w:rPr>
                    <w:t>取土场面积96900m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，取土深度0.8m，取土量77520m</w:t>
                  </w:r>
                  <w:r>
                    <w:rPr>
                      <w:rFonts w:hint="eastAsia" w:cs="Times New Roman"/>
                      <w:color w:val="auto"/>
                      <w:kern w:val="0"/>
                      <w:sz w:val="21"/>
                      <w:szCs w:val="21"/>
                      <w:vertAlign w:val="superscript"/>
                      <w:lang w:val="en-US" w:eastAsia="zh-CN"/>
                    </w:rPr>
                    <w:t>3</w:t>
                  </w:r>
                </w:p>
              </w:tc>
            </w:tr>
            <w:tr w14:paraId="3C3DA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1764FBB7">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6BDA1ECB">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0E873500">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A7</w:t>
                  </w:r>
                </w:p>
              </w:tc>
              <w:tc>
                <w:tcPr>
                  <w:tcW w:w="3825" w:type="pct"/>
                  <w:noWrap w:val="0"/>
                  <w:vAlign w:val="center"/>
                </w:tcPr>
                <w:p w14:paraId="65786969">
                  <w:pPr>
                    <w:pStyle w:val="33"/>
                    <w:keepNext w:val="0"/>
                    <w:keepLines w:val="0"/>
                    <w:suppressLineNumbers w:val="0"/>
                    <w:bidi w:val="0"/>
                    <w:spacing w:beforeAutospacing="0" w:afterAutospacing="0"/>
                    <w:ind w:left="0" w:right="0"/>
                    <w:jc w:val="left"/>
                    <w:rPr>
                      <w:rFonts w:hint="default"/>
                      <w:color w:val="auto"/>
                    </w:rPr>
                  </w:pPr>
                  <w:r>
                    <w:rPr>
                      <w:rFonts w:hint="default"/>
                      <w:color w:val="auto"/>
                    </w:rPr>
                    <w:t>A7治理区划分为2个小分区：</w:t>
                  </w:r>
                </w:p>
                <w:p w14:paraId="5770C685">
                  <w:pPr>
                    <w:pStyle w:val="33"/>
                    <w:keepNext w:val="0"/>
                    <w:keepLines w:val="0"/>
                    <w:suppressLineNumbers w:val="0"/>
                    <w:bidi w:val="0"/>
                    <w:spacing w:beforeAutospacing="0" w:afterAutospacing="0"/>
                    <w:ind w:left="0" w:right="0"/>
                    <w:jc w:val="left"/>
                    <w:rPr>
                      <w:rFonts w:hint="default"/>
                      <w:color w:val="auto"/>
                    </w:rPr>
                  </w:pPr>
                  <w:r>
                    <w:rPr>
                      <w:rFonts w:hint="default"/>
                      <w:color w:val="auto"/>
                    </w:rPr>
                    <w:t>A7-1现状为沟渠、水浇地、房屋</w:t>
                  </w:r>
                  <w:r>
                    <w:rPr>
                      <w:rFonts w:hint="eastAsia"/>
                      <w:color w:val="auto"/>
                      <w:lang w:eastAsia="zh-CN"/>
                    </w:rPr>
                    <w:t>，</w:t>
                  </w:r>
                  <w:r>
                    <w:rPr>
                      <w:rFonts w:hint="eastAsia"/>
                      <w:color w:val="auto"/>
                      <w:lang w:val="en-US" w:eastAsia="zh-CN"/>
                    </w:rPr>
                    <w:t>保持现状，不对其进行治理</w:t>
                  </w:r>
                  <w:r>
                    <w:rPr>
                      <w:rFonts w:hint="default"/>
                      <w:color w:val="auto"/>
                    </w:rPr>
                    <w:t>；</w:t>
                  </w:r>
                </w:p>
                <w:p w14:paraId="206313E1">
                  <w:pPr>
                    <w:pStyle w:val="33"/>
                    <w:keepNext w:val="0"/>
                    <w:keepLines w:val="0"/>
                    <w:suppressLineNumbers w:val="0"/>
                    <w:bidi w:val="0"/>
                    <w:spacing w:beforeAutospacing="0" w:afterAutospacing="0"/>
                    <w:ind w:left="0" w:right="0"/>
                    <w:jc w:val="left"/>
                    <w:rPr>
                      <w:rFonts w:hint="default"/>
                      <w:color w:val="auto"/>
                    </w:rPr>
                  </w:pPr>
                  <w:r>
                    <w:rPr>
                      <w:rFonts w:hint="default"/>
                      <w:color w:val="auto"/>
                    </w:rPr>
                    <w:t>B7-2治理措施为场地平整+土地翻耕+地力培肥</w:t>
                  </w:r>
                </w:p>
              </w:tc>
            </w:tr>
            <w:tr w14:paraId="4C662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549B9E34">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6C380A4">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0CBDF742">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A8</w:t>
                  </w:r>
                </w:p>
              </w:tc>
              <w:tc>
                <w:tcPr>
                  <w:tcW w:w="3825" w:type="pct"/>
                  <w:noWrap w:val="0"/>
                  <w:vAlign w:val="center"/>
                </w:tcPr>
                <w:p w14:paraId="537F4AB9">
                  <w:pPr>
                    <w:pStyle w:val="33"/>
                    <w:keepNext w:val="0"/>
                    <w:keepLines w:val="0"/>
                    <w:suppressLineNumbers w:val="0"/>
                    <w:bidi w:val="0"/>
                    <w:spacing w:beforeAutospacing="0" w:afterAutospacing="0"/>
                    <w:ind w:left="0" w:right="0"/>
                    <w:jc w:val="left"/>
                    <w:rPr>
                      <w:rFonts w:hint="default"/>
                      <w:color w:val="auto"/>
                    </w:rPr>
                  </w:pPr>
                  <w:r>
                    <w:rPr>
                      <w:rFonts w:hint="default"/>
                      <w:color w:val="auto"/>
                    </w:rPr>
                    <w:t>A8治理区划分为2个小分区：</w:t>
                  </w:r>
                </w:p>
                <w:p w14:paraId="55627C8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A8-1治理措施为场地平整+覆土+穴播草籽绿化；</w:t>
                  </w:r>
                </w:p>
                <w:p w14:paraId="45418B9B">
                  <w:pPr>
                    <w:pStyle w:val="33"/>
                    <w:keepNext w:val="0"/>
                    <w:keepLines w:val="0"/>
                    <w:suppressLineNumbers w:val="0"/>
                    <w:bidi w:val="0"/>
                    <w:spacing w:beforeAutospacing="0" w:afterAutospacing="0"/>
                    <w:ind w:left="0" w:right="0"/>
                    <w:jc w:val="left"/>
                    <w:rPr>
                      <w:rFonts w:hint="default"/>
                      <w:color w:val="auto"/>
                    </w:rPr>
                  </w:pPr>
                  <w:r>
                    <w:rPr>
                      <w:rFonts w:hint="default"/>
                      <w:color w:val="auto"/>
                    </w:rPr>
                    <w:t>A8-2治理措施为穴播草轩绿化</w:t>
                  </w:r>
                </w:p>
              </w:tc>
            </w:tr>
            <w:tr w14:paraId="58D7E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68DFB35A">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47CF6AF">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132BDDC">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A9</w:t>
                  </w:r>
                </w:p>
              </w:tc>
              <w:tc>
                <w:tcPr>
                  <w:tcW w:w="3825" w:type="pct"/>
                  <w:noWrap w:val="0"/>
                  <w:vAlign w:val="center"/>
                </w:tcPr>
                <w:p w14:paraId="062EB097">
                  <w:pPr>
                    <w:pStyle w:val="33"/>
                    <w:keepNext w:val="0"/>
                    <w:keepLines w:val="0"/>
                    <w:suppressLineNumbers w:val="0"/>
                    <w:bidi w:val="0"/>
                    <w:spacing w:beforeAutospacing="0" w:afterAutospacing="0"/>
                    <w:ind w:left="0" w:right="0"/>
                    <w:jc w:val="left"/>
                    <w:rPr>
                      <w:rFonts w:hint="default"/>
                      <w:color w:val="auto"/>
                    </w:rPr>
                  </w:pPr>
                  <w:r>
                    <w:rPr>
                      <w:rFonts w:hint="default"/>
                      <w:color w:val="auto"/>
                    </w:rPr>
                    <w:t>A9治理区划分为5个小分区：</w:t>
                  </w:r>
                </w:p>
                <w:p w14:paraId="483932DF">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A9-1、A9-5治理措施为穴播草籽绿化</w:t>
                  </w:r>
                  <w:r>
                    <w:rPr>
                      <w:rFonts w:hint="eastAsia"/>
                      <w:color w:val="auto"/>
                      <w:lang w:eastAsia="zh-CN"/>
                    </w:rPr>
                    <w:t>；</w:t>
                  </w:r>
                </w:p>
                <w:p w14:paraId="556180AF">
                  <w:pPr>
                    <w:pStyle w:val="33"/>
                    <w:keepNext w:val="0"/>
                    <w:keepLines w:val="0"/>
                    <w:suppressLineNumbers w:val="0"/>
                    <w:bidi w:val="0"/>
                    <w:spacing w:beforeAutospacing="0" w:afterAutospacing="0"/>
                    <w:ind w:left="0" w:right="0"/>
                    <w:jc w:val="left"/>
                    <w:rPr>
                      <w:rFonts w:hint="default"/>
                      <w:color w:val="auto"/>
                    </w:rPr>
                  </w:pPr>
                  <w:r>
                    <w:rPr>
                      <w:rFonts w:hint="default"/>
                      <w:color w:val="auto"/>
                    </w:rPr>
                    <w:t>A9-2治理措施为场地平整+覆土+穴播草籽绿化+培坡护坡；</w:t>
                  </w:r>
                </w:p>
                <w:p w14:paraId="18929417">
                  <w:pPr>
                    <w:pStyle w:val="33"/>
                    <w:keepNext w:val="0"/>
                    <w:keepLines w:val="0"/>
                    <w:suppressLineNumbers w:val="0"/>
                    <w:bidi w:val="0"/>
                    <w:spacing w:beforeAutospacing="0" w:afterAutospacing="0"/>
                    <w:ind w:left="0" w:right="0"/>
                    <w:jc w:val="left"/>
                    <w:rPr>
                      <w:rFonts w:hint="default"/>
                      <w:color w:val="auto"/>
                    </w:rPr>
                  </w:pPr>
                  <w:r>
                    <w:rPr>
                      <w:rFonts w:hint="default"/>
                      <w:color w:val="auto"/>
                    </w:rPr>
                    <w:t>A9-3为取土场，取土后穴播草籽绿化</w:t>
                  </w:r>
                  <w:r>
                    <w:rPr>
                      <w:rFonts w:hint="eastAsia"/>
                      <w:color w:val="auto"/>
                      <w:lang w:eastAsia="zh-CN"/>
                    </w:rPr>
                    <w:t>，</w:t>
                  </w:r>
                  <w:r>
                    <w:rPr>
                      <w:rFonts w:hint="eastAsia" w:cs="Times New Roman"/>
                      <w:color w:val="auto"/>
                      <w:kern w:val="0"/>
                      <w:sz w:val="21"/>
                      <w:szCs w:val="21"/>
                      <w:lang w:val="en-US" w:eastAsia="zh-CN"/>
                    </w:rPr>
                    <w:t>取土场面积60766m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，取土深度2.2m，取土量133685m</w:t>
                  </w:r>
                  <w:r>
                    <w:rPr>
                      <w:rFonts w:hint="eastAsia" w:cs="Times New Roman"/>
                      <w:color w:val="auto"/>
                      <w:kern w:val="0"/>
                      <w:sz w:val="21"/>
                      <w:szCs w:val="21"/>
                      <w:vertAlign w:val="superscript"/>
                      <w:lang w:val="en-US" w:eastAsia="zh-CN"/>
                    </w:rPr>
                    <w:t>3</w:t>
                  </w:r>
                  <w:r>
                    <w:rPr>
                      <w:rFonts w:hint="default"/>
                      <w:color w:val="auto"/>
                    </w:rPr>
                    <w:t>；</w:t>
                  </w:r>
                </w:p>
                <w:p w14:paraId="73581FCC">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A9-4现状为采坑，回填后穴播草籽绿化</w:t>
                  </w:r>
                  <w:r>
                    <w:rPr>
                      <w:rFonts w:hint="eastAsia"/>
                      <w:color w:val="auto"/>
                      <w:lang w:eastAsia="zh-CN"/>
                    </w:rPr>
                    <w:t>，</w:t>
                  </w:r>
                  <w:r>
                    <w:rPr>
                      <w:rFonts w:hint="default"/>
                      <w:color w:val="auto"/>
                    </w:rPr>
                    <w:t>采坑</w:t>
                  </w:r>
                  <w:r>
                    <w:rPr>
                      <w:rFonts w:hint="default" w:ascii="Times New Roman" w:hAnsi="Times New Roman" w:cs="Times New Roman"/>
                      <w:color w:val="auto"/>
                      <w:kern w:val="0"/>
                      <w:sz w:val="21"/>
                      <w:szCs w:val="21"/>
                    </w:rPr>
                    <w:t>平面面积为8823.82m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,最大深度为7.0m，容积为91636.67m</w:t>
                  </w:r>
                  <w:r>
                    <w:rPr>
                      <w:rFonts w:hint="default" w:ascii="Times New Roman" w:hAnsi="Times New Roman" w:cs="Times New Roman"/>
                      <w:color w:val="auto"/>
                      <w:kern w:val="0"/>
                      <w:sz w:val="21"/>
                      <w:szCs w:val="21"/>
                      <w:vertAlign w:val="superscript"/>
                    </w:rPr>
                    <w:t>3</w:t>
                  </w:r>
                </w:p>
              </w:tc>
            </w:tr>
            <w:tr w14:paraId="0D312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67640ED5">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FE36233">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22D291D8">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A10</w:t>
                  </w:r>
                </w:p>
              </w:tc>
              <w:tc>
                <w:tcPr>
                  <w:tcW w:w="3825" w:type="pct"/>
                  <w:noWrap w:val="0"/>
                  <w:vAlign w:val="center"/>
                </w:tcPr>
                <w:p w14:paraId="6F41CCFB">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A10治理区划分为2个小分区</w:t>
                  </w:r>
                </w:p>
                <w:p w14:paraId="4A61B830">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A10-1治理措施为穴播草籽绿化</w:t>
                  </w:r>
                  <w:r>
                    <w:rPr>
                      <w:rFonts w:hint="eastAsia"/>
                      <w:color w:val="auto"/>
                      <w:lang w:eastAsia="zh-CN"/>
                    </w:rPr>
                    <w:t>；</w:t>
                  </w:r>
                </w:p>
                <w:p w14:paraId="29AC47BC">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A10-2治理措施为覆土+穴播草籽绿化</w:t>
                  </w:r>
                </w:p>
              </w:tc>
            </w:tr>
            <w:tr w14:paraId="7BE29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0AA3CCF5">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0B2D413E">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11B2FC8">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A11</w:t>
                  </w:r>
                </w:p>
              </w:tc>
              <w:tc>
                <w:tcPr>
                  <w:tcW w:w="3825" w:type="pct"/>
                  <w:noWrap w:val="0"/>
                  <w:vAlign w:val="center"/>
                </w:tcPr>
                <w:p w14:paraId="10550D76">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A11治理区划分为4个小分区：</w:t>
                  </w:r>
                </w:p>
                <w:p w14:paraId="29F21B58">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A11-1治理措施为穴播草籽绿化；</w:t>
                  </w:r>
                </w:p>
                <w:p w14:paraId="1DC550A7">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A11-2、A11-3、A11-4治理措施为场地平整+覆土+穴播草籽绿化</w:t>
                  </w:r>
                </w:p>
              </w:tc>
            </w:tr>
            <w:tr w14:paraId="49796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135D7804">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6EFE7BA9">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B02E32C">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A12</w:t>
                  </w:r>
                </w:p>
              </w:tc>
              <w:tc>
                <w:tcPr>
                  <w:tcW w:w="3825" w:type="pct"/>
                  <w:noWrap w:val="0"/>
                  <w:vAlign w:val="center"/>
                </w:tcPr>
                <w:p w14:paraId="463C385C">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A12治理区划分为3个小分区：</w:t>
                  </w:r>
                </w:p>
                <w:p w14:paraId="0F4B04B5">
                  <w:pPr>
                    <w:pStyle w:val="33"/>
                    <w:keepNext w:val="0"/>
                    <w:keepLines w:val="0"/>
                    <w:suppressLineNumbers w:val="0"/>
                    <w:bidi w:val="0"/>
                    <w:spacing w:beforeAutospacing="0" w:afterAutospacing="0"/>
                    <w:ind w:left="0" w:right="0"/>
                    <w:jc w:val="left"/>
                    <w:rPr>
                      <w:rFonts w:hint="eastAsia"/>
                      <w:color w:val="auto"/>
                      <w:lang w:eastAsia="zh-CN"/>
                    </w:rPr>
                  </w:pPr>
                  <w:r>
                    <w:rPr>
                      <w:rFonts w:hint="default"/>
                      <w:color w:val="auto"/>
                    </w:rPr>
                    <w:t>A12-1、A12-2治理措施为场地平整+覆土+穴播草籽绿化；</w:t>
                  </w:r>
                </w:p>
                <w:p w14:paraId="454878A8">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A12-3治理措施为穴播草籽绿化</w:t>
                  </w:r>
                </w:p>
              </w:tc>
            </w:tr>
            <w:tr w14:paraId="3CA7C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69FFA8FF">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9A080AE">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7C40C939">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A13</w:t>
                  </w:r>
                </w:p>
              </w:tc>
              <w:tc>
                <w:tcPr>
                  <w:tcW w:w="3825" w:type="pct"/>
                  <w:noWrap w:val="0"/>
                  <w:vAlign w:val="center"/>
                </w:tcPr>
                <w:p w14:paraId="7D9472C4">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A13治理区划分为2个小分区：</w:t>
                  </w:r>
                </w:p>
                <w:p w14:paraId="4303D698">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A13-1治理措施为覆土+穴播草籽绿化</w:t>
                  </w:r>
                  <w:r>
                    <w:rPr>
                      <w:rFonts w:hint="eastAsia"/>
                      <w:color w:val="auto"/>
                      <w:lang w:eastAsia="zh-CN"/>
                    </w:rPr>
                    <w:t>；</w:t>
                  </w:r>
                </w:p>
                <w:p w14:paraId="59DFBAAC">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A13-2现状为采坑，回填后穴播草籽绿化</w:t>
                  </w:r>
                  <w:r>
                    <w:rPr>
                      <w:rFonts w:hint="eastAsia"/>
                      <w:color w:val="auto"/>
                      <w:lang w:eastAsia="zh-CN"/>
                    </w:rPr>
                    <w:t>，</w:t>
                  </w:r>
                  <w:r>
                    <w:rPr>
                      <w:rFonts w:hint="default" w:ascii="Times New Roman" w:hAnsi="Times New Roman" w:cs="Times New Roman"/>
                      <w:color w:val="auto"/>
                      <w:kern w:val="0"/>
                      <w:sz w:val="21"/>
                      <w:szCs w:val="21"/>
                    </w:rPr>
                    <w:t>采坑平面面积为225.5m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,最大深度为2.0m，容积为669.58m</w:t>
                  </w:r>
                  <w:r>
                    <w:rPr>
                      <w:rFonts w:hint="default" w:ascii="Times New Roman" w:hAnsi="Times New Roman" w:cs="Times New Roman"/>
                      <w:color w:val="auto"/>
                      <w:kern w:val="0"/>
                      <w:sz w:val="21"/>
                      <w:szCs w:val="21"/>
                      <w:vertAlign w:val="superscript"/>
                    </w:rPr>
                    <w:t>3</w:t>
                  </w:r>
                </w:p>
              </w:tc>
            </w:tr>
            <w:tr w14:paraId="6F116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1019A4C8">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0E4371D2">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E2346EA">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A14</w:t>
                  </w:r>
                </w:p>
              </w:tc>
              <w:tc>
                <w:tcPr>
                  <w:tcW w:w="3825" w:type="pct"/>
                  <w:noWrap w:val="0"/>
                  <w:vAlign w:val="center"/>
                </w:tcPr>
                <w:p w14:paraId="71798D61">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A14治理区划分为2个小分区</w:t>
                  </w:r>
                  <w:r>
                    <w:rPr>
                      <w:rFonts w:hint="eastAsia"/>
                      <w:color w:val="auto"/>
                      <w:lang w:eastAsia="zh-CN"/>
                    </w:rPr>
                    <w:t>：</w:t>
                  </w:r>
                </w:p>
                <w:p w14:paraId="07A6E486">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A14-1、A14-2治理措施为场地平整+覆土+穴播草籽绿化</w:t>
                  </w:r>
                </w:p>
              </w:tc>
            </w:tr>
            <w:tr w14:paraId="4E8DD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55969D8E">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46D9F013">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5D56302C">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A15</w:t>
                  </w:r>
                </w:p>
              </w:tc>
              <w:tc>
                <w:tcPr>
                  <w:tcW w:w="3825" w:type="pct"/>
                  <w:noWrap w:val="0"/>
                  <w:vAlign w:val="center"/>
                </w:tcPr>
                <w:p w14:paraId="45EB22D1">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A15治理区划分为9个小分区</w:t>
                  </w:r>
                  <w:r>
                    <w:rPr>
                      <w:rFonts w:hint="eastAsia"/>
                      <w:color w:val="auto"/>
                      <w:lang w:eastAsia="zh-CN"/>
                    </w:rPr>
                    <w:t>：</w:t>
                  </w:r>
                </w:p>
                <w:p w14:paraId="68A39486">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A15-1、A15-2、A15-3、A15-6、A15-7、A15-8、A15-9治理措施为场地平整+覆土+穴播草籽绿化；</w:t>
                  </w:r>
                </w:p>
                <w:p w14:paraId="6685C865">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A15-5治理措施为穴播草籽绿化；</w:t>
                  </w:r>
                </w:p>
                <w:p w14:paraId="46C69B10">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A15-4为取土场，取土后穴播草籽绿化</w:t>
                  </w:r>
                  <w:r>
                    <w:rPr>
                      <w:rFonts w:hint="eastAsia"/>
                      <w:color w:val="auto"/>
                      <w:lang w:eastAsia="zh-CN"/>
                    </w:rPr>
                    <w:t>，</w:t>
                  </w:r>
                  <w:r>
                    <w:rPr>
                      <w:rFonts w:hint="eastAsia" w:cs="Times New Roman"/>
                      <w:color w:val="auto"/>
                      <w:kern w:val="0"/>
                      <w:sz w:val="21"/>
                      <w:szCs w:val="21"/>
                      <w:lang w:val="en-US" w:eastAsia="zh-CN"/>
                    </w:rPr>
                    <w:t>取土场面积567575m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，取土深度0.8m，取土量54060m</w:t>
                  </w:r>
                  <w:r>
                    <w:rPr>
                      <w:rFonts w:hint="eastAsia" w:cs="Times New Roman"/>
                      <w:color w:val="auto"/>
                      <w:kern w:val="0"/>
                      <w:sz w:val="21"/>
                      <w:szCs w:val="21"/>
                      <w:vertAlign w:val="superscript"/>
                      <w:lang w:val="en-US" w:eastAsia="zh-CN"/>
                    </w:rPr>
                    <w:t>3</w:t>
                  </w:r>
                </w:p>
              </w:tc>
            </w:tr>
            <w:tr w14:paraId="521C0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440" w:type="pct"/>
                  <w:vMerge w:val="continue"/>
                  <w:noWrap w:val="0"/>
                  <w:vAlign w:val="center"/>
                </w:tcPr>
                <w:p w14:paraId="7CA3B4E8">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7B2581E">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4DDA631">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A16</w:t>
                  </w:r>
                </w:p>
              </w:tc>
              <w:tc>
                <w:tcPr>
                  <w:tcW w:w="3825" w:type="pct"/>
                  <w:noWrap w:val="0"/>
                  <w:vAlign w:val="center"/>
                </w:tcPr>
                <w:p w14:paraId="44BF1A87">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A16治理区划分为2个小分区</w:t>
                  </w:r>
                  <w:r>
                    <w:rPr>
                      <w:rFonts w:hint="eastAsia"/>
                      <w:color w:val="auto"/>
                      <w:lang w:eastAsia="zh-CN"/>
                    </w:rPr>
                    <w:t>：</w:t>
                  </w:r>
                </w:p>
                <w:p w14:paraId="726984A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A16-1治理措施为场地平整+覆土+穴播草籽绿化；</w:t>
                  </w:r>
                </w:p>
                <w:p w14:paraId="3728869F">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A16-2治理措施为穴播草籽绿化</w:t>
                  </w:r>
                </w:p>
              </w:tc>
            </w:tr>
            <w:tr w14:paraId="14E40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7EB0A1FA">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4C3620FB">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0B639464">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A17</w:t>
                  </w:r>
                </w:p>
              </w:tc>
              <w:tc>
                <w:tcPr>
                  <w:tcW w:w="3825" w:type="pct"/>
                  <w:noWrap w:val="0"/>
                  <w:vAlign w:val="center"/>
                </w:tcPr>
                <w:p w14:paraId="408D346B">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A17治理区划分为4个小分区：</w:t>
                  </w:r>
                </w:p>
                <w:p w14:paraId="0420CA0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A17-1、A17-3治理措施为覆土+穴播草籽绿化</w:t>
                  </w:r>
                  <w:r>
                    <w:rPr>
                      <w:rFonts w:hint="eastAsia"/>
                      <w:color w:val="auto"/>
                      <w:lang w:eastAsia="zh-CN"/>
                    </w:rPr>
                    <w:t>；</w:t>
                  </w:r>
                </w:p>
                <w:p w14:paraId="78F28018">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A17-2现状为道路，综合利用；</w:t>
                  </w:r>
                </w:p>
                <w:p w14:paraId="16CC63C5">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A17-4现状为取土场，取土后穴播草籽</w:t>
                  </w:r>
                  <w:r>
                    <w:rPr>
                      <w:rFonts w:hint="eastAsia"/>
                      <w:color w:val="auto"/>
                      <w:lang w:eastAsia="zh-CN"/>
                    </w:rPr>
                    <w:t>，</w:t>
                  </w:r>
                  <w:r>
                    <w:rPr>
                      <w:rFonts w:hint="eastAsia" w:cs="Times New Roman"/>
                      <w:color w:val="auto"/>
                      <w:kern w:val="0"/>
                      <w:sz w:val="21"/>
                      <w:szCs w:val="21"/>
                      <w:lang w:val="en-US" w:eastAsia="zh-CN"/>
                    </w:rPr>
                    <w:t>取土场面积12075m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，取土深度0.8m，取土量9660m</w:t>
                  </w:r>
                  <w:r>
                    <w:rPr>
                      <w:rFonts w:hint="eastAsia" w:cs="Times New Roman"/>
                      <w:color w:val="auto"/>
                      <w:kern w:val="0"/>
                      <w:sz w:val="21"/>
                      <w:szCs w:val="21"/>
                      <w:vertAlign w:val="superscript"/>
                      <w:lang w:val="en-US" w:eastAsia="zh-CN"/>
                    </w:rPr>
                    <w:t>3</w:t>
                  </w:r>
                </w:p>
              </w:tc>
            </w:tr>
            <w:tr w14:paraId="245DA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1123A7AC">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4A942FD">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913C019">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A18</w:t>
                  </w:r>
                </w:p>
              </w:tc>
              <w:tc>
                <w:tcPr>
                  <w:tcW w:w="3825" w:type="pct"/>
                  <w:noWrap w:val="0"/>
                  <w:vAlign w:val="center"/>
                </w:tcPr>
                <w:p w14:paraId="610B3ADE">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A18治理区划分为3个小分区：</w:t>
                  </w:r>
                </w:p>
                <w:p w14:paraId="06DE35F6">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A18-1、A18-2治理措施为场地平整+覆土+穴播草籽绿化；</w:t>
                  </w:r>
                </w:p>
                <w:p w14:paraId="4DCC87AB">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A18-3为取土场，取土后穴播草籽绿化</w:t>
                  </w:r>
                  <w:r>
                    <w:rPr>
                      <w:rFonts w:hint="eastAsia"/>
                      <w:color w:val="auto"/>
                      <w:lang w:eastAsia="zh-CN"/>
                    </w:rPr>
                    <w:t>，</w:t>
                  </w:r>
                  <w:r>
                    <w:rPr>
                      <w:rFonts w:hint="eastAsia" w:cs="Times New Roman"/>
                      <w:color w:val="auto"/>
                      <w:kern w:val="0"/>
                      <w:sz w:val="21"/>
                      <w:szCs w:val="21"/>
                      <w:lang w:val="en-US" w:eastAsia="zh-CN"/>
                    </w:rPr>
                    <w:t>取土场面积16425m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，取土深度0.8m，取土量m</w:t>
                  </w:r>
                  <w:r>
                    <w:rPr>
                      <w:rFonts w:hint="eastAsia" w:cs="Times New Roman"/>
                      <w:color w:val="auto"/>
                      <w:kern w:val="0"/>
                      <w:sz w:val="21"/>
                      <w:szCs w:val="21"/>
                      <w:vertAlign w:val="superscript"/>
                      <w:lang w:val="en-US" w:eastAsia="zh-CN"/>
                    </w:rPr>
                    <w:t>3</w:t>
                  </w:r>
                </w:p>
              </w:tc>
            </w:tr>
            <w:tr w14:paraId="6142F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06A076DD">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3A316F7">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3FAD554D">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A19</w:t>
                  </w:r>
                </w:p>
              </w:tc>
              <w:tc>
                <w:tcPr>
                  <w:tcW w:w="3825" w:type="pct"/>
                  <w:noWrap w:val="0"/>
                  <w:vAlign w:val="center"/>
                </w:tcPr>
                <w:p w14:paraId="1564DD0B">
                  <w:pPr>
                    <w:pStyle w:val="33"/>
                    <w:keepNext w:val="0"/>
                    <w:keepLines w:val="0"/>
                    <w:suppressLineNumbers w:val="0"/>
                    <w:bidi w:val="0"/>
                    <w:spacing w:beforeAutospacing="0" w:afterAutospacing="0"/>
                    <w:ind w:left="0" w:right="0"/>
                    <w:jc w:val="left"/>
                    <w:rPr>
                      <w:rFonts w:hint="default"/>
                      <w:color w:val="auto"/>
                    </w:rPr>
                  </w:pPr>
                  <w:r>
                    <w:rPr>
                      <w:rFonts w:hint="default"/>
                      <w:color w:val="auto"/>
                    </w:rPr>
                    <w:t>A19治理区划分为1个区，治理措施为覆土+穴播草籽绿化+培坡护坡</w:t>
                  </w:r>
                </w:p>
              </w:tc>
            </w:tr>
            <w:tr w14:paraId="5DD71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2BEBF423">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1CADA05E">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9E625F4">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A20</w:t>
                  </w:r>
                </w:p>
              </w:tc>
              <w:tc>
                <w:tcPr>
                  <w:tcW w:w="3825" w:type="pct"/>
                  <w:noWrap w:val="0"/>
                  <w:vAlign w:val="center"/>
                </w:tcPr>
                <w:p w14:paraId="0DFAA73D">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A20治理区划分为15个小分区</w:t>
                  </w:r>
                  <w:r>
                    <w:rPr>
                      <w:rFonts w:hint="eastAsia"/>
                      <w:color w:val="auto"/>
                      <w:lang w:eastAsia="zh-CN"/>
                    </w:rPr>
                    <w:t>：</w:t>
                  </w:r>
                </w:p>
                <w:p w14:paraId="63EE8F39">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A20-1、A20-3、A20-13、A20-14治理措施为场地平整+覆土+穴播草籽绿化+栽植旱榆绿化+采坑回填；</w:t>
                  </w:r>
                </w:p>
                <w:p w14:paraId="51F96329">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A20-5治理措施为穴播草籽绿化；</w:t>
                  </w:r>
                </w:p>
                <w:p w14:paraId="675DF37C">
                  <w:pPr>
                    <w:pStyle w:val="33"/>
                    <w:keepNext w:val="0"/>
                    <w:keepLines w:val="0"/>
                    <w:suppressLineNumbers w:val="0"/>
                    <w:bidi w:val="0"/>
                    <w:spacing w:beforeAutospacing="0" w:afterAutospacing="0"/>
                    <w:ind w:left="0" w:right="0"/>
                    <w:jc w:val="both"/>
                    <w:rPr>
                      <w:rFonts w:hint="eastAsia" w:eastAsia="宋体"/>
                      <w:color w:val="auto"/>
                      <w:lang w:eastAsia="zh-CN"/>
                    </w:rPr>
                  </w:pPr>
                  <w:r>
                    <w:rPr>
                      <w:rFonts w:hint="default"/>
                      <w:color w:val="auto"/>
                    </w:rPr>
                    <w:t>A20-2、A20-4、A20-8、A20-9、A20-11现状为采坑，回填后穴播草籽绿化；</w:t>
                  </w:r>
                  <w:r>
                    <w:rPr>
                      <w:rFonts w:hint="default" w:ascii="Times New Roman" w:hAnsi="Times New Roman" w:cs="Times New Roman"/>
                      <w:color w:val="auto"/>
                      <w:kern w:val="0"/>
                      <w:sz w:val="21"/>
                      <w:szCs w:val="21"/>
                    </w:rPr>
                    <w:t>采坑1平面面积为1657.72m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,最大深度为2.5m，容积为12509.87m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；采坑2平面面积为501.5m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,最大深度为2.0m，容积为2328.62m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；采坑3平面面积为458.67m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,最大深度为2.0m，容积为3125.32m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；采坑4平面面积为498.32m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,最大深度为2.0m，容积为1812.08m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w:t>
                  </w: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rPr>
                    <w:t>平面面积为886.69m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,最大深度为1.8m，容积为3682.48m</w:t>
                  </w:r>
                  <w:r>
                    <w:rPr>
                      <w:rFonts w:hint="default" w:ascii="Times New Roman" w:hAnsi="Times New Roman" w:cs="Times New Roman"/>
                      <w:color w:val="auto"/>
                      <w:kern w:val="0"/>
                      <w:sz w:val="21"/>
                      <w:szCs w:val="21"/>
                      <w:vertAlign w:val="superscript"/>
                    </w:rPr>
                    <w:t>3</w:t>
                  </w:r>
                  <w:r>
                    <w:rPr>
                      <w:rFonts w:hint="eastAsia" w:ascii="Times New Roman" w:hAnsi="Times New Roman" w:cs="Times New Roman"/>
                      <w:color w:val="auto"/>
                      <w:kern w:val="0"/>
                      <w:sz w:val="21"/>
                      <w:szCs w:val="21"/>
                      <w:vertAlign w:val="baseline"/>
                      <w:lang w:eastAsia="zh-CN"/>
                    </w:rPr>
                    <w:t>；</w:t>
                  </w:r>
                </w:p>
                <w:p w14:paraId="1A52C2D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A20-6、A20-7、A20-11、A20-12为取土场，取土后穴播草籽绿化</w:t>
                  </w:r>
                  <w:r>
                    <w:rPr>
                      <w:rFonts w:hint="eastAsia"/>
                      <w:color w:val="auto"/>
                      <w:lang w:eastAsia="zh-CN"/>
                    </w:rPr>
                    <w:t>，</w:t>
                  </w:r>
                  <w:r>
                    <w:rPr>
                      <w:rFonts w:hint="eastAsia" w:cs="Times New Roman"/>
                      <w:color w:val="auto"/>
                      <w:kern w:val="0"/>
                      <w:sz w:val="21"/>
                      <w:szCs w:val="21"/>
                      <w:lang w:val="en-US" w:eastAsia="zh-CN"/>
                    </w:rPr>
                    <w:t>取土场面积164862.5m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，取土深度2.8m，取土量461615m</w:t>
                  </w:r>
                  <w:r>
                    <w:rPr>
                      <w:rFonts w:hint="eastAsia" w:cs="Times New Roman"/>
                      <w:color w:val="auto"/>
                      <w:kern w:val="0"/>
                      <w:sz w:val="21"/>
                      <w:szCs w:val="21"/>
                      <w:vertAlign w:val="superscript"/>
                      <w:lang w:val="en-US" w:eastAsia="zh-CN"/>
                    </w:rPr>
                    <w:t>3</w:t>
                  </w:r>
                  <w:r>
                    <w:rPr>
                      <w:rFonts w:hint="default"/>
                      <w:color w:val="auto"/>
                    </w:rPr>
                    <w:t>；</w:t>
                  </w:r>
                </w:p>
                <w:p w14:paraId="1219B859">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A20-15现状为沟道</w:t>
                  </w:r>
                </w:p>
              </w:tc>
            </w:tr>
            <w:tr w14:paraId="2AC1A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5CDB463A">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B23E691">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536B0739">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A21</w:t>
                  </w:r>
                </w:p>
              </w:tc>
              <w:tc>
                <w:tcPr>
                  <w:tcW w:w="3825" w:type="pct"/>
                  <w:noWrap w:val="0"/>
                  <w:vAlign w:val="center"/>
                </w:tcPr>
                <w:p w14:paraId="6E8D3137">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A21治理区划分为2个小分区</w:t>
                  </w:r>
                  <w:r>
                    <w:rPr>
                      <w:rFonts w:hint="eastAsia"/>
                      <w:color w:val="auto"/>
                      <w:lang w:eastAsia="zh-CN"/>
                    </w:rPr>
                    <w:t>：</w:t>
                  </w:r>
                </w:p>
                <w:p w14:paraId="39A5FAC6">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A21-1治理措施为覆土+穴播草籽绿化+培坡护坡</w:t>
                  </w:r>
                  <w:r>
                    <w:rPr>
                      <w:rFonts w:hint="eastAsia"/>
                      <w:color w:val="auto"/>
                      <w:lang w:eastAsia="zh-CN"/>
                    </w:rPr>
                    <w:t>；</w:t>
                  </w:r>
                </w:p>
                <w:p w14:paraId="7BEEE6D1">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A21-2为取土场，取土后穴播草籽绿化</w:t>
                  </w:r>
                  <w:r>
                    <w:rPr>
                      <w:rFonts w:hint="eastAsia"/>
                      <w:color w:val="auto"/>
                      <w:lang w:eastAsia="zh-CN"/>
                    </w:rPr>
                    <w:t>，</w:t>
                  </w:r>
                  <w:r>
                    <w:rPr>
                      <w:rFonts w:hint="eastAsia" w:cs="Times New Roman"/>
                      <w:color w:val="auto"/>
                      <w:kern w:val="0"/>
                      <w:sz w:val="21"/>
                      <w:szCs w:val="21"/>
                      <w:lang w:val="en-US" w:eastAsia="zh-CN"/>
                    </w:rPr>
                    <w:t>取土场面积5515m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，取土深度0.3m，取土量4412m</w:t>
                  </w:r>
                  <w:r>
                    <w:rPr>
                      <w:rFonts w:hint="eastAsia" w:cs="Times New Roman"/>
                      <w:color w:val="auto"/>
                      <w:kern w:val="0"/>
                      <w:sz w:val="21"/>
                      <w:szCs w:val="21"/>
                      <w:vertAlign w:val="superscript"/>
                      <w:lang w:val="en-US" w:eastAsia="zh-CN"/>
                    </w:rPr>
                    <w:t>3</w:t>
                  </w:r>
                </w:p>
              </w:tc>
            </w:tr>
            <w:tr w14:paraId="194CB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2DE810EA">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2A8AF3C3">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5C4A28AD">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A22</w:t>
                  </w:r>
                </w:p>
              </w:tc>
              <w:tc>
                <w:tcPr>
                  <w:tcW w:w="3825" w:type="pct"/>
                  <w:noWrap w:val="0"/>
                  <w:vAlign w:val="center"/>
                </w:tcPr>
                <w:p w14:paraId="02B13008">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A22治理区划分为8个小分区</w:t>
                  </w:r>
                  <w:r>
                    <w:rPr>
                      <w:rFonts w:hint="eastAsia"/>
                      <w:color w:val="auto"/>
                      <w:lang w:eastAsia="zh-CN"/>
                    </w:rPr>
                    <w:t>：</w:t>
                  </w:r>
                </w:p>
                <w:p w14:paraId="628C48AB">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A22-1、A22-3、A22-4、A22-5治理措施为穴播草籽绿化</w:t>
                  </w:r>
                  <w:r>
                    <w:rPr>
                      <w:rFonts w:hint="eastAsia"/>
                      <w:color w:val="auto"/>
                      <w:lang w:eastAsia="zh-CN"/>
                    </w:rPr>
                    <w:t>；</w:t>
                  </w:r>
                </w:p>
                <w:p w14:paraId="32C80EC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A22-2、A22-6、A22-7、A22-8治理措施为场地平整+覆土+穴播草籽绿化+培坡护坡</w:t>
                  </w:r>
                </w:p>
              </w:tc>
            </w:tr>
            <w:tr w14:paraId="514DE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4CA98AD5">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3DE4B5E0">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165AF9A5">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A23</w:t>
                  </w:r>
                </w:p>
              </w:tc>
              <w:tc>
                <w:tcPr>
                  <w:tcW w:w="3825" w:type="pct"/>
                  <w:noWrap w:val="0"/>
                  <w:vAlign w:val="center"/>
                </w:tcPr>
                <w:p w14:paraId="4021F070">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A23治理区划分为1个区，治理措施为穴播草籽绿化</w:t>
                  </w:r>
                </w:p>
              </w:tc>
            </w:tr>
            <w:tr w14:paraId="026EA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2577C027">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47610F5D">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56953D5A">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A24</w:t>
                  </w:r>
                </w:p>
              </w:tc>
              <w:tc>
                <w:tcPr>
                  <w:tcW w:w="3825" w:type="pct"/>
                  <w:noWrap w:val="0"/>
                  <w:vAlign w:val="center"/>
                </w:tcPr>
                <w:p w14:paraId="06AE4068">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A24治理区划分为1个区，治理措施为场地平整+覆土+穴播草籽绿化</w:t>
                  </w:r>
                </w:p>
              </w:tc>
            </w:tr>
            <w:tr w14:paraId="3892E3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07055753">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B51CBA5">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715B3CDF">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A25</w:t>
                  </w:r>
                </w:p>
              </w:tc>
              <w:tc>
                <w:tcPr>
                  <w:tcW w:w="3825" w:type="pct"/>
                  <w:noWrap w:val="0"/>
                  <w:vAlign w:val="center"/>
                </w:tcPr>
                <w:p w14:paraId="21EC5D4D">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A25治理区划分为2个小分区：</w:t>
                  </w:r>
                </w:p>
                <w:p w14:paraId="03C4203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A25-1现状场地平缓，治理措施为穴播草籽绿化；</w:t>
                  </w:r>
                </w:p>
                <w:p w14:paraId="3A4C31AF">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A25-2现状场地开挖不平整，治理措施为场地平整+覆土+穴播草籽绿化</w:t>
                  </w:r>
                </w:p>
              </w:tc>
            </w:tr>
            <w:tr w14:paraId="35406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73224584">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42C2043D">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B4BED9A">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A26</w:t>
                  </w:r>
                </w:p>
              </w:tc>
              <w:tc>
                <w:tcPr>
                  <w:tcW w:w="3825" w:type="pct"/>
                  <w:noWrap w:val="0"/>
                  <w:vAlign w:val="center"/>
                </w:tcPr>
                <w:p w14:paraId="546F7D1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A26治理区划分为2个小分区A26-1现状地形平缓，治理措施为穴播草籽绿化</w:t>
                  </w:r>
                  <w:r>
                    <w:rPr>
                      <w:rFonts w:hint="eastAsia"/>
                      <w:color w:val="auto"/>
                      <w:lang w:eastAsia="zh-CN"/>
                    </w:rPr>
                    <w:t>；</w:t>
                  </w:r>
                </w:p>
                <w:p w14:paraId="53995FEE">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A26-2现状场地开挖不平整，治理措施为场地平整+覆土+穴播草籽绿化</w:t>
                  </w:r>
                </w:p>
              </w:tc>
            </w:tr>
            <w:tr w14:paraId="58623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7DFA15BB">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62C047E2">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DB10055">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A27</w:t>
                  </w:r>
                </w:p>
              </w:tc>
              <w:tc>
                <w:tcPr>
                  <w:tcW w:w="3825" w:type="pct"/>
                  <w:noWrap w:val="0"/>
                  <w:vAlign w:val="center"/>
                </w:tcPr>
                <w:p w14:paraId="0956EEC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A27治理区划分为2个小分区</w:t>
                  </w:r>
                  <w:r>
                    <w:rPr>
                      <w:rFonts w:hint="eastAsia"/>
                      <w:color w:val="auto"/>
                      <w:lang w:eastAsia="zh-CN"/>
                    </w:rPr>
                    <w:t>：</w:t>
                  </w:r>
                </w:p>
                <w:p w14:paraId="67126D1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A27-1治理措施为场地平整+覆土+穴播草籽绿化；</w:t>
                  </w:r>
                </w:p>
                <w:p w14:paraId="785B9E1A">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A27-2治理措施为穴播草籽绿化</w:t>
                  </w:r>
                </w:p>
              </w:tc>
            </w:tr>
            <w:tr w14:paraId="36494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1E5A5C20">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70AC1E3">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15D27C4">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A28</w:t>
                  </w:r>
                </w:p>
              </w:tc>
              <w:tc>
                <w:tcPr>
                  <w:tcW w:w="3825" w:type="pct"/>
                  <w:noWrap w:val="0"/>
                  <w:vAlign w:val="center"/>
                </w:tcPr>
                <w:p w14:paraId="3E31F446">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A28治理区划分为3个小分区</w:t>
                  </w:r>
                </w:p>
                <w:p w14:paraId="1D74F3DA">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A28-1治理措施为穴播草籽绿化</w:t>
                  </w:r>
                  <w:r>
                    <w:rPr>
                      <w:rFonts w:hint="eastAsia"/>
                      <w:color w:val="auto"/>
                      <w:lang w:eastAsia="zh-CN"/>
                    </w:rPr>
                    <w:t>；</w:t>
                  </w:r>
                </w:p>
                <w:p w14:paraId="2ABBC48B">
                  <w:pPr>
                    <w:pStyle w:val="33"/>
                    <w:keepNext w:val="0"/>
                    <w:keepLines w:val="0"/>
                    <w:suppressLineNumbers w:val="0"/>
                    <w:bidi w:val="0"/>
                    <w:spacing w:beforeAutospacing="0" w:afterAutospacing="0"/>
                    <w:ind w:left="0" w:right="0"/>
                    <w:jc w:val="left"/>
                    <w:rPr>
                      <w:rFonts w:hint="default"/>
                      <w:color w:val="auto"/>
                    </w:rPr>
                  </w:pPr>
                  <w:r>
                    <w:rPr>
                      <w:rFonts w:hint="default"/>
                      <w:color w:val="auto"/>
                    </w:rPr>
                    <w:t>A28-2治理措施为场地平整+覆土+穴播草籽绿化；</w:t>
                  </w:r>
                </w:p>
                <w:p w14:paraId="4F4C914E">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A28-3为取土场，取土后进行穴播草籽绿化</w:t>
                  </w:r>
                  <w:r>
                    <w:rPr>
                      <w:rFonts w:hint="eastAsia"/>
                      <w:color w:val="auto"/>
                      <w:lang w:eastAsia="zh-CN"/>
                    </w:rPr>
                    <w:t>，</w:t>
                  </w:r>
                  <w:r>
                    <w:rPr>
                      <w:rFonts w:hint="eastAsia" w:cs="Times New Roman"/>
                      <w:color w:val="auto"/>
                      <w:kern w:val="0"/>
                      <w:sz w:val="21"/>
                      <w:szCs w:val="21"/>
                      <w:lang w:val="en-US" w:eastAsia="zh-CN"/>
                    </w:rPr>
                    <w:t>取土场面积16162.5m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，取土深度0.8m，取土量12930m</w:t>
                  </w:r>
                  <w:r>
                    <w:rPr>
                      <w:rFonts w:hint="eastAsia" w:cs="Times New Roman"/>
                      <w:color w:val="auto"/>
                      <w:kern w:val="0"/>
                      <w:sz w:val="21"/>
                      <w:szCs w:val="21"/>
                      <w:vertAlign w:val="superscript"/>
                      <w:lang w:val="en-US" w:eastAsia="zh-CN"/>
                    </w:rPr>
                    <w:t>3</w:t>
                  </w:r>
                </w:p>
              </w:tc>
            </w:tr>
            <w:tr w14:paraId="4F7B63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440" w:type="pct"/>
                  <w:vMerge w:val="continue"/>
                  <w:noWrap w:val="0"/>
                  <w:vAlign w:val="center"/>
                </w:tcPr>
                <w:p w14:paraId="3BCD6FFC">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1F717773">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250D2A6">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A29</w:t>
                  </w:r>
                </w:p>
              </w:tc>
              <w:tc>
                <w:tcPr>
                  <w:tcW w:w="3825" w:type="pct"/>
                  <w:noWrap w:val="0"/>
                  <w:vAlign w:val="center"/>
                </w:tcPr>
                <w:p w14:paraId="65F419F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A29治理区划分为4个小分区</w:t>
                  </w:r>
                  <w:r>
                    <w:rPr>
                      <w:rFonts w:hint="eastAsia"/>
                      <w:color w:val="auto"/>
                      <w:lang w:eastAsia="zh-CN"/>
                    </w:rPr>
                    <w:t>：</w:t>
                  </w:r>
                </w:p>
                <w:p w14:paraId="60947643">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A29-1治理措施为穴播草籽绿化</w:t>
                  </w:r>
                  <w:r>
                    <w:rPr>
                      <w:rFonts w:hint="eastAsia"/>
                      <w:color w:val="auto"/>
                      <w:lang w:eastAsia="zh-CN"/>
                    </w:rPr>
                    <w:t>；</w:t>
                  </w:r>
                </w:p>
                <w:p w14:paraId="6D53232C">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A29-2治理措施为场地平整+覆土+穴播草籽绿化+采坑回填；A29-3、A29-4现状为采坑，回填之后进行穴播草籽绿化；</w:t>
                  </w:r>
                  <w:r>
                    <w:rPr>
                      <w:rFonts w:hint="default" w:ascii="Times New Roman" w:hAnsi="Times New Roman" w:cs="Times New Roman"/>
                      <w:color w:val="auto"/>
                      <w:kern w:val="0"/>
                      <w:sz w:val="21"/>
                      <w:szCs w:val="21"/>
                    </w:rPr>
                    <w:t>采坑1平面面积为1185m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,最大深度为3.0m，容积为2440.61m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；采坑2平面面积为366m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,最大深度为2.5m，容积为664.68m</w:t>
                  </w:r>
                  <w:r>
                    <w:rPr>
                      <w:rFonts w:hint="default" w:ascii="Times New Roman" w:hAnsi="Times New Roman" w:cs="Times New Roman"/>
                      <w:color w:val="auto"/>
                      <w:kern w:val="0"/>
                      <w:sz w:val="21"/>
                      <w:szCs w:val="21"/>
                      <w:vertAlign w:val="superscript"/>
                    </w:rPr>
                    <w:t>3</w:t>
                  </w:r>
                  <w:r>
                    <w:rPr>
                      <w:rFonts w:hint="eastAsia" w:ascii="Times New Roman" w:hAnsi="Times New Roman" w:cs="Times New Roman"/>
                      <w:color w:val="auto"/>
                      <w:kern w:val="0"/>
                      <w:sz w:val="21"/>
                      <w:szCs w:val="21"/>
                      <w:vertAlign w:val="baseline"/>
                      <w:lang w:eastAsia="zh-CN"/>
                    </w:rPr>
                    <w:t>；</w:t>
                  </w:r>
                </w:p>
                <w:p w14:paraId="665C77C4">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A29-5为取土场，取土后进行穴播草籽绿化</w:t>
                  </w:r>
                  <w:r>
                    <w:rPr>
                      <w:rFonts w:hint="eastAsia"/>
                      <w:color w:val="auto"/>
                      <w:lang w:eastAsia="zh-CN"/>
                    </w:rPr>
                    <w:t>，</w:t>
                  </w:r>
                  <w:r>
                    <w:rPr>
                      <w:rFonts w:hint="eastAsia" w:cs="Times New Roman"/>
                      <w:color w:val="auto"/>
                      <w:kern w:val="0"/>
                      <w:sz w:val="21"/>
                      <w:szCs w:val="21"/>
                      <w:lang w:val="en-US" w:eastAsia="zh-CN"/>
                    </w:rPr>
                    <w:t>取土场面积10266.3m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，取土深度0.8m，取土量8213m</w:t>
                  </w:r>
                  <w:r>
                    <w:rPr>
                      <w:rFonts w:hint="eastAsia" w:cs="Times New Roman"/>
                      <w:color w:val="auto"/>
                      <w:kern w:val="0"/>
                      <w:sz w:val="21"/>
                      <w:szCs w:val="21"/>
                      <w:vertAlign w:val="superscript"/>
                      <w:lang w:val="en-US" w:eastAsia="zh-CN"/>
                    </w:rPr>
                    <w:t>3</w:t>
                  </w:r>
                </w:p>
              </w:tc>
            </w:tr>
            <w:tr w14:paraId="54FA7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440" w:type="pct"/>
                  <w:vMerge w:val="continue"/>
                  <w:noWrap w:val="0"/>
                  <w:vAlign w:val="center"/>
                </w:tcPr>
                <w:p w14:paraId="054938DF">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0374D59C">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38675F45">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A30</w:t>
                  </w:r>
                </w:p>
              </w:tc>
              <w:tc>
                <w:tcPr>
                  <w:tcW w:w="3825" w:type="pct"/>
                  <w:noWrap w:val="0"/>
                  <w:vAlign w:val="center"/>
                </w:tcPr>
                <w:p w14:paraId="5115A8FC">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A30治理区划分为3个小分区</w:t>
                  </w:r>
                  <w:r>
                    <w:rPr>
                      <w:rFonts w:hint="eastAsia"/>
                      <w:color w:val="auto"/>
                      <w:lang w:eastAsia="zh-CN"/>
                    </w:rPr>
                    <w:t>：</w:t>
                  </w:r>
                </w:p>
                <w:p w14:paraId="248866A4">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A30-1、A30-2、A30-3治理措施为场地平整+覆土+穴播草籽绿化</w:t>
                  </w:r>
                </w:p>
              </w:tc>
            </w:tr>
            <w:tr w14:paraId="6D5FE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0" w:type="pct"/>
                  <w:vMerge w:val="continue"/>
                  <w:noWrap w:val="0"/>
                  <w:vAlign w:val="center"/>
                </w:tcPr>
                <w:p w14:paraId="4CA37AFC">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0881937F">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226856CE">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A31</w:t>
                  </w:r>
                </w:p>
              </w:tc>
              <w:tc>
                <w:tcPr>
                  <w:tcW w:w="3825" w:type="pct"/>
                  <w:noWrap w:val="0"/>
                  <w:vAlign w:val="center"/>
                </w:tcPr>
                <w:p w14:paraId="17D0A967">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A31治理区划分为4个小分区</w:t>
                  </w:r>
                  <w:r>
                    <w:rPr>
                      <w:rFonts w:hint="eastAsia"/>
                      <w:color w:val="auto"/>
                      <w:lang w:eastAsia="zh-CN"/>
                    </w:rPr>
                    <w:t>：</w:t>
                  </w:r>
                </w:p>
                <w:p w14:paraId="3AFF8DE3">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A31-1、A31-2治理措施为场地平整+覆土+穴播草籽绿化；</w:t>
                  </w:r>
                </w:p>
                <w:p w14:paraId="78F32384">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A31-3治理措施为穴播草籽绿化；</w:t>
                  </w:r>
                </w:p>
                <w:p w14:paraId="6CDD9CB7">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A31-4现状为采坑，回填后穴播草籽绿化</w:t>
                  </w:r>
                  <w:r>
                    <w:rPr>
                      <w:rFonts w:hint="eastAsia"/>
                      <w:color w:val="auto"/>
                      <w:lang w:eastAsia="zh-CN"/>
                    </w:rPr>
                    <w:t>，</w:t>
                  </w:r>
                  <w:r>
                    <w:rPr>
                      <w:rFonts w:hint="default" w:ascii="Times New Roman" w:hAnsi="Times New Roman" w:cs="Times New Roman"/>
                      <w:color w:val="auto"/>
                      <w:kern w:val="0"/>
                      <w:sz w:val="21"/>
                      <w:szCs w:val="21"/>
                    </w:rPr>
                    <w:t>采坑平面面积为1293m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,最大深度为5.0m，容积为3472.35m</w:t>
                  </w:r>
                  <w:r>
                    <w:rPr>
                      <w:rFonts w:hint="default" w:ascii="Times New Roman" w:hAnsi="Times New Roman" w:cs="Times New Roman"/>
                      <w:color w:val="auto"/>
                      <w:kern w:val="0"/>
                      <w:sz w:val="21"/>
                      <w:szCs w:val="21"/>
                      <w:vertAlign w:val="superscript"/>
                    </w:rPr>
                    <w:t>3</w:t>
                  </w:r>
                </w:p>
              </w:tc>
            </w:tr>
            <w:tr w14:paraId="3F4031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0" w:type="pct"/>
                  <w:vMerge w:val="continue"/>
                  <w:noWrap w:val="0"/>
                  <w:vAlign w:val="center"/>
                </w:tcPr>
                <w:p w14:paraId="75D619D8">
                  <w:pPr>
                    <w:pStyle w:val="33"/>
                    <w:keepNext w:val="0"/>
                    <w:keepLines w:val="0"/>
                    <w:suppressLineNumbers w:val="0"/>
                    <w:bidi w:val="0"/>
                    <w:spacing w:beforeAutospacing="0" w:afterAutospacing="0"/>
                    <w:ind w:left="0" w:right="0"/>
                    <w:jc w:val="left"/>
                    <w:rPr>
                      <w:rFonts w:hint="default"/>
                      <w:color w:val="auto"/>
                    </w:rPr>
                  </w:pPr>
                </w:p>
              </w:tc>
              <w:tc>
                <w:tcPr>
                  <w:tcW w:w="247" w:type="pct"/>
                  <w:vMerge w:val="continue"/>
                  <w:shd w:val="clear" w:color="auto" w:fill="auto"/>
                  <w:noWrap w:val="0"/>
                  <w:vAlign w:val="center"/>
                </w:tcPr>
                <w:p w14:paraId="360611FB">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3DFF63FC">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A32</w:t>
                  </w:r>
                </w:p>
              </w:tc>
              <w:tc>
                <w:tcPr>
                  <w:tcW w:w="3825" w:type="pct"/>
                  <w:noWrap w:val="0"/>
                  <w:vAlign w:val="center"/>
                </w:tcPr>
                <w:p w14:paraId="5BB1D22B">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A32治理区划分为5个小分区</w:t>
                  </w:r>
                  <w:r>
                    <w:rPr>
                      <w:rFonts w:hint="eastAsia"/>
                      <w:color w:val="auto"/>
                      <w:lang w:eastAsia="zh-CN"/>
                    </w:rPr>
                    <w:t>：</w:t>
                  </w:r>
                </w:p>
                <w:p w14:paraId="4FD89D8D">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A32-1现状地形平缓，治理措施为穴播草籽绿化；</w:t>
                  </w:r>
                </w:p>
                <w:p w14:paraId="10D01ED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A32-2现状为开挖形成的陡坎，堆放矿渣，</w:t>
                  </w:r>
                  <w:r>
                    <w:rPr>
                      <w:rFonts w:hint="eastAsia"/>
                      <w:color w:val="auto"/>
                      <w:lang w:val="en-US" w:eastAsia="zh-CN"/>
                    </w:rPr>
                    <w:t>矿渣回填于</w:t>
                  </w:r>
                  <w:r>
                    <w:rPr>
                      <w:rFonts w:hint="default"/>
                      <w:color w:val="auto"/>
                    </w:rPr>
                    <w:t>陡坎</w:t>
                  </w:r>
                  <w:r>
                    <w:rPr>
                      <w:rFonts w:hint="eastAsia"/>
                      <w:color w:val="auto"/>
                      <w:lang w:eastAsia="zh-CN"/>
                    </w:rPr>
                    <w:t>，</w:t>
                  </w:r>
                  <w:r>
                    <w:rPr>
                      <w:rFonts w:hint="default"/>
                      <w:color w:val="auto"/>
                    </w:rPr>
                    <w:t>治理措施为场地平整+覆土+穴播草籽绿化；</w:t>
                  </w:r>
                </w:p>
                <w:p w14:paraId="4421139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A32-3现状为道路、房屋和渠道</w:t>
                  </w:r>
                  <w:r>
                    <w:rPr>
                      <w:rFonts w:hint="eastAsia"/>
                      <w:color w:val="auto"/>
                      <w:lang w:eastAsia="zh-CN"/>
                    </w:rPr>
                    <w:t>，</w:t>
                  </w:r>
                  <w:r>
                    <w:rPr>
                      <w:rFonts w:hint="eastAsia" w:cs="Times New Roman"/>
                      <w:color w:val="auto"/>
                      <w:lang w:val="en-US" w:eastAsia="zh-CN"/>
                    </w:rPr>
                    <w:t>本次保持现状</w:t>
                  </w:r>
                  <w:r>
                    <w:rPr>
                      <w:rFonts w:hint="default"/>
                      <w:color w:val="auto"/>
                    </w:rPr>
                    <w:t>；</w:t>
                  </w:r>
                </w:p>
                <w:p w14:paraId="43C5F146">
                  <w:pPr>
                    <w:pStyle w:val="33"/>
                    <w:keepNext w:val="0"/>
                    <w:keepLines w:val="0"/>
                    <w:suppressLineNumbers w:val="0"/>
                    <w:bidi w:val="0"/>
                    <w:spacing w:beforeAutospacing="0" w:afterAutospacing="0"/>
                    <w:ind w:left="0" w:right="0"/>
                    <w:jc w:val="left"/>
                    <w:rPr>
                      <w:rFonts w:hint="default" w:eastAsia="宋体"/>
                      <w:color w:val="auto"/>
                      <w:lang w:val="en-US" w:eastAsia="zh-CN"/>
                    </w:rPr>
                  </w:pPr>
                  <w:r>
                    <w:rPr>
                      <w:rFonts w:hint="default"/>
                      <w:color w:val="auto"/>
                    </w:rPr>
                    <w:t>A32-4现状为长城遗址保护区</w:t>
                  </w:r>
                  <w:r>
                    <w:rPr>
                      <w:rFonts w:hint="eastAsia"/>
                      <w:color w:val="auto"/>
                      <w:lang w:eastAsia="zh-CN"/>
                    </w:rPr>
                    <w:t>，</w:t>
                  </w:r>
                  <w:r>
                    <w:rPr>
                      <w:rFonts w:hint="eastAsia"/>
                      <w:color w:val="auto"/>
                      <w:lang w:val="en-US" w:eastAsia="zh-CN"/>
                    </w:rPr>
                    <w:t>周边设置围栏</w:t>
                  </w:r>
                  <w:r>
                    <w:rPr>
                      <w:rFonts w:hint="default"/>
                      <w:color w:val="auto"/>
                    </w:rPr>
                    <w:t>；A32-5现状复垦为耕地</w:t>
                  </w:r>
                  <w:r>
                    <w:rPr>
                      <w:rFonts w:hint="eastAsia"/>
                      <w:color w:val="auto"/>
                      <w:lang w:eastAsia="zh-CN"/>
                    </w:rPr>
                    <w:t>，</w:t>
                  </w:r>
                  <w:r>
                    <w:rPr>
                      <w:rFonts w:hint="eastAsia"/>
                      <w:color w:val="auto"/>
                      <w:lang w:val="en-US" w:eastAsia="zh-CN"/>
                    </w:rPr>
                    <w:t>保持现状</w:t>
                  </w:r>
                </w:p>
              </w:tc>
            </w:tr>
            <w:tr w14:paraId="0B09A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0" w:type="pct"/>
                  <w:vMerge w:val="continue"/>
                  <w:noWrap w:val="0"/>
                  <w:vAlign w:val="center"/>
                </w:tcPr>
                <w:p w14:paraId="3832F4A8">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7EAB29E8">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682E7DC6">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A33</w:t>
                  </w:r>
                </w:p>
              </w:tc>
              <w:tc>
                <w:tcPr>
                  <w:tcW w:w="3825" w:type="pct"/>
                  <w:noWrap w:val="0"/>
                  <w:vAlign w:val="center"/>
                </w:tcPr>
                <w:p w14:paraId="37E0209D">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A33治理区划分为4个小分区</w:t>
                  </w:r>
                  <w:r>
                    <w:rPr>
                      <w:rFonts w:hint="eastAsia"/>
                      <w:color w:val="auto"/>
                      <w:lang w:eastAsia="zh-CN"/>
                    </w:rPr>
                    <w:t>：</w:t>
                  </w:r>
                </w:p>
                <w:p w14:paraId="2C5001A0">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A33-1、A33-3治理措施为场地平整+覆土+穴播草籽绿化+培坡护坡；A33-2治理措施为穴播草籽绿化</w:t>
                  </w:r>
                  <w:r>
                    <w:rPr>
                      <w:rFonts w:hint="eastAsia"/>
                      <w:color w:val="auto"/>
                      <w:lang w:eastAsia="zh-CN"/>
                    </w:rPr>
                    <w:t>；</w:t>
                  </w:r>
                </w:p>
                <w:p w14:paraId="1B294354">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A33-4为取土场，取土之后进行穴播草籽绿化</w:t>
                  </w:r>
                  <w:r>
                    <w:rPr>
                      <w:rFonts w:hint="eastAsia"/>
                      <w:color w:val="auto"/>
                      <w:lang w:eastAsia="zh-CN"/>
                    </w:rPr>
                    <w:t>，</w:t>
                  </w:r>
                  <w:r>
                    <w:rPr>
                      <w:rFonts w:hint="eastAsia" w:cs="Times New Roman"/>
                      <w:color w:val="auto"/>
                      <w:kern w:val="0"/>
                      <w:sz w:val="21"/>
                      <w:szCs w:val="21"/>
                      <w:lang w:val="en-US" w:eastAsia="zh-CN"/>
                    </w:rPr>
                    <w:t>取土场面积17473.8m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，取土深度0.8m，取土量13979m</w:t>
                  </w:r>
                  <w:r>
                    <w:rPr>
                      <w:rFonts w:hint="eastAsia" w:cs="Times New Roman"/>
                      <w:color w:val="auto"/>
                      <w:kern w:val="0"/>
                      <w:sz w:val="21"/>
                      <w:szCs w:val="21"/>
                      <w:vertAlign w:val="superscript"/>
                      <w:lang w:val="en-US" w:eastAsia="zh-CN"/>
                    </w:rPr>
                    <w:t>3</w:t>
                  </w:r>
                </w:p>
              </w:tc>
            </w:tr>
            <w:tr w14:paraId="69FE8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0" w:type="pct"/>
                  <w:vMerge w:val="continue"/>
                  <w:noWrap w:val="0"/>
                  <w:vAlign w:val="center"/>
                </w:tcPr>
                <w:p w14:paraId="672BE443">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12D4516F">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431DAA6B">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A34</w:t>
                  </w:r>
                </w:p>
              </w:tc>
              <w:tc>
                <w:tcPr>
                  <w:tcW w:w="3825" w:type="pct"/>
                  <w:noWrap w:val="0"/>
                  <w:vAlign w:val="center"/>
                </w:tcPr>
                <w:p w14:paraId="1819C083">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A34治理区划分为3个小分区：</w:t>
                  </w:r>
                </w:p>
                <w:p w14:paraId="2EFB2E9E">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A34-1</w:t>
                  </w:r>
                  <w:r>
                    <w:rPr>
                      <w:rFonts w:hint="default"/>
                      <w:color w:val="auto"/>
                      <w:lang w:val="zh-CN"/>
                    </w:rPr>
                    <w:t>、</w:t>
                  </w:r>
                  <w:r>
                    <w:rPr>
                      <w:rFonts w:hint="default"/>
                      <w:color w:val="auto"/>
                    </w:rPr>
                    <w:t>A34-3</w:t>
                  </w:r>
                  <w:r>
                    <w:rPr>
                      <w:rFonts w:hint="default"/>
                      <w:color w:val="auto"/>
                      <w:lang w:val="zh-CN"/>
                    </w:rPr>
                    <w:t>治理措施为场地平整</w:t>
                  </w:r>
                  <w:r>
                    <w:rPr>
                      <w:rFonts w:hint="default"/>
                      <w:color w:val="auto"/>
                    </w:rPr>
                    <w:t>+</w:t>
                  </w:r>
                  <w:r>
                    <w:rPr>
                      <w:rFonts w:hint="default"/>
                      <w:color w:val="auto"/>
                      <w:lang w:val="zh-CN"/>
                    </w:rPr>
                    <w:t>覆土</w:t>
                  </w:r>
                  <w:r>
                    <w:rPr>
                      <w:rFonts w:hint="default"/>
                      <w:color w:val="auto"/>
                    </w:rPr>
                    <w:t>+</w:t>
                  </w:r>
                  <w:r>
                    <w:rPr>
                      <w:rFonts w:hint="default"/>
                      <w:color w:val="auto"/>
                      <w:lang w:val="zh-CN"/>
                    </w:rPr>
                    <w:t>穴播草籽绿化</w:t>
                  </w:r>
                  <w:r>
                    <w:rPr>
                      <w:rFonts w:hint="default"/>
                      <w:color w:val="auto"/>
                    </w:rPr>
                    <w:t>；</w:t>
                  </w:r>
                </w:p>
                <w:p w14:paraId="590E7740">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A34-2</w:t>
                  </w:r>
                  <w:r>
                    <w:rPr>
                      <w:rFonts w:hint="default"/>
                      <w:color w:val="auto"/>
                      <w:lang w:val="zh-CN"/>
                    </w:rPr>
                    <w:t>现状为水塘</w:t>
                  </w:r>
                  <w:r>
                    <w:rPr>
                      <w:rFonts w:hint="default"/>
                      <w:color w:val="auto"/>
                    </w:rPr>
                    <w:t>，</w:t>
                  </w:r>
                  <w:r>
                    <w:rPr>
                      <w:rFonts w:hint="default"/>
                      <w:color w:val="auto"/>
                      <w:lang w:val="zh-CN"/>
                    </w:rPr>
                    <w:t>常年有水</w:t>
                  </w:r>
                </w:p>
              </w:tc>
            </w:tr>
            <w:tr w14:paraId="2A193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40" w:type="pct"/>
                  <w:vMerge w:val="continue"/>
                  <w:noWrap w:val="0"/>
                  <w:vAlign w:val="center"/>
                </w:tcPr>
                <w:p w14:paraId="114B8518">
                  <w:pPr>
                    <w:pStyle w:val="33"/>
                    <w:keepNext w:val="0"/>
                    <w:keepLines w:val="0"/>
                    <w:suppressLineNumbers w:val="0"/>
                    <w:bidi w:val="0"/>
                    <w:spacing w:beforeAutospacing="0" w:afterAutospacing="0"/>
                    <w:ind w:left="0" w:right="0"/>
                    <w:jc w:val="left"/>
                    <w:rPr>
                      <w:rFonts w:hint="default" w:cs="Times New Roman"/>
                      <w:color w:val="auto"/>
                    </w:rPr>
                  </w:pPr>
                </w:p>
              </w:tc>
              <w:tc>
                <w:tcPr>
                  <w:tcW w:w="247" w:type="pct"/>
                  <w:vMerge w:val="continue"/>
                  <w:shd w:val="clear" w:color="auto" w:fill="auto"/>
                  <w:noWrap w:val="0"/>
                  <w:vAlign w:val="center"/>
                </w:tcPr>
                <w:p w14:paraId="5F9005A6">
                  <w:pPr>
                    <w:pStyle w:val="33"/>
                    <w:keepNext w:val="0"/>
                    <w:keepLines w:val="0"/>
                    <w:suppressLineNumbers w:val="0"/>
                    <w:bidi w:val="0"/>
                    <w:spacing w:beforeAutospacing="0" w:afterAutospacing="0"/>
                    <w:ind w:left="0" w:right="0"/>
                    <w:jc w:val="center"/>
                    <w:rPr>
                      <w:rFonts w:hint="default"/>
                      <w:color w:val="auto"/>
                      <w:lang w:val="en-US" w:eastAsia="zh-CN"/>
                    </w:rPr>
                  </w:pPr>
                </w:p>
              </w:tc>
              <w:tc>
                <w:tcPr>
                  <w:tcW w:w="486" w:type="pct"/>
                  <w:shd w:val="clear" w:color="auto" w:fill="auto"/>
                  <w:noWrap w:val="0"/>
                  <w:vAlign w:val="center"/>
                </w:tcPr>
                <w:p w14:paraId="2CB91CA3">
                  <w:pPr>
                    <w:pStyle w:val="33"/>
                    <w:keepNext w:val="0"/>
                    <w:keepLines w:val="0"/>
                    <w:suppressLineNumbers w:val="0"/>
                    <w:bidi w:val="0"/>
                    <w:spacing w:beforeAutospacing="0" w:afterAutospacing="0"/>
                    <w:ind w:left="0" w:right="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color w:val="auto"/>
                      <w:lang w:val="en-US" w:eastAsia="zh-CN"/>
                    </w:rPr>
                    <w:t>A35</w:t>
                  </w:r>
                </w:p>
              </w:tc>
              <w:tc>
                <w:tcPr>
                  <w:tcW w:w="3825" w:type="pct"/>
                  <w:noWrap w:val="0"/>
                  <w:vAlign w:val="center"/>
                </w:tcPr>
                <w:p w14:paraId="450220EF">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default"/>
                      <w:color w:val="auto"/>
                    </w:rPr>
                    <w:t>A35治理区划分为1个小分区</w:t>
                  </w:r>
                  <w:r>
                    <w:rPr>
                      <w:rFonts w:hint="eastAsia"/>
                      <w:color w:val="auto"/>
                      <w:lang w:eastAsia="zh-CN"/>
                    </w:rPr>
                    <w:t>：</w:t>
                  </w:r>
                </w:p>
                <w:p w14:paraId="62BF3582">
                  <w:pPr>
                    <w:pStyle w:val="33"/>
                    <w:keepNext w:val="0"/>
                    <w:keepLines w:val="0"/>
                    <w:suppressLineNumbers w:val="0"/>
                    <w:bidi w:val="0"/>
                    <w:spacing w:beforeAutospacing="0" w:afterAutospacing="0"/>
                    <w:ind w:left="0" w:right="0"/>
                    <w:jc w:val="left"/>
                    <w:rPr>
                      <w:rFonts w:hint="default"/>
                      <w:color w:val="auto"/>
                    </w:rPr>
                  </w:pPr>
                  <w:r>
                    <w:rPr>
                      <w:rFonts w:hint="default"/>
                      <w:color w:val="auto"/>
                    </w:rPr>
                    <w:t>A35-1治理措施为场地平整+覆土+穴播草籽绿化</w:t>
                  </w:r>
                </w:p>
              </w:tc>
            </w:tr>
            <w:tr w14:paraId="54EEF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restart"/>
                  <w:noWrap w:val="0"/>
                  <w:vAlign w:val="center"/>
                </w:tcPr>
                <w:p w14:paraId="5DAB28D0">
                  <w:pPr>
                    <w:pStyle w:val="33"/>
                    <w:keepNext w:val="0"/>
                    <w:keepLines w:val="0"/>
                    <w:suppressLineNumbers w:val="0"/>
                    <w:bidi w:val="0"/>
                    <w:spacing w:beforeAutospacing="0" w:afterAutospacing="0"/>
                    <w:ind w:left="0" w:right="0"/>
                    <w:jc w:val="center"/>
                    <w:rPr>
                      <w:rFonts w:hint="eastAsia" w:cs="Times New Roman"/>
                      <w:b/>
                      <w:bCs/>
                      <w:color w:val="auto"/>
                    </w:rPr>
                  </w:pPr>
                  <w:r>
                    <w:rPr>
                      <w:rFonts w:hint="eastAsia"/>
                      <w:b/>
                      <w:bCs/>
                      <w:color w:val="auto"/>
                      <w:lang w:val="en-US" w:eastAsia="zh-CN"/>
                    </w:rPr>
                    <w:t>辅助工程</w:t>
                  </w:r>
                </w:p>
              </w:tc>
              <w:tc>
                <w:tcPr>
                  <w:tcW w:w="733" w:type="pct"/>
                  <w:gridSpan w:val="2"/>
                  <w:noWrap w:val="0"/>
                  <w:vAlign w:val="center"/>
                </w:tcPr>
                <w:p w14:paraId="46D05A19">
                  <w:pPr>
                    <w:pStyle w:val="33"/>
                    <w:keepNext w:val="0"/>
                    <w:keepLines w:val="0"/>
                    <w:suppressLineNumbers w:val="0"/>
                    <w:bidi w:val="0"/>
                    <w:spacing w:beforeAutospacing="0" w:afterAutospacing="0"/>
                    <w:ind w:left="0" w:right="0"/>
                    <w:jc w:val="center"/>
                    <w:rPr>
                      <w:rFonts w:hint="default" w:cs="Times New Roman"/>
                      <w:color w:val="auto"/>
                      <w:highlight w:val="none"/>
                    </w:rPr>
                  </w:pPr>
                  <w:r>
                    <w:rPr>
                      <w:rFonts w:hint="default" w:cs="Times New Roman"/>
                      <w:color w:val="auto"/>
                    </w:rPr>
                    <w:t>宣传牌工程</w:t>
                  </w:r>
                </w:p>
              </w:tc>
              <w:tc>
                <w:tcPr>
                  <w:tcW w:w="3825" w:type="pct"/>
                  <w:noWrap w:val="0"/>
                  <w:vAlign w:val="center"/>
                </w:tcPr>
                <w:p w14:paraId="6B712FE0">
                  <w:pPr>
                    <w:pStyle w:val="33"/>
                    <w:keepNext w:val="0"/>
                    <w:keepLines w:val="0"/>
                    <w:suppressLineNumbers w:val="0"/>
                    <w:bidi w:val="0"/>
                    <w:spacing w:beforeAutospacing="0" w:afterAutospacing="0"/>
                    <w:ind w:left="0" w:right="0"/>
                    <w:jc w:val="left"/>
                    <w:rPr>
                      <w:rStyle w:val="34"/>
                      <w:rFonts w:hint="eastAsia" w:cs="Times New Roman"/>
                      <w:color w:val="auto"/>
                      <w:highlight w:val="none"/>
                    </w:rPr>
                  </w:pPr>
                  <w:r>
                    <w:rPr>
                      <w:rFonts w:hint="default" w:cs="Times New Roman"/>
                      <w:color w:val="auto"/>
                    </w:rPr>
                    <w:t>在每个治理区周围靠近道路等处布设生态修复宣传牌</w:t>
                  </w:r>
                  <w:r>
                    <w:rPr>
                      <w:rFonts w:hint="default" w:ascii="Times New Roman" w:hAnsi="Times New Roman" w:eastAsia="Times New Roman" w:cs="Times New Roman"/>
                      <w:color w:val="auto"/>
                    </w:rPr>
                    <w:t>1</w:t>
                  </w:r>
                  <w:r>
                    <w:rPr>
                      <w:rFonts w:hint="default" w:cs="Times New Roman"/>
                      <w:color w:val="auto"/>
                    </w:rPr>
                    <w:t>处，以起到宣传、警示</w:t>
                  </w:r>
                  <w:r>
                    <w:rPr>
                      <w:rFonts w:hint="default" w:cs="Times New Roman"/>
                      <w:color w:val="auto"/>
                      <w:spacing w:val="3"/>
                    </w:rPr>
                    <w:t>作用。宣传牌尺寸为</w:t>
                  </w:r>
                  <w:r>
                    <w:rPr>
                      <w:rFonts w:hint="default" w:ascii="Times New Roman" w:hAnsi="Times New Roman" w:eastAsia="Times New Roman" w:cs="Times New Roman"/>
                      <w:color w:val="auto"/>
                    </w:rPr>
                    <w:t>5000mm</w:t>
                  </w:r>
                  <w:r>
                    <w:rPr>
                      <w:rFonts w:hint="default" w:cs="Times New Roman"/>
                      <w:color w:val="auto"/>
                    </w:rPr>
                    <w:t>×</w:t>
                  </w:r>
                  <w:r>
                    <w:rPr>
                      <w:rFonts w:hint="default" w:ascii="Times New Roman" w:hAnsi="Times New Roman" w:eastAsia="Times New Roman" w:cs="Times New Roman"/>
                      <w:color w:val="auto"/>
                    </w:rPr>
                    <w:t>3000mm</w:t>
                  </w:r>
                  <w:r>
                    <w:rPr>
                      <w:rFonts w:hint="default" w:cs="Times New Roman"/>
                      <w:color w:val="auto"/>
                    </w:rPr>
                    <w:t>，支撑采用双立柱，埋地深</w:t>
                  </w:r>
                  <w:r>
                    <w:rPr>
                      <w:rFonts w:hint="default" w:ascii="Times New Roman" w:hAnsi="Times New Roman" w:eastAsia="Times New Roman" w:cs="Times New Roman"/>
                      <w:color w:val="auto"/>
                    </w:rPr>
                    <w:t>800mm</w:t>
                  </w:r>
                </w:p>
              </w:tc>
            </w:tr>
            <w:tr w14:paraId="0B6A9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0"/>
                  <w:vAlign w:val="center"/>
                </w:tcPr>
                <w:p w14:paraId="1A65F843">
                  <w:pPr>
                    <w:pStyle w:val="33"/>
                    <w:keepNext w:val="0"/>
                    <w:keepLines w:val="0"/>
                    <w:suppressLineNumbers w:val="0"/>
                    <w:bidi w:val="0"/>
                    <w:spacing w:beforeAutospacing="0" w:afterAutospacing="0"/>
                    <w:ind w:left="0" w:right="0"/>
                    <w:jc w:val="center"/>
                    <w:rPr>
                      <w:rFonts w:hint="eastAsia" w:cs="Times New Roman"/>
                      <w:b/>
                      <w:bCs/>
                      <w:color w:val="auto"/>
                    </w:rPr>
                  </w:pPr>
                </w:p>
              </w:tc>
              <w:tc>
                <w:tcPr>
                  <w:tcW w:w="733" w:type="pct"/>
                  <w:gridSpan w:val="2"/>
                  <w:noWrap w:val="0"/>
                  <w:vAlign w:val="center"/>
                </w:tcPr>
                <w:p w14:paraId="35E63DD3">
                  <w:pPr>
                    <w:pStyle w:val="33"/>
                    <w:keepNext w:val="0"/>
                    <w:keepLines w:val="0"/>
                    <w:suppressLineNumbers w:val="0"/>
                    <w:bidi w:val="0"/>
                    <w:spacing w:beforeAutospacing="0" w:afterAutospacing="0"/>
                    <w:ind w:left="0" w:right="0"/>
                    <w:jc w:val="left"/>
                    <w:rPr>
                      <w:rFonts w:hint="default" w:cs="Times New Roman"/>
                      <w:color w:val="auto"/>
                      <w:highlight w:val="none"/>
                    </w:rPr>
                  </w:pPr>
                  <w:r>
                    <w:rPr>
                      <w:rFonts w:hint="default" w:cs="Times New Roman"/>
                      <w:color w:val="auto"/>
                    </w:rPr>
                    <w:t>围栏工程</w:t>
                  </w:r>
                </w:p>
              </w:tc>
              <w:tc>
                <w:tcPr>
                  <w:tcW w:w="3825" w:type="pct"/>
                  <w:noWrap w:val="0"/>
                  <w:vAlign w:val="center"/>
                </w:tcPr>
                <w:p w14:paraId="2B2095A2">
                  <w:pPr>
                    <w:pStyle w:val="33"/>
                    <w:keepNext w:val="0"/>
                    <w:keepLines w:val="0"/>
                    <w:suppressLineNumbers w:val="0"/>
                    <w:bidi w:val="0"/>
                    <w:spacing w:beforeAutospacing="0" w:afterAutospacing="0"/>
                    <w:ind w:left="0" w:right="0"/>
                    <w:jc w:val="left"/>
                    <w:rPr>
                      <w:rStyle w:val="34"/>
                      <w:rFonts w:hint="default" w:eastAsia="宋体" w:cs="Times New Roman"/>
                      <w:color w:val="auto"/>
                      <w:highlight w:val="none"/>
                      <w:lang w:val="en-US" w:eastAsia="zh-CN"/>
                    </w:rPr>
                  </w:pPr>
                  <w:r>
                    <w:rPr>
                      <w:rFonts w:hint="default" w:ascii="Times New Roman" w:hAnsi="Times New Roman" w:eastAsia="Times New Roman" w:cs="Times New Roman"/>
                      <w:color w:val="auto"/>
                    </w:rPr>
                    <w:t>A1</w:t>
                  </w:r>
                  <w:r>
                    <w:rPr>
                      <w:rFonts w:hint="default" w:cs="Times New Roman"/>
                      <w:color w:val="auto"/>
                    </w:rPr>
                    <w:t>治理区有</w:t>
                  </w:r>
                  <w:r>
                    <w:rPr>
                      <w:rFonts w:hint="default" w:ascii="Times New Roman" w:hAnsi="Times New Roman" w:eastAsia="Times New Roman" w:cs="Times New Roman"/>
                      <w:color w:val="auto"/>
                    </w:rPr>
                    <w:t>1</w:t>
                  </w:r>
                  <w:r>
                    <w:rPr>
                      <w:rFonts w:hint="default" w:cs="Times New Roman"/>
                      <w:color w:val="auto"/>
                    </w:rPr>
                    <w:t>处水塘，</w:t>
                  </w:r>
                  <w:r>
                    <w:rPr>
                      <w:rFonts w:hint="eastAsia"/>
                      <w:color w:val="auto"/>
                      <w:lang w:val="en-US" w:eastAsia="zh-CN"/>
                    </w:rPr>
                    <w:t>主要用于周边植物灌溉和动物饮用，</w:t>
                  </w:r>
                  <w:r>
                    <w:rPr>
                      <w:rFonts w:hint="default" w:cs="Times New Roman"/>
                      <w:color w:val="auto"/>
                    </w:rPr>
                    <w:t>为保护附近居民生命安全，因此在该治理区设置围栏工程</w:t>
                  </w:r>
                  <w:r>
                    <w:rPr>
                      <w:rFonts w:hint="eastAsia" w:cs="Times New Roman"/>
                      <w:color w:val="auto"/>
                      <w:lang w:eastAsia="zh-CN"/>
                    </w:rPr>
                    <w:t>，</w:t>
                  </w:r>
                  <w:r>
                    <w:rPr>
                      <w:rFonts w:hint="eastAsia" w:cs="Times New Roman"/>
                      <w:color w:val="auto"/>
                      <w:lang w:val="en-US" w:eastAsia="zh-CN"/>
                    </w:rPr>
                    <w:t>A34</w:t>
                  </w:r>
                  <w:r>
                    <w:rPr>
                      <w:rFonts w:hint="default" w:cs="Times New Roman"/>
                      <w:color w:val="auto"/>
                    </w:rPr>
                    <w:t>治理区</w:t>
                  </w:r>
                  <w:r>
                    <w:rPr>
                      <w:rFonts w:hint="eastAsia" w:cs="Times New Roman"/>
                      <w:color w:val="auto"/>
                      <w:lang w:val="en-US" w:eastAsia="zh-CN"/>
                    </w:rPr>
                    <w:t>1处水塘原本有设置围栏，本次保持现状</w:t>
                  </w:r>
                </w:p>
              </w:tc>
            </w:tr>
            <w:tr w14:paraId="13ABB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restart"/>
                  <w:noWrap w:val="0"/>
                  <w:vAlign w:val="center"/>
                </w:tcPr>
                <w:p w14:paraId="2A8EA7F1">
                  <w:pPr>
                    <w:pStyle w:val="33"/>
                    <w:keepNext w:val="0"/>
                    <w:keepLines w:val="0"/>
                    <w:suppressLineNumbers w:val="0"/>
                    <w:bidi w:val="0"/>
                    <w:spacing w:beforeAutospacing="0" w:afterAutospacing="0"/>
                    <w:ind w:left="0" w:right="0"/>
                    <w:jc w:val="center"/>
                    <w:rPr>
                      <w:rFonts w:hint="default" w:eastAsia="宋体" w:cs="Times New Roman"/>
                      <w:b/>
                      <w:bCs/>
                      <w:color w:val="auto"/>
                      <w:lang w:val="en-US" w:eastAsia="zh-CN"/>
                    </w:rPr>
                  </w:pPr>
                  <w:r>
                    <w:rPr>
                      <w:rFonts w:hint="eastAsia" w:cs="Times New Roman"/>
                      <w:b/>
                      <w:bCs/>
                      <w:color w:val="auto"/>
                      <w:lang w:val="en-US" w:eastAsia="zh-CN"/>
                    </w:rPr>
                    <w:t>临时工程</w:t>
                  </w:r>
                </w:p>
              </w:tc>
              <w:tc>
                <w:tcPr>
                  <w:tcW w:w="733" w:type="pct"/>
                  <w:gridSpan w:val="2"/>
                  <w:noWrap w:val="0"/>
                  <w:vAlign w:val="center"/>
                </w:tcPr>
                <w:p w14:paraId="32813817">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施工营地</w:t>
                  </w:r>
                </w:p>
              </w:tc>
              <w:tc>
                <w:tcPr>
                  <w:tcW w:w="3825" w:type="pct"/>
                  <w:noWrap w:val="0"/>
                  <w:vAlign w:val="center"/>
                </w:tcPr>
                <w:p w14:paraId="2471FEF6">
                  <w:pPr>
                    <w:pStyle w:val="33"/>
                    <w:keepNext w:val="0"/>
                    <w:keepLines w:val="0"/>
                    <w:suppressLineNumbers w:val="0"/>
                    <w:bidi w:val="0"/>
                    <w:spacing w:beforeAutospacing="0" w:afterAutospacing="0"/>
                    <w:ind w:left="0" w:right="0"/>
                    <w:jc w:val="left"/>
                    <w:rPr>
                      <w:rFonts w:hint="default"/>
                      <w:color w:val="auto"/>
                    </w:rPr>
                  </w:pPr>
                  <w:r>
                    <w:rPr>
                      <w:rFonts w:hint="eastAsia"/>
                      <w:color w:val="auto"/>
                      <w:lang w:val="en-US" w:eastAsia="zh-CN"/>
                    </w:rPr>
                    <w:t>项目施工人员不在施工区域内住宿，不设置临时施工营地，施工营地</w:t>
                  </w:r>
                  <w:r>
                    <w:rPr>
                      <w:rFonts w:hint="eastAsia" w:cs="Times New Roman"/>
                      <w:color w:val="auto"/>
                      <w:highlight w:val="none"/>
                    </w:rPr>
                    <w:t>依托项目区</w:t>
                  </w:r>
                  <w:r>
                    <w:rPr>
                      <w:rFonts w:hint="eastAsia" w:cs="Times New Roman"/>
                      <w:color w:val="auto"/>
                      <w:highlight w:val="none"/>
                      <w:lang w:val="en-US" w:eastAsia="zh-CN"/>
                    </w:rPr>
                    <w:t>周边</w:t>
                  </w:r>
                  <w:r>
                    <w:rPr>
                      <w:rFonts w:hint="eastAsia" w:cs="Times New Roman"/>
                      <w:color w:val="auto"/>
                      <w:highlight w:val="none"/>
                    </w:rPr>
                    <w:t>村庄</w:t>
                  </w:r>
                </w:p>
              </w:tc>
            </w:tr>
            <w:tr w14:paraId="73160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0"/>
                  <w:vAlign w:val="center"/>
                </w:tcPr>
                <w:p w14:paraId="29BE6278">
                  <w:pPr>
                    <w:pStyle w:val="33"/>
                    <w:keepNext w:val="0"/>
                    <w:keepLines w:val="0"/>
                    <w:suppressLineNumbers w:val="0"/>
                    <w:bidi w:val="0"/>
                    <w:spacing w:beforeAutospacing="0" w:afterAutospacing="0"/>
                    <w:ind w:left="0" w:right="0"/>
                    <w:jc w:val="center"/>
                    <w:rPr>
                      <w:rFonts w:hint="eastAsia" w:cs="Times New Roman"/>
                      <w:b/>
                      <w:bCs/>
                      <w:color w:val="auto"/>
                      <w:lang w:val="en-US" w:eastAsia="zh-CN"/>
                    </w:rPr>
                  </w:pPr>
                </w:p>
              </w:tc>
              <w:tc>
                <w:tcPr>
                  <w:tcW w:w="733" w:type="pct"/>
                  <w:gridSpan w:val="2"/>
                  <w:noWrap w:val="0"/>
                  <w:vAlign w:val="center"/>
                </w:tcPr>
                <w:p w14:paraId="6F066670">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施工便道</w:t>
                  </w:r>
                </w:p>
              </w:tc>
              <w:tc>
                <w:tcPr>
                  <w:tcW w:w="3825" w:type="pct"/>
                  <w:noWrap w:val="0"/>
                  <w:vAlign w:val="center"/>
                </w:tcPr>
                <w:p w14:paraId="4632839C">
                  <w:pPr>
                    <w:pStyle w:val="33"/>
                    <w:keepNext w:val="0"/>
                    <w:keepLines w:val="0"/>
                    <w:suppressLineNumbers w:val="0"/>
                    <w:bidi w:val="0"/>
                    <w:spacing w:beforeAutospacing="0" w:afterAutospacing="0"/>
                    <w:ind w:left="0" w:right="0"/>
                    <w:jc w:val="left"/>
                    <w:rPr>
                      <w:rFonts w:hint="default"/>
                      <w:color w:val="auto"/>
                      <w:lang w:val="en-US" w:eastAsia="zh-CN"/>
                    </w:rPr>
                  </w:pPr>
                  <w:r>
                    <w:rPr>
                      <w:rFonts w:hint="default"/>
                      <w:color w:val="auto"/>
                      <w:lang w:val="en-US" w:eastAsia="zh-CN"/>
                    </w:rPr>
                    <w:t>治理区周边分布有高速公路、县道、乡道等交通运输道路，交通便利。同时治理区范围内设有施工便道</w:t>
                  </w:r>
                </w:p>
              </w:tc>
            </w:tr>
            <w:tr w14:paraId="4D2CE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restart"/>
                  <w:noWrap w:val="0"/>
                  <w:vAlign w:val="center"/>
                </w:tcPr>
                <w:p w14:paraId="5D9870A4">
                  <w:pPr>
                    <w:pStyle w:val="33"/>
                    <w:keepNext w:val="0"/>
                    <w:keepLines w:val="0"/>
                    <w:suppressLineNumbers w:val="0"/>
                    <w:bidi w:val="0"/>
                    <w:spacing w:beforeAutospacing="0" w:afterAutospacing="0"/>
                    <w:ind w:left="0" w:right="0"/>
                    <w:jc w:val="center"/>
                    <w:rPr>
                      <w:rFonts w:hint="default" w:cs="Times New Roman"/>
                      <w:color w:val="auto"/>
                    </w:rPr>
                  </w:pPr>
                  <w:r>
                    <w:rPr>
                      <w:rFonts w:hint="eastAsia" w:cs="Times New Roman"/>
                      <w:b/>
                      <w:bCs/>
                      <w:color w:val="auto"/>
                    </w:rPr>
                    <w:t>公</w:t>
                  </w:r>
                  <w:r>
                    <w:rPr>
                      <w:rFonts w:hint="eastAsia" w:cs="Times New Roman"/>
                      <w:b/>
                      <w:bCs/>
                      <w:color w:val="auto"/>
                      <w:lang w:val="en-US" w:eastAsia="zh-CN"/>
                    </w:rPr>
                    <w:t>用</w:t>
                  </w:r>
                  <w:r>
                    <w:rPr>
                      <w:rFonts w:hint="default" w:cs="Times New Roman"/>
                      <w:b/>
                      <w:bCs/>
                      <w:color w:val="auto"/>
                    </w:rPr>
                    <w:t>工程</w:t>
                  </w:r>
                </w:p>
              </w:tc>
              <w:tc>
                <w:tcPr>
                  <w:tcW w:w="733" w:type="pct"/>
                  <w:gridSpan w:val="2"/>
                  <w:noWrap w:val="0"/>
                  <w:vAlign w:val="center"/>
                </w:tcPr>
                <w:p w14:paraId="4394759F">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供水</w:t>
                  </w:r>
                </w:p>
              </w:tc>
              <w:tc>
                <w:tcPr>
                  <w:tcW w:w="3825" w:type="pct"/>
                  <w:noWrap w:val="0"/>
                  <w:vAlign w:val="center"/>
                </w:tcPr>
                <w:p w14:paraId="040BC61E">
                  <w:pPr>
                    <w:pStyle w:val="33"/>
                    <w:keepNext w:val="0"/>
                    <w:keepLines w:val="0"/>
                    <w:suppressLineNumbers w:val="0"/>
                    <w:bidi w:val="0"/>
                    <w:spacing w:beforeAutospacing="0" w:afterAutospacing="0"/>
                    <w:ind w:left="0" w:right="0"/>
                    <w:jc w:val="left"/>
                    <w:rPr>
                      <w:rFonts w:hint="eastAsia" w:eastAsia="宋体"/>
                      <w:color w:val="auto"/>
                      <w:lang w:eastAsia="zh-CN"/>
                    </w:rPr>
                  </w:pPr>
                  <w:r>
                    <w:rPr>
                      <w:rFonts w:hint="eastAsia"/>
                      <w:color w:val="auto"/>
                      <w:lang w:val="en-US" w:eastAsia="zh-CN"/>
                    </w:rPr>
                    <w:t>施工用水、施工人员生活用水购自周边村镇</w:t>
                  </w:r>
                  <w:r>
                    <w:rPr>
                      <w:rFonts w:hint="eastAsia"/>
                      <w:color w:val="auto"/>
                      <w:lang w:eastAsia="zh-CN"/>
                    </w:rPr>
                    <w:t>；</w:t>
                  </w:r>
                </w:p>
                <w:p w14:paraId="19888AE6">
                  <w:pPr>
                    <w:pStyle w:val="33"/>
                    <w:keepNext w:val="0"/>
                    <w:keepLines w:val="0"/>
                    <w:suppressLineNumbers w:val="0"/>
                    <w:bidi w:val="0"/>
                    <w:spacing w:beforeAutospacing="0" w:afterAutospacing="0"/>
                    <w:ind w:left="0" w:right="0"/>
                    <w:jc w:val="left"/>
                    <w:rPr>
                      <w:rFonts w:hint="eastAsia"/>
                      <w:color w:val="auto"/>
                      <w:lang w:eastAsia="zh-CN"/>
                    </w:rPr>
                  </w:pPr>
                  <w:r>
                    <w:rPr>
                      <w:rFonts w:hint="eastAsia"/>
                      <w:color w:val="auto"/>
                      <w:lang w:val="en-US" w:eastAsia="zh-CN"/>
                    </w:rPr>
                    <w:t>养护用水依托附近农田灌溉用水水源</w:t>
                  </w:r>
                </w:p>
              </w:tc>
            </w:tr>
            <w:tr w14:paraId="19E8E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0"/>
                  <w:vAlign w:val="center"/>
                </w:tcPr>
                <w:p w14:paraId="72937C31">
                  <w:pPr>
                    <w:pStyle w:val="33"/>
                    <w:keepNext w:val="0"/>
                    <w:keepLines w:val="0"/>
                    <w:suppressLineNumbers w:val="0"/>
                    <w:bidi w:val="0"/>
                    <w:spacing w:beforeAutospacing="0" w:afterAutospacing="0"/>
                    <w:ind w:left="0" w:right="0"/>
                    <w:jc w:val="center"/>
                    <w:rPr>
                      <w:rFonts w:hint="default" w:cs="Times New Roman"/>
                      <w:color w:val="auto"/>
                    </w:rPr>
                  </w:pPr>
                </w:p>
              </w:tc>
              <w:tc>
                <w:tcPr>
                  <w:tcW w:w="733" w:type="pct"/>
                  <w:gridSpan w:val="2"/>
                  <w:noWrap w:val="0"/>
                  <w:vAlign w:val="center"/>
                </w:tcPr>
                <w:p w14:paraId="38BB89D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排水</w:t>
                  </w:r>
                </w:p>
              </w:tc>
              <w:tc>
                <w:tcPr>
                  <w:tcW w:w="3825" w:type="pct"/>
                  <w:noWrap w:val="0"/>
                  <w:vAlign w:val="center"/>
                </w:tcPr>
                <w:p w14:paraId="1995A739">
                  <w:pPr>
                    <w:pStyle w:val="33"/>
                    <w:keepNext w:val="0"/>
                    <w:keepLines w:val="0"/>
                    <w:suppressLineNumbers w:val="0"/>
                    <w:bidi w:val="0"/>
                    <w:spacing w:beforeAutospacing="0" w:afterAutospacing="0"/>
                    <w:ind w:left="0" w:right="0"/>
                    <w:jc w:val="left"/>
                    <w:rPr>
                      <w:rFonts w:hint="default" w:eastAsia="宋体" w:cs="Times New Roman"/>
                      <w:color w:val="auto"/>
                      <w:highlight w:val="yellow"/>
                      <w:lang w:val="en-US" w:eastAsia="zh-CN"/>
                    </w:rPr>
                  </w:pPr>
                  <w:r>
                    <w:rPr>
                      <w:rFonts w:hint="eastAsia" w:cs="Times New Roman"/>
                      <w:color w:val="auto"/>
                      <w:highlight w:val="none"/>
                    </w:rPr>
                    <w:t>生活污水依托</w:t>
                  </w:r>
                  <w:r>
                    <w:rPr>
                      <w:rFonts w:hint="eastAsia" w:cs="Times New Roman"/>
                      <w:color w:val="auto"/>
                      <w:highlight w:val="none"/>
                      <w:lang w:val="en-US" w:eastAsia="zh-CN"/>
                    </w:rPr>
                    <w:t>周边</w:t>
                  </w:r>
                  <w:r>
                    <w:rPr>
                      <w:rFonts w:hint="eastAsia" w:cs="Times New Roman"/>
                      <w:color w:val="auto"/>
                      <w:highlight w:val="none"/>
                    </w:rPr>
                    <w:t>村庄旱厕处理</w:t>
                  </w:r>
                  <w:r>
                    <w:rPr>
                      <w:rFonts w:hint="eastAsia"/>
                      <w:color w:val="auto"/>
                      <w:lang w:eastAsia="zh-CN"/>
                    </w:rPr>
                    <w:t>，</w:t>
                  </w:r>
                  <w:r>
                    <w:rPr>
                      <w:rFonts w:hint="eastAsia"/>
                      <w:color w:val="auto"/>
                      <w:lang w:val="en-US" w:eastAsia="zh-CN"/>
                    </w:rPr>
                    <w:t>项目区无废水排放</w:t>
                  </w:r>
                </w:p>
              </w:tc>
            </w:tr>
            <w:tr w14:paraId="68ABD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0"/>
                  <w:vAlign w:val="center"/>
                </w:tcPr>
                <w:p w14:paraId="3279E556">
                  <w:pPr>
                    <w:pStyle w:val="33"/>
                    <w:keepNext w:val="0"/>
                    <w:keepLines w:val="0"/>
                    <w:suppressLineNumbers w:val="0"/>
                    <w:bidi w:val="0"/>
                    <w:spacing w:beforeAutospacing="0" w:afterAutospacing="0"/>
                    <w:ind w:left="0" w:right="0"/>
                    <w:jc w:val="center"/>
                    <w:rPr>
                      <w:rFonts w:hint="default" w:cs="Times New Roman"/>
                      <w:color w:val="auto"/>
                    </w:rPr>
                  </w:pPr>
                </w:p>
              </w:tc>
              <w:tc>
                <w:tcPr>
                  <w:tcW w:w="733" w:type="pct"/>
                  <w:gridSpan w:val="2"/>
                  <w:noWrap w:val="0"/>
                  <w:vAlign w:val="center"/>
                </w:tcPr>
                <w:p w14:paraId="5CE1D25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供电</w:t>
                  </w:r>
                </w:p>
              </w:tc>
              <w:tc>
                <w:tcPr>
                  <w:tcW w:w="3825" w:type="pct"/>
                  <w:noWrap w:val="0"/>
                  <w:vAlign w:val="center"/>
                </w:tcPr>
                <w:p w14:paraId="41911928">
                  <w:pPr>
                    <w:pStyle w:val="33"/>
                    <w:keepNext w:val="0"/>
                    <w:keepLines w:val="0"/>
                    <w:suppressLineNumbers w:val="0"/>
                    <w:bidi w:val="0"/>
                    <w:spacing w:beforeAutospacing="0" w:afterAutospacing="0"/>
                    <w:ind w:left="0" w:right="0"/>
                    <w:jc w:val="left"/>
                    <w:rPr>
                      <w:rFonts w:hint="default" w:cs="Times New Roman"/>
                      <w:color w:val="auto"/>
                    </w:rPr>
                  </w:pPr>
                  <w:r>
                    <w:rPr>
                      <w:rFonts w:hint="eastAsia" w:cs="Times New Roman"/>
                      <w:color w:val="auto"/>
                      <w:lang w:val="en-US" w:eastAsia="zh-CN"/>
                    </w:rPr>
                    <w:t>依托各治理区附近村落镇输电电网</w:t>
                  </w:r>
                </w:p>
              </w:tc>
            </w:tr>
            <w:tr w14:paraId="228073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noWrap w:val="0"/>
                  <w:vAlign w:val="center"/>
                </w:tcPr>
                <w:p w14:paraId="2E74353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b/>
                      <w:bCs/>
                      <w:color w:val="auto"/>
                    </w:rPr>
                    <w:t>环保工程</w:t>
                  </w:r>
                </w:p>
              </w:tc>
              <w:tc>
                <w:tcPr>
                  <w:tcW w:w="733" w:type="pct"/>
                  <w:gridSpan w:val="2"/>
                  <w:noWrap w:val="0"/>
                  <w:vAlign w:val="center"/>
                </w:tcPr>
                <w:p w14:paraId="4735E742">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color w:val="auto"/>
                    </w:rPr>
                    <w:t>废气治理</w:t>
                  </w:r>
                </w:p>
              </w:tc>
              <w:tc>
                <w:tcPr>
                  <w:tcW w:w="3825" w:type="pct"/>
                  <w:noWrap w:val="0"/>
                  <w:vAlign w:val="center"/>
                </w:tcPr>
                <w:p w14:paraId="1A1EB85B">
                  <w:pPr>
                    <w:pStyle w:val="33"/>
                    <w:keepNext w:val="0"/>
                    <w:keepLines w:val="0"/>
                    <w:suppressLineNumbers w:val="0"/>
                    <w:bidi w:val="0"/>
                    <w:spacing w:beforeAutospacing="0" w:afterAutospacing="0"/>
                    <w:ind w:left="0" w:right="0"/>
                    <w:jc w:val="left"/>
                    <w:rPr>
                      <w:rFonts w:hint="eastAsia" w:cs="Times New Roman"/>
                      <w:color w:val="auto"/>
                    </w:rPr>
                  </w:pPr>
                  <w:r>
                    <w:rPr>
                      <w:rFonts w:hint="eastAsia" w:cs="Times New Roman"/>
                      <w:color w:val="auto"/>
                    </w:rPr>
                    <w:t>施工扬尘：</w:t>
                  </w:r>
                  <w:r>
                    <w:rPr>
                      <w:rFonts w:hint="eastAsia" w:cs="Times New Roman"/>
                      <w:color w:val="auto"/>
                      <w:lang w:val="en-US" w:eastAsia="zh-CN"/>
                    </w:rPr>
                    <w:t>施工场地设置施工围挡、定期用</w:t>
                  </w:r>
                  <w:r>
                    <w:rPr>
                      <w:rFonts w:hint="eastAsia"/>
                      <w:color w:val="auto"/>
                      <w:lang w:val="en-US" w:eastAsia="zh-CN"/>
                    </w:rPr>
                    <w:t>洒水车</w:t>
                  </w:r>
                  <w:r>
                    <w:rPr>
                      <w:rFonts w:hint="eastAsia" w:cs="Times New Roman"/>
                      <w:color w:val="auto"/>
                      <w:lang w:val="en-US" w:eastAsia="zh-CN"/>
                    </w:rPr>
                    <w:t>洒水降尘、运输车辆加盖篷布；</w:t>
                  </w:r>
                </w:p>
                <w:p w14:paraId="3F93C689">
                  <w:pPr>
                    <w:pStyle w:val="33"/>
                    <w:keepNext w:val="0"/>
                    <w:keepLines w:val="0"/>
                    <w:suppressLineNumbers w:val="0"/>
                    <w:bidi w:val="0"/>
                    <w:spacing w:beforeAutospacing="0" w:afterAutospacing="0"/>
                    <w:ind w:left="0" w:right="0"/>
                    <w:jc w:val="left"/>
                    <w:rPr>
                      <w:rFonts w:hint="eastAsia" w:eastAsia="宋体" w:cs="Times New Roman"/>
                      <w:color w:val="auto"/>
                      <w:lang w:eastAsia="zh-CN"/>
                    </w:rPr>
                  </w:pPr>
                  <w:r>
                    <w:rPr>
                      <w:rFonts w:hint="eastAsia" w:cs="Times New Roman"/>
                      <w:color w:val="auto"/>
                    </w:rPr>
                    <w:t>临时堆土场：施工期临时堆土堆放在治理区内，并采用纤维网苫盖，定期</w:t>
                  </w:r>
                  <w:r>
                    <w:rPr>
                      <w:rFonts w:hint="eastAsia" w:cs="Times New Roman"/>
                      <w:color w:val="auto"/>
                      <w:lang w:val="en-US" w:eastAsia="zh-CN"/>
                    </w:rPr>
                    <w:t>用</w:t>
                  </w:r>
                  <w:r>
                    <w:rPr>
                      <w:rFonts w:hint="eastAsia"/>
                      <w:color w:val="auto"/>
                      <w:lang w:val="en-US" w:eastAsia="zh-CN"/>
                    </w:rPr>
                    <w:t>洒水车</w:t>
                  </w:r>
                  <w:r>
                    <w:rPr>
                      <w:rFonts w:hint="eastAsia" w:cs="Times New Roman"/>
                      <w:color w:val="auto"/>
                    </w:rPr>
                    <w:t>洒水保湿</w:t>
                  </w:r>
                  <w:r>
                    <w:rPr>
                      <w:rFonts w:hint="eastAsia" w:cs="Times New Roman"/>
                      <w:color w:val="auto"/>
                      <w:lang w:eastAsia="zh-CN"/>
                    </w:rPr>
                    <w:t>；</w:t>
                  </w:r>
                </w:p>
                <w:p w14:paraId="4DEFC6DC">
                  <w:pPr>
                    <w:pStyle w:val="33"/>
                    <w:keepNext w:val="0"/>
                    <w:keepLines w:val="0"/>
                    <w:suppressLineNumbers w:val="0"/>
                    <w:bidi w:val="0"/>
                    <w:spacing w:beforeAutospacing="0" w:afterAutospacing="0"/>
                    <w:ind w:left="0" w:right="0"/>
                    <w:jc w:val="left"/>
                    <w:rPr>
                      <w:rFonts w:hint="default" w:cs="Times New Roman"/>
                      <w:color w:val="auto"/>
                    </w:rPr>
                  </w:pPr>
                  <w:r>
                    <w:rPr>
                      <w:rFonts w:hint="eastAsia" w:cs="Times New Roman"/>
                      <w:color w:val="auto"/>
                    </w:rPr>
                    <w:t>机械废气：加强机械设备管理和保养维修，合理降低使用次数</w:t>
                  </w:r>
                </w:p>
              </w:tc>
            </w:tr>
            <w:tr w14:paraId="630BF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0"/>
                  <w:vAlign w:val="center"/>
                </w:tcPr>
                <w:p w14:paraId="5932A544">
                  <w:pPr>
                    <w:pStyle w:val="33"/>
                    <w:keepNext w:val="0"/>
                    <w:keepLines w:val="0"/>
                    <w:suppressLineNumbers w:val="0"/>
                    <w:bidi w:val="0"/>
                    <w:spacing w:beforeAutospacing="0" w:afterAutospacing="0"/>
                    <w:ind w:left="0" w:right="0"/>
                    <w:jc w:val="left"/>
                    <w:rPr>
                      <w:rFonts w:hint="default" w:cs="Times New Roman"/>
                      <w:color w:val="auto"/>
                    </w:rPr>
                  </w:pPr>
                </w:p>
              </w:tc>
              <w:tc>
                <w:tcPr>
                  <w:tcW w:w="733" w:type="pct"/>
                  <w:gridSpan w:val="2"/>
                  <w:noWrap w:val="0"/>
                  <w:vAlign w:val="center"/>
                </w:tcPr>
                <w:p w14:paraId="64969DDF">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color w:val="auto"/>
                    </w:rPr>
                    <w:t>废水治理</w:t>
                  </w:r>
                </w:p>
              </w:tc>
              <w:tc>
                <w:tcPr>
                  <w:tcW w:w="3825" w:type="pct"/>
                  <w:noWrap w:val="0"/>
                  <w:vAlign w:val="center"/>
                </w:tcPr>
                <w:p w14:paraId="6D1EB3B4">
                  <w:pPr>
                    <w:pStyle w:val="33"/>
                    <w:keepNext w:val="0"/>
                    <w:keepLines w:val="0"/>
                    <w:suppressLineNumbers w:val="0"/>
                    <w:bidi w:val="0"/>
                    <w:spacing w:beforeAutospacing="0" w:afterAutospacing="0"/>
                    <w:ind w:left="0" w:right="0"/>
                    <w:jc w:val="left"/>
                    <w:rPr>
                      <w:rFonts w:hint="default" w:cs="Times New Roman"/>
                      <w:color w:val="auto"/>
                    </w:rPr>
                  </w:pPr>
                  <w:r>
                    <w:rPr>
                      <w:rFonts w:hint="eastAsia" w:cs="Times New Roman"/>
                      <w:color w:val="auto"/>
                    </w:rPr>
                    <w:t>生活污水依托周边村庄旱厕处理，项目区无废水排放</w:t>
                  </w:r>
                </w:p>
              </w:tc>
            </w:tr>
            <w:tr w14:paraId="20793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0"/>
                  <w:vAlign w:val="center"/>
                </w:tcPr>
                <w:p w14:paraId="2F7A94BA">
                  <w:pPr>
                    <w:pStyle w:val="33"/>
                    <w:keepNext w:val="0"/>
                    <w:keepLines w:val="0"/>
                    <w:suppressLineNumbers w:val="0"/>
                    <w:bidi w:val="0"/>
                    <w:spacing w:beforeAutospacing="0" w:afterAutospacing="0"/>
                    <w:ind w:left="0" w:right="0"/>
                    <w:jc w:val="left"/>
                    <w:rPr>
                      <w:rFonts w:hint="default" w:cs="Times New Roman"/>
                      <w:color w:val="auto"/>
                    </w:rPr>
                  </w:pPr>
                </w:p>
              </w:tc>
              <w:tc>
                <w:tcPr>
                  <w:tcW w:w="733" w:type="pct"/>
                  <w:gridSpan w:val="2"/>
                  <w:noWrap w:val="0"/>
                  <w:vAlign w:val="center"/>
                </w:tcPr>
                <w:p w14:paraId="08D14BAB">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color w:val="auto"/>
                    </w:rPr>
                    <w:t>噪声治理</w:t>
                  </w:r>
                </w:p>
              </w:tc>
              <w:tc>
                <w:tcPr>
                  <w:tcW w:w="3825" w:type="pct"/>
                  <w:noWrap w:val="0"/>
                  <w:vAlign w:val="center"/>
                </w:tcPr>
                <w:p w14:paraId="7A3F1A47">
                  <w:pPr>
                    <w:pStyle w:val="33"/>
                    <w:keepNext w:val="0"/>
                    <w:keepLines w:val="0"/>
                    <w:suppressLineNumbers w:val="0"/>
                    <w:bidi w:val="0"/>
                    <w:spacing w:beforeAutospacing="0" w:afterAutospacing="0"/>
                    <w:ind w:left="0" w:right="0"/>
                    <w:jc w:val="left"/>
                    <w:rPr>
                      <w:rFonts w:hint="default" w:cs="Times New Roman"/>
                      <w:color w:val="auto"/>
                    </w:rPr>
                  </w:pPr>
                  <w:r>
                    <w:rPr>
                      <w:rFonts w:hint="eastAsia" w:cs="Times New Roman"/>
                      <w:color w:val="auto"/>
                    </w:rPr>
                    <w:t>合理安排施工时间，选用低噪声设备，分片区施工，运输车辆减速慢行、禁止鸣笛</w:t>
                  </w:r>
                </w:p>
              </w:tc>
            </w:tr>
            <w:tr w14:paraId="5AD2A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40" w:type="pct"/>
                  <w:vMerge w:val="continue"/>
                  <w:noWrap w:val="0"/>
                  <w:vAlign w:val="center"/>
                </w:tcPr>
                <w:p w14:paraId="25B5159F">
                  <w:pPr>
                    <w:pStyle w:val="33"/>
                    <w:keepNext w:val="0"/>
                    <w:keepLines w:val="0"/>
                    <w:suppressLineNumbers w:val="0"/>
                    <w:bidi w:val="0"/>
                    <w:spacing w:beforeAutospacing="0" w:afterAutospacing="0"/>
                    <w:ind w:left="0" w:right="0"/>
                    <w:jc w:val="left"/>
                    <w:rPr>
                      <w:rFonts w:hint="default" w:cs="Times New Roman"/>
                      <w:color w:val="auto"/>
                    </w:rPr>
                  </w:pPr>
                </w:p>
              </w:tc>
              <w:tc>
                <w:tcPr>
                  <w:tcW w:w="733" w:type="pct"/>
                  <w:gridSpan w:val="2"/>
                  <w:noWrap w:val="0"/>
                  <w:vAlign w:val="center"/>
                </w:tcPr>
                <w:p w14:paraId="1B4EEB23">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color w:val="auto"/>
                    </w:rPr>
                    <w:t>固废治理</w:t>
                  </w:r>
                </w:p>
              </w:tc>
              <w:tc>
                <w:tcPr>
                  <w:tcW w:w="3825" w:type="pct"/>
                  <w:noWrap w:val="0"/>
                  <w:vAlign w:val="center"/>
                </w:tcPr>
                <w:p w14:paraId="0B2330A2">
                  <w:pPr>
                    <w:pStyle w:val="33"/>
                    <w:keepNext w:val="0"/>
                    <w:keepLines w:val="0"/>
                    <w:suppressLineNumbers w:val="0"/>
                    <w:bidi w:val="0"/>
                    <w:spacing w:beforeAutospacing="0" w:afterAutospacing="0"/>
                    <w:ind w:left="0" w:right="0"/>
                    <w:jc w:val="left"/>
                    <w:rPr>
                      <w:rFonts w:hint="eastAsia" w:eastAsia="宋体" w:cs="Times New Roman"/>
                      <w:color w:val="auto"/>
                      <w:lang w:eastAsia="zh-CN"/>
                    </w:rPr>
                  </w:pPr>
                  <w:r>
                    <w:rPr>
                      <w:rFonts w:hint="eastAsia"/>
                      <w:color w:val="auto"/>
                      <w:lang w:val="en-US" w:eastAsia="zh-CN"/>
                    </w:rPr>
                    <w:t>本项目不在厂区内对机械设备维修，不产生危废，</w:t>
                  </w:r>
                  <w:r>
                    <w:rPr>
                      <w:rFonts w:hint="eastAsia" w:ascii="Times New Roman" w:hAnsi="Times New Roman" w:eastAsia="宋体" w:cs="Times New Roman"/>
                      <w:color w:val="auto"/>
                      <w:kern w:val="0"/>
                      <w:sz w:val="21"/>
                      <w:szCs w:val="21"/>
                      <w:lang w:val="en-US" w:eastAsia="zh-CN" w:bidi="ar-SA"/>
                    </w:rPr>
                    <w:t>施工期的固体废弃物主要来源为建筑垃圾、草籽废包装袋与生活垃圾。建筑垃圾定期清运至指定地点处理，项目施工区生活垃圾、草籽废包装袋在施工现场集中分类收集送至邻近村庄生活垃圾收集点，由当地环卫部门统一清运处置</w:t>
                  </w:r>
                </w:p>
              </w:tc>
            </w:tr>
            <w:tr w14:paraId="43236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0"/>
                  <w:vAlign w:val="center"/>
                </w:tcPr>
                <w:p w14:paraId="00B5848C">
                  <w:pPr>
                    <w:pStyle w:val="33"/>
                    <w:keepNext w:val="0"/>
                    <w:keepLines w:val="0"/>
                    <w:suppressLineNumbers w:val="0"/>
                    <w:bidi w:val="0"/>
                    <w:spacing w:beforeAutospacing="0" w:afterAutospacing="0"/>
                    <w:ind w:left="0" w:right="0"/>
                    <w:jc w:val="left"/>
                    <w:rPr>
                      <w:rFonts w:hint="default" w:cs="Times New Roman"/>
                      <w:color w:val="auto"/>
                    </w:rPr>
                  </w:pPr>
                </w:p>
              </w:tc>
              <w:tc>
                <w:tcPr>
                  <w:tcW w:w="733" w:type="pct"/>
                  <w:gridSpan w:val="2"/>
                  <w:noWrap w:val="0"/>
                  <w:vAlign w:val="center"/>
                </w:tcPr>
                <w:p w14:paraId="0B72938B">
                  <w:pPr>
                    <w:pStyle w:val="33"/>
                    <w:keepNext w:val="0"/>
                    <w:keepLines w:val="0"/>
                    <w:suppressLineNumbers w:val="0"/>
                    <w:bidi w:val="0"/>
                    <w:spacing w:beforeAutospacing="0" w:afterAutospacing="0"/>
                    <w:ind w:left="0" w:right="0"/>
                    <w:jc w:val="left"/>
                    <w:rPr>
                      <w:rFonts w:hint="default" w:cs="Times New Roman"/>
                      <w:color w:val="auto"/>
                    </w:rPr>
                  </w:pPr>
                  <w:r>
                    <w:rPr>
                      <w:rFonts w:hint="default" w:cs="Times New Roman"/>
                      <w:color w:val="auto"/>
                    </w:rPr>
                    <w:t>生态保护</w:t>
                  </w:r>
                </w:p>
              </w:tc>
              <w:tc>
                <w:tcPr>
                  <w:tcW w:w="3825" w:type="pct"/>
                  <w:noWrap w:val="0"/>
                  <w:vAlign w:val="center"/>
                </w:tcPr>
                <w:p w14:paraId="153738E2">
                  <w:pPr>
                    <w:pStyle w:val="33"/>
                    <w:keepNext w:val="0"/>
                    <w:keepLines w:val="0"/>
                    <w:suppressLineNumbers w:val="0"/>
                    <w:bidi w:val="0"/>
                    <w:spacing w:beforeAutospacing="0" w:afterAutospacing="0"/>
                    <w:ind w:left="0" w:right="0"/>
                    <w:jc w:val="left"/>
                    <w:rPr>
                      <w:rFonts w:hint="default" w:cs="Times New Roman"/>
                      <w:color w:val="auto"/>
                    </w:rPr>
                  </w:pPr>
                  <w:r>
                    <w:rPr>
                      <w:rFonts w:hint="eastAsia" w:cs="Times New Roman"/>
                      <w:color w:val="auto"/>
                      <w:lang w:val="en-US" w:eastAsia="zh-CN"/>
                    </w:rPr>
                    <w:t>整平覆土后穴播草籽进行生态恢复，监测各区域林草措施保存率、生长情况及覆盖度，绿化养护期3年，及时对未成活植被进行补种</w:t>
                  </w:r>
                </w:p>
              </w:tc>
            </w:tr>
          </w:tbl>
          <w:p w14:paraId="719CDFE5">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3 </w:t>
            </w:r>
            <w:r>
              <w:rPr>
                <w:rFonts w:hint="default"/>
                <w:color w:val="auto"/>
              </w:rPr>
              <w:t>项目工程量汇总</w:t>
            </w:r>
          </w:p>
          <w:p w14:paraId="532DDE28">
            <w:pPr>
              <w:keepNext w:val="0"/>
              <w:keepLines w:val="0"/>
              <w:suppressLineNumbers w:val="0"/>
              <w:tabs>
                <w:tab w:val="left" w:pos="861"/>
              </w:tabs>
              <w:spacing w:before="0" w:beforeAutospacing="0" w:after="0" w:afterAutospacing="0"/>
              <w:ind w:left="0" w:right="0" w:firstLine="454" w:firstLineChars="200"/>
              <w:jc w:val="left"/>
              <w:rPr>
                <w:rFonts w:hint="default" w:cs="Times New Roman"/>
                <w:b/>
                <w:color w:val="auto"/>
                <w:sz w:val="24"/>
              </w:rPr>
            </w:pPr>
            <w:r>
              <w:rPr>
                <w:rFonts w:hint="default" w:cs="Times New Roman"/>
                <w:color w:val="auto"/>
                <w:kern w:val="0"/>
                <w:sz w:val="24"/>
                <w:lang w:bidi="ar"/>
              </w:rPr>
              <w:t>本项目工程量表详见表2-</w:t>
            </w:r>
            <w:r>
              <w:rPr>
                <w:rFonts w:hint="eastAsia" w:cs="Times New Roman"/>
                <w:color w:val="auto"/>
                <w:kern w:val="0"/>
                <w:sz w:val="24"/>
                <w:lang w:val="en-US" w:eastAsia="zh-CN" w:bidi="ar"/>
              </w:rPr>
              <w:t>4</w:t>
            </w:r>
            <w:r>
              <w:rPr>
                <w:rFonts w:hint="default" w:cs="Times New Roman"/>
                <w:color w:val="auto"/>
                <w:kern w:val="0"/>
                <w:sz w:val="24"/>
                <w:lang w:bidi="ar"/>
              </w:rPr>
              <w:t>。</w:t>
            </w:r>
          </w:p>
          <w:p w14:paraId="147CE182">
            <w:pPr>
              <w:pStyle w:val="3"/>
              <w:keepNext w:val="0"/>
              <w:keepLines w:val="0"/>
              <w:suppressLineNumbers w:val="0"/>
              <w:bidi w:val="0"/>
              <w:spacing w:before="0" w:beforeAutospacing="0" w:after="0" w:afterAutospacing="0"/>
              <w:ind w:left="0" w:right="0"/>
              <w:rPr>
                <w:rFonts w:hint="default"/>
                <w:color w:val="auto"/>
              </w:rPr>
            </w:pPr>
            <w:r>
              <w:rPr>
                <w:rFonts w:hint="default"/>
                <w:color w:val="auto"/>
              </w:rPr>
              <w:t>表2-</w:t>
            </w:r>
            <w:r>
              <w:rPr>
                <w:rFonts w:hint="eastAsia"/>
                <w:color w:val="auto"/>
                <w:lang w:val="en-US" w:eastAsia="zh-CN"/>
              </w:rPr>
              <w:t>4</w:t>
            </w:r>
            <w:r>
              <w:rPr>
                <w:rFonts w:hint="eastAsia"/>
                <w:color w:val="auto"/>
              </w:rPr>
              <w:t xml:space="preserve">  </w:t>
            </w:r>
            <w:r>
              <w:rPr>
                <w:rFonts w:hint="default"/>
                <w:color w:val="auto"/>
              </w:rPr>
              <w:t>生态修复工程量汇总表</w:t>
            </w:r>
          </w:p>
          <w:tbl>
            <w:tblPr>
              <w:tblStyle w:val="26"/>
              <w:tblW w:w="823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2532"/>
              <w:gridCol w:w="1523"/>
              <w:gridCol w:w="2657"/>
            </w:tblGrid>
            <w:tr w14:paraId="5BA478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0B3F1268">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序号</w:t>
                  </w:r>
                </w:p>
              </w:tc>
              <w:tc>
                <w:tcPr>
                  <w:tcW w:w="2532" w:type="dxa"/>
                  <w:tcBorders>
                    <w:tl2br w:val="nil"/>
                    <w:tr2bl w:val="nil"/>
                  </w:tcBorders>
                  <w:noWrap w:val="0"/>
                  <w:vAlign w:val="center"/>
                </w:tcPr>
                <w:p w14:paraId="6785969D">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单项名称</w:t>
                  </w:r>
                </w:p>
              </w:tc>
              <w:tc>
                <w:tcPr>
                  <w:tcW w:w="1523" w:type="dxa"/>
                  <w:tcBorders>
                    <w:tl2br w:val="nil"/>
                    <w:tr2bl w:val="nil"/>
                  </w:tcBorders>
                  <w:noWrap w:val="0"/>
                  <w:vAlign w:val="center"/>
                </w:tcPr>
                <w:p w14:paraId="7902853D">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单位</w:t>
                  </w:r>
                </w:p>
              </w:tc>
              <w:tc>
                <w:tcPr>
                  <w:tcW w:w="2657" w:type="dxa"/>
                  <w:tcBorders>
                    <w:tl2br w:val="nil"/>
                    <w:tr2bl w:val="nil"/>
                  </w:tcBorders>
                  <w:noWrap w:val="0"/>
                  <w:vAlign w:val="center"/>
                </w:tcPr>
                <w:p w14:paraId="26D7FF61">
                  <w:pPr>
                    <w:pStyle w:val="33"/>
                    <w:keepNext w:val="0"/>
                    <w:keepLines w:val="0"/>
                    <w:suppressLineNumbers w:val="0"/>
                    <w:bidi w:val="0"/>
                    <w:spacing w:beforeAutospacing="0" w:afterAutospacing="0"/>
                    <w:ind w:left="0" w:right="0"/>
                    <w:jc w:val="center"/>
                    <w:rPr>
                      <w:rFonts w:hint="default" w:cs="Times New Roman"/>
                      <w:b/>
                      <w:bCs/>
                      <w:color w:val="auto"/>
                    </w:rPr>
                  </w:pPr>
                  <w:r>
                    <w:rPr>
                      <w:rFonts w:hint="default" w:cs="Times New Roman"/>
                      <w:b/>
                      <w:bCs/>
                      <w:color w:val="auto"/>
                    </w:rPr>
                    <w:t>工程量</w:t>
                  </w:r>
                </w:p>
              </w:tc>
            </w:tr>
            <w:tr w14:paraId="4A07E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3888F60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w:t>
                  </w:r>
                </w:p>
              </w:tc>
              <w:tc>
                <w:tcPr>
                  <w:tcW w:w="2532" w:type="dxa"/>
                  <w:tcBorders>
                    <w:tl2br w:val="nil"/>
                    <w:tr2bl w:val="nil"/>
                  </w:tcBorders>
                  <w:noWrap w:val="0"/>
                  <w:vAlign w:val="center"/>
                </w:tcPr>
                <w:p w14:paraId="0F4293FE">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培坡护坡</w:t>
                  </w:r>
                </w:p>
              </w:tc>
              <w:tc>
                <w:tcPr>
                  <w:tcW w:w="1523" w:type="dxa"/>
                  <w:tcBorders>
                    <w:tl2br w:val="nil"/>
                    <w:tr2bl w:val="nil"/>
                  </w:tcBorders>
                  <w:noWrap w:val="0"/>
                  <w:vAlign w:val="center"/>
                </w:tcPr>
                <w:p w14:paraId="6603C36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m</w:t>
                  </w:r>
                  <w:r>
                    <w:rPr>
                      <w:rFonts w:hint="default" w:cs="Times New Roman"/>
                      <w:color w:val="auto"/>
                      <w:vertAlign w:val="superscript"/>
                    </w:rPr>
                    <w:t>3</w:t>
                  </w:r>
                </w:p>
              </w:tc>
              <w:tc>
                <w:tcPr>
                  <w:tcW w:w="2657" w:type="dxa"/>
                  <w:tcBorders>
                    <w:tl2br w:val="nil"/>
                    <w:tr2bl w:val="nil"/>
                  </w:tcBorders>
                  <w:noWrap w:val="0"/>
                  <w:vAlign w:val="center"/>
                </w:tcPr>
                <w:p w14:paraId="5391AA22">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319101.95</w:t>
                  </w:r>
                </w:p>
              </w:tc>
            </w:tr>
            <w:tr w14:paraId="4ACA6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5EB2448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w:t>
                  </w:r>
                </w:p>
              </w:tc>
              <w:tc>
                <w:tcPr>
                  <w:tcW w:w="2532" w:type="dxa"/>
                  <w:tcBorders>
                    <w:tl2br w:val="nil"/>
                    <w:tr2bl w:val="nil"/>
                  </w:tcBorders>
                  <w:noWrap w:val="0"/>
                  <w:vAlign w:val="center"/>
                </w:tcPr>
                <w:p w14:paraId="6119038D">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采坑回填</w:t>
                  </w:r>
                </w:p>
              </w:tc>
              <w:tc>
                <w:tcPr>
                  <w:tcW w:w="1523" w:type="dxa"/>
                  <w:tcBorders>
                    <w:tl2br w:val="nil"/>
                    <w:tr2bl w:val="nil"/>
                  </w:tcBorders>
                  <w:noWrap w:val="0"/>
                  <w:vAlign w:val="center"/>
                </w:tcPr>
                <w:p w14:paraId="7E303C7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m</w:t>
                  </w:r>
                  <w:r>
                    <w:rPr>
                      <w:rFonts w:hint="default" w:ascii="Times New Roman" w:hAnsi="Times New Roman" w:eastAsia="宋体" w:cs="Times New Roman"/>
                      <w:color w:val="auto"/>
                      <w:vertAlign w:val="superscript"/>
                    </w:rPr>
                    <w:t>3</w:t>
                  </w:r>
                </w:p>
              </w:tc>
              <w:tc>
                <w:tcPr>
                  <w:tcW w:w="2657" w:type="dxa"/>
                  <w:tcBorders>
                    <w:tl2br w:val="nil"/>
                    <w:tr2bl w:val="nil"/>
                  </w:tcBorders>
                  <w:noWrap w:val="0"/>
                  <w:vAlign w:val="center"/>
                </w:tcPr>
                <w:p w14:paraId="24D110F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129695.41</w:t>
                  </w:r>
                </w:p>
              </w:tc>
            </w:tr>
            <w:tr w14:paraId="5FD823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496D2E1C">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w:t>
                  </w:r>
                </w:p>
              </w:tc>
              <w:tc>
                <w:tcPr>
                  <w:tcW w:w="2532" w:type="dxa"/>
                  <w:tcBorders>
                    <w:tl2br w:val="nil"/>
                    <w:tr2bl w:val="nil"/>
                  </w:tcBorders>
                  <w:noWrap w:val="0"/>
                  <w:vAlign w:val="center"/>
                </w:tcPr>
                <w:p w14:paraId="064BBF0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场地整平</w:t>
                  </w:r>
                </w:p>
              </w:tc>
              <w:tc>
                <w:tcPr>
                  <w:tcW w:w="1523" w:type="dxa"/>
                  <w:tcBorders>
                    <w:tl2br w:val="nil"/>
                    <w:tr2bl w:val="nil"/>
                  </w:tcBorders>
                  <w:noWrap w:val="0"/>
                  <w:vAlign w:val="center"/>
                </w:tcPr>
                <w:p w14:paraId="2320D323">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m</w:t>
                  </w:r>
                  <w:r>
                    <w:rPr>
                      <w:rFonts w:hint="default" w:ascii="Times New Roman" w:hAnsi="Times New Roman" w:eastAsia="宋体" w:cs="Times New Roman"/>
                      <w:color w:val="auto"/>
                      <w:vertAlign w:val="superscript"/>
                    </w:rPr>
                    <w:t>3</w:t>
                  </w:r>
                </w:p>
              </w:tc>
              <w:tc>
                <w:tcPr>
                  <w:tcW w:w="2657" w:type="dxa"/>
                  <w:tcBorders>
                    <w:tl2br w:val="nil"/>
                    <w:tr2bl w:val="nil"/>
                  </w:tcBorders>
                  <w:noWrap w:val="0"/>
                  <w:vAlign w:val="center"/>
                </w:tcPr>
                <w:p w14:paraId="73DA5AF0">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1305310.00</w:t>
                  </w:r>
                </w:p>
              </w:tc>
            </w:tr>
            <w:tr w14:paraId="4288B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14E17F8A">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4</w:t>
                  </w:r>
                </w:p>
              </w:tc>
              <w:tc>
                <w:tcPr>
                  <w:tcW w:w="2532" w:type="dxa"/>
                  <w:tcBorders>
                    <w:tl2br w:val="nil"/>
                    <w:tr2bl w:val="nil"/>
                  </w:tcBorders>
                  <w:noWrap w:val="0"/>
                  <w:vAlign w:val="center"/>
                </w:tcPr>
                <w:p w14:paraId="16EFB53B">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覆土工程</w:t>
                  </w:r>
                </w:p>
              </w:tc>
              <w:tc>
                <w:tcPr>
                  <w:tcW w:w="1523" w:type="dxa"/>
                  <w:tcBorders>
                    <w:tl2br w:val="nil"/>
                    <w:tr2bl w:val="nil"/>
                  </w:tcBorders>
                  <w:noWrap w:val="0"/>
                  <w:vAlign w:val="center"/>
                </w:tcPr>
                <w:p w14:paraId="2A1E0F9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m</w:t>
                  </w:r>
                  <w:r>
                    <w:rPr>
                      <w:rFonts w:hint="default" w:ascii="Times New Roman" w:hAnsi="Times New Roman" w:eastAsia="宋体" w:cs="Times New Roman"/>
                      <w:color w:val="auto"/>
                      <w:vertAlign w:val="superscript"/>
                    </w:rPr>
                    <w:t>3</w:t>
                  </w:r>
                </w:p>
              </w:tc>
              <w:tc>
                <w:tcPr>
                  <w:tcW w:w="2657" w:type="dxa"/>
                  <w:tcBorders>
                    <w:tl2br w:val="nil"/>
                    <w:tr2bl w:val="nil"/>
                  </w:tcBorders>
                  <w:noWrap w:val="0"/>
                  <w:vAlign w:val="center"/>
                </w:tcPr>
                <w:p w14:paraId="24F83D2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594030</w:t>
                  </w:r>
                </w:p>
              </w:tc>
            </w:tr>
            <w:tr w14:paraId="4136C2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0D23E6DB">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5</w:t>
                  </w:r>
                </w:p>
              </w:tc>
              <w:tc>
                <w:tcPr>
                  <w:tcW w:w="2532" w:type="dxa"/>
                  <w:tcBorders>
                    <w:tl2br w:val="nil"/>
                    <w:tr2bl w:val="nil"/>
                  </w:tcBorders>
                  <w:noWrap w:val="0"/>
                  <w:vAlign w:val="center"/>
                </w:tcPr>
                <w:p w14:paraId="33AA4EE1">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穴播草籽</w:t>
                  </w:r>
                </w:p>
              </w:tc>
              <w:tc>
                <w:tcPr>
                  <w:tcW w:w="1523" w:type="dxa"/>
                  <w:tcBorders>
                    <w:tl2br w:val="nil"/>
                    <w:tr2bl w:val="nil"/>
                  </w:tcBorders>
                  <w:noWrap w:val="0"/>
                  <w:vAlign w:val="center"/>
                </w:tcPr>
                <w:p w14:paraId="2EE94A05">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hm</w:t>
                  </w:r>
                  <w:r>
                    <w:rPr>
                      <w:rFonts w:hint="default" w:ascii="Times New Roman" w:hAnsi="Times New Roman" w:eastAsia="宋体" w:cs="Times New Roman"/>
                      <w:color w:val="auto"/>
                      <w:vertAlign w:val="superscript"/>
                    </w:rPr>
                    <w:t>2</w:t>
                  </w:r>
                </w:p>
              </w:tc>
              <w:tc>
                <w:tcPr>
                  <w:tcW w:w="2657" w:type="dxa"/>
                  <w:tcBorders>
                    <w:tl2br w:val="nil"/>
                    <w:tr2bl w:val="nil"/>
                  </w:tcBorders>
                  <w:noWrap w:val="0"/>
                  <w:vAlign w:val="center"/>
                </w:tcPr>
                <w:p w14:paraId="5B67D19F">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304.00</w:t>
                  </w:r>
                </w:p>
              </w:tc>
            </w:tr>
            <w:tr w14:paraId="1F6B8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70EC71F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6</w:t>
                  </w:r>
                </w:p>
              </w:tc>
              <w:tc>
                <w:tcPr>
                  <w:tcW w:w="2532" w:type="dxa"/>
                  <w:tcBorders>
                    <w:tl2br w:val="nil"/>
                    <w:tr2bl w:val="nil"/>
                  </w:tcBorders>
                  <w:noWrap w:val="0"/>
                  <w:vAlign w:val="center"/>
                </w:tcPr>
                <w:p w14:paraId="21AC3A43">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围栏工程</w:t>
                  </w:r>
                </w:p>
              </w:tc>
              <w:tc>
                <w:tcPr>
                  <w:tcW w:w="1523" w:type="dxa"/>
                  <w:tcBorders>
                    <w:tl2br w:val="nil"/>
                    <w:tr2bl w:val="nil"/>
                  </w:tcBorders>
                  <w:noWrap w:val="0"/>
                  <w:vAlign w:val="center"/>
                </w:tcPr>
                <w:p w14:paraId="645668EE">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m</w:t>
                  </w:r>
                </w:p>
              </w:tc>
              <w:tc>
                <w:tcPr>
                  <w:tcW w:w="2657" w:type="dxa"/>
                  <w:tcBorders>
                    <w:tl2br w:val="nil"/>
                    <w:tr2bl w:val="nil"/>
                  </w:tcBorders>
                  <w:noWrap w:val="0"/>
                  <w:vAlign w:val="center"/>
                </w:tcPr>
                <w:p w14:paraId="43D3C804">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430</w:t>
                  </w:r>
                </w:p>
              </w:tc>
            </w:tr>
            <w:tr w14:paraId="3B72B7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526" w:type="dxa"/>
                  <w:tcBorders>
                    <w:tl2br w:val="nil"/>
                    <w:tr2bl w:val="nil"/>
                  </w:tcBorders>
                  <w:noWrap w:val="0"/>
                  <w:vAlign w:val="center"/>
                </w:tcPr>
                <w:p w14:paraId="174D4948">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7</w:t>
                  </w:r>
                </w:p>
              </w:tc>
              <w:tc>
                <w:tcPr>
                  <w:tcW w:w="2532" w:type="dxa"/>
                  <w:tcBorders>
                    <w:tl2br w:val="nil"/>
                    <w:tr2bl w:val="nil"/>
                  </w:tcBorders>
                  <w:noWrap w:val="0"/>
                  <w:vAlign w:val="center"/>
                </w:tcPr>
                <w:p w14:paraId="5497BFE3">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栽植旱榆</w:t>
                  </w:r>
                </w:p>
              </w:tc>
              <w:tc>
                <w:tcPr>
                  <w:tcW w:w="1523" w:type="dxa"/>
                  <w:tcBorders>
                    <w:tl2br w:val="nil"/>
                    <w:tr2bl w:val="nil"/>
                  </w:tcBorders>
                  <w:noWrap w:val="0"/>
                  <w:vAlign w:val="center"/>
                </w:tcPr>
                <w:p w14:paraId="3C99C8E9">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株</w:t>
                  </w:r>
                </w:p>
              </w:tc>
              <w:tc>
                <w:tcPr>
                  <w:tcW w:w="2657" w:type="dxa"/>
                  <w:tcBorders>
                    <w:tl2br w:val="nil"/>
                    <w:tr2bl w:val="nil"/>
                  </w:tcBorders>
                  <w:noWrap w:val="0"/>
                  <w:vAlign w:val="center"/>
                </w:tcPr>
                <w:p w14:paraId="13E65AC7">
                  <w:pPr>
                    <w:pStyle w:val="33"/>
                    <w:keepNext w:val="0"/>
                    <w:keepLines w:val="0"/>
                    <w:suppressLineNumbers w:val="0"/>
                    <w:bidi w:val="0"/>
                    <w:spacing w:beforeAutospacing="0" w:afterAutospacing="0"/>
                    <w:ind w:left="0" w:right="0"/>
                    <w:jc w:val="center"/>
                    <w:rPr>
                      <w:rFonts w:hint="default" w:cs="Times New Roman"/>
                      <w:color w:val="auto"/>
                    </w:rPr>
                  </w:pPr>
                  <w:r>
                    <w:rPr>
                      <w:rFonts w:hint="default" w:cs="Times New Roman"/>
                      <w:color w:val="auto"/>
                    </w:rPr>
                    <w:t>29812.00</w:t>
                  </w:r>
                </w:p>
              </w:tc>
            </w:tr>
          </w:tbl>
          <w:p w14:paraId="49D3650E">
            <w:pPr>
              <w:pStyle w:val="2"/>
              <w:keepLines w:val="0"/>
              <w:suppressLineNumbers w:val="0"/>
              <w:bidi w:val="0"/>
              <w:spacing w:before="0" w:beforeAutospacing="0" w:after="0" w:afterAutospacing="0"/>
              <w:ind w:left="0" w:right="0"/>
              <w:jc w:val="left"/>
              <w:rPr>
                <w:rFonts w:hint="eastAsia"/>
                <w:color w:val="auto"/>
                <w:lang w:val="en-US" w:eastAsia="zh-CN"/>
              </w:rPr>
            </w:pPr>
            <w:r>
              <w:rPr>
                <w:rFonts w:hint="eastAsia"/>
                <w:color w:val="auto"/>
                <w:lang w:val="en-US" w:eastAsia="zh-CN"/>
              </w:rPr>
              <w:t>4 主要工程参数</w:t>
            </w:r>
          </w:p>
          <w:p w14:paraId="21FA7BC5">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1 \* GB2 \* MERGEFORMAT </w:instrText>
            </w:r>
            <w:r>
              <w:rPr>
                <w:rFonts w:hint="default"/>
                <w:color w:val="auto"/>
                <w:lang w:val="en-US" w:eastAsia="zh-CN"/>
              </w:rPr>
              <w:fldChar w:fldCharType="separate"/>
            </w:r>
            <w:r>
              <w:rPr>
                <w:rFonts w:hint="default"/>
                <w:color w:val="auto"/>
              </w:rPr>
              <w:t>⑴</w:t>
            </w:r>
            <w:r>
              <w:rPr>
                <w:rFonts w:hint="default"/>
                <w:color w:val="auto"/>
                <w:lang w:val="en-US" w:eastAsia="zh-CN"/>
              </w:rPr>
              <w:fldChar w:fldCharType="end"/>
            </w:r>
            <w:r>
              <w:rPr>
                <w:rFonts w:hint="default"/>
                <w:color w:val="auto"/>
              </w:rPr>
              <w:t>培坡护坡及凹陷处回填工程</w:t>
            </w:r>
          </w:p>
          <w:p w14:paraId="3A1A0B1B">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涉及</w:t>
            </w:r>
            <w:r>
              <w:rPr>
                <w:rFonts w:hint="default"/>
                <w:color w:val="auto"/>
              </w:rPr>
              <w:t>培坡护坡及凹陷处回填工程</w:t>
            </w:r>
            <w:r>
              <w:rPr>
                <w:rFonts w:hint="eastAsia"/>
                <w:color w:val="auto"/>
                <w:lang w:eastAsia="zh-CN"/>
              </w:rPr>
              <w:t>的</w:t>
            </w:r>
            <w:r>
              <w:rPr>
                <w:rFonts w:hint="eastAsia"/>
                <w:color w:val="auto"/>
                <w:lang w:val="en-US" w:eastAsia="zh-CN"/>
              </w:rPr>
              <w:t>治理区为</w:t>
            </w:r>
            <w:r>
              <w:rPr>
                <w:rFonts w:hint="default"/>
                <w:color w:val="auto"/>
              </w:rPr>
              <w:t>A5、A9、A19、A20、A21、A22、A31、A33</w:t>
            </w:r>
            <w:r>
              <w:rPr>
                <w:rFonts w:hint="eastAsia"/>
                <w:color w:val="auto"/>
                <w:lang w:eastAsia="zh-CN"/>
              </w:rPr>
              <w:t>，</w:t>
            </w:r>
            <w:r>
              <w:rPr>
                <w:rFonts w:hint="default"/>
                <w:color w:val="auto"/>
              </w:rPr>
              <w:t>根据治理区地形地貌特点，对高陡边坡采取边坡坡脚培土及凹陷处回填，构建与周边地形地貌相协调的边坡，稳固边坡，回填分级进行，每级台阶高度5m，坡比1:2，预留平台宽度4m，每级平台设5%的反坡，在台阶外侧设置土埂，土埂高0.3m，底宽0.5m，顶宽0.3m</w:t>
            </w:r>
            <w:r>
              <w:rPr>
                <w:rFonts w:hint="eastAsia"/>
                <w:color w:val="auto"/>
                <w:lang w:eastAsia="zh-CN"/>
              </w:rPr>
              <w:t>。</w:t>
            </w:r>
          </w:p>
          <w:p w14:paraId="77431D2F">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2 \* GB2 \* MERGEFORMAT </w:instrText>
            </w:r>
            <w:r>
              <w:rPr>
                <w:rFonts w:hint="default"/>
                <w:color w:val="auto"/>
                <w:lang w:val="en-US" w:eastAsia="zh-CN"/>
              </w:rPr>
              <w:fldChar w:fldCharType="separate"/>
            </w:r>
            <w:r>
              <w:rPr>
                <w:rFonts w:hint="default"/>
                <w:color w:val="auto"/>
              </w:rPr>
              <w:t>⑵</w:t>
            </w:r>
            <w:r>
              <w:rPr>
                <w:rFonts w:hint="default"/>
                <w:color w:val="auto"/>
                <w:lang w:val="en-US" w:eastAsia="zh-CN"/>
              </w:rPr>
              <w:fldChar w:fldCharType="end"/>
            </w:r>
            <w:r>
              <w:rPr>
                <w:rFonts w:hint="default"/>
                <w:color w:val="auto"/>
              </w:rPr>
              <w:t>场地平整工程</w:t>
            </w:r>
          </w:p>
          <w:p w14:paraId="31B1BA8F">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35个治理区均存在大小不等的渣堆，</w:t>
            </w:r>
            <w:r>
              <w:rPr>
                <w:rFonts w:hint="eastAsia"/>
                <w:color w:val="auto"/>
                <w:lang w:val="en-US" w:eastAsia="zh-CN"/>
              </w:rPr>
              <w:t>共计28.8万m</w:t>
            </w:r>
            <w:r>
              <w:rPr>
                <w:rFonts w:hint="eastAsia"/>
                <w:color w:val="auto"/>
                <w:vertAlign w:val="superscript"/>
                <w:lang w:val="en-US" w:eastAsia="zh-CN"/>
              </w:rPr>
              <w:t>3</w:t>
            </w:r>
            <w:r>
              <w:rPr>
                <w:rFonts w:hint="eastAsia"/>
                <w:color w:val="auto"/>
                <w:lang w:val="en-US" w:eastAsia="zh-CN"/>
              </w:rPr>
              <w:t>，主要</w:t>
            </w:r>
            <w:r>
              <w:rPr>
                <w:rFonts w:hint="default" w:ascii="宋体" w:hAnsi="宋体" w:eastAsia="宋体" w:cs="宋体"/>
                <w:b w:val="0"/>
                <w:bCs w:val="0"/>
                <w:color w:val="auto"/>
                <w:sz w:val="24"/>
                <w:szCs w:val="24"/>
              </w:rPr>
              <w:t>以大块的岩石为主</w:t>
            </w:r>
            <w:r>
              <w:rPr>
                <w:rFonts w:hint="eastAsia" w:ascii="宋体" w:hAnsi="宋体" w:eastAsia="宋体" w:cs="宋体"/>
                <w:b w:val="0"/>
                <w:bCs w:val="0"/>
                <w:color w:val="auto"/>
                <w:sz w:val="24"/>
                <w:szCs w:val="24"/>
                <w:lang w:eastAsia="zh-CN"/>
              </w:rPr>
              <w:t>，</w:t>
            </w:r>
            <w:r>
              <w:rPr>
                <w:rFonts w:hint="default"/>
                <w:color w:val="auto"/>
              </w:rPr>
              <w:t>对其进行削高填低，并对坡脚大于10m部位进行削坡降台，每级台阶高度5m，坡比1:2，预留平台宽度3m，每级平台设5%的反坡，在台阶外侧设置土埂</w:t>
            </w:r>
            <w:r>
              <w:rPr>
                <w:rFonts w:hint="eastAsia"/>
                <w:color w:val="auto"/>
                <w:lang w:eastAsia="zh-CN"/>
              </w:rPr>
              <w:t>。</w:t>
            </w:r>
          </w:p>
          <w:p w14:paraId="365BB336">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3 \* GB2 \* MERGEFORMAT </w:instrText>
            </w:r>
            <w:r>
              <w:rPr>
                <w:rFonts w:hint="default"/>
                <w:color w:val="auto"/>
                <w:lang w:val="en-US" w:eastAsia="zh-CN"/>
              </w:rPr>
              <w:fldChar w:fldCharType="separate"/>
            </w:r>
            <w:r>
              <w:rPr>
                <w:rFonts w:hint="default"/>
                <w:color w:val="auto"/>
              </w:rPr>
              <w:t>⑶</w:t>
            </w:r>
            <w:r>
              <w:rPr>
                <w:rFonts w:hint="default"/>
                <w:color w:val="auto"/>
                <w:lang w:val="en-US" w:eastAsia="zh-CN"/>
              </w:rPr>
              <w:fldChar w:fldCharType="end"/>
            </w:r>
            <w:r>
              <w:rPr>
                <w:rFonts w:hint="default"/>
                <w:color w:val="auto"/>
              </w:rPr>
              <w:t>采坑回填工程</w:t>
            </w:r>
          </w:p>
          <w:p w14:paraId="232992C0">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涉及</w:t>
            </w:r>
            <w:r>
              <w:rPr>
                <w:rFonts w:hint="default"/>
                <w:color w:val="auto"/>
              </w:rPr>
              <w:t>采坑回填工程</w:t>
            </w:r>
            <w:r>
              <w:rPr>
                <w:rFonts w:hint="eastAsia"/>
                <w:color w:val="auto"/>
                <w:lang w:eastAsia="zh-CN"/>
              </w:rPr>
              <w:t>的</w:t>
            </w:r>
            <w:r>
              <w:rPr>
                <w:rFonts w:hint="eastAsia"/>
                <w:color w:val="auto"/>
                <w:lang w:val="en-US" w:eastAsia="zh-CN"/>
              </w:rPr>
              <w:t>治理区为</w:t>
            </w:r>
            <w:r>
              <w:rPr>
                <w:rFonts w:hint="default"/>
                <w:color w:val="auto"/>
              </w:rPr>
              <w:t>A1、A5、A9、A13、A29、A31</w:t>
            </w:r>
            <w:r>
              <w:rPr>
                <w:rFonts w:hint="eastAsia"/>
                <w:color w:val="auto"/>
                <w:lang w:eastAsia="zh-CN"/>
              </w:rPr>
              <w:t>。</w:t>
            </w:r>
            <w:r>
              <w:rPr>
                <w:rFonts w:hint="default"/>
                <w:color w:val="auto"/>
              </w:rPr>
              <w:t>采用人工回填机械夯实的方法，自下而上依次将渣土</w:t>
            </w:r>
            <w:r>
              <w:rPr>
                <w:rFonts w:hint="eastAsia"/>
                <w:color w:val="auto"/>
                <w:lang w:eastAsia="zh-CN"/>
              </w:rPr>
              <w:t>（</w:t>
            </w:r>
            <w:r>
              <w:rPr>
                <w:rFonts w:hint="eastAsia"/>
                <w:color w:val="auto"/>
                <w:lang w:val="en-US" w:eastAsia="zh-CN"/>
              </w:rPr>
              <w:t>岩石渣</w:t>
            </w:r>
            <w:r>
              <w:rPr>
                <w:rFonts w:hint="eastAsia"/>
                <w:color w:val="auto"/>
                <w:lang w:eastAsia="zh-CN"/>
              </w:rPr>
              <w:t>）</w:t>
            </w:r>
            <w:r>
              <w:rPr>
                <w:rFonts w:hint="default"/>
                <w:color w:val="auto"/>
              </w:rPr>
              <w:t>直接设法倾倒于坑道区内，然后进行分层回填夯实，回填材料以30cm为一层，回填压实系数不小于0.80</w:t>
            </w:r>
            <w:r>
              <w:rPr>
                <w:rFonts w:hint="eastAsia"/>
                <w:color w:val="auto"/>
                <w:lang w:eastAsia="zh-CN"/>
              </w:rPr>
              <w:t>。</w:t>
            </w:r>
          </w:p>
          <w:p w14:paraId="31B1FC82">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4 \* GB2 \* MERGEFORMAT </w:instrText>
            </w:r>
            <w:r>
              <w:rPr>
                <w:rFonts w:hint="default"/>
                <w:color w:val="auto"/>
                <w:lang w:val="en-US" w:eastAsia="zh-CN"/>
              </w:rPr>
              <w:fldChar w:fldCharType="separate"/>
            </w:r>
            <w:r>
              <w:rPr>
                <w:rFonts w:hint="default"/>
                <w:color w:val="auto"/>
              </w:rPr>
              <w:t>⑷</w:t>
            </w:r>
            <w:r>
              <w:rPr>
                <w:rFonts w:hint="default"/>
                <w:color w:val="auto"/>
                <w:lang w:val="en-US" w:eastAsia="zh-CN"/>
              </w:rPr>
              <w:fldChar w:fldCharType="end"/>
            </w:r>
            <w:r>
              <w:rPr>
                <w:rFonts w:hint="default"/>
                <w:color w:val="auto"/>
              </w:rPr>
              <w:t>覆土工程</w:t>
            </w:r>
          </w:p>
          <w:p w14:paraId="7C103A83">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治理区平整后，根据治理区现状条件，除高陡边坡无法覆土外，其余开采平台及垫填边坡等平缓区域均进行覆土，土源为</w:t>
            </w:r>
            <w:r>
              <w:rPr>
                <w:rFonts w:hint="eastAsia"/>
                <w:color w:val="auto"/>
                <w:lang w:val="en-US" w:eastAsia="zh-CN"/>
              </w:rPr>
              <w:t>对应</w:t>
            </w:r>
            <w:r>
              <w:rPr>
                <w:rFonts w:hint="default"/>
                <w:color w:val="auto"/>
              </w:rPr>
              <w:t>治理区内取土场和采场剥离和挖出的砂土</w:t>
            </w:r>
            <w:r>
              <w:rPr>
                <w:rFonts w:hint="eastAsia"/>
                <w:color w:val="auto"/>
                <w:lang w:val="en-US" w:eastAsia="zh-CN"/>
              </w:rPr>
              <w:t>用筛网进行</w:t>
            </w:r>
            <w:r>
              <w:rPr>
                <w:rFonts w:hint="default"/>
                <w:color w:val="auto"/>
              </w:rPr>
              <w:t>简单筛分，</w:t>
            </w:r>
            <w:r>
              <w:rPr>
                <w:rFonts w:hint="eastAsia"/>
                <w:color w:val="auto"/>
                <w:lang w:val="en-US" w:eastAsia="zh-CN"/>
              </w:rPr>
              <w:t>扬尘较大时洒水车洒水抑尘，</w:t>
            </w:r>
            <w:r>
              <w:rPr>
                <w:rFonts w:hint="default"/>
                <w:color w:val="auto"/>
              </w:rPr>
              <w:t>本次设计覆土位置为植被恢复区域，考虑项目区为采矿挖损、压占土地资源、植被恢复等，覆土厚度为0.3m</w:t>
            </w:r>
            <w:r>
              <w:rPr>
                <w:rFonts w:hint="eastAsia"/>
                <w:color w:val="auto"/>
                <w:lang w:eastAsia="zh-CN"/>
              </w:rPr>
              <w:t>。</w:t>
            </w:r>
          </w:p>
          <w:p w14:paraId="7B90F81C">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5 \* GB2 \* MERGEFORMAT </w:instrText>
            </w:r>
            <w:r>
              <w:rPr>
                <w:rFonts w:hint="default"/>
                <w:color w:val="auto"/>
                <w:lang w:val="en-US" w:eastAsia="zh-CN"/>
              </w:rPr>
              <w:fldChar w:fldCharType="separate"/>
            </w:r>
            <w:r>
              <w:rPr>
                <w:rFonts w:hint="default"/>
                <w:color w:val="auto"/>
              </w:rPr>
              <w:t>⑸</w:t>
            </w:r>
            <w:r>
              <w:rPr>
                <w:rFonts w:hint="default"/>
                <w:color w:val="auto"/>
                <w:lang w:val="en-US" w:eastAsia="zh-CN"/>
              </w:rPr>
              <w:fldChar w:fldCharType="end"/>
            </w:r>
            <w:r>
              <w:rPr>
                <w:rFonts w:hint="default"/>
                <w:color w:val="auto"/>
              </w:rPr>
              <w:t>植被恢复工程</w:t>
            </w:r>
          </w:p>
          <w:p w14:paraId="68C81564">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治理区及周边土地类型主要为天然牧草地，因此治理区生态恢复方向为人工牧草地。整平覆土后穴播草籽进行生态恢复</w:t>
            </w:r>
            <w:r>
              <w:rPr>
                <w:rFonts w:hint="eastAsia"/>
                <w:color w:val="auto"/>
                <w:lang w:eastAsia="zh-CN"/>
              </w:rPr>
              <w:t>。</w:t>
            </w:r>
          </w:p>
          <w:p w14:paraId="0F86B40A">
            <w:pPr>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fldChar w:fldCharType="begin"/>
            </w:r>
            <w:r>
              <w:rPr>
                <w:rFonts w:hint="default"/>
                <w:color w:val="auto"/>
                <w:lang w:val="en-US" w:eastAsia="zh-CN"/>
              </w:rPr>
              <w:instrText xml:space="preserve"> = 6 \* GB2 \* MERGEFORMAT </w:instrText>
            </w:r>
            <w:r>
              <w:rPr>
                <w:rFonts w:hint="default"/>
                <w:color w:val="auto"/>
                <w:lang w:val="en-US" w:eastAsia="zh-CN"/>
              </w:rPr>
              <w:fldChar w:fldCharType="separate"/>
            </w:r>
            <w:r>
              <w:rPr>
                <w:rFonts w:hint="default"/>
                <w:color w:val="auto"/>
              </w:rPr>
              <w:t>⑹</w:t>
            </w:r>
            <w:r>
              <w:rPr>
                <w:rFonts w:hint="default"/>
                <w:color w:val="auto"/>
                <w:lang w:val="en-US" w:eastAsia="zh-CN"/>
              </w:rPr>
              <w:fldChar w:fldCharType="end"/>
            </w:r>
            <w:r>
              <w:rPr>
                <w:rFonts w:hint="default"/>
                <w:color w:val="auto"/>
              </w:rPr>
              <w:t>围栏工程</w:t>
            </w:r>
          </w:p>
          <w:p w14:paraId="68CA64CC">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r>
              <w:rPr>
                <w:rFonts w:hint="default"/>
                <w:color w:val="auto"/>
              </w:rPr>
              <w:t>A1-4现状为坑塘，里面有水，</w:t>
            </w:r>
            <w:r>
              <w:rPr>
                <w:rFonts w:hint="default" w:cs="Times New Roman"/>
                <w:color w:val="auto"/>
              </w:rPr>
              <w:t>为保护附近居民生命安全</w:t>
            </w:r>
            <w:r>
              <w:rPr>
                <w:rFonts w:hint="eastAsia" w:cs="Times New Roman"/>
                <w:color w:val="auto"/>
                <w:lang w:eastAsia="zh-CN"/>
              </w:rPr>
              <w:t>，</w:t>
            </w:r>
            <w:r>
              <w:rPr>
                <w:rFonts w:hint="default"/>
                <w:color w:val="auto"/>
              </w:rPr>
              <w:t>周边设置围栏</w:t>
            </w:r>
            <w:r>
              <w:rPr>
                <w:rFonts w:hint="eastAsia"/>
                <w:color w:val="auto"/>
                <w:lang w:eastAsia="zh-CN"/>
              </w:rPr>
              <w:t>，</w:t>
            </w:r>
            <w:r>
              <w:rPr>
                <w:rFonts w:hint="default"/>
                <w:color w:val="auto"/>
              </w:rPr>
              <w:t>混凝土立柱及围栏高</w:t>
            </w:r>
            <w:r>
              <w:rPr>
                <w:rFonts w:hint="default" w:ascii="Times New Roman" w:hAnsi="Times New Roman" w:eastAsia="Times New Roman" w:cs="Times New Roman"/>
                <w:color w:val="auto"/>
              </w:rPr>
              <w:t>2m</w:t>
            </w:r>
            <w:r>
              <w:rPr>
                <w:rFonts w:hint="default"/>
                <w:color w:val="auto"/>
              </w:rPr>
              <w:t>，其中地上高度为</w:t>
            </w:r>
            <w:r>
              <w:rPr>
                <w:rFonts w:hint="default" w:ascii="Times New Roman" w:hAnsi="Times New Roman" w:eastAsia="Times New Roman" w:cs="Times New Roman"/>
                <w:color w:val="auto"/>
              </w:rPr>
              <w:t>1.5m</w:t>
            </w:r>
            <w:r>
              <w:rPr>
                <w:rFonts w:hint="eastAsia" w:eastAsia="宋体" w:cs="Times New Roman"/>
                <w:color w:val="auto"/>
                <w:lang w:eastAsia="zh-CN"/>
              </w:rPr>
              <w:t>，</w:t>
            </w:r>
            <w:r>
              <w:rPr>
                <w:rFonts w:hint="default"/>
                <w:color w:val="auto"/>
              </w:rPr>
              <w:t>桩柱基座采用混凝土制成，截面</w:t>
            </w:r>
            <w:r>
              <w:rPr>
                <w:rFonts w:hint="default" w:ascii="Times New Roman" w:hAnsi="Times New Roman" w:eastAsia="Times New Roman" w:cs="Times New Roman"/>
                <w:color w:val="auto"/>
              </w:rPr>
              <w:t>300mm</w:t>
            </w:r>
            <w:r>
              <w:rPr>
                <w:rFonts w:hint="default"/>
                <w:color w:val="auto"/>
              </w:rPr>
              <w:t>×</w:t>
            </w:r>
            <w:r>
              <w:rPr>
                <w:rFonts w:hint="default" w:ascii="Times New Roman" w:hAnsi="Times New Roman" w:eastAsia="Times New Roman" w:cs="Times New Roman"/>
                <w:color w:val="auto"/>
              </w:rPr>
              <w:t>300mm</w:t>
            </w:r>
            <w:r>
              <w:rPr>
                <w:rFonts w:hint="default"/>
                <w:color w:val="auto"/>
              </w:rPr>
              <w:t>，并在中央预留</w:t>
            </w:r>
            <w:r>
              <w:rPr>
                <w:rFonts w:hint="default" w:ascii="Times New Roman" w:hAnsi="Times New Roman" w:eastAsia="Times New Roman" w:cs="Times New Roman"/>
                <w:color w:val="auto"/>
              </w:rPr>
              <w:t>60mm</w:t>
            </w:r>
            <w:r>
              <w:rPr>
                <w:rFonts w:hint="default"/>
                <w:color w:val="auto"/>
              </w:rPr>
              <w:t>×</w:t>
            </w:r>
            <w:r>
              <w:rPr>
                <w:rFonts w:hint="default" w:ascii="Times New Roman" w:hAnsi="Times New Roman" w:eastAsia="Times New Roman" w:cs="Times New Roman"/>
                <w:color w:val="auto"/>
              </w:rPr>
              <w:t>60mm</w:t>
            </w:r>
            <w:r>
              <w:rPr>
                <w:rFonts w:hint="default"/>
                <w:color w:val="auto"/>
              </w:rPr>
              <w:t>的方孔，深</w:t>
            </w:r>
            <w:r>
              <w:rPr>
                <w:rFonts w:hint="default" w:ascii="Times New Roman" w:hAnsi="Times New Roman" w:eastAsia="Times New Roman" w:cs="Times New Roman"/>
                <w:color w:val="auto"/>
              </w:rPr>
              <w:t>300mm</w:t>
            </w:r>
            <w:r>
              <w:rPr>
                <w:rFonts w:hint="default"/>
                <w:color w:val="auto"/>
              </w:rPr>
              <w:t>以便与立柱现浇连接，桩柱基座总高</w:t>
            </w:r>
            <w:r>
              <w:rPr>
                <w:rFonts w:hint="default" w:ascii="Times New Roman" w:hAnsi="Times New Roman" w:eastAsia="Times New Roman" w:cs="Times New Roman"/>
                <w:color w:val="auto"/>
              </w:rPr>
              <w:t>500mm</w:t>
            </w:r>
            <w:r>
              <w:rPr>
                <w:rFonts w:hint="eastAsia" w:ascii="Times New Roman" w:hAnsi="Times New Roman" w:eastAsia="宋体" w:cs="Times New Roman"/>
                <w:color w:val="auto"/>
                <w:lang w:eastAsia="zh-CN"/>
              </w:rPr>
              <w:t>。</w:t>
            </w:r>
          </w:p>
          <w:p w14:paraId="55A29574">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p>
          <w:p w14:paraId="61812C19">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p>
          <w:p w14:paraId="721FFD7C">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p>
          <w:p w14:paraId="6D042738">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p>
          <w:p w14:paraId="13AC1171">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eastAsia="zh-CN"/>
              </w:rPr>
            </w:pPr>
          </w:p>
          <w:p w14:paraId="542B8BB1">
            <w:pPr>
              <w:pStyle w:val="3"/>
              <w:keepNext w:val="0"/>
              <w:keepLines w:val="0"/>
              <w:suppressLineNumbers w:val="0"/>
              <w:bidi w:val="0"/>
              <w:spacing w:before="0" w:beforeAutospacing="0" w:after="0" w:afterAutospacing="0"/>
              <w:ind w:left="0" w:right="0"/>
              <w:rPr>
                <w:rFonts w:hint="eastAsia"/>
                <w:color w:val="auto"/>
                <w:spacing w:val="2"/>
                <w:lang w:eastAsia="zh-CN"/>
              </w:rPr>
            </w:pPr>
            <w:r>
              <w:rPr>
                <w:rFonts w:hint="default" w:ascii="宋体" w:hAnsi="宋体" w:eastAsia="宋体" w:cs="宋体"/>
                <w:color w:val="auto"/>
                <w:sz w:val="20"/>
                <w:szCs w:val="20"/>
              </w:rPr>
              <w:drawing>
                <wp:anchor distT="0" distB="0" distL="114300" distR="114300" simplePos="0" relativeHeight="251660288" behindDoc="0" locked="0" layoutInCell="1" allowOverlap="1">
                  <wp:simplePos x="0" y="0"/>
                  <wp:positionH relativeFrom="column">
                    <wp:posOffset>83185</wp:posOffset>
                  </wp:positionH>
                  <wp:positionV relativeFrom="paragraph">
                    <wp:posOffset>44450</wp:posOffset>
                  </wp:positionV>
                  <wp:extent cx="5128895" cy="2056130"/>
                  <wp:effectExtent l="0" t="0" r="14605" b="1270"/>
                  <wp:wrapTopAndBottom/>
                  <wp:docPr id="11" name="图片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13"/>
                          <pic:cNvPicPr>
                            <a:picLocks noChangeAspect="1"/>
                          </pic:cNvPicPr>
                        </pic:nvPicPr>
                        <pic:blipFill>
                          <a:blip r:embed="rId9"/>
                          <a:stretch>
                            <a:fillRect/>
                          </a:stretch>
                        </pic:blipFill>
                        <pic:spPr>
                          <a:xfrm>
                            <a:off x="0" y="0"/>
                            <a:ext cx="5128895" cy="2056130"/>
                          </a:xfrm>
                          <a:prstGeom prst="rect">
                            <a:avLst/>
                          </a:prstGeom>
                          <a:noFill/>
                          <a:ln>
                            <a:noFill/>
                          </a:ln>
                        </pic:spPr>
                      </pic:pic>
                    </a:graphicData>
                  </a:graphic>
                </wp:anchor>
              </w:drawing>
            </w:r>
            <w:r>
              <w:rPr>
                <w:rFonts w:hint="eastAsia"/>
                <w:color w:val="auto"/>
                <w:lang w:val="en-US" w:eastAsia="zh-CN"/>
              </w:rPr>
              <w:t>图2-1  铁丝网围栏安装示意图</w:t>
            </w:r>
          </w:p>
          <w:p w14:paraId="46BC37BA">
            <w:pPr>
              <w:keepNext w:val="0"/>
              <w:keepLines w:val="0"/>
              <w:suppressLineNumbers w:val="0"/>
              <w:bidi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7 \* GB2 \* MERGEFORMAT </w:instrText>
            </w:r>
            <w:r>
              <w:rPr>
                <w:rFonts w:hint="default"/>
                <w:color w:val="auto"/>
              </w:rPr>
              <w:fldChar w:fldCharType="separate"/>
            </w:r>
            <w:r>
              <w:rPr>
                <w:rFonts w:hint="default"/>
                <w:color w:val="auto"/>
              </w:rPr>
              <w:t>⑺</w:t>
            </w:r>
            <w:r>
              <w:rPr>
                <w:rFonts w:hint="default"/>
                <w:color w:val="auto"/>
              </w:rPr>
              <w:fldChar w:fldCharType="end"/>
            </w:r>
            <w:r>
              <w:rPr>
                <w:rFonts w:hint="default"/>
                <w:color w:val="auto"/>
              </w:rPr>
              <w:t>宣传牌工程</w:t>
            </w:r>
          </w:p>
          <w:p w14:paraId="131C9408">
            <w:pPr>
              <w:keepNext w:val="0"/>
              <w:keepLines w:val="0"/>
              <w:suppressLineNumbers w:val="0"/>
              <w:bidi w:val="0"/>
              <w:spacing w:before="0" w:beforeAutospacing="0" w:after="0" w:afterAutospacing="0"/>
              <w:ind w:left="0" w:right="0"/>
              <w:rPr>
                <w:rFonts w:hint="default"/>
                <w:color w:val="auto"/>
              </w:rPr>
            </w:pPr>
            <w:r>
              <w:rPr>
                <w:rFonts w:hint="default"/>
                <w:color w:val="auto"/>
                <w:spacing w:val="3"/>
              </w:rPr>
              <w:t>宣传牌尺寸为</w:t>
            </w:r>
            <w:r>
              <w:rPr>
                <w:rFonts w:hint="default" w:ascii="Times New Roman" w:hAnsi="Times New Roman" w:eastAsia="Times New Roman" w:cs="Times New Roman"/>
                <w:color w:val="auto"/>
              </w:rPr>
              <w:t>5000mm</w:t>
            </w:r>
            <w:r>
              <w:rPr>
                <w:rFonts w:hint="default"/>
                <w:color w:val="auto"/>
              </w:rPr>
              <w:t>×</w:t>
            </w:r>
            <w:r>
              <w:rPr>
                <w:rFonts w:hint="default" w:ascii="Times New Roman" w:hAnsi="Times New Roman" w:eastAsia="Times New Roman" w:cs="Times New Roman"/>
                <w:color w:val="auto"/>
              </w:rPr>
              <w:t>3000mm</w:t>
            </w:r>
            <w:r>
              <w:rPr>
                <w:rFonts w:hint="default"/>
                <w:color w:val="auto"/>
              </w:rPr>
              <w:t>，支撑采用双立柱，埋地深</w:t>
            </w:r>
            <w:r>
              <w:rPr>
                <w:rFonts w:hint="default" w:ascii="Times New Roman" w:hAnsi="Times New Roman" w:eastAsia="Times New Roman" w:cs="Times New Roman"/>
                <w:color w:val="auto"/>
              </w:rPr>
              <w:t>800mm</w:t>
            </w:r>
            <w:r>
              <w:rPr>
                <w:rFonts w:hint="default"/>
                <w:color w:val="auto"/>
              </w:rPr>
              <w:t>。基础长×宽×深：</w:t>
            </w:r>
            <w:r>
              <w:rPr>
                <w:rFonts w:hint="default" w:ascii="Times New Roman" w:hAnsi="Times New Roman" w:eastAsia="Times New Roman" w:cs="Times New Roman"/>
                <w:color w:val="auto"/>
              </w:rPr>
              <w:t>800</w:t>
            </w:r>
            <w:r>
              <w:rPr>
                <w:rFonts w:hint="default"/>
                <w:color w:val="auto"/>
              </w:rPr>
              <w:t>×</w:t>
            </w:r>
            <w:r>
              <w:rPr>
                <w:rFonts w:hint="default" w:ascii="Times New Roman" w:hAnsi="Times New Roman" w:eastAsia="Times New Roman" w:cs="Times New Roman"/>
                <w:color w:val="auto"/>
              </w:rPr>
              <w:t>800</w:t>
            </w:r>
            <w:r>
              <w:rPr>
                <w:rFonts w:hint="default"/>
                <w:color w:val="auto"/>
              </w:rPr>
              <w:t>×</w:t>
            </w:r>
            <w:r>
              <w:rPr>
                <w:rFonts w:hint="default" w:ascii="Times New Roman" w:hAnsi="Times New Roman" w:eastAsia="Times New Roman" w:cs="Times New Roman"/>
                <w:color w:val="auto"/>
              </w:rPr>
              <w:t>800mm</w:t>
            </w:r>
            <w:r>
              <w:rPr>
                <w:rFonts w:hint="default"/>
                <w:color w:val="auto"/>
              </w:rPr>
              <w:t>，底座采用</w:t>
            </w:r>
            <w:r>
              <w:rPr>
                <w:rFonts w:hint="default" w:ascii="Times New Roman" w:hAnsi="Times New Roman" w:eastAsia="Times New Roman" w:cs="Times New Roman"/>
                <w:color w:val="auto"/>
              </w:rPr>
              <w:t>C20</w:t>
            </w:r>
            <w:r>
              <w:rPr>
                <w:rFonts w:hint="default"/>
                <w:color w:val="auto"/>
              </w:rPr>
              <w:t>混凝土现浇或预制混凝土预埋件后</w:t>
            </w:r>
            <w:r>
              <w:rPr>
                <w:rFonts w:hint="default"/>
                <w:color w:val="auto"/>
                <w:spacing w:val="2"/>
              </w:rPr>
              <w:t>现场埋设。基础开挖后原土夯实后作为基础持力层，通过预埋扣件与立柱牢固连接</w:t>
            </w:r>
            <w:r>
              <w:rPr>
                <w:rFonts w:hint="eastAsia"/>
                <w:color w:val="auto"/>
                <w:spacing w:val="2"/>
                <w:lang w:eastAsia="zh-CN"/>
              </w:rPr>
              <w:t>。</w:t>
            </w:r>
          </w:p>
          <w:p w14:paraId="7C198FAE">
            <w:pPr>
              <w:pStyle w:val="3"/>
              <w:keepNext w:val="0"/>
              <w:keepLines w:val="0"/>
              <w:suppressLineNumbers w:val="0"/>
              <w:bidi w:val="0"/>
              <w:spacing w:before="0" w:beforeAutospacing="0" w:after="0" w:afterAutospacing="0"/>
              <w:ind w:left="0" w:right="0"/>
              <w:rPr>
                <w:rFonts w:hint="default"/>
                <w:color w:val="auto"/>
                <w:lang w:val="en-US" w:eastAsia="zh-CN"/>
              </w:rPr>
            </w:pPr>
            <w:r>
              <w:rPr>
                <w:rFonts w:hint="default" w:ascii="宋体" w:hAnsi="宋体" w:eastAsia="宋体" w:cs="宋体"/>
                <w:color w:val="auto"/>
                <w:sz w:val="20"/>
                <w:szCs w:val="20"/>
              </w:rPr>
              <mc:AlternateContent>
                <mc:Choice Requires="wpg">
                  <w:drawing>
                    <wp:anchor distT="0" distB="0" distL="114300" distR="114300" simplePos="0" relativeHeight="251661312" behindDoc="0" locked="0" layoutInCell="1" allowOverlap="1">
                      <wp:simplePos x="0" y="0"/>
                      <wp:positionH relativeFrom="column">
                        <wp:posOffset>842010</wp:posOffset>
                      </wp:positionH>
                      <wp:positionV relativeFrom="paragraph">
                        <wp:posOffset>26035</wp:posOffset>
                      </wp:positionV>
                      <wp:extent cx="3108325" cy="3956685"/>
                      <wp:effectExtent l="2540" t="2540" r="13335" b="3175"/>
                      <wp:wrapTopAndBottom/>
                      <wp:docPr id="16" name="组合 1318"/>
                      <wp:cNvGraphicFramePr/>
                      <a:graphic xmlns:a="http://schemas.openxmlformats.org/drawingml/2006/main">
                        <a:graphicData uri="http://schemas.microsoft.com/office/word/2010/wordprocessingGroup">
                          <wpg:wgp>
                            <wpg:cNvGrpSpPr/>
                            <wpg:grpSpPr>
                              <a:xfrm>
                                <a:off x="0" y="0"/>
                                <a:ext cx="3108325" cy="3956685"/>
                                <a:chOff x="0" y="0"/>
                                <a:chExt cx="4681" cy="5899"/>
                              </a:xfrm>
                            </wpg:grpSpPr>
                            <pic:pic xmlns:pic="http://schemas.openxmlformats.org/drawingml/2006/picture">
                              <pic:nvPicPr>
                                <pic:cNvPr id="17" name="图片 1319"/>
                                <pic:cNvPicPr>
                                  <a:picLocks noChangeAspect="1"/>
                                </pic:cNvPicPr>
                              </pic:nvPicPr>
                              <pic:blipFill>
                                <a:blip r:embed="rId10"/>
                                <a:stretch>
                                  <a:fillRect/>
                                </a:stretch>
                              </pic:blipFill>
                              <pic:spPr>
                                <a:xfrm>
                                  <a:off x="5" y="5"/>
                                  <a:ext cx="4670" cy="5889"/>
                                </a:xfrm>
                                <a:prstGeom prst="rect">
                                  <a:avLst/>
                                </a:prstGeom>
                                <a:noFill/>
                                <a:ln>
                                  <a:noFill/>
                                </a:ln>
                              </pic:spPr>
                            </pic:pic>
                            <wpg:grpSp>
                              <wpg:cNvPr id="18" name="组合 1320"/>
                              <wpg:cNvGrpSpPr/>
                              <wpg:grpSpPr>
                                <a:xfrm>
                                  <a:off x="3" y="3"/>
                                  <a:ext cx="4676" cy="5894"/>
                                  <a:chOff x="3" y="3"/>
                                  <a:chExt cx="4676" cy="5894"/>
                                </a:xfrm>
                              </wpg:grpSpPr>
                              <wps:wsp>
                                <wps:cNvPr id="19" name="任意多边形 1321"/>
                                <wps:cNvSpPr/>
                                <wps:spPr>
                                  <a:xfrm>
                                    <a:off x="3" y="3"/>
                                    <a:ext cx="4676" cy="5894"/>
                                  </a:xfrm>
                                  <a:custGeom>
                                    <a:avLst/>
                                    <a:gdLst/>
                                    <a:ahLst/>
                                    <a:cxnLst/>
                                    <a:pathLst>
                                      <a:path w="4676" h="5894">
                                        <a:moveTo>
                                          <a:pt x="0" y="5893"/>
                                        </a:moveTo>
                                        <a:lnTo>
                                          <a:pt x="4675" y="5893"/>
                                        </a:lnTo>
                                        <a:lnTo>
                                          <a:pt x="4675" y="0"/>
                                        </a:lnTo>
                                        <a:lnTo>
                                          <a:pt x="0" y="0"/>
                                        </a:lnTo>
                                        <a:lnTo>
                                          <a:pt x="0" y="5893"/>
                                        </a:lnTo>
                                        <a:close/>
                                      </a:path>
                                    </a:pathLst>
                                  </a:custGeom>
                                  <a:noFill/>
                                  <a:ln w="3175" cap="flat" cmpd="sng">
                                    <a:solidFill>
                                      <a:srgbClr val="000000"/>
                                    </a:solidFill>
                                    <a:prstDash val="solid"/>
                                    <a:headEnd type="none" w="med" len="med"/>
                                    <a:tailEnd type="none" w="med" len="med"/>
                                  </a:ln>
                                </wps:spPr>
                                <wps:bodyPr vert="horz" wrap="square" anchor="t" anchorCtr="0" upright="1"/>
                              </wps:wsp>
                            </wpg:grpSp>
                          </wpg:wgp>
                        </a:graphicData>
                      </a:graphic>
                    </wp:anchor>
                  </w:drawing>
                </mc:Choice>
                <mc:Fallback>
                  <w:pict>
                    <v:group id="组合 1318" o:spid="_x0000_s1026" o:spt="203" style="position:absolute;left:0pt;margin-left:66.3pt;margin-top:2.05pt;height:311.55pt;width:244.75pt;mso-wrap-distance-bottom:0pt;mso-wrap-distance-top:0pt;z-index:251661312;mso-width-relative:page;mso-height-relative:page;" coordsize="4681,5899" o:gfxdata="UEsDBAoAAAAAAIdO4kAAAAAAAAAAAAAAAAAEAAAAZHJzL1BLAwQUAAAACACHTuJAqt72NtgAAAAJ&#10;AQAADwAAAGRycy9kb3ducmV2LnhtbE2PQUvDQBCF74L/YRnBm91sqlFiNkWKeiqCrVB622anSWh2&#10;NmS3SfvvnZ709h7v8eabYnF2nRhxCK0nDWqWgECqvG2p1vCz+Xh4ARGiIWs6T6jhggEW5e1NYXLr&#10;J/rGcR1rwSMUcqOhibHPpQxVg86Eme+RODv4wZnIdqilHczE466TaZJk0pmW+EJjelw2WB3XJ6fh&#10;czLT21y9j6vjYXnZbZ6+tiuFWt/fqeQVRMRz/CvDFZ/RoWSmvT+RDaJjP08zrmp4VCA4z9KUxf4q&#10;nlOQZSH/f1D+AlBLAwQUAAAACACHTuJAwwm2J8sDAADGCQAADgAAAGRycy9lMm9Eb2MueG1stVbb&#10;bhs3EH0v0H8g9r3WzZKlheWgsBOjQNAaSfoBFJd7QXdJlqQku88B0j61z81b0Z8ojOZr6qaf0TPk&#10;rm6uEadoBUgaksPhzJkzQ54+uW5qtpLWVVrNk8FRP2FSCZ1VqpgnX7969tk0Yc5zlfFaKzlPbqRL&#10;npx9+snp2qRyqEtdZ9IyGFEuXZt5Unpv0l7PiVI23B1pIxUWc20b7jG0RS+zfA3rTd0b9vuT3lrb&#10;zFgtpHOYvYiLSWvRPsagzvNKyAstlo1UPlq1suYeIbmyMi45C97muRT+qzx30rN6niBSH35xCOQF&#10;/fbOTnlaWG7KSrQu8Me4cBBTwyuFQzemLrjnbGmre6aaSljtdO6PhG56MZCACKIY9A+wubR6aUIs&#10;RbouzAZ0JOoA9X9tVny5urKsysCEScIUb5Dx97ev7376ng1GgynhszZFCrVLa16aK9tOFHFEIV/n&#10;tqF/BMOuA7I3G2TltWcCk6NBfzoajhMmsDaajSeT6ThiL0ok6N4+UT5tdx5PpoO4bTydzWhPrzuy&#10;R55tHDGVSPFtQYJ0D6QPUxO7/NJKQE7W1OqqElc2DnaAOumAunv77v0Pbwio4BjtIbW4iZM3z7X4&#10;xjGlz0uuCvm5MyAkoA5h7Kv3aLh34qKuzLOqrglbkv/bCmE2lc1CIvH2iyw4xFPnrfSipANzHPwC&#10;zka8NwvBy61j5LMDKf6BBsg1Ut0muaPB8eQEhUccGE+n+8kEXNb5S6kbRgLcwulIBE/56rlr/ehU&#10;aFppAgf+8bRWexMgCM0EX6N3QYSzkcyBMv9zMaGJHhTTMDSbjyymUUBxFEtlB0XUakRxdnxQRns7&#10;dsvo5GDPA2W0NmjrriMbRvfK6KN6zcuSG6onMrtTQrMOnj9ub/98/ePdrz//9e63u99/QS0NAxlb&#10;/U3HcQ/xbC/ehxHaRMtTsYw82+UWGncWWQa+lZ0krlUnGu5pmvaQyNbzBGQGpCVxGVmglUav5Csd&#10;dPy2pWE5JBAubBVqtasIU229bHU7je7fBJMbzcCmwPRoaF8NVdY14Q/o7HjXmRC1djIWPsUaOu4m&#10;fpjbBXCvCgmV0YBCERwvgxw3MsTGoMk4VQSInK6rrOtqzhaL89qyFafbOXzaBr+nRlV/wV0Z9cJS&#10;JH0pefZUZczfGFxbCs+VhFxoZJawWuJ1Q1LoEJ5X9WM0A1gImOgXWwdJC53d4JbEowl9qdT2OxyD&#10;JwOi+nbJcV0wrgSm5wnCjeK5j2+MpbFVUWJXbPlkDMUVDmivrlbG9R5wbp8i9H7YHQet7fPr7G9Q&#10;SwMECgAAAAAAh07iQAAAAAAAAAAAAAAAAAoAAABkcnMvbWVkaWEvUEsDBBQAAAAIAIdO4kD/kScA&#10;mu0AAJDtAAAVAAAAZHJzL21lZGlhL2ltYWdlMS5qcGVnAJDtbxL/2P/gABBKRklGAAEBAQBgAGAA&#10;AP/bAEMAAwICAwICAwMDAwQDAwQFCAUFBAQFCgcHBggMCgwMCwoLCw0OEhANDhEOCwsQFhARExQV&#10;FRUMDxcYFhQYEhQVFP/bAEMBAwQEBQQFCQUFCRQNCw0UFBQUFBQUFBQUFBQUFBQUFBQUFBQUFBQU&#10;FBQUFBQUFBQUFBQUFBQUFBQUFBQUFBQUFP/AABEIA1EC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DxT4r/tB6d4Bu&#10;NJbR9S0DXn/tmHTdW0s6rEl3bxSP5bSr8+F8pvmdW/h3fdxXUS/G/wCHzaro+nJ428Pz32rXf2Ox&#10;gg1GKV55djNsXa/+w3/oP8Qrl/jT408afDez0S+stR0W6t9V8TaXoixXOly7oYry9SDduW4+Z0WX&#10;/Z3Yq/rPw08ReIPH3hTxBqPiTSZ49FllP2FNA/dzqy4PzyXD+U/3drp83ruUstAGn8UPihc/DNLK&#10;5urKwawvLmOyt5Zbq586Wd1dhGsUFrM38FcHY/tO6jNBqE994Rl0qG2ndEe4g1f95Ev/AC2/5Bfy&#10;r977392nfteaJfat4L8KXNtH5VppPiW31K+uXaFVt4EinDOfNjlV/mZVCCKVmZ12oxrwPX/GtrB8&#10;J4fEOpw6/osWrW/2S1tL7QLXzmnl+RIv3Wh7d+7+FXoA+vfhV4z1fxv4Ig8R6oukxWGof6bps2my&#10;zlHsn+aJ5BPFEyPt+9x/tfLnbVL45/FRvhn8JfEXivSfsGpX+lwLcRWlxPhJPmX5fl5qt4Q8O3vh&#10;P9mXTND1OMQ3+neFktJ0Vt+10tdrV82+Mr3wkn7AtlEfC15DrCeD9LWS5bwvdL+98q33N5/2fb/w&#10;LdQB9mXXibTdOihN3qdlaCaVbdN9yo3SMdqIu77zM1WNa1C+sLdJLDTm1SUttaFZ1i2r/e+avm34&#10;+f8ACHava/D+20vwtPa3R8c6CztP4XurVNv21N3zy26rX1LQB5jp3xY1TUvG+seFofCNyNV0uztb&#10;65DX0Gzy7h5li2t3/wBQ9Xvh38TLnxvc+MIb7QJdFbw5qf8AZrZnW489vs8U+5dn/XVa5LSpb62/&#10;aO+KEmmWcd9ep4Z0HyreefyEl/e6l8u/a+3/AL5qf9nHSvEy6T4x13xX4fl8L6j4k8RS6pDo9xdR&#10;XE1tELe3t13vH8nzfZ3b5f4WoA0vFnxutLPwrqd7o9jrb38Fs89t9u8K6sLd2VN3zN9n+Vf9qs3w&#10;1+0lpGvfDXTPFcnhrxYJr3S4dQ/s2w8N6jePueIP5UTpBsk64Dr8rVxr6n4p8deO/wBoLSZPGmra&#10;XpPhq4toNP0/T7exKLHLo1vO6s8tu7/NK7t97+KuZ8PJ4q8Gfs4fAvUdM+IWv26X58NWUtm1tp3k&#10;rbypFviX/Rd/3fk+/QB9Aat49vY/hg/ivQPC+o6zcpZfbo9BuonsL6UfeeLy5U3LP12o2NzYG7nd&#10;UHib4nLp/wALvEHimwtmjv8ATdKuL4WN+rKyypB5vluvqvCtt+6wZeuayP2gLvTfDfh+w8aah4ku&#10;PDieFpn1Rmt5PnvokX57LYfv+b8i7fvbtm35q8o1L4Y61qPw/wDGvjLxPYzR6laeFL/S9Hsn3ebH&#10;5qPLe3DL/C0srbVTr5USfxOy0AfSngvW5PEnhPR9RufJW9urKC6nigbKqzorVyCfE6+b9oS78AvZ&#10;W40uHwtFr324O3nCRrqWBk2/d2bVVv8A4r+HyXwxHpXjT4t+Abbw22s6f4g8K6HZz+IdZ0x1+xSx&#10;PEqppt6rN80rf61flZ02fw7qz9f8JeFtG/bB1Bda1jVLa3i8CW97G114kvYmeVdSnZV3ef8AMvy/&#10;6r7v+zQB6Ld/tN+EpPib4Y0PTfFfha68O6rpV7fz6n/a0QMTRPbpEi/Pt+fzX+Vv7v8As7a9R8F+&#10;N9A+Imgxa54Z1ey17SJ2dIr7T51liZlcq3zL/tLXxV4f8SeI/A3wr8JeM7iLR47vw74EitdP0eVp&#10;0fUl1GW3W3RXXayt5tvs2/7aNX17HYaN4N+HljpV5o7WGmm1W1l0/RLGe4VGZfmRUgRmx/tUAeZf&#10;F39rC2+G2kfEmxTSpofG3hLSP7attN1JcW+p2fm+WtxDKn3k3/I38St/DXumjXk9/pNrcXkEdtcy&#10;wq8kMUvmorMv3d+1d3/fNfFvxrtpfDn7LnxA8NalqfiDxZquo3CaR4f1PVfDd+t6tndXVusVpLO9&#10;uvmsj7v975P4q+ldU+NWn6NeaLY2nhjxlqiX12tq81p4YvEis0/56y+bEv7v/c3NQBd8R/FU6R8T&#10;rTwRZ6JPqWpXGjy60JhcRRRLFFMkTfe/i3yrU+r+OtX0PS7rUNR8OLYWNtE0811c6rBFFBGo3O7s&#10;3yqqj+L2ridTgiu/2zdFjlVZY5Ph7qKsjL95f7Ssq8K+O/iprXxhL4L15r27/ZzXVbVfEmvouE06&#10;dnf/AIlUsu/c9r5qReayL+6V/KZtv3QD688FeItZ8RWV1c6jo1vpcPm/6DNb6gl4t1BtG2Xci/Ln&#10;n5fm/wB41yfhj4m+JvFvijxzo+m+H9JeLw3q/wDZv2m71aWB591vFPu2Lbvt/wBbt+9/DXo2k21h&#10;ZaZbQ6dFBDp8capbpbqvlLH/AA7Nv8NfPXwssrm/vfjH4mbxlqnhXTYPF9/58unwWbq0Vtb28Ts/&#10;nW8v3PKdfl9KAO38OfEzxf8AEjwVd6v4K03w3cuz3Fpa3Go6peLEs8bvG+9PsasyIy/w/e7N/FXo&#10;lzr6eH/DEur+IZ7TS4rO28/ULgy4toNq7nbe235R/er4v0q38afD3/gn8/jXTvHniTSNZutBk1e2&#10;sUt9OCJLeSmVP+XXcv8Ax8J/F/u7a+qfir4M1Xxp8FfFfhazuku9X1PQ7jTo7m7PlLJM8LJufYny&#10;/Mf4VoA4/wCJH7Tfhfwpq3gCDSPFXhfUbfXvEKaVqDtqcT/ZbVrW6l81dr/L88Ea5b5fnr0Lw/8A&#10;FXwZ4q16TQdF8WaLrOswwLdPY6ffRTSpFu279qtnbuWvn74j6trviHXfghpltLos17Y+M/JaKNZ9&#10;8UltpWoJN5isudqbv/Hkf7rV6h4b+HPiuD9oTVfHmsyaQNMuvDFroUcVg0vmmWK6uJd7Ky/d2zf3&#10;qAL198ctM0TXfHul6vpd/YXPhLTE1qSQxB47yxZHZZYH/wB6KVNrfxJXI3X7Tsum+LvFUd14Wvh4&#10;a0Tw7BrhuIpbf7Rtc3BYuvn7doW3OP4ua5j4nSeJtI1v4q6PeeOdb1jR9K8B2+s/Zbu20v8A0h2l&#10;1JHib/Qtu11t1/hry/xj4En0DSfiP4gi1KO81bSfB9re31pLpel/ZGtWS4eKJf8AiX7d3+t3fJ91&#10;0oA+ufG/xasPA3wquPHlxZXdxYQ2sF0LRNqylZWRVX723d8471iXfxG8WReIrqEaLosdlptoLi70&#10;06vv1Xa33JdmzYsXyS/Nubd9UZawviT8JLu8/Zd1/wAGT+LtTvJ105pv7bvYIJ5f3TLPtVYkhi2/&#10;JsUbF+WvG/E8Ol+JfC/gHxTq2hePrmbW2i01PE13c6c1/fxaiioLRFS6WKBZd2z/AFSqn3/ll/eq&#10;Ae1WX7SU2oWXwyvU8G38Fl48vo7Wxe4uYleJHt5bjzXT/ci/8erpNf8AjRbaF4rs/DUnhjXrnW7+&#10;K9msIIY4P9MjtdnmurPMoVf3sX39u7cK8o8OadPrf7VHhiz1eDxTptl4f0C61jQ9B1O30wWtmWZL&#10;N9strKzsqRS7FR933mbfXEfFb4oeK/D3xp+Mfi/Rl02NPCnw8afRm1G2e481Yp5/N27JU2754tu7&#10;5v8AUJQB7D4q/aRnXSr3/hFPDera34o0S+gtdY8OtpV5K8e5UZ4VubeKWJZVSVJfvOrbNn8e9fTv&#10;B/jmz8bnU/smn6zYrY3Cwu+saPdWHnfIrB4vPRN687dy/wASmvLv2YY5rnxT8a9QndXe48ZKrbY9&#10;qs6aVYbyv/Av/Qa97dFddrfxUAcF8bfie3wb+GOs+MRpjawmmiJjZLP5TS75Ui+9tb++O1d4jb0+&#10;Zdn+zXxHJq+oeIf+CXOkatqt/d6pqd5ounTz3d7O0ssrfbYvvO1e+/HK7vYPGnwet7XULuxhvPFX&#10;k3UdpO0X2iJbK6l2Pt++u6JPloA6n4o/FLS/hbounX+pQ3F3JqOp2uk2dpZIr3E9xO+xVVWP93e/&#10;+6jVm+FviTqmt/Gzx54MmsLZdL8PadpV5bXis3nSvd/atyuv3fl+zj+796sj4k+EbDxR450bWfF2&#10;n3l54b8OknT7KCzlvPPv512+e8USO37qLciN93dK/fbXkvgj/hB1/aY+KZk8N6vJZjRNAMKDw5qL&#10;Or79S3fJ5O5P4fvfex8v3aAPrGfUIIbaWaSaNIYQ3mSs3ypt+9uryP4u/tLeEPAfww8T+ItH8V+G&#10;tU1bTNPmu7Wy/tOKXz5VXKrtRtzf8Bro/hkvhTR/AsuraH4dn8HabfSy3tzY6hp72Vwsu7azSxN8&#10;29tv/AuPWvLvjrrmueP7JNJsLWw03wrasmqXNtr919gu/ECQOkv2S3ib54ot2xXllVf7u3Y2+gDv&#10;I/2jfAmk+CIte8R+M/DFpJBYpd30Gn6vFeiJ9m51i2fPL/s7V3NjpVr4ufF638EfB+68X6Itvrl1&#10;dRW8WhwBtyX11dOsVouV/hZ5U6fw7q83034jeNfAnhnTvGWg+AdZ8UfD/XVTUm8NW6KniDRHl+aV&#10;Ut2bbPFv+bYrb03/AC7k+7nftP2GqeONO+EWv3tteaFpVt4y8OXB0i7KLdNcT6lFFsuEV2TakTv8&#10;u5vml/2KAPQ/jJ8cJ/hjbeBLJLKHUte8SatBaPbW0VxdJBbr891OqxI7uE4Vfl+/LFXU+EPjL4Z8&#10;eeKtY8OaRNqH9r6TBFcXlve6VdWhiSXds/18S/N8n3a+b/DMcdt+z1pdtFbR2cuqadLaLdQq11qs&#10;6/aHfbYWq/xbndtzuu1/nf5Urs/2VF8W6Lb3uhXjaBeQWU8ra5cHUPtGvRag/wA2y98rfFLLtPzS&#10;q6/c2qnFAHbfFL406l4P+IHhHwf4b0OPxLq1+zXurRm6SI2OnL8hl+Zvvu5VUVvvbX/usy9Fe/FS&#10;S0tGkHhfVmcfcX7RYL5j/wAK/wDH1/E1fPn7Xuj6X8Lbv4e+KbbTZ/sp8RSrqd9b+RLdSy3Nu9vE&#10;7C4in83aX+75T7URtirtFc/8RPC9pq7eENPfxRoRln8SaW8Ntd3OnJ5/lXSSuirFpdvK77U+6j0A&#10;fV+o/Eyy8OeF7HWvEmnatoInt2muLP7BJevZbV3P5rWqyqoX+9u21zUHxwbxFYahqHhvSzc6Vaw/&#10;aFutdS80j7YnlebutfNtT56bf40/+JZus+Mf/JJPHH/YCvv/AEnevn/RNU8P+Kov2dbT7Rp+sRWu&#10;hT+fE+24RG/spPv0Aer+EfHvjPxc/g6+bS/DWh2Wq2v22+0+XWJbi/SNot22NPs6LuVmTfW58Rfi&#10;TN4F1bwfp9voz6vL4i1RtNi2TpF5T/Z5Z93zf7MT18/fBFj4j8f/AAL8S6lp+lprWo+Edcu5bix0&#10;+K1377iy8p9q/wDTJ/8Ax5v79eiftPfYl8QfBv7f/aX2T/hLH3/2T9q+0f8AIMvfu/Zv3v8A3zQB&#10;0vxL+Lut/DX4feIvFd74LmmtdGsJb6WJNRiy2xN22uq1jx5YeG/AUvizWt2n2EFmt7cp/rXiXZu2&#10;/L96vnv9p7/hFf8Ahnv4h/Y/+E6+0f2NdeX9u/t37Pu2fx+f+62/7/y17+/hfSPGngHT9K1vTbbV&#10;NLuLa3aW0uo90TbdrL8v+8qmgDhvG/x0udIXRrjw74b8Q63FJqNvBqFq3hjU45UtJH2PPE/2fafK&#10;3B9p+8qvWprf7RXgzw7eaPa6odc02XVr6LT7M3vhvUbdHlc/KN0sCr6f7teV+FfFsHiq78TmbVl0&#10;p9M8RajpSxXXinVldkguniR9qy7V3bfuVq/s/wCo2Gu/GD4oRLBFezaF/Z0EOonWL+/M3n2+9sJc&#10;yusX935Nu7+KgD0z44fEu7+Fnw51HW7Czi1LW3mgsdK06WTZ9svJ5Vihi/76ft/CrN2ql8Q/ijfe&#10;D7z4f2lvbaXNfeINch0u9ikvG228Zt5ZZXR9vzMnlfLuUb/9mvG/2tdI1TxD4v8AhlqMkt1YaJof&#10;jfS7Wztn+VLy6lf57hv4mRF+RP7zPL/sNVLxtoUcn7UXhfSNTufCdnBoOgXmtTXB8OMlvLdXUqQR&#10;I6/aPmbalwy/NQB9SXniywi0fWdQtZo9UGlRyvNDZSq7q6Jv8v8A2W24/wC+q8p8OftNW2q/8JJq&#10;d7pMtnoWl6fo2oQ+U2+7f7enyxOn3flZl/i703wZe6ZqPhDx1rOieJvDur6Altc2UsPhzRFsEguo&#10;FfzWd/Nfe3zL/wB8rt/i3fPWi+FPD+vfCySx0zwn4m0jx1H4V0HUby+1bxO0VldWvmxKn3b1lVds&#10;UrLuRdmz5NjbaAPoSb9pV/DcvjBvEnhjVbOHRtTtLXZbRQu8UFzsS3aX9/8AMzszt8n3F27sV6D8&#10;V/EfiPwj4Qk1rwvoR8U39nNG8ujodk1zAXCy+U//AD0VWLqMfPt2/wAW5fjB9A1b4mXvxVtNK8O6&#10;h/aH9raNqiPe+Jr9VbS45kVZf3+yKVP9FunXzWRtv3f4a+jv2wI7jTfgV4q8SaXq+r6bqNlZxrBP&#10;pup3FuvzzRLu2xuqt8rNQB1+u/EnWbb4qaZ4J0rRLK8mutDn1mSe91BrfyhFPFFs+SKXdu83/wAc&#10;aq37O/xR1L4w/C618T6np9vpd3Nf39qYLWVpU2wXU0S/My/7H+fu1ytpHeeGvjFNeRaxpGsax4ii&#10;fSori7llC2f2VfNTT4lXd82xpZ23uzOyy/cXYqc1+zF4B0HWrfxN4p0XS7jw3ANZ1Ky0e90nXb+4&#10;tLhN22a6itZ5Xg+afzXT90y/IG20Aey6N4u1+T4j614Z1bw/NDYQWqahp3iC3LNaXSM7KYH/ALk6&#10;cfL825cPxnatXw78SNQ1f42+L/BUtpbrp2i6bYXsNyhbzXafzdyv/Dx5X/j1cJ4CtfFeqfGL4qeH&#10;Lv4leI5rXSU0k2btb6bvi82GVn/5ddvzt/sfwVzvg3wVrkv7UHxKtk8f+JIZ4tD0cNdpb6X50257&#10;v726z2fL/sr3/ioA9p+LvxAuvhv4bstStNOi1S5utX0/S0gluPs6j7TcJBuL7H+75u77vavOdV/a&#10;U1TR/ibrXg2fwtb3MuiaZb6nqOoafdX97Dbea0uyJ/IsHZG2xb/m/ham/HjSz4F+DHhW01DXtT11&#10;NN8UaA8urawyS3Uqrqtu+6XykRW/4Cn8NeI/tEWk9/b6XqkOl6x4N8J3F80Wo67rHm2//CSefLFu&#10;sr1IFaW1tZtip5sqIy/c+RW+cA9y0b9ojV/E/i74TRabpWjzeFfHcV9NHqEd5c/aFSC381WVJbeL&#10;r/tV9BV8gWnj6/8AGX7QPwMs9R+HWu/DqTSZNbtWtNVFv5Duunr8tq8UrebEv9/aq8V9f0AFFFFA&#10;BRRRQAUUUUAFFFFABRRRQAUUUzZ826gB9FFFABRRRQB87/tAaR8R/GHi3wB4f0jwdYXnhRfFOlav&#10;eeIF1j99Zx2d1FcP5tq8C/f27F2Sv/urX0K/3KHTdT6APJvHWl+INb8TWdzpnhpdUl01y9k/iHUl&#10;g0qKT/n4SKJZZJJc/d3ou3B2su75vOb39l7xhZ+Nz8Q9O8Z6ff8AjOKaW6t9E1Oxl/4R+KVkRWaC&#10;DzWa3lfZ81wu5vnb5ea+n6KAPMfhRqvxM1WDUF+I/hrQNBkik8m2/sLVZL1Lpdo3S/PEhRc9N3zf&#10;+zUv2nfCureMfgL4v0Hw/YNqOq3tmsFtaKyrvbzV7tXrdFAELRLJ2V6wddtPEtxdqNH1LS7K12fM&#10;t7YS3Dh/+AzxfLXQ7KfQB5HpXwz8X6Z8SvEPi9PE+ivcaxp1lYNA2hy7IltnuGVv+Pv+L7R/47XS&#10;6NpfjaLxX9s1XxLo134f+y+V/Zlpo0kEv2jd/rftDXD/AO7s2V29FAHkNn8J7nw3rHxj16G7S/k8&#10;aNFdQWUcW14PK02K12bt3zbmi3f8CrlNE+BvifXfhn8FNHvteOh2nhi10e51jSHslleWe1gT5Fl3&#10;fJ+9X5vv19DbKfQB4r+018Ir/wCMXg7w/o9hb6dczWfiPS9Sn/tLotrFdK9xsbb97ZW34mt/H3i+&#10;4m03SDbeCNHwUk1idlu9Qk5wfIgT91F8v3ZXdm/6ZV6Zsp9AHFfDn4Z6F8K/DEWi6BaSQwec89zc&#10;XEjS3F5O77pbieVjulkdurt/6DxXmGufAHw/4T8LanpegaVqWoa34gjay1TxXqEz6rqyWbfLKDcT&#10;s0rfJ8sSfcVn37flevoSigD5f8afALxZ8TdT8NeJ0i0nwhd+CXWbwp4fuR9qil27Nn290+7935Fi&#10;3eU3z73+7Xrvgrxh4pvPA8Gp+LfBsuheInleCXRNMvEvx8rsqOk3yLtcLu+fbt3fNXodMdN1AHjd&#10;18Ntb+Let2d/8QbSyg8N6fcNcaf4QBW6Sdtm1Jb9/uOyb3/dJuRX+bfL8uzM1DwV8Sfhz4y8NTeB&#10;NWbxN4Fu9Qig1jQfENyJbjTbZ2+ae1un+dlQf8snZv8AYr3f+CjZQB4T8QvAHja/+PNh4m0HTbC7&#10;0g+E7rQ7ma51qXTpUklu7eX5Xit5XHyRN8y7f95WC1pXfhLxRqHgW68Hz/DjwS3hm6tHsp9M/wCE&#10;muvKeJk2sn/IN/8AHq9kcb0o2UAea/DzT/GvhzwpfaZqOg6FYxaZAlr4ettK1i4vN0CRKipcPLbx&#10;bW3L95d3yt/s/NzFv8EbuXwZb/D9itn4SlMt1rt6j7rrWri4lae7Rf8AnlFLK77m+9tbYiquGr3S&#10;igDwb45fDzx18Rrnw74Q02DQx8N7q9tZ9anO+G8tYLaaKdYol+ZZfN2bP4dn+1XrHiPxBLolsPI0&#10;bUNYuGU+Xb6ei5Zv7u92RF/4Ey10NFAHzBdfs++OPFnxH/4Wy+raR4G8bWtsbbTNJt7f+07JYmXa&#10;/wBtdvKMsrrtXdFt8pU2q8q11Pgfxd8fW8XJovjD4d+El0r70nijR/Ekv2dR/sWssHms/T5dyr/t&#10;17tRQB883/wX+ICWGp6//wAJFo3ifx3rGnLpup2Ws2axaPPZrLK6W8W1HaJV+0S/O6z7t3zJ93Z5&#10;h4h8EfFOXw7qWn2fwg1a21q/nluJ9b074gWr/aJiuxPNiliWKWJVVFWJ4tiIu1VSvtWigDyrRG8b&#10;eJvghfw+LvD9vpHiq50me3awtL9LrfL5W3czKiIjM3O1Nyr/AHzXg0H7NHijWPhT8M9L/wCFZ/D3&#10;TtS0G60bUL6W71B/tFytrsaWKXZYN8z7dv3n/wCBV9nUxKAPn7wH8LNd0H9ohfFEvgrw34V0X/hF&#10;pdNZvD135qSztdxSjf8A6PB/CjfwtVD45fs+X/xD8SeONX/tq/s9H1rwOnhVdP0iKKW6ml8+4dsL&#10;L8mNsqD7yf7TKq19IbPmo2bqAPPPgr8PJ/ht4Ijsb+ZbjWry6m1LU7iJvlluZW3N/wABVdqf8Bru&#10;7pJZIJFgZUm2/u3ddyq1W6KAPlvQv2W/GQ/ZU0X4P6l4u0Ky+y6bbWU93aaPLcAPFKkvys1wm75k&#10;67V/3a7vx/4A8deJfGHw21Br7R7+w0LxB/aF4ltaS2rpF9luIt3zXD7v9avy17TRQBxOs6j45h1W&#10;aPRvDnh++00bfLuL7X57SVv737pLOXb83+1XnPhvwf8AFHQvjD418bNoHhGaLxDp2l2K2Y8R3W6D&#10;7G118xb+z/m3fav/AB2vfKKAPP8Aw7dfEq91fWh4h0vwto+lCFf7Ll0zUrjULgSfx+eklvAu3/db&#10;t+NeLv8AB3xn8PfGngrXpbF/i00Gna3ba5MjW9lLPPf3cM4YQTy7PKVU8rZv+VVWvqiigD5NtfhV&#10;4w8W6evw8sPCOpfCvwDpvh/ytH1Y63BPe6ZqizboZ4Ugldn2f7bru+Za9N+OPgjXPEfgvwRp9gsu&#10;rX+m+KvD9/dz4VHaK2v4ZZ5W/h+4jNivZaY6bqAPn3WfAWpad4Rt/Cfg/SteubW2geyxLcxaWtx8&#10;7N+/vP8Aj4WJ97f8e6M3+5Wr8I/gVe+AtVs9VvdejtltrZ7a28NeGrRdP0a1WTZv3RfM9xLuRf30&#10;rbv9ldzV7bsp9AHh3jmzv/FWty3WneBr3xZqkcEtlaDxHLFp2lWKS/JK2/Y8rb0/iSKX5fk+Xc9e&#10;a2fws+KHwr8baZ4v1eytPjpLY2gs7LN2un3uhRdXFrFLuind9ir5rOkrfdLYr642UbKAPJr7wfpH&#10;7Qfh3QL/AMa+Eta0iCzuXnk8Na1cqsUzfdC3NvBK8U6fxKsu7/d+aq3xF8Lanrcdl4c8HaBaaRcW&#10;sT2aeJLq3VbfR7eRNsrWkQ/1suz5VHyqv8TfwP7Fso2UAeC23wq8S/Czx54BbwdDbax4Lt4f7Gv7&#10;PVv313pMH2dUSeznb5lRmghWWL7v3WVPvV0/xh8A694z8R/Dm50aZLRdE11tRurpwr+VF9juIvlR&#10;vvNvlWvVqKAPFPjp8MPGfj/4PeMPDmn+JEvr3VNMltILe4s4okd2X+Jv4a9Bul13RPDNlb6LYWGq&#10;6lbpFE0V9fPaw7dvzNvWKVv/AB2uqooA+dPCnwx+J3g1dbGnmwtotU1i91p4IfE3yRS3Nw8rqu/S&#10;Gb+Ok8K/Dz4q+CPGXiPxFp2n+G9TvPFF7YyarJrHiSdzFbwReVth8rTYvn2/36+jKKAPHf2ifBes&#10;eNbHwFDotp9sfTvGGmandfMq+VbxOzO9aHxj8OePdV8NapJ8PvEFpYaxLb+VHa6lB+6lPP3J1+eJ&#10;/mO1/nVW/hr0+jZQB47pmh6hqX7OcWh2ng3/AIQ3UNR0z+yn0LzVl/s5pf3Ds0v/AC1VNzS7/vOq&#10;/wB5qzm+BOlax8Yr281vwxputeFbXw5pthY/2nBFcKk8E11/A4/hR0+avc9lGz/aoA8A0T9n7wpL&#10;8bfiHcan8PtAfwze6No9rZi40m3e3llV737Qqps/6aQbv+A12vxg+EWl/Ej4Ma14Ahnm8OaXdWa2&#10;0b6PAm+2WN1ZViT7v8H3a9K2rRsoA+avGvwa1n4teBrb4eaPZTeAfBdnsk/4SG7bdrMsqN/rbVVf&#10;907fPuuJW81t7/J82+ui+CcPxK8D3dp4C1zwV4fh8H6Jarb2PinQ9RNvFPEvyxJ/Z7K7xP8A3v3r&#10;L/tNXueyn0AeHaR8DtWg/aH8X+O9T11J/DOoR2D2OgxK4/0qCJovNuP7+zO6Nem5933kVq0/CPhL&#10;VbD9o74g+Ip7IxaNqGj6Ta2t3/z1lia43r/wHev5169TNlAHk/7Rega54n8FaVB4e08anqUHiPR7&#10;1LeSXyk2wahFK7O+1ti7UPzbH/3Wrg/jN8DPEvxt0+V7vwpoega+Imig8Q6F4zvLS9jH8Ks6af8A&#10;vF/2H3LX0s3Sm0AfOw8E/E3VPi58HNQ8R6VpM1l4Xt9R/tHVrDVWneWWW0WJHaN7eLaXb+5u/ir6&#10;Mpmz5q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L+PPFsPgHwXrn&#10;iW6tbu+tdJsZb2W1sVVp5EjTcVRWZV3Yz/EvagDqKK8Lm/ais9M8Fya9r3gDxv4ZupdRi0nTNB1a&#10;wt01DVrqRGdIrVIrh0b5Uf7zr9xqj179sH4c6V4M0LxPZX974k0zVtPfWVXR7Rpp7bTYs/aL+eJt&#10;rRQRbG3fxbl2orv8tAHvFFZuj6vaa5pVpqdnOlxYXsK3EE6fcliddyt/3zitKgAooooAKKKKACii&#10;igAooooAKKKKACiiigAooooAKKKKACiiigAooooAKKKKACiiigAooooAKKKKACiiigAooooAKKKK&#10;ACiiigAooooAKKKKACiiigAooooAKKKKACiiigAooooAKKKKACiiigAooooAKKZvp9AHiXxnj8Wa&#10;/wCN/CPg7wx4yvPBJ1TTtTupdQs7SC4cPA1ps+WVfu/vW+7tr5X+Lf7Cv7Tvinzv7P8A2mb3WIH6&#10;W9z5+lbv9nEDOtfYXi//AJOI+Gn/AGBdc/8AQ7CvU6APGPAPwl8beH/BOgaZqHxQ1s6hZWMFvN5d&#10;rYSpvRFVvne33N/wKui/4V34q/6Kjr//AIAad/8AI9ei0UAedf8ACu/FX/RUdf8A/ADTv/kej/hX&#10;fir/AKKjr/8A4Aad/wDI9ei0m6gDzv8A4V34q/6Kjr//AIAad/8AI9H/AArvxV/0VHX/APwA07/5&#10;Hr0WigDzr/hXfir/AKKjr/8A4Aad/wDI9H/Cu/FX/RUdf/8AADTv/kevRaKAPOv+Fd+Kv+io6/8A&#10;+AGnf/I9H/Cu/FX/AEVHX/8AwA07/wCR69FooA86/wCFd+Kv+io6/wD+AGnf/I9H/Cu/FX/RUdf/&#10;APADTv8A5Hr0WigDzr/hXfir/oqOv/8AgBp3/wAj0f8ACu/FX/RUdf8A/ADTv/kevRaKAPOv+Fd+&#10;Kv8AoqOv/wDgBp3/AMj0f8K78Vf9FR1//wAANO/+R69FooA86/4V34q/6Kjr/wD4Aad/8j0f8K78&#10;Vf8ARUdf/wDADTv/AJHr0WigDzr/AIV34q/6Kjr/AP4Aad/8j0f8K78Vf9FR1/8A8ANO/wDkevRa&#10;KAPOv+Fd+Kv+io6//wCAGnf/ACPXin7Ynw4upP2evEo8SfFLxJDoy3Wnea8elWE7bvt9v5XyrFF/&#10;y12/Nv8Al+82/btr6wrP1DTrXVbG4s7y3iurSdGilgnTekit95WX+KgD87NXa9tP2o/hu0k8/jn4&#10;feDPiJL4d0/V9W1KS6uPtV9pFvK+64bd5pguorr5f+WTL5Xy/Lt8g0DWNA8M3vxn1m3jTQvBXiz4&#10;b+NbfwpdvaNZWN5E2rXTwRQbkVf9U8W1P9tF/iQV+pdt8JvBlh4CHgmDwxpcfhLMg/sQWqfZPndp&#10;XHlY2/fZm/3qu6v8PvDHiLStO03VfD2malpenMr2dld2cckVuyrtTYjLtXauVFAHjP7N3w88cv8A&#10;AH4eNqvxG1qzvX0OzZra2tbB0iXyl2orPb7vu7a9L/4V34q/6Kjr/wD4Aad/8j16EibafQB51/wr&#10;vxV/0VHX/wDwA07/AOR6P+Fd+Kv+io6//wCAGnf/ACPXotFAHnX/AArvxV/0VHX/APwA07/5Ho/4&#10;V34q/wCio6//AOAGnf8AyPXotFAHnX/Cu/FX/RUdf/8AADTv/kej/hXfir/oqOv/APgBp3/yPXot&#10;FAHnX/Cu/FX/AEVHX/8AwA07/wCR6P8AhXfir/oqOv8A/gBp3/yPXoW+n0Aedf8ACu/FX/RUdf8A&#10;/ADTv/kej/hXfir/AKKjr/8A4Aad/wDI9ei0UAedf8K78Vf9FR1//wAANO/+R6P+Fd+Kv+io6/8A&#10;+AGnf/I9ei0UAedf8K78Vf8ARUdf/wDADTv/AJHo/wCFd+Kv+io6/wD+AGnf/I9ei0UAedf8K78V&#10;f9FR1/8A8ANO/wDkej/hXfir/oqOv/8AgBp3/wAj16LRQB51/wAK78Vf9FR1/wD8ANO/+R6P+Fd+&#10;Kv8AoqOv/wDgBp3/AMj16LRQB51/wrvxV/0VHX//AAA07/5Hrxn9qr9m34pfFj4YxaH4N+KGpQay&#10;mp290k988FkkSrv3N5trbpLu+avquigD4Z+EP7HH7RvhL7O+vftQar5UX37GGw/tDd/21un/APZa&#10;+n/gnq+qav4JmGs6jJrGoWeralpzX00aI9wsF7LArMqKq/cRa9Hrzb4Ef8ilrH/Y069/6dbqgD0m&#10;iiigAooooAKKKKACiiigAooooAKKKKACiiigAooooAKKKKACiiigAooooAKKKKACiiigAooooAKK&#10;KKACiiigAooooA+V/wBtP4iaf4T8VfAvQNT3TWHiXxlFp95aeYyJLA0TxHdt/uvcRN+Fesr+zb8N&#10;x/zLMf8A4FT/APxdfLX/AAUQ/Z4+I3xw+J/weuvCd7pVlaaReOltLezsri+fM+7Cr91VtF5/2q+7&#10;4d3lL5n39vzUAfDf7VvwN8Haf428KrpmmvpxtfDPiXV1EVxJ+9ktYrJ0Vtz/AHPvK3+9/u12ulfs&#10;O6LqGmWty11pq+fEsu37HdfxJ/19Vo/tc/8AI8+H/wDsQ/GX/pPZV9H+G/8AkAaX/wBesX/oFAHz&#10;V/wwhof/AD96b/4B3X/yXR/wwhof/P3pv/gHdf8AyXX1TRQB8rf8MIaH/wA/em/+Ad1/8l1wnw//&#10;AGPtK8QeLviVYTXlqYtG1+KygD210yqraVYXHyf6V8i7pW/vfer7kryf4Of8lE+N3/Y12/8A6ZdN&#10;oA8u/wCGEND/AOfvTf8AwDuv/kuj/hhDQ/8An703/wAA7r/5Lr6pooA+Vv8AhhDQ/wDn703/AMA7&#10;r/5Lo/4YQ0P/AJ+9N/8AAO6/+S6+qaKAPlb/AIYQ0P8A5+9N/wDAO6/+S6P+GEND/wCfvTf/AADu&#10;v/kuvqmigD5W/wCGEND/AOfvTf8AwDuv/kuj/hhDQ/8An703/wAA7r/5Lr6pooA+Kfip+xjpXhX4&#10;deINXgvLLzrKzllTyra6R93+99qrrf8AhhPQ3+b7Xpv/AIB3X/yVXs37QH/JFfGX/YOlr0BPuLQB&#10;8s/8MIaH/wA/em/+Ad1/8l0f8MIaH/z96b/4B3X/AMl19U0UAfK3/DCGh/8AP3pv/gHdf/JdH/DC&#10;Gh/8/em/+Ad1/wDJdfVNFAHyt/wwhof/AD96b/4B3X/yXR/wwhof/P3pv/gHdf8AyXX1TRQB8rf8&#10;MIaH/wA/em/+Ad1/8l0f8MIaH/z96b/4B3X/AMl19U0UAfFPxT/Y10fwt4D1XU4Luy863WLb5Nrd&#10;I/8ArUX/AJ+mrrf+GEND/wCfvTf/AADuv/kuvZvj/wD8kk8Qf7kX/o1K9DoA+Vv+GEND/wCfvTf/&#10;AADuv/kuj/hhDQ/+fvTf/AO6/wDkuvqmigD5W/4YQ0P/AJ+9N/8AAO6/+S6P+GEND/5+9N/8A7r/&#10;AOS6+qaKAPlb/hhDQ/8An703/wAA7r/5Lo/4YQ0P/n703/wDuv8A5Lr6pooA+Vv+GEND/wCfvTf/&#10;AADuv/kuj/hhDQ/+fvTf/AO6/wDkuvqmigD4hsP2N9KufjH4g8PteWP2W10LTr1P9Futm+W4vVf5&#10;PtX/AEyX+Ku1/wCGEND/AOfvTf8AwDuv/kuvW9G/5OT8W/8AYq6N/wClepV6dQB8rf8ADCGh/wDP&#10;3pv/AIB3X/yXR/wwhof/AD96b/4B3X/yXX1TRQB8rf8ADCGh/wDP3pv/AIB3X/yXR/wwhof/AD96&#10;b/4B3X/yXX1TRQB8rf8ADCGh/wDP3pv/AIB3X/yXR/wwhof/AD96b/4B3X/yXX1TRQB8rf8ADCGh&#10;/wDP3pv/AIB3X/yXR/wwhof/AD96b/4B3X/yXX1TRQB8V/DH9jHSvE/g211Oe8svNlluE/e2t07/&#10;AC3Dr/z9J/crq/8AhhDQ/wDn703/AMA7r/5Lr2j4Ef8AJMNM/wCu95/6VS16DQB8rf8ADCGh/wDP&#10;3pv/AIB3X/yXR/wwhof/AD96b/4B3X/yXX1TRQB8rf8ADCGh/wDP3pv/AIB3X/yXVH9lVb/wP4oT&#10;whBqL3egXt14ruBaSL8sE1lrMUCeV/Eiss7blO77n+9X1vXyt8CP+Sx6Z/118ef+n+1oA+qaKKKA&#10;CiiigAooooAKKKKACiiigAooooAKKKKACiiigAooooAKKKKACiiigAooooAKKKKACiiigAooooAK&#10;KKKACiiigDzz4pf8jP8ADX/sYv8A2yuq9Drzz4pf8jP8Nf8AsYv/AGyuq9DoA+XP2vP+R20H/sQ/&#10;GX/pPZV9I+Hv+QFpn/XtF/6BXzd+15/yO2g/9iH4y/8ASeyr6R0H/kB6f/16xf8AoNAGlRRRQAVn&#10;2+n21rcXUsMEcUt0/mzsq7WkfYqbm/vfKiL/AMBrQooAKKKKACiiigAooooAKKKKAKl3Zw6hbywX&#10;MMc8Eg2tFKu5Wq3RRQAUUUUAFFFFABRRRQAUUUUAVbqzhv4XguYo5on+9FKu5atUUUAFFFFABRRR&#10;QAUUUUAFFFFAFH7DAt694sEa3bIsbS7fmZVLbV3f8Cb/AL6q9RRQAUUUUAFFFFABRRRQAUx6fRQB&#10;Vs7OCxgEEESQRL/BEu1atUUUAFFFFABXyt8B/wDksWmf9dfHn/p/ta+qa+VvgP8A8li0z/rr48/9&#10;P9rQB9U0UUUAFFFFABRRRQAUUUUAFFFFABRRRQAUUUUAFFFFABRRRQAUUUUAFFFFABRRRQAUUUUA&#10;FFFFABRRRQAUUUUAFFFFAHnnxS/5Gf4a/wDYxf8AtldV6HXnnxS/5Gf4a/8AYxf+2V1XodAHyz+2&#10;B/yOuhf9iH4y/wDSeyr6W0L/AJAunf8AXvH/AOgivlT9tHSLbW/F3h1Lrz9sXgjxfOvlTvF86W9k&#10;38Lf+O17Zo/wP8K/2Vp7bdY3eVE3/Idv/wC7/wBdaAPT6KYv36fQAV578PfFepeI/GXxLsL2VGtt&#10;C1+KwsVRNu2JtNspzu/vfvZ5an1v4SeH9c1O41C7GqefO29vJ1i8iT/vhJVVa5L4OfCAfD/x18Rt&#10;VazvLeLUtZifTHuNSluBLbDTbKN32vK/zebDKuX+b5P7uKAPaKKKyNb0i38RaZPp92JzaTjbJ9nn&#10;eF8ezoystAGvRXnf/CivCv8Ac1n/AMH9/wD/AB+ur8PaFbeGdMi0+yE/2SHeUNxO87/M24/O7MzU&#10;AbNFFeM/F/whY+M/iN4A0rUrjUlsbr7f58VjqdxZ+bsiRl3eU6UAezUV5Mn7MngWKVHRfEW9W3/8&#10;jTqn/wAkVzvxY+HeleCPC1prWiz6xZX8Gr6SqynWr2Vdrahbo6bHlZW3I7L+NAHpPxZ8SXvhL4c+&#10;ItZ05kS9srNpYGddy7q69PuVxnxg0G+8U/DPxJpGmQfadQvLN4YISyrub/gfy1Uu/g54a1G+uLu5&#10;GredcStLJ5WtXiLvY7j8iy7VoA9BorkvDPw20Xwhdy3OmrqHnSR+U32vU7q6Tb/uyytXW0AFFYuv&#10;+H7TxRpklhfC4+yy7d/2e5lgf5Wz99GVq5VvgX4VP8Os/wDg/v8A/wCO0AeiUVm6Rp0Gi6bb2Vv5&#10;nkwJsTzZXlfb/vNlmrSoAKK5DxN8N9F8X30VzqQ1Dz44/KX7Jqd1apt/3YpV/vVn6d8HPDWmX1te&#10;2o1b7TbyLLH52tXkqb16fI8u1qALvxX8R3vhLwDquq6e6pdwLF5TOu770qJ/7NXZVxHxe0G98T/D&#10;zVtN02A3N9cLF5UW5V3bZUb+L6V2j/coAfRXnf8Aworwr/c1n/wf3/8A8frofDPg3TfB9vNBpv2s&#10;RytuYXd9cXX/AKNdttAHR0UVh+JPC9h4r0/7DqAuRBv8w/ZLuW3bd/vxMrUAblFedt8C/C3ZdZH/&#10;AHH7/wD+O12Wl2MOkafa2UIcQW8awxiSRnfaq92b5moA0qKY/wByuS8R/DTQ/Fl/9u1FNQ+0eV5Q&#10;+y6tdW6bf92KVVoAp6f4nv7n4zeIPDrMn9l2WgadfxKF+bzpbi9R/m/3YIq7yvFPCfwTtvDfxx1X&#10;xHBbaimlf2NYW9pc3Grzy7rlZr3zUZWlZn+SaL7/AMvzfL3rr/jVPNafCDxvPbzSW9xFot48UsT7&#10;HRvKbDK38NAHeUV5hbfAvwtc6dF5g1v97Eu7/ioL/wDu/wDXeqH/AAy74E/ueIv/AAqdU/8AkigD&#10;16ivAPgv8GfDuq+ArS+u5tcubqWe63yv4hv/AOGV4l/5bf3EWu7b4F+FNvKaz/4P7/8A+PUAeiUV&#10;8ofsn+JdI+PfhH4hadPdaleaZ4f8c6lZWL/2nOkvkL/qv3qy72XY/wDer2v/AIUX4V/uaz/4P7//&#10;AOO0AeiUx6iggWCJY13bVXau5t1SvQBx/wALfEF94p8E2Wpag6PdSz3CuVTbkJcOi/8Ajqiuzrxf&#10;4ffAjTIfDMSa9bapb6q1xdSypDrl0ifPcO6fLFNs+6y12vhv4Z6L4T1B73Tvt4mMflt9q1O6uE27&#10;lbhZZWX+HrQB2dFFZ2p2EOq6fdWU28wzRtFIEkZHKsP7y/MtAGjXyt8B/wDksWmf9dfHn/p/ta9l&#10;/wCFFeFP7ms/+D+//wDjteJfs+2UVh8VtEtodxit/wDhPIk3tvbb/wAJBa/x/wAVAH1jRRRQAUUU&#10;UAFFFFABRRRQAUUUUAFFFFABRRRQAUUUUAFFFFABRRRQAUUUUAFFFFABRRRQAUUUUAFFFFABRRRQ&#10;AUUUUAeefFL/AJGf4a/9jF/7ZXVeh1558Uv+Rn+Gv/Yxf+2V1XodAHyt+2F/yOuhf9iH4y/9J7Kv&#10;prRv+QLY/wDXBP8A0GvmX9sL/kcdB/7EPxp/6T2VfTek/wDIIsf+uCf+g0AXqKKKACiisrT9XstR&#10;u763tbuC5nsJvs9xHDIrNDJsR9r8/K2x1baf4WX1oA1aKKKACiiigArzjxt/yWD4a/8AcS/9J1r0&#10;evOPG3/JYPhr/wBxL/0nWgD0evMv2hv+SaH/ALDWjf8Apzta9NrzL9ob/kmh/wCw1o3/AKc7WgD0&#10;2is6+1G10ixlu764hs7SFd0k9xIERF/2matGgAooooAKKKKACiiigAooooAKKztS1G10q1kub66h&#10;s7aL701xIqIv1Zq0aACiiigAooooAKKKKACiiigArhfjp/yRfx3/ANgO8/8ARL10o1S0Oqy6ZFdw&#10;tfxRJcS2gkXzUiYsqMy/eCsyv82P4W9K5r45f8kV8d/9gS9/9EvQB2Gn/wDIOtP+uS/+g1aqrp//&#10;ACDrT/rkv/oNWqAPPPgJ/wAkv0//AK+rz/0rlrrPEL30eg6g+mxpLqItpfssTttVpdnyqf8AgVcn&#10;8BP+SX6f/wBfV5/6Vy16E3SgD4P/AOCXHwK+IPwLsvifY+M1sfs91qsSxfZLvzv9Ji81bj/0KKvv&#10;GvO/hD08a/8AYz3/AP7JXolABRRSN0oAWis7TNTttVtlns7qG8gYsqywOrIdvytgr/tVo0AFFFFA&#10;BXyt8B/+SxaZ/wBdfHn/AKf7Wvqmvlb4D/8AJYtM/wCuvjz/ANP9rQB9U0UUUAFFFFABRRRQAUUU&#10;UAFFFFABRRRQAUUUUAFFFFABRRRQAUUUUAFFFFABRRRQAUUUUAFFFFABRRRQAUUUUAFFFFAHnnxS&#10;/wCRn+Gv/Yxf+2V1XodeefFL/kZ/hr/2MX/tldV6HQB8rfti/wDI5aH/ANiD40/9J7KvpzS/+QVZ&#10;f9cU/wDQa+ZP2xf+Rv0T/sQ/GX/pPZV9N6Z/yCrP/rgn/oNAF2iiigAryf4Of8lG+Nv/AGNkH/pl&#10;02vV2+6a5rw34QsPDeteJ9Ss3kNxr9+moXnmSb181baK2+X+6uy3Tj+9uoA6aiiigAooooAK848b&#10;f8lg+Gv/AHEv/Sda9Hrzjxt/yWD4a/8AcS/9J1oA9HrzL9ob/kmh/wCw1o3/AKc7WvTa8y/aG/5J&#10;of8AsNaN/wCnO1oAs/tA/wDJFvGP/YOlr0FPuLWL4t8M2vjPw5qGiX5k+x30TRS+U21ttbSUAPoo&#10;rP1O++w2NxceTNc+RE0vlW673fb/AAr/ALVADYtWtJr6awjuoXvoFV5bdZF82JW+6zL2qvqnibSd&#10;FutOtNQ1K0sbvUZ/s9jFPMqPcyhd2yLd99ttfBv7P/jnxD4q+KHjbxLe+NNO8N+L/F11/wATHwnc&#10;+GrptR0uzgR0tbX7VvWKNvKXd9377N96vnb4f65qnxLm+EsXi+2+O/iy9n0q419Lqy1dXdryKXal&#10;1YebP/qlR9jM21v7tAH7K1m6fqtnqnn/AGK6huRBK0Mv2eRW2Sr95G9Gr4Y/Zw+LXiXwp+y94i+I&#10;kul/FjxT4k/sa3khg8STm/tL66dmVHsE8138rc6b2b+Bax/2Ktdt9GubLwXoXxikufEOrTz6rrml&#10;/wDCGyrL9vnieWV3upV/hf7u/wC8qf7VAH3q/iTSItft9Dl1O0j1q4ga6i0951FxJEvytKqfe29t&#10;1a8jqiM7FVRfm3V+bnxC8L+LtHvZPiFJ8RPiBefELQfEz+AtFtbiz0u1lv8Az5UVGif7PsaJ1dZf&#10;mRtv+z81e5fteeKfEXwv/Z10rwifEd1JqviOVdC1Hx1qMKeVp0Dq32i6m8lV+fYGRFVV3M1AHtnx&#10;1mjufg9rksbLNE6wOrI33v30VdpZa/pup3d7bWmoW9xdWEvlXcUUiu1u+3dtcfw/LX57614s8QeJ&#10;P2erT4dfDv4heHfHUGqXWl+FtIHh3RLzS1035vN864uvNlbb5Vu/zou7c+6uz/Z6T4+w/ET4xS6d&#10;o/w2Ny3i2KLWXudY1EbZVsLP5YP9HbevlMnzPtbc70AfddYOu+LNE8NS6fFq+q2WmSalcrZ2iXc6&#10;xG5nbOIk3feb/ZFeRfta/EnxX8MvCfguXwhfWmnanrni7TdAlubu1+0JFFcu6s23+992vE/2sPB/&#10;xOtLr4LnVfiLYai8vxE0+KydPDyW/wBmuPst1slf9786/f8Al/2qAPueoJ544YmllZUiRdzM38Ne&#10;ALY/HXw/8XPBNlL4isPE3gu8+1S67dposVp9lVEXykT96zbnZ/7v8NfM37U/gW+1H40eOri28ETn&#10;SoYrMNrl3rXiOJLq4ng/5ZW+nRSr8mz5vlVaAPvf/hPvDUeiWGt/8JBpn9jX0iQ2moC8T7PcM7bU&#10;VH3bXZm9K6ivxRb4NTP4J0Tw9/Zdv5unT28r32/xp+98ptx/0f8As3yot395F+X+GvrP9mD4U6jY&#10;fGHTBrPgSe10TUfDk+oW2v2PiPXbq3XzX8r7PLFf+V5Uuze33N6/JQB98U+vyq+KFh8DdC8P+N18&#10;L/Ar4hahcaPqcvhi21v/AISW8+wjVvlSJH/4mW7b5ssX8P8AHS+F/BPwu8LW9j4R8Ufs9/FjW/Gu&#10;naGmqapct4glieeJfkluNkepKirv/uigD9BtJ/5OT8Vf9irpH/pXqVanx0/5Iv47/wCwHef+iXrz&#10;D9kTwR8NLfwBZePvhro+r6Dpfi3TbdvsWrahLdSqsUs23/XSysrbpX6Pt+7Xp/xy/wCSL+O/+wJe&#10;/wDol6AOw0//AJB1p/1yX/0GrVVdP/5B1p/1yX/0GrVAHnnwE/5Jfp//AF9Xn/pXLXodeefAT/kl&#10;+n/9fV5/6Vy16HQB538IPu+N/wDsZ7//ANkr0SvO/hB93xv/ANjPf/8AsleiUAFFFMegDgfgR/yT&#10;LTv+vi8/9Kpa9BrE8K+GrTwhocOl2XmNaxPI6+a+9vmdn/8AZq26ACiiigAr5W+A/wDyWLTP+uvj&#10;z/0/2tfVNfK3wH/5LFpn/XXx5/6f7WgD6pooooAKKKKACiiigAooooAKKKKACiiigAooooAKKKKA&#10;CiiigAooooAKKKKACiiigAooooAKKKKACiiigAooooAKKKKAPPPil/yM/wANf+xi/wDbK6r0Ovy1&#10;+I/xN1fwlcNqf7Q3iL46+FvFVnqspWbwPZ2dv4Zifc6Q/YJZYm3r5T/ed9/zfN81fVH7F/ibxx4k&#10;0rxUmuHxhf8Agu1vUPh3VviBYLZa3OrLvlR1X/WxJuXZLtXduZfuoFQAg/bF/wCRu0X/ALEHxl/6&#10;T2VfTumf8g+z/wCuaf8AoNfMH7Yn/I4aJ/2IfjL/ANJ7Kvp/T/8AkHWn/XJP/QaALlFFFABRRXJ+&#10;FPGcPinxD4x0uKCWF/DupxabK8jcSs1pb3W5fbbdKv8AwGgDrKKKKACiiigArzjxt/yWD4a/9xL/&#10;ANJ1r0evOPG3/JYPhr/3Ev8A0nWgD0evMv2hv+SaH/sNaN/6c7WvTa8z/aG/5JqP+w3o3/p1taAP&#10;TKK53xt4pi8EeEtV16aB7iGwt2uGhT7zVvp9ygB9VLxJZoJY4pTDKy7VfH3T/eq3RQB+dUvit/gd&#10;+0J8Z5fGPxjKXaafZ7bS4soIpdbb+zZpUXanzL5X95P9nf8AeSvMdS8Ban4e8F/BDS/iPb+BNO8H&#10;v4JS60nxB4psbxzYTrEk9xZP5V1FtlZH3r/f2bf4K+8fiT+yX8PviXceI7680+XT9Y8TS2v9sana&#10;Pm5ureDZ/ou9t/lRMkYR1i27qw/Gf7F3hP4oa/fXvj/XvE3jTRJZpJdP8MXuoeRpumb02/uIolRt&#10;ydFZm+WgCf8AZbt/Fer/ALKXh+G7h03wNqt3p0q6PHpdhL5Om277/sr+VLK+5tux9u/+LbXzX4Vm&#10;1rwB+0Z8XdF8e/F221n+072x0+98PQeHkS+8VBtIVhHboku6JliYLuXd82z+8tfZXwc+DCfBuwvr&#10;G38YeK/FVlO6C2i8S6it39hRc/uovkX5f97c1UvCX7NXgfwb8XvFPxMtNNku/GPiORWn1G/lNw9s&#10;qxKnlW+7/VJ8n/sv3AiqAfnv4u8IfCpv2jfAumr8D/iVBoDaVfXE+hXNjf8A226nRovKliTzd+1f&#10;m3bP71fW9/4HJ/ZT1W3+Fq6r8ILCKHULq703xNorXF3OnlS70ZJ5dy7/ALyvvbtXrXiL4NHXvj14&#10;P+JR1UQf8I/pV9pp08Q/6/z9nzb93y7dldx4t8OWHjLw1q2haksjafqlpLZXSRNsfypU2v8AN/D8&#10;pNAHw98AxY+MvglpumeKP2gNUit/CPhLSNUubPwif7GfRLR7TcsVxPEzee2xF/usv/A68n/ZZ0PU&#10;r74mXUXjDxl8RfCnhr4pSXGu+C9Ut/EktrLfMsnleVdf89Ll4Ft2X/ZWvqvx3+yN8M/BXw18P2MV&#10;pqVn4E8MOtxeeFLCdVttbl3IqS3v8UrI3zfer1z42fATwt8dfh3J4P1+3kt7OJllsLuwbyrjT50/&#10;1UsDfwstAHjH7Z9suq3v7P8A8P1eW/l1Tx5p0sqSy77ia1s0d7h2/wCAfMz14X8T/gf8Af2Vfi7r&#10;d98SPAcD/DDxHbpe6DeRLcyLp2owR4nsvlf/AJaqPNTd/FvWvrfxd+zPZa74m0vxLY+KvEGneJtF&#10;8PS6DouovLFdiweTG682SqS0+F2szN86sVrnfDn7EHg+ZxqHxK1bWvjFrwhaL7Z4uuPNt4N33vs9&#10;uvyxf+PN/tUAUf2Gvgp/wrHwPr/ie48L/wDCG6n411H+1V8PMzs+l2S/LaWr7/m3qrMzf7Urf7te&#10;XftyeIdNh+JmnafHf+Hotal0+KBEufFepfbS2+VkiTSLD97Kz7vll3fN8q/Ltr2Xwb+yRF8NPG+j&#10;ar4O+IfjPQ/CdpJvl8GS6g11p8iqvyInm/vYlH93c3935at/E79ltvir8UZPEuqfEHxDpWlfYYrA&#10;aPoaQWUrqrkujXqxee0Tbvub+GZvm7UAfnN4YbXfhx8V5fDXiDSvE3xCvddiS1sdMuPFF1pt3pt+&#10;yPLElxFFLKtv5qq2y3d3l/dbvk+7X3X+wT4LtW+Fln46Ov8A9ra3r0bG7t7S9vXt9OG/d9kaK6ml&#10;bzYn3Iz/ACt/6E2xD+xV4e0z4keENW0jV7rR/Bfhq6XVbTwdZW0Qt5dURXT7VNcNmWVtrt9//vr5&#10;q9I8O/s/eDvCHxV1b4gaNZz6XrmrRSrqMNrcutldSOyt58sH3TL8v3/9pqAPhzxbFJc/s3/GeKOG&#10;S4aX45RIkNvN5Dy/6VYfIj/wN/t13nw+8PXvhv8AaQ8dW134d1jww7/DC8dbTWfEL6uz/wClp8yS&#10;s77F/wBmvXYP2Cfhld6j4nuPEI1rxBLruuS666vq91aQwyts2IsUEqJ8jIWV9u8cfN8taGpfsLfC&#10;e/ku7r7H4ii1Ke0ey/tEeK9UeVYm/h3Ncfd/i2fdoAn/AGAf+TNfhR/2CF/9GvXpfx0/5Iv47/7A&#10;d5/6Jeua+CHh3SvhBpmn/B7S5Lu8g8K6HaXC392U3SxzzXC/MF/izA3/AH1XS/HL/ki/jv8A7Al7&#10;/wCiXoA7DT/+Qdaf9cl/9Bq1VXT/APkHWn/XJf8A0GrVAHnnwE/5Jfp//X1ef+lcteh1558BP+SX&#10;6f8A9fV5/wClcteh0Aed/CD7vjf/ALGe/wD/AGSvRK87+EH3fG//AGM9/wD+yV6JQAUUUx6AH0Vz&#10;3gvxRH4y8OW+rQwtbxzSSosbnn5JWT/2WuhoAKKKKACvlb4D/wDJYtM/66+PP/T/AGtfVNfK3wH/&#10;AOSxaZ/118ef+n+1oA+qaKKKACiiigAooooAKKKKACiiigAooooAKKKKACiiigAooooAKKKKACii&#10;igAooooAKKKKACiiigAooooAKKKKACiiigD8k/EvwT8J+BG1nTPH3w20H46ahobTz33jRviy2lyz&#10;L8vnPcWct0WikWT5H2/7FfUf/BOvwXNovg3xR4l0nVNEtvBviC/hbSvCOga1Pq9vonlRIkqNdSs3&#10;71m++qbl+5tcrt253wx/Yi8H/ADxL4HGr22heNDaa8o8O3o8PQabqFiyQXcu+6uE3tfN/qtu/wAv&#10;Y0SMte3fBX4KeIPAHj/4h+MfEnia217VvF1zAWisNP8As0UMEG6O33/O/mS+R5Ss3y/c/i+9QBwH&#10;7Yv/ACNuif8AYg+Mv/Seyr6h0/8A48Lb/rmn8q+Xv2xjs8W6L/2IPjL/ANJ7KvqGw/48oP8ArmlA&#10;FqiiigAryf4Of8lG+Nv/AGNkH/pl02vWKZsoAfRRRQAUUUUAFeceNv8AksHw1/7iX/pOtej15x42&#10;/wCSwfDX/uJf+k60Aej15n+0N/yTP/uNaN/6dbWvTK8y/aG/5Jof+w1o3/pztaALXx9/5It4wX/q&#10;HS16An3Fo2U+gAooooAKKKKACiiigAooooA88+P3/JJfEH+5F/6NSvQ6Y6Zp9ABRRRQAUUUUAFFF&#10;FABRRRQB5jo//Jyfi7/sVdH/APSvUq1Pjl/yRfx3/wBgS9/9EvXb7K4j45f8kV8d/wDYEvf/AES9&#10;AHYaf/yDrT/rkv8A6DVqqun/APIOtP8Arkv/AKDVqgDzz4Cf8kv0/wD6+rz/ANK5a9Drzz4Cf8kv&#10;0/8A6+rz/wBK5a9A30AeffCD7vjf/sZ7/wD9kr0SvO/hA3HjX/sZ77/2SvRKACmO+2n0UAeffAj/&#10;AJJjpv8A183n/pVLXoNFFABRRRQAV8rfAf8A5LFpn/XXx5/6f7Wvqmvlb4D/APJYtM/66+PP/T/a&#10;0AfVNFFFABRRRQAUUUUAFFFFABRRRQAUUUUAFFFFABRRRQAUUUUAFFFFABRRRQAUUUUAFFFFABRR&#10;RQAUUUUAFFFFABRRRQB558Uf+Rl+Gv8A2MX/ALZXVeh1558Uv+Rn+Gv/AGMX/tldV6HQB8qftkf8&#10;jfon/Yh+Mv8A0nsq+obD/jyg/wCuaV8vftk/8jbon/Yh+Mv/AEnsq+obD/jyg/65pQBaooooAKKK&#10;8u+Fur3+oePfi/a3l3Nc29h4kt7ezilkZlt4jpGny7E/urvd2/3negD1GiiigAooooAK848bf8lg&#10;+Gv/AHEv/Sda9Hrzjxt/yWD4a/8AcS/9J1oA9HrzL9ob/kmh/wCw1o3/AKc7WvTa8y/aG/5Jof8A&#10;sNaN/wCnO1oA9NorgfjVqV1pPwn8VXllcz2l1BYyPDcQNsdG9VZa7tPuLQA+iiigAooooAKKKKAC&#10;iiigAorgPjVqF1pfwx1q8sria0u4liKTQMUdP3q/xL0rv6ACiiigAooooAKKKKACiiigArhfjp/y&#10;Rfx3/wBgO8/9EvWdpuqXr/H7xLpz3MzWEPhrS7mK2MjeUkr3V+rvt/vMFQf8AWtH45f8kV8d/wDY&#10;Evf/AES9AHYaf/yDrT/rkv8A6DVqqun/APIOtP8Arkv/AKDVqgDzz4Cf8kv0/wD6+rz/ANK5a8q/&#10;bI8L/EHxNpHhZ/C99qR8IWdzcS+JdK0HW4NG1DUY2VUt4orqf5VTezbxvTcv3fm2V6r8BP8Akl+n&#10;/wDX1ef+lctch+0X8ItY+JSaFd6P4c8HeMLixSe1k0Px55p0xopfKc3HyxS/v0aBFX5fuyy/NQB8&#10;b2sJ8UJbj4MfDX4p+AvHYa1vINV8V+L5dPtILydurwX08v2+D+/5UTO6/L8u9a/SnTku0srdb145&#10;7pUXzZYIzEjN/EyoXbav+zuavzK8O/sSfETV/A3j3RLXwl8Ktb13WNXuUXxHOJ7OXwzcLtfyrHZE&#10;zraxFdsSrtwzpui2bq/Taxt5bO0hhmuZr2WNQrXM4XfL/tNtVV3f7q0AaFFFMegB9FcH8Gb+71X4&#10;fafd31zJd3bz3QeaZtzHbcSqv6Cu8oAKKKKACvlb4D/8li0z/rr48/8AT/a19U18rfAf/ksWmf8A&#10;XXx5/wCn+1oA+qaKKKACiiigAooooAKKKKACiiigAooooAKKKKACiiigAooooAKKKKACiiigAooo&#10;oAKKKKACiiigAooooAKKKKACiiigDzz4pf8AIz/DX/sYv/bK6r0OvPPil/yM/wANf+xi/wDbK6r0&#10;OgD5S/bJ/wCRt0T/ALEPxl/6T2VfUlj/AMecH/XNP5V8t/tmf8jbon/Yh+Mv/Seyr6mtf+PaL/cW&#10;gCeiiigArz34e+FdS8PeMviZqF7Ei22u69Ff2O1926JdNsrc7v7v72CWvQqZsoAfRRRQAUUUUAFe&#10;ceNv+SwfDX/uJf8ApOtej15x42/5LB8Nf+4l/wCk60Aej15n+0N/yTUf9hvRv/Tra16ZXmf7Q3/J&#10;NR/2G9G/9OtrQBtfFrw/eeLfhv4i0bTwj397ZvFErNty1den3KNlPoAKKKKACiiigAooooAKKKKA&#10;OM+LPh288WeAtV0nT1V7u4WLy1Ztv3ZUb+ldnTNnzU+gAooooAKKKKACiiigAooooA4Sw8M3tt8Z&#10;fEHiNlX+zL3QNOsInDfN50Vxeu/y/wC7cRUvxy/5Iv47/wCwJe/+iXrt9lcR8dP+SL+O/wDsB3n/&#10;AKJegDsNP/5B1p/1yX/0GrVVdP8A+Qdaf9cl/wDQatUAeefAT/kl+n/9fV5/6Vy16HXnnwE/5Jfp&#10;/wD19Xn/AKVy16HQB538IPu+N/8AsZ7/AP8AZK9Erzv4Qfd8b/8AYz3/AP7JXolABRRTNm6gDkfh&#10;b4fvfCvgqx02/VEuopbhnVW3YDzu6/8AjrCuxpAoFLQAUUUUAFfK3wH/AOSxaZ/118ef+n+1r6pr&#10;5W+A/wDyWLTP+uvjz/0/2tAH1TRRRQAUUUUAFFFFABRRRQAUUUUAFFFFABRRRQAUUUUAFFFFABRR&#10;RQAUUUUAFFFFABRRRQAUUUUAFFFFABRRRQAUUUUAeefFL/kZ/hr/ANjF/wC2V1XodeefFL/kZ/hr&#10;/wBjF/7ZXVeh0AfKX7Zn/I26J/2IfjL/ANJ7Kvqa3/49ov8AcWvkn9tq8ubPxT4ca1sZb8S+CvF8&#10;MiROi+UjRWW6X5nX7te6W3j7xf5ES/8ACs9W+4vz/wBp2H/x2gD0mimL9+n0AFZGma7p+q32p2ln&#10;dx3FxptwtreRI3MErRJLsb/a2SI3/A65W/8AG/iq1v7iC3+Heq3kMUjJFcLqFmiyp/e+aXcK4v4B&#10;axqWp/Eb4ztfaBcaSX8SW0rC4nilKP8A2Ppq7P3bt/CA/wDwOgD3WiisjXby+07Sp7my02XVbqMf&#10;LZwyIjSn/edlWgDXorzv/hPvF/8A0THV/wDwZ2H/AMfrqtAvLzU9Kiub7S5dHu3Lb7KaRJXiO7ru&#10;RmU9moA2q848bf8AJYPhr/3Ev/Sda9HrxP4ra7q+kfGT4djTvDN5re2K+dWtbm3i3M0W1l/euv3f&#10;vf8AAqAPbK8x/aH/AOSaf9xrRv8A062taWmeM/E99qMFvd+AdS061kbbJdS39myRL/e2pLurN/aG&#10;/wCSbH/sOaN/6crWgDvNV1Wz0HTrjUNQnSzsoE3yyyt8irV9K8/+Pz/8WW8Yf9g6Wmf8J34sRiq/&#10;DTV3Rf4/7RsPm/8AItAHo1Fcv4U13Vtda6Oq+GLzw40YXyjd3UEpnHzZ/wBU7Y24H3v71dRQAUVi&#10;+I9RvtK0uW4sNKn1u6Urts7aWKJ3+b+9KyrXKv4+8X/9Ex1f/wAGdh/8foA9EorM0a7urzS7ae7s&#10;pNOupU3yWkrq7RN/d3L8prToAKK4vX/FviHStTkt9P8ABGpa3bBFZbu2vLWNSf8AdllRqh0Pxd4i&#10;1XV7a1v/AANqOkWkm4te3N7aSrGdh/hilZv9n/gVAHU6vrFnoNhLfahcx2trH9+WVvlWtGvO/j8M&#10;/CPxAv8AsRf+jUr0F/uUAPorztfH3i//AKJhrP8A4M7D/wCSK6Hwtreq61BPJqnh678PSo2xYbue&#10;CXzf9r907UAdHRRXOeKdb1XRY4JNN8OXniF3ba8VpcQReV/tZldaAOjorztvH3i//omGs/8AgzsP&#10;/kivQU+5QA+imP8AcriNc8XeItK1e5tbDwJqWsWke0re219aRLIdg/hllVv9n/gNAHRJrVlLrc+l&#10;R3kb6jBBHdSWit8yxOzqjn/eZHH/AAGud+OX/JF/Hf8A2BL3/wBEvXA+CPEWs6r+0r4l+3eF77RR&#10;L4X0xX+03VvL5e271DY37qVvvf0rvPjl/wAkX8d/9gO9/wDRL0Adlp//ACDrT/rkv/oNWqw7i5ub&#10;Hw4s9nZS6hcxW6tHaROiNL8v3dzfLXK/8J/4u/6JhrP/AIM7D/5IoAf8BP8Akl+n/wDX1ef+lcte&#10;h15f+zvcT3vwo0uee0lspXubzdbzMrMn+ly/3HZa9QoA87+EH3fG/wD2M9//AOyV6JXi3g3XdV0I&#10;+KhpXhe78RtL4l1HzWs7mCIxf6rG7zWX73+z/drpY/HfiyWRFf4a6vErN9/+0bD5f/ItAHolMen0&#10;x6AKGkaxZazZJd2VzHc2rs6rLE3ykq21v/Hga0q8H+EPjLxLYeBLW2tPAWqapaRXN4q3lvfWSrJ/&#10;pUvO15VavRfDHiXXdb1KSDU/B2oaBAke5bu7urWVWfK/L+6ldv8A9mgDs6KKxfEGoXmlaXNc2WlT&#10;azdIV2WVvJFE8nzf3pGVfVutAG1Xyt8CP+Sw6V/118ef+n+1r2X/AIT/AMXbf+SY6z/4MbD/AOSK&#10;8R/Z+nkuPinos8sDW0sv/CeO9u77nib/AISC0+X5aAPrKiiigAooooAKKKKACiiigAooooAKKKKA&#10;CiiigAooooAKKKKACiiigAooooAKKKKACiiigAooooAKKKKACiiigAooooA88+KX/Iz/AA1/7GL/&#10;ANsrqvQ688+KX/Iz/DX/ALGL/wBsrqvQ6APlH9s3/katE/7EPxl/6T2VfVFr/qIv92vlj9s//kat&#10;E/7EPxl/6T2VfU9r/qIv92gCaiiigArA0Twnpvh7Vddv7GAwXeuXiXt825m82VbeK3Vv9n91BEv/&#10;AAGt+igAooooAKKKKACvOPG3/JYvhp9NT/8ASda9Hrzjxt/yWD4a/wDcS/8ASdaAPR68y/aG/wCS&#10;aH/sNaN/6c7WvTa8y/aG/wCSaH/sNaN/6c7WgDtvEPh6x8VaHe6TqUPn2F5F5U8RbZuX/eWtT+Cn&#10;0UAFFFFABRRRQAUUUUAFFFFAGP4h8O2PifSbjS9RhNxZT7fMjDsu75t38P0rYoooAKKKKACiiigA&#10;ooooAKKKKAMOLwxp0Pia78QrABql1aQ2Ms25vmiieV0Xb7NPL/31WD8dP+SL+O/+wHef+iXruq4X&#10;46f8kX8d/wDYDvP/AES9AHXaf/yDrT/rkn/oNWag0/8A5B1p/wBcl/8AQatUAeefAT/kl+n/APX1&#10;ef8ApXLXodeefAT/AJJfp/8A19Xn/pXLXodAHnfwg+743/7Ge/8A/ZK9Erzv4Qfd8b/9jPf/APsl&#10;eiUAFFFFAGP4e0Cy8M6ZFp+nRtBaRs7rGXZuWZmb73+0xrYoooAKKKKACvlb4Ef8lj0z/rr48/8A&#10;T/a19U18rfAf/ksWmf8AXXx5/wCn+1oA+qaKKKACiiigAooooAKKKKACiiigAooooAKKKKACiiig&#10;AooooAKKKKACiiigAooooAKKKKACiiigAooooAKKKKACiiigDzn4oOv/AAlHw4+bGzxBub/wCuq9&#10;E+X2r83P+Cp/wgk8b/GL9n27skdLjW9Vbwxc3Cf3XmhaJD/33cf+PV+j1vAttEkafcRdq0AfLP7Z&#10;/wDyNWif9iH4y/8ASeyr6ntf9RF/u18q/tnf8jVon/Yi+Mv/AEnsq+rIP9VH/u0ASUUUUAMf7lcd&#10;4U8bHxT4j8baX9i+yHw3qsWmeb5m/wC0brK3ug/3fl/4+tm35vuf7VdpXlHwe/5KR8bv+xqtv/TL&#10;ptAHq9FFFABRRRQAV5x42/5LB8Nf+4l/6TrXo9eceNv+SxfDT6an/wCk60Aej15l+0N/yTQ/9hrR&#10;v/Tna16bXmf7Q3/JM/8AuNaN/wCnW1oA6Px/4pbwN4M1fXlthfDTrZrg25k8reF/h3bWxXTI+6uB&#10;+Pv/ACRfxl/2Dpa75PuLQA+iiigAooooAKKKKACiiigDlvH/AIq/4Qrwnfa2LU3gtVTNuZNm/c6r&#10;97a396uprzz4/wD/ACSTxB/uRf8Ao1K9DoAKKKKACiiigAooooAKKKKAOPtfGRu/iZqvhQ2fliw0&#10;qz1L7V5mTL58txFt27f4fs/3t38dVfjl/wAkV8d/9gS9/wDRL1l6T/ycn4q/7FXSP/SvUq1Pjp/y&#10;Rfx3/wBgO8/9EvQB2Gn/APIOtP8Arkv/AKDVqqun/wDIOtP+uS/+g1aoA88+An/JL9P/AOvq8/8A&#10;SuWvQGfYm5q8/wDgJ/yS/T/+vq8/9K5a7DXNJt9e0XUdNuVD217BLbyq38SMu1v50AcX8HWUnxr/&#10;ALfia9Zf/HK9Hr84f+CPXw0vPB+jfF+91Lct9FrqaA6N/C1r5u//AMen/wDHa/R6gApj/cp9FAHM&#10;+A/FA8aeGLfV/s32PzZJk8nzN+3y5Xi+9/wCumrz/wCA/wDyTLT/APr5vP8A0qlr0CgAooooAK+V&#10;vgP/AMli0z/rr48/9P8Aa19U18rfAn/ksel/9dPHn/p/taAPqmiiigAooooAKKKKACiiigAooooA&#10;KKKKACiiigAooooAKKKKACiiigAooooAKKKKACiiigAooooAKKKKACiiigAooooA8p+NXwpm+JF5&#10;4I1KyksI9R8La0ms2o1CN2iZlilT+H/fVv8AgFaap8VP+e/hD/v1df8Axdeh0UAfMfxh+BPxJ+Lf&#10;iHQNQuNX8MWcOm2t5Yz2kMd0v2u2uvI86J3zuRW+z7Pl/hdq9J8r4zf89PAv/fu8r1OigDy/Z8Z/&#10;+e/gT/v1e/8AxVGz4z/89/An/fq9/wDiq9QooA8t2fGf/nr4G/793n+Ncx4X8EfFzwz4g8W6lBfe&#10;DJpvEWoxalOrx3WyJltLe12r/wABt1b/AIFXvNFAHl+z4z/89/An/fq9/wDiqNnxn/57+BP+/V7/&#10;APFV6hRQB5fs+M//AD38Cf8Afq9/+Ko2fGf/AJ7+BP8Av1e//FV6hRQB5fs+M/8Az38Cf9+r3/4q&#10;vOvGi/F4fE7wD+98Ffbf9P8As2Fu/K/1Kb91fSteceNv+SxfDT6an/6TrQBkbPjt/f8Ah7/5P1wX&#10;xpHxh/4QP/ibyeCRbf2xpGfsK3m/f/aVvszu/h3V9N15n+0N/wAkz/7jWjf+nW1oA5zxn4W+L/jb&#10;wpq2hXN34Kht7+BrdpYY7zetbyRfGbb/AK/wL/36vf8A4qvUaKAPL9nxn/57+BP+/V7/APFUbPjP&#10;/wA9/An/AH6vf/iq9QooA8v2fGf/AJ7+BP8Av1e//FUbPjP/AM9/An/fq9/+Kr1CigDy/Z8Z/wDn&#10;v4E/79Xv/wAVRs+M/wDz38Cf9+r3/wCKr1CigDy/Z8Z/+e/gT/v1e/8AxVGz4z/89/An/fq9/wDi&#10;q9QooA8Q8a+Fvi94z8MX2jXNz4Jhhutm6SKO83LtdW/9lrd2fGf/AJ6+Bv8Av3ef416lRQB5fs+M&#10;/wDz38Cf9+r3/wCKo2fGf/nv4E/79Xv/AMVXqFFAHl+z4z/89/An/fq9/wDiqNnxn/57+BP+/V7/&#10;APFV6hRQB5fs+M//AD38Cf8Afq9/+Ko2fGf/AJ7+BP8Av1e//FV6hRQB5fs+M/8Az38Cf9+r3/4q&#10;uF+M3xT+KHwV+HepeMdaPgmTTrBoVkVFvN37yVIh/wCh19FV8Kf8FhfGr+G/2U4NFjk2y+INdtrV&#10;lH8UUSvO3/j8SUAe3W/hD4x2vjzUPFIufAn2q/0y101oit5sVYJbiVG/8mG/75qt8VF+L4+F/i3+&#10;1z4JbTf7KuvtP2RbzzfK8p9+3d/Ftr0H9nzxw/xK+Bfw/wDFMzb7jVtCs7qc/wDTVol3/wDj26rf&#10;x0/5Iv47/wCwHef+iXoA5Kx/4Xp9ig8tvAGzyl27vttTP/wvf+98Pv8Aydr1fT/+Qdaf9cl/9Bqd&#10;6APnb4Sj4uf8ILY/2Q3gxbDz7rb9tW683d9ol3/d/wBrdXaeX8b/APnr4A/75va1fgP/AMkx0/8A&#10;6+b3/wBKpa9DoA+cvhV8JPij8KYPEsemz+Cn/t7XL3X7nfHdDbPcPudF/wBmu92fGf8A57+BP+/V&#10;7/8AFV6hRQB5fs+M/wDz38Cf9+r3/wCKo2fGf/nv4E/79Xv/AMVXqFFAHh/gzwr8YPBvh+30q2uv&#10;BU0MUkrb5o7zd88rP/7NXQbPjP8A89/An/fq9/8Aiq9QooA8v2fGf/nv4E/79Xv/AMVRs+M//Pfw&#10;J/36vf8A4qvUKKAPL9nxn/57+BP+/V7/APFVg/Bj4GXngPWb3X/EWrrq+vTT6i9vFaI0VpYxXl6b&#10;q4RF+87O4i+Z/wDnkm0Llt3t1FABRRRQAUUUUAFFFFABRRRQAUUUUAFFFFABRRRQAUUUUAFFFFAB&#10;RRRQAUUUUAFFFFABRRRQAUUUUAFFFFABRRRQAUUUUAFFFFABRRRQAUUUUAFFFFABRRRQAUUUUAFe&#10;ceNv+SwfDX/uJf8ApOtej15x42/5LB8Nf+4l/wCk60Aej15n+0N/yTP/ALjWjf8Ap1ta9MrzP9ob&#10;/kmf/ca0b/062tAHplFFFABRRRQAUUUUAFFFFABRRRQAUUUUAFFFFABRRRQAUUUUAFedfHlFm+Fu&#10;sblV9slv9/8A6+Iq9Frz747/APJLtZ/3rf8A9KIqAO8iQIiqvyBf4a4r46f8kX8d/wDYDvP/AES9&#10;d1XC/HT/AJIv47/7Ad5/6JegDsNP/wCQdaf9cl/9BqeoNP8A+Qdaf9cl/wDQanoA4L4D/wDJMtP/&#10;AOvm8/8ASqWvQK8/+A//ACTLT/8Ar5vP/SqWvQKACiiigAooooAKKKKACiiigAooooAKKKKACiii&#10;gAooooAKKKKACiiigAooooAKKKKACiiigAooooAKKKKACiiigAooooAKKKKACiiigAooooAKKKKA&#10;CiiigAooooAKKKKACiiigAooooAKKKKACiiigArzjxt/yV34a/8AcS/9J1r0evOPG3/JXfhr/wBx&#10;L/0nWgD0evM/2hv+SZ/9xrRv/Tra16ZXmf7Q3/JM/wDuNaN/6dbWgD0yiiigAooooAKKKKACiiig&#10;AooooAKKKKACiiigAooooAKKKKACvPvjv/yS7Wf963/9KIq9Brz747/8ku1n/et//SiKgD0GuF+O&#10;n/JF/Hf/AGA7z/0S9d1XC/HT/ki/jv8A7Ad5/wCiXoA7DT/+Qdaf9cl/9BqeoNP/AOQdaf8AXJf/&#10;AEGp6AOC+A//ACTLT/8Ar5vP/SqWvQK8/wDgP/yTLT/+vm8/9Kpa9AoAKKKKACiiigAooooAKKKK&#10;ACiiigAooooAKKKKACiiigAooooAKKKKACiiigAooooAKKKKACiiigAooooAKKKKACiiigAooooA&#10;KKKKACiiigAooooAKKKKACiiigAooooAKKKKACiiigAooooAKKKKACvOPG3/ACV34a/9xL/0nWvR&#10;6848bf8AJXfhr/3Ev/SdaAPR68z/AGhv+SZ/9xrRv/Tra16ZXmf7Q3/JM/8AuNaN/wCnW1oA9Moo&#10;ooAKKKKACiiigAooooAKKKKACiiigAooooAKKKKACiiigArz747/APJLtZ/3rf8A9KIq9Brz747/&#10;APJLtZ/3rf8A9KIqAPQa4X46f8kX8d/9gO8/9EvXdVwvx0/5Iv47/wCwHef+iXoA7DT/APkHWn/X&#10;Jf8A0Gp6g0//AJB1p/1yX/0Gp6AOC+A//JMtP/6+bz/0qlr0CvP/AID/APJMtP8A+vm8/wDSqWvQ&#10;KACiiigAooooAKKKKACiiigAooooAKKKKACiiigAooooAKKKKACiiigAooooAKKKKACiiigAoooo&#10;AKKKKACiiigAooooAKKKKACiiigAooooAKKKKACiiigAooooAKKKKACiiigAooooAKKKKACiiigA&#10;rzjxt/yV34a/9xL/ANJ1r0evOPG3/JXfhr/3Ev8A0nWgD0evM/2hv+SZ/wDca0b/ANOtrXpleZ/t&#10;Df8AJM/+41o3/p1taAPTKKKKACiiigAooooAKKKKACiiigAooooAKKKKACiiigAooooAK8++O/8A&#10;yS7Wf963/wDSiKvQa8++O/8AyS7Wf963/wDSiKgD0GuF+On/ACRfx3/2A7z/ANEvXdVwvx0/5Iv4&#10;7/7Ad5/6JegDsNP/AOQdaf8AXJf/AEGp6g0//kHWn/XJf/QanoA4L4D/APJMtP8A+vm8/wDSqWvQ&#10;K8/+A/8AyTLT/wDr5vP/AEqlr0CgAooooAKKK5Pxr4+0vwJp/wBp1O6CyMkjQW4dEedkGdi72Vd3&#10;+8yrQB1lFcB4c+M3hHxL4efV7fVYra3itFvLmK7/AHctqn/TVf4dtcdp37VfhHVV8K/2dYa5qw8R&#10;x+bYNpth9oR22ea8ZdW270X5m/u0Ae4UV5B8W/2k/BfwVKw+Izqq3LvEkVvZ6PPL5/myqvyS7fKb&#10;743fP/498tXh8fvCcngmXxTaT6jd6dHKbe3UabcW8t7L/wA84EnRN/8AvfcXa5dlVWYAHqNFeaaB&#10;8a9C8ReNLfwrb2esQazLaNfmO60+WNBb52+b5mNu0t8qn+L+HNdbd+K9NsfE+n6HNcqmq6jbz3Nt&#10;b7G/eRQPEsr7vu/L58X/AH1QBvUVwHiv4yeEPBfim18Pa5rK6dq1ykMsSywS+UFllaKLfLt8pd7q&#10;VXew+aotB+OngTxHp632n+J7Ka0WC8nedmZFWK1lWG4dt33dkjqvzf3qAPRKK8+m+NfhCGDwvImo&#10;z3CeJbH+0tK+yafcXDXFriL97tiibav7+L7+379SXXxc8JW/iq68OPrCx6taq7zo8Mvkptj81k87&#10;b5W9Yvn2btyr822gDvaK+c/E/wC298NfCNt4dl1K9vbe41bypms5LKV3tYG3s0spRWX5EidtisX/&#10;ANmuwf8AaO8GQ6xPaPc6hJbwaVBq7ahDp8stuIpVd0X5V3rL5QErIyjarL60AeuUV5FaftCeHJfh&#10;nq/jF7XVLeHTC0UunXFhNb3Etxu2x28SyIvmSO21V2/31rLl/ay8E22v/wBlywa0sqX8GlSyjTX8&#10;mO5liSVIt3+6/wD6H/doA9xor591r9sTwZo+varpH2TWLu+tbpbS1+zWDFL9ssv7hz8r7XSVf+2T&#10;t93mvW/AfjbT/iL4Wste0pbpLG8G+L7bA9vLt/3G+ZaAOnooooAKKKKACiiigAooooAKKKKACiii&#10;gAooooAKKKKACiiigAooooAKKKKACiiigAooooAKKKKACiiigAooooAKKKKACiiigArzjxt/yV34&#10;a/8AcS/9J1r0evOPG3/JXfhr/wBxL/0nWgD0evM/2hv+SZ/9xrRv/Tra16ZXmf7Q3/JM/wDuNaN/&#10;6dbWgD0yiiigAooooAKKKKACiiigAooooAKKKKACiiigAooooAKKKKACvPvjv/yS7Wf963/9KIq9&#10;Brz747/8ku1n/et//SiKgD0GuF+On/JF/Hf/AGA7z/0S9d1XC/HT/ki/jv8A7Ad5/wCiXoA7DT/+&#10;Qdaf9cl/9BqeoNP/AOQdaf8AXJf/AEGp6AOC+A//ACTLT/8Ar5vP/SqWvQK8/wDgP/yTLT/+vm8/&#10;9Kpa9AoAKKKKACvHfj1f6/Fo2nxeGNJ1a91yzvLfUrSS0V/sspil+e3uGT5tjxb1+433kb+GvX3+&#10;5XG+L/ip4U+H7xw65rENtdy8xWMKvcXcv+7BErSt/vBaAPKfCGla54ug+JMVzpeveE9a8Wzysmo3&#10;lmjRWVnEi29vEn737/lK0v8AvTP/AHa4nwn+zHqGl/8ACkbe5u/FUtvpsE6amE124g/stP7PZUiX&#10;ypU2fvfl3J8/8O7ate2r+0l4F/5+Nd/8JnVP/kenf8NJ+Bv+fjXf/CX1T/5HoA8B/a08E+NfGfxZ&#10;8P33hnwtqmo2emaTcWdxcLqF1YRPLJLCybGgRmk+433qXwl8PvF037Js/hbUNG8RaV4g0/WPtUlp&#10;DO8v9pRS37v5Xmt+9lTyn+dX2f3H+XdXvv8Aw0l4E/5+Nd/8JnVP/kem/wDDSXgP/n413/wmdU/+&#10;R6APG/hz8Nm074yQalJofiqOxguVurXVL3TYkuJLiRJUmW6ulbz5YtvlfK7OjbE/uJS/En4D+JfE&#10;37Quk6jb6RoU1jdxX9wnil1b7dpz+bpuz/ll8sqeQ/lfP/G/3dnzex/8NJeA/wDn413/AMJnVP8A&#10;5Ho/4aS8B/8APxrv/hM6p/8AI9AHnnx1+FXjXxx461S00LR7abRfEXhyz0O81a6vVj+wbL2WWZvK&#10;wzSv5T/IPu7vvNXM/BP9mPxN8O/F819dx2Z0rUfDeqWt5aear7NRnvYtj/7r28EW7/air2n/AIaQ&#10;8B/899d/8JnVP/kej/hpLwH/AM/Ouf8AhMap/wDI9AHjviL4A+LX8DfD/SdO0C0HirSfCmnaHbeK&#10;YNalgfQrqDyvNl8pfllX5Rt2/M210b5XrroPhP4qn+I1xZ3OnWo8JjXr7X11VbpXeVbrT2tfs/kM&#10;n3keV2+b5NqL/u12n/DSHgT/AJ+Nb/8ACX1T/wCR6P8AhpLwH/z8a7/4TOqf/I9AHxfqP7OPje00&#10;HRLFPAMn2jS/Kt/Jto4v3q+Rdb7jfB5S/fuE/dPu3Lv+feiV7d8RfgPrHir416BrmheHrNNNvvCt&#10;1Y6jc3trFZJas32dURmiXz2dollTar/Kvy7tm5H9i/4aQ8B/899d/wDCZ1T/AOR6P+GkvAf/AD8a&#10;7/4TOqf/ACPQB4t4L+A/iCf9mLxp4e12zW91LUrS6ms7IvLdTC4Vp+PKvHdVd8hdy7fv/wDAq8+8&#10;Mfst+MbMxeIrzTv7K1XTdcsIINHt7GK4821+z2Hmt5q+UqbPs+1XVPl2Sr8/m7q+qv8AhpDwH/z3&#10;13/wmdU/+R6P+GkvAf8Az865/wCExqn/AMj0AfG/xk/ZY8QXXxU8VReEvAKyeH/NiFjc/bJbf52i&#10;Rndf9Hl3fvWf5mavtr4IeFrTwf8ACnwxY2+hjw3I1jFdXOmBt32e5lXfKv8Avb3as3/hpLwH/wA/&#10;Ouf+Exqn/wAj1u+C/iv4f8e3c9to8mpNLAgkb7dpF5ZLt/3p4k3UAdvRRRQAUUUUAFFFFABRRRQA&#10;UUUUAFFFFABRRRQAUUUUAFFFFABRRRQAUUUUAFFFFABRRRQAUUUUAFFFFABRRRQAUUUUAFFFFABX&#10;nHjb/krvw1/7iX/pOtej15x42/5K78Nf+4l/6TrQB6PXmf7Q3/JM/wDuNaN/6dbWvTK8z/aG/wCS&#10;Z/8Aca0b/wBOtrQB6ZRRRQAUUUUAFFFFABRRRQAUUUUAFFFFABRRRQAUUUUAFFFFABXn3x3/AOSX&#10;az/vW/8A6URV6DXn3x3/AOSXaz/vW/8A6URUAeg1wvx0/wCSL+O/+wHef+iXruq4X46f8kX8d/8A&#10;YDvP/RL0Adhp/wDyDrT/AK5L/wCg1PUGn/8AIOtP+uS/+g1PQBwXwH/5Jlp//Xzef+lUtegV5j8G&#10;dSttI+E1veX1zHaWsE9/JLcXEqqsa/apvmZqhl+MN34mgdfh/oFz4rll/wBTqdw32LSh/tG4ddzr&#10;/wBckloA9T3V5xr3xo0exupdO0C2u/Guuq2z+zNBVJSj/wDTWV2WKL/gbrVOT4U6n4yhA8eeJZ9X&#10;tG+aXRNJV7Gwbttfa3myr/su+xv7legaNomn+HtOisNKsbbTbKJdsdtaRLFEv0VaAOAm8LePfHKK&#10;mu68ng7TG/1um+Gm33Uq/wBx7x1+X/tkiN/t11nhX4feH/AkTjQ9JhtXlH724+/cS/78rfO//Amr&#10;p6KACiiigAooooAKKKKACiiigAooooAKKKKACiiigAooooAKKKKACiiigAooooAKKKKACiiigAoo&#10;ooAKKKKACiiigAooooAKKKKACiiigAooooAKKKKACiiigAooooAKKKKACiiigAooooAK848bf8ld&#10;+Gv/AHEv/Sda9Hrzjxt/yV34a/8AcS/9J1oA9HrzP9ob/kmf/ca0b/062temV5n+0N/yTP8A7jWj&#10;f+nW1oA9MooooAKKKKACiiigAooooAKKKKACiiigAooooAKKKKACiiigArz747/8ku1n/et//SiK&#10;vQa8++O//JLtZ/3rf/0oioA9Brhfjp/yRfx3/wBgO8/9EvXdVwvx0/5Iv47/AOwHef8Aol6AOu0/&#10;/kHWn/XJP/Qas1W0/wD5B1p/1yT/ANBqzQB4V8JvhV4c8S+FNP1fXrWTXXS8umgsdRkaW1gdbiXD&#10;Jbv8m7+Lft3V7qiKn3a8/wDgJ/yTHT/+vm9/9Kpa9DoAZT6KKACiiigAooooAKKKKACiiigAoooo&#10;AKKKKACiiigAooooAKKKKACiiigAooooAKKKKACiiigAooooAKKKKACiiigAooooAKKKKACiiigA&#10;ooooAKKKKACiiigAooooAKKKKACiiigAooooAKKKKACvOPG3/JXfhr/3Ev8A0nWvR6848bf8ld+G&#10;v/cS/wDSdaAPR68z/aG/5Jn/ANxrRv8A062temV5n+0N/wAkz/7jWjf+nW1oA9MooooAKKKKACii&#10;igAooooAKKKKACiiigAooooAKKKKACiiigArz747/wDJLtZ/3rf/ANKIq9Brz747/wDJLtZ/3rf/&#10;ANKIqAPQa4X45f8AJF/Hf/YEvf8A0S9d1XC/HL/ki/jv/sCXv/ol6AOu0/8A5B1p/wBck/8AQas1&#10;W0//AJB1p/1yT/0GrNAHn/wE/wCSY6f/ANfN7/6VS16HXnnwE/5Jjp//AF83v/pVLXodABRRWB4p&#10;1GfSPD2rXls8cM9raySxyywS3CKyqW3NFF87f7ifM3agDc30+vHtJ+KusXnxVl8PHTIX082dvOks&#10;OoQOiq0sqearb9z79v3Nu75P9qu/0TxLHrmoa3aLp+p2f9l3f2Rpb20aKK5zEku+Bm/1sXz7dy/x&#10;Iy/w0AdFTN9fFvjb42fEWD4h3Wn6FqfiKe1j1DVLeW1itrW1R/ImdYorJpdNla8ZYond0iaWX/Yr&#10;f0n9pHxFa/Cu4ktYLzXdat7rUWTU9WWDTpTaxazdWduZbd0i/e+VAu9fKXb/AHVoA+tqK8E8ZfHL&#10;WYfAb6no1qmiatF4gi0Of7TplxryxZXezpb2cqST/Ky/cb/0Gsr4Y/G/xhr0fiq+v4rXxNoOlWtn&#10;Pa6zF4av/CkO52u1ukb+0JZfN8nyIGZ1bavmnd92gD6N30b68E1L4xeN9Nv/AIgvceFo7O10TQF1&#10;S3+0XkUqRy+VdP8ANs+ZldoUX/ZrrbnxnrH/AAmGgWMdxps1je63Lat9ibe7RJpssrpL97Y6zqv/&#10;AAHZQB6gzbRTd9eOr+1L8NFvrG3bXrsteXMlrbyto18ImMcUc7ymXyNiweVNFL9oZvK8rL7tqsw5&#10;rxX+0QPClnqttcxeJDqVr4rtNOeJfDFxdvb28stlK8TS2aSxO3lXf7r7krKyJseVGdgD6KoriV+J&#10;vh99Y0bTHvJ4dQ1WBLu3tp7GeJ40blBcbk/0d3KsqpLsZ2ilVVLROF7agAooooAKKKKACiiigAoo&#10;ooAKKKKACiiigAooooAKKKKACiiigAooooAKKKKACiiigAooooAKKKKACiiigAooooAKKKKACiii&#10;gAooooAKKKKACiiigArzjxt/yV34a/8AcS/9J1r0evOPG3/JXfhr/wBxL/0nWgD0evM/2hv+SZ/9&#10;xrRv/Tra16ZXmf7Q3/JM/wDuNaN/6dbWgD0yiiigAooooAKKKKACiiigAooooAKKKKACiiigAooo&#10;oAKKKKACvPvjv/yS7Wf963/9KIq9Brz747/8ku1n/et//SiKgD0GuF+OX/JF/Hf/AGBL3/0S9d1X&#10;C/HL/ki/jv8A7Al7/wCiXoA67T/+Qdaf9ck/9BqzVbT/APkHWn/XJP8A0GrNAHn/AMBP+SY6f/18&#10;3v8A6VS16HXnnwE/5Jjp/wD183v/AKVS16HQAVl6vp8mo6bcWyXs2ntNG0a3Vpt82Ld/Em5W+atS&#10;igDw2w+A2p2HxCPi5b3wq14VSI/8UqwlKpKz7/Na73ee2/8A1vtXp2h+GbDw9f6ze2UVws+q3X2y&#10;8E1zLNmXYsXyK7ssa7Y0G1Nq/wAXrXSUUAeAeIP2YD4h1c6ifid4y0hItWl1e0sdIXToorWV7jzw&#10;uZLOWWRfNVHKyuysy/d/hrSsf2aPDknw+fw5rUkfibUnu724PiDVtOge8zc38t64+RFRfmldfkVV&#10;/wBlfu17VuWn0AcGnwy0mzvtFOm2dro+ladeS6j/AGdY2qRJNdMhiSRwuF+VXZvu/f2Nu+Q7rGi+&#10;DX0C71eCK9WXw7fvJcf2XNBv8iWT/W7Zd3+qc7m2MrbWd/n27EXsd9G+gDzvTfhjH9q8WJrE1tfa&#10;VrtpHpa6faWr2qQWSLKixFvNZmbZKy7l2eyrWd4b+DI8P3Wmaj/bUj6xpx8q1a0tkt7S0s2ZTLax&#10;QL/BLsDuzM7tKqPu/dRInqu5aNy0AeXS/s7+AZ7a0tZdBdraygure2V7+6/dxT2/2eWIfvPu+V+7&#10;Vf4FRNm3YtT3Hwb0mTVPEmqw3N7Hf69rena1du7+YqPZm0CRxJ/AjLZpu/i3M3+yq+mbqbuWgDHu&#10;/Cmj3+t2er3Om28+qWi7YLt4syx/8Crbpm+jfQA+imblp9ABRTN9G5aAH0UzfT6ACimb6Ny0APop&#10;m5afQAUUm6m7loAfRRRQAUUUUAFFFFABRRRQAUUUUAFFFFABRRRQAUUUUAFFFFABRRRQAUUUUAFF&#10;FFABRRRQAUUUUAFFFFABXnHjb/krvw1/7iX/AKTrXo9eceNv+Su/DX/uJf8ApOtAHo9eZ/tDf8kz&#10;P/Ya0b/062temV5l+0P/AMkzP/Ya0b/052tAHptFFFABRRRQAUUUUAFFFFABRRRQAUUUUAFFFFAB&#10;RRRQAUUUUAFeffHb/klOs/79r/6URV3z/cr4Z/aM8ceKZfiH4j0Dxb8VNf8AhZ4ZMsH9j6fo3gc6&#10;9b6jaqqN9oa6S3lZZfP3q0TbNuxPv/fYA+6a4X46f8kX8d/9gO8/9EvXh37L3jvx54l8calFP401&#10;r4peAZdOSX/hJtc8KL4c+wXqyun2eCIwRPdb1O5227YvKX5svtr3H46f8kX8d/8AYDvP/RL0Adfp&#10;v/IOs/8Arkn/AKDViq2l/wDIMtP+uSf+g1ZoA8/+An/JMdP/AOvm9/8ASqWvQ688+An/ACTHT/8A&#10;r5vf/SqWvQ6ACiiigApj/cp9FAHkvhzxcb79oDx54cbxAL6C00LR7yLSWliP2OWSW9WXaqKG+ZUt&#10;XbeW/wBan8LLXTeEfHcXjDTNZltLC9j1HSbyfTbzTr6NreWO4jQNt3N8rI6tG6SqdrJKjV2Oyq91&#10;aQ3trLbXEYlilVkZG/iWgD89vCnjLWtN1vS7vUdau4dKutfS/g1OfX0S2Wwi12/vNQu2+yvFBseC&#10;4sGZpV2SxS7ot6/c1/Fk3if/AITf4lQX8Ov3e7xfPc2a2+rWcTReVodlvl/dRQOjtBKqROsr7N25&#10;4pdjrP8AZOofCrwbq+jalpN74Y0q403Uoo4by1ktE8qeJF2IrJ/dVPlqXV/hn4R8ST3MmqeHNL1O&#10;WadriU3loku+VokiLfMPveVFEv8AuotAHwp+0hquv+JNRW0gk1jSdN1m40TYmnXLRXs9q2h6rL9k&#10;uLhriWKWLzYtz/uF+8/+t2q1T6XN448K6x4Fa01vV72/l0DxZ5R1ON9RureVNSiie1ikiuoHuNv+&#10;i/IkTbvsqeQq+a3lfb2o/Cbwbqt2tze+GtMubhYI7ZJJrZS6xRn5Eyf4Vz/48396relfD3wxo15Y&#10;XlhoVjaXNgs6WcsUChrZJinmrFj7iv5UXC4+4tAHxV4c8YeJdU+HngC+0/StW8J6HZ+L5YbaDVlu&#10;JZbW3i02481Enuri1bavlTor7UiVJ2XY7RNu09N1HxnN8Lf2jY0utd1K9uI5Z0uJrnT13PFaQWE3&#10;SD7nm2V0jMd37q3+X5281/sq78EeH7u0sbSbRrKW1sbr7baxPbqywT/P+9T+6/zv83+1Sv4O0GW2&#10;+zNpFobZbF9N8ryl2fZW+9F/ufL92gD4X1O++Kd74v8AHdnC9hc+ILWwlbR2vbG81W6gul02dHur&#10;OWKVYFaKWKBt0Vlu/wCJgkW1Gl2P6JcfFW+k0G6lsfEk0PkW2qf2Nd2+v/2la69qyRWTWlva3DRJ&#10;9qVnlli8hF+aWKVfm219O6Z8PvDuitbix0Sxs/IZGieKBFZdquq/pLL/AN9v/erpdlAHzJ4O+MOo&#10;aLpOraxPqn9uzWunWba1b3t8sNvpOoy3XlSpcPtb7GkStvdGX5VRm21u/DX9o3WfGnxFj8Nar4LG&#10;hRm3ss3i6jLM63E9pcXRieGW3iZFX7LKu5vm+58i7m2e/UbVoA8j8Dan4puNXUa22qxaGLGR9Jke&#10;w/0iVNzfNeH5mWfyvK2RbF/jZtzv5UXimsfFS+i1HXI7HxzO/heDTL2XStTi1NJUudZTyvstk1w6&#10;J/pTr5rNYbPl2/x/wfZO2m7VoA+WNE+MXiHRPF+oy3F1NrTW0GunXdNuJ/Ki0hotXtYNKe4+VvsU&#10;T2UtxOzsv72KJpfn2V0fgb9prVfFvxM0rwte+D7W1sL+5ntItXsdVluld4rK3vN6K9rFugdLhNku&#10;75tp+WvoTatGygDzb4E69rvib4Y6fqPiWa5u9VkvL9GnuLOO1dolvZ0iZUid0KeUqbHVm8xNr/x1&#10;+bXxh+H3hXWfEnjRRr3gC2v/ABH4n17TbtNQgs21KzlbUr9XuGeXUrfytkSq290/ubd25Ur9btq1&#10;z1t4F8P2c2jSwaTaRyaN5o091iANr5q7Zdn+9/FQB5j4L8e6RZfGbxV4fsvFOmt4XtvDfh2bSdNh&#10;mt1tbN57i9j2QbP76/YNqnd/rYdnyui1zOu/EvxDovxuu7OC61DUZrXXJUbwzaJvll0JfDz3X2pI&#10;MbiraptgFx/z1byN/wDDX0vtpuygD5qtv2r9Xl8TaNY/8Ippl/pN7f2Fm+saNr0l3D/pj3So0X+i&#10;Ksqq1o6P867X+X5tjV6b8KfEGu6xqHj6PWpZ7m3sPE81lprTWcUKparb27bUaJ381d7y/vH2tu3q&#10;yrsr0rbTdlAD6KKKACiiigAooooAKKKKACiiigAooooAKKKKACiiigAooooAKKKKACiiigAooooA&#10;KKKKACiiigAooooAK848bf8AJXfhr/3Ev/Sda9Hrzjxt/wAld+Gv/cS/9J1oA9HrzL9of/kmZ/7D&#10;Wjf+nO1r02vMv2h/+SZn/sNaN/6c7WgD02iiigAooooAKKKKACiiigAooooAKKKKACiiigAooooA&#10;KKKKAGP9yvhLUvhz+0LJD8XNEvYPFGr6L4m8aPc2E1nr1mdvh1pXWW1glnut9mzRMrLsib7mz5N+&#10;9PvCvl74nfCXxtYax478W3Xxc8ZaZ4dlu7VtG0Tw3f2sP2eJ1iWZZGntZf8Alqzsu3+DatAGP8DP&#10;gdrfww/aF1KPwpYeKvCHwt02O8tpNP1TXn1LTNVeVLN7eW1glfzIGVvtW9zu+4Bv+d1X3345f8kX&#10;8d/9gO9/9EvXlOh/sva94f8Ajx4G8bzfErxH4y0/QrPVIJ7fxXPbyyxtdJEq/Z/It4v+eXz7/wC6&#10;m3+KvWPjl/yRfx3/ANgS9/8ARL0Addp//IOtP+uSf+g1Zqtp/wDyDrT/AK5J/wCg1ZoA8/8AgJ/y&#10;THT/APr5vf8A0qlr0OvP/gP/AMky0/8A6+bz/wBKpa9AoAKxtf1208M6bNf3pmFpDt3+TBJcP8zb&#10;fuRqzN+VbNeZ/tAWd9qvwX8a6fY6UNckv9LmspLJpfK3Ryr5Uje+xHd9v8W3buXNAC+G/jx4L8W6&#10;mmm6Tql1d38srxBE026AVklaJ9zNEFTZKjo277rIynla7aLW7KfW7vSEnRtQtLeG6nt/40ileVYm&#10;/wCBNBL/AN8GvzG+CvwX0nTv2jfC8llZ6bpfhyLXERdVi06CKVbpdNeXZFe+a8Xm/wBo7mWy2efs&#10;++vlJtr1jwt8A18IfG9bK58IwaN9s11pNN16HRdJXyIok/0edH/sZoIpXeLf5SzxS7m3bP42APtD&#10;VPHOg6HfTWeoarBbXcL2Alifgqby4a2tAf8ArrOjIv8AtVn+Kvi/4E8CakmneJPGvh3w/ftH5q22&#10;q6rBazMnZtrup2/er5H+NHxJ8OW3jrx5Zp8UPDk12194EWxuJ7yBnsvI8SXEs6Sp5q+b9n+aV/ub&#10;YmTd93zW9q+K/wAavhvpfg/RNLk+JXhue7i1XQbhvtGuWxuJYPttrL9ocb/u+V+93fd2/N92gDv9&#10;T+Ofw807TFvp/GuiPZS2M2pJJb30UxktYt/m3CKhYtEvlS7nHyjY1XLP4ueEr7Rb3V11hbewstQt&#10;9JuZLuGW3MF1O0KxROsqqys32qD/AL+LXz5+0jqVp8Sr/wAFa1pfinw/e/DWVdUsNYu/7Xi+xz+Z&#10;YXcW1Jd7wRMsbSqzyqyszwr93fXn3grWYb34U2Gs6Bqt74p1mw8Uz61rZg8RrcXX2dbfyt0txaxS&#10;xQK9vb7N9xtZollWJleWLaAfYulfGXwB4g0/Ur/TPHXhzU7PTIvtF9cWmsQSxWkf9+VlfCL7tTvD&#10;nxZ8J+Mr5LTw9rUGu71bF3patcWny9V+0IrRbv8AZ3Zr5Wt3vF8HXkOpXsujJYeEotDuoWkT7PNL&#10;FdQbJbWV4lfzYvNlinXeyxSsifeV2rr/AIf+KTY3mkRaz8RdatLa1sZxceL9YlaHTfEG23dftFl5&#10;8Xkfw/avvsuyL5PtEW+VQD6IXx54ckm8iPWrBj5FndB1nTY0d5K8Vq6v91vNljdU/vMOK4vWP2pP&#10;hP4c1a40/WPiDomk3tvdy2bwX10IGEiNKj/e+8qtBMm/7u5dud3FeHS+FB8LdZ0z4g+I/Gev6NZ3&#10;f2wbryy06J1jie6lsokie1Xy7mVb26/dfKzea6Kq/dr5v+Ivh7WtY8W+MU06DVdaDavrd/DFol79&#10;l/s4z6hevFeyu3n/ACJau0u5UgV4r+JUfdLunAP1K0rVLXW9Otb7T7yG+sbuNJ4Lm3kWWKWJvmV0&#10;ZeGVl6NWnXjnhlPEHib4vaP4xtSH8CXngxUSQajK2+8kuElTbEkz27jyt/71VZvu7ZWVq9joAKKK&#10;KACiiigAooooAKKKKACiiigAooooAKKKKACiiigAooooAKKKKACiiigAooooAKKKKACiiigAoooo&#10;AKKKKACiiigAooooAKKKKACiiigAooooAK848bf8ld+Gv/cS/wDSda9Hrzjxt/yV34a/9xL/ANJ1&#10;oA9HrzL9of8A5Jmf+w1o3/pzta9NrzL9of8A5Jmf+w1o3/pztaAPTaKKKACiiigAooooAKKKKACi&#10;iigAooooAKKKKACiiigAooooAK8++O//ACS7Wf8Aet//AEoir0GvPvjv/wAku1n/AHrf/wBKIqAP&#10;Qa4X45f8kX8d/wDYEvf/AES9d1XC/HL/AJIv47/7Al7/AOiXoA67T/8AkHWn/XJP/Qas1W0//kHW&#10;n/XJP/QauUAef/Af/kmWn/8AXzef+lUtegV5/wDAf/kmWn/9fN5/6VS16BQAUzZT6KAGbKNlPpj0&#10;AGyjatchpfxG0bVvEs2hW0ly9yjSqszWrrbytE+2VEl+6zI33q6/fQAbVo2rXmmjfGfRtT8QTaWL&#10;bUYI3eFbO6GmXQSdn+XY26JfKKt13fJtZfm+8qc5qn7TGn6e/inyfC+u6rFoPiaw8MONNSJGkmu0&#10;tVhf/SngXb594sXyM/3d/wB1qAPbtq0bK8V+LX7RDfCnVtP0yPwF4o8SX11HBcMujpbS+VE83lvu&#10;/fb9yfM33djf3vvMlzRfj5beJtK0W907wvrP2jUJ54Y7C9aCGY+UJVdAyyvF5u+B18pnX7js21VL&#10;UAevbKNleWeHPjlpfiD4c3PjOfTrzQdMjvPsECX8kEz3cjTLBD5X2WWfd5s7rGn8TH+H5lzj+D/2&#10;ibTWvgzD4yl0i8u9St7CzutQ0XTI9sqtP8v7r7U0W5N+8b227vKagD2vZT68Ktf2q/Dl943sPCce&#10;ha6NevHiT7IwtR5S/ap7O4dsz8rb3Fu0Uuzd95Gi81W3VZ1T9pnQLG58HW0el6nJdeKftAsLea5s&#10;LKXfFOkDJturqLdIzyrtRN7f7NAHtlFeGan+0bAtvYf2VoV3bS6jeWCWl1rG1LS4triVl+0boGll&#10;UNsZEVolfzZYt6qrO6+E+GP+Ch2t+LbfX1PgfTNMmtfDNz4igX+2bid7VUgtXi+1ILVNsTvexfvd&#10;yoqJK275VZwD7porxDw1+0Bc6/48stHbwnq1nY3Wnrc7r1rOK6t5fKklw8IumkZGVXTeqbVkiZdz&#10;7j5XCXP7W3iO18O3epReHfCd5Hp/h9dfu2uPE11Z+fG080SrAv8AZz72/dRfxffnVV3qUlYA+qqK&#10;+LviH+3jrHgLxZ4j0t/COlIthI32GPWNcewub1UZ1ZfKaBtm/wAp3il3MrrLb/Ku6VovoLVfipqG&#10;ifAnWviBqOiR2t7pmi3mr3Gk+fKihoIncxebLAjL9z7zRf8AAaAPT6K+WvBn7WHijxr4u+HGn2vg&#10;vR/7J8Tw3k1xe2uuz3YtkgvXtzLEy2WyVPli+9sbfdIreVsdq5Hwp+1Z8VfFNt4f8rwiVm1ltJe3&#10;uoPDcs1kkV5FaytK0v29WdYvtD7tsX/LL+H+EA+06K888LfFWw8U+IJNLj0/UrH5Z3s7u88ryr+O&#10;CZYJni2Ss67ZXVf3qozbvl3CtOX4h6Vb/E218D4mfXLjSZ9Z+SL93HBFNFF87f3maf5V/wBh/SgD&#10;sKK4fS/jH4C1u+sbHTfG3hy/vb8stlb2uqwSy3O373lqr5b/AIDW/aa/pd3ql/plvqVpcajYeULu&#10;0iuEaa180bovNT7ybgCV3feoA2aKKKACiiigAooooAKKKKACiiigAooooAKKKKACiiigAooooAKK&#10;KKACiiigAooooAKKKKACiiigAooooAK848bf8ld+Gv8A3Ev/AEnWvR6848a/8lf+Gv11H/0noA9H&#10;rzL9of8A5Jmf+w1o3/pzta9NrzL9of8A5Jmf+w1o3/pztaAPTaKKKACiiigAooooAKKKKACiiigA&#10;ooooAKKKKACiiigAooooAK8++O//ACS7Wf8Aet//AEoir0GvPvjv/wAku1n/AHrf/wBKIqAPQa4X&#10;45f8kX8d/wDYEvf/AES9d1XC/HT/AJIv47/7Ad5/6JegDrtM/wCQfZ/9c0/9Bq5VLTP+QVZ/9cE/&#10;9Bq7QB5/8B/+SZaf/wBfN5/6VS16BXn/AMB/+SZaf/183n/pVLXoFABRRRQAUx6fRQB5n4c8B+KN&#10;M+JmseIdV8R6VrGk3YaO1s/7FlivbOPK7Yln+1NFs67tsCs/ybm+QVt+F/D2o+EtP1qCXWrzxHC1&#10;5LdadFebfOt4mVWW1Mv/AC0Cvv2u/wA2xkVt2ze3Y0UAfPs1n8QbvW7AXHg68vdHttZl1vZPq9t5&#10;sTbNsVuuW+75ryy793y7ERV2t8nPeIf2UIL2fxxc2ViItR1vx5omvrdW+qT28txaQSaXJdea8TLu&#10;ZTBeNEr/AHGbcm3dX1HRQB8e/tN/s1eJPil450KfRND0PVtH0zR1sEl8QWC6o+7zWY7fNuomU7dv&#10;zszbqt+Ff2aNQsvhH4K0rXfCtleano15q0Fza2My26tYXX2391AhZ1iR/tEW+Lcyt5Sq3mqiV9b0&#10;UAeDfDf4UX+p+Dtf07xppd9FqmpX8F/JeX2pLctLPBIHtZV8pl2vF5MHz8M3lr821E2zeCf2cI/D&#10;nwcPgq+8Q3k2ozwwW11r2lxeVK8UEu6JUW6e62Dbxyzfefbs+RV9zooA8Ss/2XvD1n4xsPEkmr61&#10;eXljdR30UM7QeULpZb2Vrj5Ylbc7ale7lVtn735UTam3QHwGspPCNp4euPEOs3NsILy0vZ2Wz86+&#10;tbqTfNbyutuNqN/0y2N/tZ+avXaKAPBPFH7OLXPhu3g0HWbqfU7G70ubTF1WZora1gs71Lj7P/oq&#10;xMyld6/vd7btrfwV5zpH7IHi7SPhx4h8GDxO13p154PvfC1ss2uX/kwO1vDFFdNC25TuaBW8pPL8&#10;hZbhN10si+V9g0UAfOOifsc+ENM+KWgeNtQ03TtU1XT7OT7TeS2ieZPf7ovKul3733Jsfa7yNKjb&#10;Pnb71ZGn/smXtn8O9W0e+1C11XWH8Opo+lzpd3UUVpOv2sCbczyvu8q6WLf/ABJ5q7USXyq+paKA&#10;Plj4tfs0+K/HHjLxBdWmoyPoOs2cFpPp8PiaXToZlS38p1lg+wXCybvdvu/w16i3gTxVdfC6/wBN&#10;8QXmm+L/ABTerBK32lUtbK3uFSBd0G6CfbsliM6s8T/vf4VXaqerUUAfJfwl/Zo8ZfDfxjpWq3dl&#10;oer22jT3R0hLzWIpZdOhuok+0Is39kJK7PP5su5Hi/1u3+/vraH+whaaf4u8A3l5rFvcxeFdHhi/&#10;teLR9MTUJdRgS3itZU3WTt5UUUUu3zZZW3Mn9zc317RQB5zoXwltvDetm/s9a1NmUyLawv5BW1il&#10;uFuLiJf3W5lldEVt+5lX7jJWN4h/Z18OeJfiLL4wlutWs767tLuy1Cys7zZa6ik8EUDtMnPzeVbw&#10;BShX/VJu3ba9fooA8Uuf2ZfD+o61b6ve6vrN3qkN9p2oNcOtrH50tn9oEO8RQIpyt06t/uJ/tb+/&#10;0nwBpGg+JL3X7WKX7bdGUfPKzJF5ro8uxf4d7ojN/u11lFABRRRQAUUUUAFFFFABRRRQAUUUUAFF&#10;FFABRRRQAUUUUAFFFFABRRRQAUUUUAFFFFABRRRQAUUUUAFFFFABXnHjb/krvw2/3tS/9J69Hrzj&#10;xt/yV34bf72pf+k9AHo9eZftD/8AJMz/ANhrRv8A052tem15l+0P/wAkzP8A2GtG/wDTna0Aem0U&#10;UUAFFFFABRRRQAUUUUAFFFFABRRRQAUUUUAFFFFABRRRQAV598d/+SXaz/vW/wD6URV6DXn3x3/5&#10;JdrP+9b/APpRFQB6DXC/HL/ki/jv/sCXv/ol67quF+OX/JF/Hf8A2BL3/wBEvQB12l/8gy0/65J/&#10;6DVyqel/8gy0/wCuSf8AoNXKAPP/AID/APJMtP8A+vm8/wDSqWvQK8/+A/8AyTLT/wDr5vP/AEql&#10;r0CgAooooAKY9Ppj0Aecx+LPEFp8U4vD+o29idPvrae5s2to5d0SxOq/NKx2yu+dxiRF8v8AvP8A&#10;erV1zx/Zab8PNd8V2DJq1tpljd3eyGUL5rwK++LP8LbkZW/utVnTfAWiad4huNdg08xapcb9z+c/&#10;lIW++6xbtiO38Toqs/8AFS6b4E8PaRDr0FjotlbWuvXEt5qdssK+VeTyqqSu6/dYuqDd/e/ioA89&#10;8S+Mvij4Qhh3WXh7Xri6Mr2P2VZLd72VUiaKw8ppW8qWXdcf6RveKJYNzr81M0v4o+IPEep2enSR&#10;vaxax589jd6NarLLp6QXiW/+kCR281XZl3OiLsVm/wCuq9JL8B/B73Npciy1FL62EiJfRazeJdsk&#10;vlb0e4WXzXT/AEeD5Wbb+6Wrsvwg8LNcXTf2bLtu5d89uLmXypE37mi2btqRM/zvEu1JNvzq1AHg&#10;3wV8a/Fu78c28XiLxIL601DQbi40+11eHS7e0ur15Yntfs72srTunlRXv3kX5V37P4awYP2g/Ga/&#10;EbSdMvdc1eLSLrx4+lRSRWum27m2nl821gliudku3yopVVotzPE+/d5qPAnr3hL9k7wV4KuLOfTH&#10;uUMcU9vfRC3tYv7UglTa8Vx5VujMv3WbbtaV4k81n20nh39k3w14R+Ib+NNE1fVtN1m71BNS1M2y&#10;WaJqdwqXCbpV+z8bvtd1u2bf9b/sJtALup/FnxXafFuw0OP4f+J5NNfTr2Uqk2k7Z2S4t1Sdd17u&#10;2bXf5flb5/uf3eV+OX7QPif4ZfFDwnpcOgxy6C+sRfbJ7K+WW4u7BtN1KWVZUliRbdopbXzV2ytv&#10;WH7y7mWvQJPg7q8viO11x/iZ4o+329rLZRv9m0v/AFUrRO//AC5f3okp+qfA3R9b8V6LrWo319en&#10;TruW9ls7jyJYr6WS1uLP9/ui3eWsV3OqxIyp833fvbgDjvi/8TPFfw08GjxBeSy6e9t5H2+Oyggu&#10;LVIn82V5YJp3i3NFEjKzSsgbYjbE3bW8m+Kf7Qnxf8GeBpdXiitra1l1O6tYrvU7yzsriK3VbKLz&#10;f3SXUDbLiW6/j+6ifK7/AC1794s/Z08J+OLQWWuf2jqennT7rShDdXjyusE67HRZW/er8v8Adf5t&#10;qM+/yotmZqn7Luh654buNJ1PXfEF7c+ZIdP1aG4itbjRomggt2islgiSKBfKt9vypu/ey8/vWoA8&#10;z8BftN+OdW0aG1vdM09r6/1ue1ttQSRr24iRpdVl8lrCKKLzJYE077P+6ndX5n3sqtu7nwj+0hca&#10;ppOleK9aj0rR/Cd4u2cLK8rWe3Sv7RluPtH3JYlVGTaqL/e3fw10/h39nHwd4a0j+zreC8ltt6TI&#10;zXTJcwzr5o86KeLZLGzLcSq2xl3rLLu/1su/fj+DnguOVwnhuyNk1sLL+z2XNl5Xk+RtFr/qh+6/&#10;dbtm7ZlPu8UAc637S3gqHxbpnhu/l1TStXvfIMUOpaVcQBfPuJba3V2dPl82WFlT+98v96rq/EzU&#10;R8Rl8HG304XP21v+JkbgLCbfyvP+z7Pvfbthz5X3fKDT7v8AljVkfAvwL9stL5/DkM19C1q6XUsk&#10;ssxa2umuoGd2bczLO7y7mz8zHdmuvXQNNXTvsg0u0+y/avtnkLAmzz/O8/zdv9/zf3u772/5vvUA&#10;eE/8NDeIrzx2PDdrYadA2q39/Y6fdXEcu2A2d8lozH51+1bt+9vK8vyHxE25m3V1dn+0NodloRuN&#10;dW4TULWwur/UF06xuLiO1gg+1Dzn2q3lJILC42K3O5NnzN16S5+D3hG7vb69m0cC6u3ZxcRTyq9u&#10;zSiWVrdlb9wzyqrv5W3zHVWfc1Puvg/4N1JYoZ9AtWVLB9N5L/NA6Soyv/fbbPcfO3zL9ol5/evu&#10;AMeL406Z4i8EjxZ4bm/tCwsruKC+s7u3kgunWRUKRoj7SkrLcQSojL+83ovyb96cR48/aN1nwx4Z&#10;07WrXTLApeabqmuNbyMZWgtbF4V+zz7W/cSHzcS3B3R2rqUZZfv16/oPw38MeGWjGm6HZ2piu1vo&#10;38ve0U62qWYmTd9xvs6+VuXHy7v7zVF4l+GPhjxY4fVNDtbiTMvmMo8v7QsqoksUu3HmxSrFFvif&#10;cj+Um5W2LQBwumfHCey1BbnxMba30a+Fy9ilpBJ58bxahFYpA/zt5ryy3EWzYq8/L826tXw9+0R4&#10;L8TeOI/CNtcX1vrspREtdQ06e2/etaLeeTudB+98gmXZ975H/u1uyfCLwpN/aRm0hW+3NvffcSt5&#10;Teasu6D5v3DeaiS/utn71Ef7yq1R6d8FfBGieIbTWrLw9aWmrWtwt1Bcru3pKtp9jVvvdrdvK+lA&#10;Gj4G+IWifETT3v8AQbxrq1QoA7RvHvR0V4pV3feV0ZXVv4lYV19Yui+HdL0GO6XTNPtNNF1dS306&#10;2lusXmzyPvllfb953blm/iraoAKKKKACiiigAooooAKKKKACiiigAooooAKKKKACiiigAooooAKK&#10;KKACiiigAooooAKKKKACiiigAooooAK848bf8ld+G3+9qX/pPXo9eceNv+Su/Db/AHtS/wDSegD0&#10;evMv2h/+SZn/ALDWjf8Apzta9NrzP9ob/kmLf9hrRv8A062tAHplFFFABRRRQAUUUUAFFFFABRRR&#10;QAUUUUAFFFFABRRRQAUUUUAFeffHf/kl2s/71v8A+lEVeg1598d/+SXaz/vW/wD6URUAeg1wvxy/&#10;5Iv47/7Al7/6Jeu6rhfjl/yRrx1/2A73/wBEvQB12l/8gy0/65J/6DVyqel/8gy0/wCuSf8AoNXK&#10;APPPgP8A8kx0/wD6+b3/ANKpa9Drzz4D/wDJMdP/AOvm9/8ASqWvQ6ACiiigAoopj0AG+ivCNC8Y&#10;eMrv9qG50rVtO1uz8PDQ5xYqiwNpj7biLbP5qSl2nlXf8jquxU+Vfvu/omg65N8QNA1mzvNJuNFu&#10;7ea40q9tdQg8yNnX+OLcu2eB0dXVv4lba6o4ZFAOjbWbFbjy2u7eOXO3aZRvPzKvT/edP++l/vU5&#10;tStkh85p4li87yt+/wCXfv2bf97d8u3+9X54eGNFfWfiHZeFLjS9Q0mKPxfrui2fiDRtCtdPFlFJ&#10;K8Ev2WVJ2WBn+wRMsq2qSq33Jfvs93xB4e1PXPip468NWvhzQntPFfiFLeBL6zuLp7zytQigu5Xb&#10;91uaK3eW62faJVRrVJVSKX5qAPvzUNe0/S7eWa+vrezhg2tLLcTKixbvu7i3SrGn6jZ6rZx3djdQ&#10;3ltL92a3kV0b6Mtfnd4m8cX1t4x0xJUsNI/t/TPDlvZzaxq8GkeHNN8qCXUU/dI0vyebp1xEu+13&#10;7p5V81U8pWm1aI+N28D6ct9oE0Wky+Il1HVNOitfEOkxS3mpafcJKqy2u353luIokVVbdE6Kz7Xo&#10;A+/Y/FOkyw3M0ep2TxWrSrMy3S7YtnL7z/Dt/iz92m6b4y0LW0mbT9b06/W3/wBabe8R/L/3tp4r&#10;4mtNN1vT/wBk/wAeaTq3iUTPo9jdWVsdX0OK1uJbWLQ4pb1IvK+a3udst1atO7T7Gi/i+62D+z94&#10;l1W40X4lLp/iDRNVTRPCsrruupdc895bqa4iinluYomb/lrFsfzWZHi+f5PnAP0I/tG28zy/Oj87&#10;zfJ2bud+3dt/3tvNW99fmFeaP4s8T+MvGGoeFdPvrPW9e1bXv7O1608I2C28Ssl7Fa3Vvfwb7pfk&#10;+zv5sUW5t+7e+/c31R4O8UeI/A/g2a00GzvL55dXlig1nXpNY1KK9/0WB12rdSy3UCtK72/3mRGg&#10;d9vz7aAPpiivnPwR8Z/iT4gsfFi3/hBbW8sPsc1jLDYXG14p4reWX90z7pWiFw/yKy72t2X5N3y+&#10;3+GL7UNR8PaTdavp/wDY+qT20Ut5p5uFn+yzMnzxeavD7Wyu7+LFAG7RRRQAUUUUAFFFFABRRRQA&#10;UUUUAFFFFABRRRQAUUUUAFFFFABRRRQAUUUUAFFFFABRRRQAUUUUAFFFFABRRRQAUUUUAFFFFABR&#10;RRQAUUUUAFeceNv+Su/Db/e1L/0nr0evOPG//JXvhr/vaj/6T0Aej15n+0N/yTFv+w1o3/p1ta9M&#10;rzP9ob/kmf8A3GtG/wDTra0AemUUUUAFFFFABRRRQAUUUUAFFFFABRRRQAUUUUAFFFFABRRRQAV5&#10;98d/+SXaz/vW/wD6URV6DXn3x3/5JdrP+9b/APpRFQB6DXC/HL/kjXjr/sB3v/ol67quG+OH/JFv&#10;Hf8A2Ar3/wBEPQB1ul/8gy0/65J/6DVyqWmf8gqz/wCuCf8AoNXaAPPPgP8A8kx0/wD6+b3/ANKp&#10;a9Drzz4D/wDJMdP/AOvm9/8ASqWvQ6ACiiigAoopGbaKAFormNM+IXhvXtdu9D0/W7C71e1ZluLG&#10;KdWmj2ttbcvauk30AYR8KaLO1nv0ewkNjeSala77ZP3F0+/fOny/LK3my7nHzfvX/vGsy7+Fvg29&#10;vJLy58I6Hc3cthLpctzPpkDu9nKzNLbs23/VOzuzJ91i7cHNcVov7UHg/wAXOIvC1n4g8V6hJa29&#10;7bWul6PL+/t503wStPJsggV13bftEsTfI3FamoftDeE9I1kaTdW3i06jvkRYo/BesS+b5eN7I6Wu&#10;11/2lO35qAO1/wCEU0Vb20ul0ix+0WTo9vcNbJvg2xPEuxuq7Y5ZUGMfLK6/xNm1/Yembt32C13/&#10;AGr7Xu8hc+f93zf9/wD2uted+JP2k/AXhDUdPsdZvtWsbm8tlu4YpPD2og7HhmlWNsW/yzeXbzv9&#10;nbEv7s/JWvN8ZfDlpo2n6reNqGk6beSzxG41rTp9N8hYLeW4lllS6SN0jEUDnftxQB1Enh7S5IdV&#10;gfTLR4dVP+no1um27/dLEfNH8f7tET5v4VVahufCmjXWpy6nLo+ny6jKsEct29orzOsUvmxKzY3f&#10;I7b1/ut81c7oXxt8FeJLeWSDxDYQSx3cWny21zdRpNFcS3DwW8Tpu+9LKjKi/wAVdN4k8TaX4T0l&#10;9U1rUrbSrCJ0R7q7lWKJGd1RPmb+8zqv/AqAObs/gf8ADuw8VP4ntfAXhm38TNcNdtrMWi263rTt&#10;u3ymbZv3Nuf5s87q9ArN0TX9O8SaZBqGl3kN/YTj91cW7bkatHdQAtFFFABRRRQAUUUUAFFFFABR&#10;RRQAUUUUAFFFFABRRRQAUUUUAFFFFABRRRQAUUUUAFFFFABRRRQAUUUUAFFFFABRRRQAUUUUAFFF&#10;FABRRRQAUUUUAFeceN/+Su/DX/f1H/0nr0evOPG//JXfhr/v6j/6T0Aej15n+0N/yTP/ALjWjf8A&#10;p1ta9MrzP9ob/kmf/ca0b/062tAHplFFFABRRRQAUUUUAFFFFABRRRQAUUUUAFFFFABRRRQAUUUU&#10;AFeffHf/AJJdrP8AvW//AKURV6DXn3x3/wCSXaz/AL1v/wClEVAHoNcN8cP+SLeO/wDsBXv/AKIe&#10;u5rhfjl/yRrx1/2A73/0S9AHW6Z/yCrP/rgn/oNXap6X/wAgy0/65J/6DVygDzz4D/8AJMdP/wCv&#10;m9/9Kpa9Drzz4D/8kx0//r5vf/SqWvQ6ACiiigApj0+igDx3wV8LtZ8I/FXXNXt5mg0C/kubqVTr&#10;15dC6lldXx9gkTyLXY2/54n3SfxV2HhyPxJounauPEV7bauba8kewuLG3ZLiWz2qyJLEvy+evzp8&#10;nyvsVtqbti9fsX+7RsoA/OfwX+yTrdr4as7HxP4Cs7CSDStK0m+udG0mE3UsEFlcJf3COj/PP/p6&#10;LFL80rS2u9Ubyl39N8WPgP4v8WfEvTdW034XXV/b6f4jlutVu3h0f/ic2f8Aa9rPt33Fwkqr9lt5&#10;Yvuru3eV/qmZq+9NtN2UAfBfiD4XeJ/ET+Gg3w1/5APgVNMnuLvRoJZUupIom8pm37pVRVli/wBH&#10;3bftEqfdlZq1fiR+zZqHxF+GWq6boHgmyfVZoNWuoL7+z/8AhHkg83T7i1isrdHd51/fvFLsbbA6&#10;PLuf+Fvt/atGygD480r4OaxqI1Ww8JaN5MFrd+Fbq1l8Q2sujWiR2OtXWpSwW6eRK275tu77v+kL&#10;/c+f3/4peDb/AOIvgrWdDaGLzPtlrcWKw6xdWDziCaCcF7iBPNtW8xHXdFv+Xa38W1fRNlGygD5n&#10;8G/A/wCKGj/E/wAOeJb7xxNPpdpFcQXWkvr1/dQpCzW/2eHZKuy4aGIXUX2qVVll3LK/zt8nrngL&#10;wTrXhTVPENzqHie816DVLv7TBbXBZkteW5Xc7bdylF2JsiXylZYlZ5Wfv6KACiiigAooooAKKKKA&#10;CiiigAooooAKKKKACiiigAooooAKKKKACiiigAooooAKKKKACiiigAooooAKKKKACiiigAooooAK&#10;KKKACiiigAooooAKKKKACvOPG/8AyV34a/7+o/8ApPXo9eceN/8Akrvw1/39R/8ASegD0evM/wBo&#10;b/kmLf8AYa0b/wBOtrXpleZftD/8kzP/AGGtG/8ATna0Aem0UUUAFFFFABRRRQAUUUUAFFFFABRR&#10;RQAUUUUAFFFFABRRRQAV598d/wDkl2s/71v/AOlEVeg1598d/wDkl2s/71v/AOlEVAHoNcL8cv8A&#10;kjXjr/sB3v8A6Jeu6rhfjl/yRrx1/wBgO9/9EvQB12l/8gy0/wCuSf8AoNXKp6X/AMgy0/65J/6D&#10;VygDzz4D/wDJMdP/AOvm9/8ASqWvQ688+A//ACTHT/8Ar5vf/SqWvQ6ACiiigAooooAKKKKACiii&#10;gAooooAKKKKACiiigAooooAKKKKACiiigAooooAKKKKACiiigAooooAKKKKACiiigAooooAKKKKA&#10;CiiigAooooAKKKKACiiigAooooAKKKKACiiigAooooAKKKKACiiigArzjxv/AMld+Gv+/qP/AKT1&#10;6PXnHjf/AJK78Nf9/Uf/AEnoA9HrzL9of/kmZ/7DWjf+nO1r02vMv2h/+SZn/sNaN/6c7WgD02ii&#10;igAopm+n0AFFJupaACiiigAooooAKKKKACiiigAooooAKKKKACvPvjv/AMku1n/et/8A0oir0GvP&#10;vjv/AMku1n/et/8A0oioA9Brhfjl/wAka8df9gO9/wDRL13VcL8cv+SNeOv+wHe/+iXoA67S/wDk&#10;GWn/AFyT/wBBq5VLTP8AkFWf/XBP/Qau0AeefAf/AJJjp/8A183v/pVLXodeefAf/kmOn/8AXze/&#10;+lUteh0AFFFJuoAWiiigAooooAKKKKACiiigAooooAKKKKACiiigAooooAKKKKACiiigAooooAKK&#10;KKACiiigAooooAKKKKACiiigAooooAKKKKACiiigAooooAKKKKACiiigAooooAKKKKACiiigAooo&#10;oAKKKKACvOPG/wDyV34a/wC/qP8A6T16PXnHjf8A5K78Nf8Af1H/ANJ6APR68y/aH/5Jmf8AsNaN&#10;/wCnO1r02vMv2hf+SZn/ALDWjf8ApztaAPTa5bx54oHg3whqmsySWsAs4HlWW+d0tkYfd810R2RO&#10;m5trbea6muW8ewa9deFtQtvDFza2Wszr5dvd3au8duWIDS7F+8yqSyr/ABNQB4837Tt3b/FbRfCd&#10;34QvLeG60qW6u7uLUtOljt5Ult0b5vtS7ok819/yK/y/Kv3q3/iR8bNY8HazrVnpfhTV9dSDTma2&#10;e30q9fff7vki3rFsaN1dPnVvl2PXEy/s8eLLLxnqOvWcPhG8u/PtYYrvVUluLi6sIP8AllP+6+SW&#10;XdK7yruZmZP4F210HjT4SeMvE3inUNSGmeHpopZcxO3iTWLV3RV2ruii+RW2/wB2gDofHfxzg8B/&#10;CIeLp7G5udQl2wQWNxZ3Vp5t1u2bNjRNLEu/++lcN8B/2odU+Ini2w8LeItJsLK+urG4u4L7R5bq&#10;aG48qZIt372BNqOr7lbe33fm2N8ta/j3wB8Rde+GWheHLHTtD+3WepQ3UhXXLjZFFA6vFslnt5Xl&#10;bcP4x8uxK474HfBP4oeA/ijZeJddtdCupLq2e11i9g1jfNcKyo+5UWwi/wCXj7RL9/5vN/2aAPrO&#10;imJT6ACiiigAooooAKKKKACiiigAooooAK8++O//ACS7Wf8Aet//AEoir0GvPvjv/wAku1n/AHrf&#10;/wBKIqAPQa4X45f8ka8df9gO9/8ARL13VcN8cf8AkjHjv/sB3v8A6IegDrNM/wCQVZ/9cE/9Bq7V&#10;LTP+QVZ/9cE/9Bq7QB558B/+SY6f/wBfN7/6VS16A/3K8/8AgP8A8kx0/wD6+b3/ANKpa9Af7lAH&#10;j/jz42v4O1/XbOLS4tbg0uxiuHhsr+KG9infcUVop2iVomVHbekrf6p121R8C/Hy48a/BmDxd/wj&#10;17aa1Jp0Ey2PlpeeZPLAHR9lq8rrAz/L821vl+7Vf40/Cbxj8UV1uze50e60O6EFlBo93LLChtfv&#10;XcrSrE7JPL/ql2fdi3/Nuf5YNL+FnjfSvBuuaEbLwhJFe3ySW8dnLdad5dsvzeS0tuiv8jD5X/iR&#10;9r/7QBueBvjNqXi/xiunXfhfV9FsmsYHWW70m9Vftjq7yr5rxKqxIqbdz7dzNXmnxE/a+1LQPiNq&#10;GhaDoul6no+mO0F5LqUt7BMz/Z/NZ0RbV/3ScK33v9an3F+eu2+Hfwu8Z+EPFFnqD6boFraH91dN&#10;D4i1a6fyv9mKf5Gb/erynxt+z98WPG2u6ybzTNAbQtW1GW9utMPiHh9/lRff/s1mV/ISWLd/dl/2&#10;aAPqH4ZeNoviN4D0LxPBbyW0Wp2cV15EqMjRsy/MnzKp4biuurgvg5pPiPw/8NtC0rxVDZLrVhAt&#10;rL/Z9158Tqnyo27yov4f4dld7QAUUUUAFFFFABRRRQAUUUUAFFFFABRRRQAUUUUAFFFFABRRRQAU&#10;UUUAFFFFABRRRQAUUUUAFFFFABRRRQAUUUUAFFFFABRRRQAUUzctG+gB9FM30bloAfRSbqbuWgB9&#10;FM30UAPopm+jfQA+ik3U3fQA+ik3UtABXnHjf/krvw1/39R/9J69E315142f/i7nw1/3tS/9J6AP&#10;SK8z/aH/AOSZyf8AYa0b/wBOdrXpO+vOfjxaT6l8PltbeJpp21nR32J/s6nas36UAek0Um6m7loA&#10;dtpaKZvoANq07bTd9G+gB9FM30b6AH0UzctG5aAH0UzfRvoAfRTNy0b6AH0UzfRvoAfRTN9G+gB9&#10;fOX7bvx68N/Af4SR3PiaPUZLXWL+KygmsIFl2zK3m/N86/wxN/3zX0Vvr5D/AOCp/gCTx/8Asi6w&#10;ttB9pv8AS9Tsb+2Rf7/m+Q3/AI5cPQB9J/Dbx7p3xQ8AeH/F2kx3EOl63ZxX1st1Hsl8t13LuX/d&#10;qj8cv+SNeOv+wHe/+iXrX+H3he28DeBPDvh21AW10bTrfT4v9yKJU/8AZayfjj/yRjx3/wBgO9/9&#10;EPQB1mmf8gqz/wCuCf8AoNXap6W2dMtP+uSf+g1Z30Aef/Af/kmOn/8AXze/+lUteh1558B3/wCL&#10;Y6f/ANfV5/6VS16BvoAfSbR6U3fRvoAfTfl9qXdTdy0APopm+jctAD6KZvo3LQA+imb6N9AD6KZu&#10;Wn0AFFM30+gAooooAKKKKACiiigAooooAKKKKACiiigAooooAKKKKACiiigAooooAKKKKACiiigA&#10;rL1fT49YsbixladI7iNo5Ht53gkUf7Doysp/2lrUooA87/4Ub4f/AOgr4t/8K7VP/kiuP+J3wUez&#10;8MvqXhjVPFs2q6bKl5/Z48Val/p8S/623/4+PlZ03bW/v7a90pGGRQB8/wCv/Cmx8X/DaLXvBfiD&#10;xX9ulji1LT93ivUdt0F+f7O/+kfxrvT/AGd3+zVk/C3RviX8MxqXhPxT4ssLrUrPzbG7k8U6k/kS&#10;9llT7R/A/wArp/vLW/4UVvhr8RL3wq8xGg688mq6Krf8sJ/+Xq0T/Z/5br/vy/wpSaSyfDP4qz6K&#10;YjDoHi2WS9sZE/1UGo7d1xF/s+av71f7zLLQBy/h/wCF+m/E34aTT22teMfDevyxS2twqeLtRlfT&#10;b9fldf8Aj4+bY/8A30v+9Vj4ffD7RfH/AIMMtzq3i3T9at2l0/U4rfxdqm+0vV+WX/l4/wCBJ/su&#10;rfxV0Opo3w1+Ktvq6yeV4d8WSLZX0T/ct9RVf9Hn/wC2qfum/wBpIqTxIU+GXxKtPEyx+ToHiWSL&#10;TdYZeFivPu2l0/8AvZ8hm/64/wAKUAcv8LvhzZ6/pF/o3iLWPFS+J9Fn+xag8PivUlS4/wCeN0i/&#10;aPl81Nr7f4W3J/BUXwu+HGm3S6n4a1zxB4tuvEegT/Z55n8V6kj3UD/PbXWxbj+NP7vy74pf7tdb&#10;8S0fwP4l0v4h2x8uztV+wa/F/BLYM3y3H+9bt8+7/nk03/AXfFPb4TvtN+JGnQtOukqbfWFtRl59&#10;MY7pG/2vJP71f9nft+9QB4r4p8IS+GNQfwtqXiHxd9v/AOEk0v7DqEfivUi9/pNzexK6P/pHytFv&#10;eJ/9nym/jrrvCfwa0iy8da74S1vxL41ubj5tU0i4bxfqiPPZM3zp8tx83lStt/3Xiq9+1XbxSeE/&#10;B/jHTY/t+p6N4h0u7s0t2/4/InuIt0P+0rfIy/7aJXZeO7b/AITXwdovjXwnGupavpYXV9IeFvmu&#10;omT97b7v+msWV/3tn92gDz7VPgxYeFvijYWt94k8YTeGPEEX2W1T/hLtUV7O+i3vt3faPmSWL/vl&#10;of8Abo8SfCHRvBvxD0Vr/wAQ+Nf+EY1sLpnzeMNU2Wt/v3w/N9o+7KN0X++sS/x16pqVnovx0+Fs&#10;bWV3Ilhq9st1ZX0K7Li1l+/FMv8Adlifa3+8tZmgzwfGT4Z6jomubYdXgZ9K1aKE/Na3kWPmX+7/&#10;AASp/sujUAee/EH4M2HgrXtB1tfEXjT/AIRRpf7P1i1fxhqn7jzW2xXSN9o/gf5GX+7Lu/gpfib8&#10;HdJ8BzaL4lbxB41/4Rm1n+z61D/wmGqbYoJdqLdf8fH/ACybG7/Zd2/gr0jwNfj4k+CtR0DxZp8b&#10;atYGTRtdsm+5K+z/AFqf9MpUZZV/3/7y1W+Gl19q0fWvh74jn/tbUtBX7FO96dz39hKn+j3D/wB7&#10;em5Gb+/FLQBx3xO/Z9g0/wAMf2p4a1zxtJfaXKt69kPGGqP9vt1/1tv/AMfH3mTdt/21Sq/in4Ka&#10;br3w7h8ReC/EXjK8uHii1KziTxlqjLfwfK/lf8fH8afL/vba774S6hd6LJqPgPVvNOoeHin2O4lf&#10;d9u05932eX/eXY8T/wC1Fu/jWqngk2/w3+IOoeC9hg0jVfN1bQUkGEibd/pdqn+67+aq/wB2V9vy&#10;pQBx1x8EtC+JHw0/tXwX4v8AGlld6lZrdaZfN4u1Qosv3kSVGuP73yuv3uWHy1xGp/CbSviDP4Hl&#10;0XXvF+j6rf2OrJ+98V6lLNYX8Sojpua4/gl3q/8Aer2/w+ZPh18TL7w7Mm3w/wCJpZdS0mVf+WF5&#10;967t/wDgf+vX/tt/drifFemWXw4/ae8Fap9o+xaV4p+3xSWzfcXUfKiUS/7PmoiJ/tOqfxPQBY+H&#10;Hwt8NeP/AAhHqEmr+NrLUoney1CzbxnqheyvIjsli/1/8Lfd/vLtbndXA/8ACDx+FfDN1pc/ijxZ&#10;N4v8P69pOm3Fzd+J7+U3lndahDElw0Ly7P3sTyr93bvSXZ92vadaMnw3+KlvrIXd4d8VPHYahtP/&#10;AB636rtt5f8AdlRfKb/aSKuO/az0WHR9C0Xx7E5t5NJ1jS4tSdEdmnsP7St3KbF+9sdVdf8AgX96&#10;gCl8Ovg/pk+q614V8Q6741fxBo025bl/GGqL9vsJWf7PcL/pH+/E/wDtxN/eWneFvg7pVj4/13wj&#10;rXijxrcu3/E20iaXxhqiNJZMyo8X/Hx83lStt/3Xirv/AInpNYxaN8Q9C23c+ih2uoYfm+3aZJ/r&#10;UX/aX5JU/wBqLb/HVr4k6LL4m8NaV4m8Nql5rmjsuq6S0Tf8fSbfnt9392WLK/72xv4KAPONF+EG&#10;m6d8StV8K63r3jZ4rxH1PQrv/hMNURZYPkS4t/8Aj4+/E7K3+0sqf3HpPFfwi0jwd490C4vfEnjU&#10;+FdZ26U27xlqmy1vWf8A0dt32j7su7yv9/yv71d94lUfFX4eaL4r8HTrLqlt5er6LJcpt3tt+a3l&#10;/iTem+J/4k3f3lrcRtH+NXw0+dXj0/WbT5lb/XW7f+yyxP8A98utAHkfjL4N2HgrxfoGpS6/4zl8&#10;I37f2VfJ/wAJhqm+zumf/R7jd9o+47bon/23ib+9R8Ufg9pXgWLSvFH/AAkfjZPDlhPt1yH/AIS/&#10;VG2Wrf8ALx/x8fL5T7Xb/Y82vQfB1wfiT4F1jwn4wth/a9iX0jWIUb/W/L8twn91ZU2yr/d3bfvJ&#10;U/ww1W61nQNQ8LeJp11bXNEP9l6i8qL/AKdEyfurh1/6axYZh93fvX+GgDzr4ofBey8J2Om+KNP1&#10;7xrd6Pp0+7V7RPGGqP5tk3yvKv8ApH3ovll/2kR1/u1v+Iv2btL1rwpepofi3xnYajcQ7rC+HjDV&#10;JUSXb8jf8fHzr/7LW38LJX0htV+HOsBppdHT/iXzStuF/pcm7ymP+0mGif8A3Fb+Naf8Lnm8Ialq&#10;fw9v7p5/7LAutGmmHzy6c7fIn+15Dfuf9xYmb79AHlPwi+G7/FD4Y+JGu9e8beHPEI1K809P+Kt1&#10;KaXS54vl2/NPtl2N/wB9LXZfDr4d6R458HGS81XxZYa7atLYanDb+LtU/wBFvE+V9v8ApH/Al/2X&#10;WsnwDd3PgT4p+JdVad38NeJ/El1pt5C33LW/Xb9nlX/rqn7p/wDaSL/ars/FAj+GfxIsvFQXyNC8&#10;RyRaXrTj7kV1nbaXTj/a/wCPdm/2of4UoA5b4Z/Dqz1/R9Q0bxDq3i2LxVok/wBi1B4fFupL9o4/&#10;dXSf6R8qyptf/Zbev8FHws+GthdW+p+HNd1/xXeeJNAn+z3Nw3ijUke6ib5re62rccean3tvy70l&#10;rsPiWsngfxJp3xAsjstLdf7P8QRY/wBbYu/y3H+9bv8AP/1yeX/ZqH4qBPB2oad8SrRH2aRE9vrX&#10;kKW83S2+ZnKr9/yG/er/ALPm7fv0Acbrfw6s/B/xHS0vvEHi6TQvEFu0en+b4q1L/Rb+KJmeLf8A&#10;aPuSxLvVW/ihf+9XI+C/h5BZw/D/AFDX/EXjW80jxZpFrELpPF2qL9m1Tyt/z7bj7sq7/wDgabf4&#10;6+hPiT4UsviJ4B1DT2lISeJbqzvrd/mt51+eGdG/2GVGrzr4Lx6d8Yf2YfD+jSTyWt3BpNrYXTou&#10;2azvYok2yr/wIJKn95XRv4qAMbx18GNK8F+JPD+sSeI/Gf8AwjF1J/ZWowv4w1T/AEeWV1+z3G77&#10;R8vz/um/66p/dpfiR8INK8B6noWutrnjZ/C/n/YtYVPGGqf6Ksu1Irr/AI+PuI2xW/uq+7+CvR/C&#10;V2vxU+HupaJ4usYG1KLzdG1+xjH7p5Nu12XPzeW6Osq/7LrVb4bXA17QNd8CeJw17q2iKNNv/tP/&#10;AC/2sifubj/aSWL5Wb++kq/w0AcH8U/gnp3hPSrHxNp/iHxmNN0m5+0axaf8JhqjefYbNkrJ/pHy&#10;tF8sv/AHX+KnfEv4K6b4f8M2/iXRNX8bX9ppsqXt9ZWni/VJWvbL/lr5X+kfMyL+9Xb97Zt/ir0H&#10;4VX17Bb6j4I19xeap4fK263D/wDL9YN/x7zf7235H/242/vVW+FhTwLr2ofDeYskGmxfbNB3/wDL&#10;XTWf/VJ/e+zv+6/2VaH+9QBx3jT4D6fq/gP+1/BnijxfNeqkOpWATxhqksV/Eu1vKP8ApH/LVPk3&#10;/wAO5W/hryD9rrTPC/g/9kLWPiJoet+K7iOWKzms4r7xXqVwjNLcRLtdJbh13D/x1kr6R+HbyeAP&#10;Fuo+AblP+JbhtV8PS/8ATqz/AL23/wB6KVv+/cqf3Wr5F/4KLfCTxTrPgb/hA/Chs7TQPEWuLr0f&#10;2ufyYYrhUl+0W6fL96V5UuNn+xcNQB9DeDPgf4G+JHgbT9f0PxL46js9Rtt0Tnxlqm+JvuujL9o+&#10;8r7lZf7y1wdz8KtMm+B3jW9n8ReNYfGvhqwvLXUF/wCEw1TZFdRRb1l2NcfdZGSVf9l67X9nfw74&#10;h+Auk+DPB/ifyGg1jSrW3MtrJvit9Wgt0W4TfjlZ0XzV/wBtJf7y1a/ak06bwl4Y8S+LrK2aa11L&#10;Q7jRdZSJedrI/wBluP8AgEr7W/2Jf9igDM+FHwX0fX9GutN13V/Gtt4o0SUWWqIvjPVNkvy7orhP&#10;9I+7Km1/9n5k/go+HvwT0aXW/EPhXXfEnjW41vSp/tEUz+M9UV7qwlZ/s8v/AB8f7DxN/tRf7Vd/&#10;49Z/BGv6N4/s2UWEMa6br8XaSzZ/3VwP9qFzu/65PL/s1a+LtlcaQunePtLs5bvUPDXmvc29om6a&#10;805x/pEKr/G3yJKi/wB+Jf71AHjnwB8FWHizS5PDniLUvFVvqWm+bLp81p4mv7dL2wa4l2S/upU3&#10;Ojb4m3/N91v40roU+DujeHviu2g6r4j8bPpmvQfaNFd/GGqfJPEn+kWv/Hx/c/er/wBtf7lP8M2l&#10;xcfBfwn468LlLvVtEmuryNI/u39i08v2i3/4Gnzr/wBNUSvUPGmj2/xS+H1veaLdRfa2EWq6LqDf&#10;8srhfnib/d/hb/ZdqAPKpvg5YeGvijBpWo6341m8Pa/DjTJz4w1T/RbyJW823b/SPuunzp/uy/7N&#10;L4r+EOj+C/HWgT3fiTxqvhTWf+JVLv8AGGqbLW9Zv9Hbd9o+7L/qv97yv71egNs+Ovwl3RNN4a13&#10;Py713S6NqkD/APj3lSr/ALrr/stVzRbi0+NXwxu7HWrRbW6nWXTdVtEbJtbqM7X2f7r/ADI3+41A&#10;HmXjP4OWHgvxhoGoS6342l8JX7f2bff8Vhqn+gzu/wDo9xu+0fcZv3T/AO9E396nfFD4O6R4Gh0r&#10;xOfEfjVPDlhPt12FvGGqbEtW/wCXj/j4+Xyn2u3+xvrv/B12PiN4J1jwj4vhH9tWBfR9Xh+75x2f&#10;JcJ/syoyyq38LNt+8hqx8L9Ruda8Pan4U8UyR6nrWit/ZWpNJF8l/Fs/dXDr0/exct/Dv3r/AA0A&#10;ec/FD4M2Xg/TrDxNYa144vNK06fdq9injDVGd7NvleZP9I+9F/rf9pUdfvbKufEX4EWUHg7+2/DW&#10;veNrm4sXiv8A7JF4w1Rvt9uv+ti/4+P44t23/a211/wsuP7Hk1b4c6qGebRE3WMk7bvtumSFhE31&#10;TDQv/uK38a1L8K2n8Iatqfw8vpjMmmL9q0WeT70ums/yRf71u37r/c8pv4qAPB/G/gBdW8VeGrjw&#10;J4n8Zarp954XuvEcFoni/Uv+Jp5dxZbIt/n/AC74pZVX/ada9Kj+CHhvx/4BOpeGPFPjeyk1Sx82&#10;xu/+Ev1T90zJ8m9WuP4W+8lZvh7Qv+EA/az07RTJHFol/wCHtWvdHi6eW8l3ZPcW6/7ro8v/AG1/&#10;2a73wzG/w7+Jd54cZv8Ain/ELy6loxz/AMe91967tf8Adb/Xr/vTf3VoA+Sf2gPENh4T8AfDGfQ/&#10;FfjPw94l8QeL7fw9qKP4r1G4NlKu9LtXR7j+GXZ/vKy/36+kvhx8PtL8ceE92oX3i3TvEFsz2Gq2&#10;0Pi/VP8AR7pPv7f9I+6330b+6y18u/8ABSv9nLxl468e/DnxB4K+x21tcavFFctd3XlRf2k2xIJW&#10;+X+JYkTd/spX1/r6T/Djx9pfilmVdF8QeVpeuw/wRXX3bS6/9oN/e3w/3KAOX+Fvw607WdL1PQda&#10;17xa/izw/P8AYtQdPFepI0vy7orpV8/7ssRRv7u7ev8ABS/C/wCHlpfjVPDniLVvFb+JNCn8meZf&#10;FWpIt5A3zQXSDz/41+9/dlV1rrviiH8D69p3xCtbVpYLJRYa8kK/O+ns3+tP977O7GT/AHGlo+J0&#10;Uvha+0v4i6W+5NMBj1iFBu+2aW/32/34m2yr/sq6/wAdAGR4o8OxfBfU9N8a2ms67N4etd1rrlpq&#10;2tXV7bxWsrr/AKXtnlfa0Tom5/8Ank0te1I6v92qE0NnrOnvFIkd5Z3MW1lb50kjZf8Ax5TmvPvh&#10;XezeE9T1D4eagJDLpMf2jSLiYf8AH1pzN8nzf34m/dP/ANsm/joA9TooooAKKKKACiiigAooooAK&#10;KKKACiiigAooooAKKKKACiiigAooooAKKKKACiiigAooooAKKKKAOJ+KHg1vGnhuSC0ZbbWrKVL/&#10;AEq8x/x73cR3I3+7/C395HZe9VvFPhi9+IPw/htbpH0DxA0MV7AxKzf2dfJtdOV+VtjfL8v3l3et&#10;d/RQBwdx4el+JXw0OleLtM/s671Ky8q/tIZ1f7PLt+9FKv8Adb5lf73CmmaRoGoeKvhm2heNrcG9&#10;nt5NPvnR1/f7XZFnXb90uoWXH8O//Zrv6KAOF+H9jrk/gkab4xs4p7+Ey2M7ja8eoxK21bjZ/D5q&#10;fMyN91mYVF8L/DWo+FPDFz4a1FWm03TLhrLS5ppfNa4sdi+Vu903GL5vveVu/irv6KAPnHxLoOte&#10;D/C+leG76BG0PTvGmh/2FepIuZbNr2JlidfvK0Tbk/2lC/7Vek/D/wAJXvgbxD4g0e1tinhO5m/t&#10;LTmWVQLaWV3a4t9v3tu/96v8P75l/hqr8ff+Rf8ACv8A2N2h/wDpfFXp9AHnXhHw7rHg7xrr9jDb&#10;LL4R1EnVbOdXXNrdO/8ApEGz+63+tV/7zy7v4KS/8MajovxSsfEWk2fmWOsQCw11FZU2eUrNb3WG&#10;+8fvRN/FtdP7lejUUAed614a1bT/AIlaV4m0SLzYbyP+zdctN6rviG5obhd38cT7l/2kmb+4tRfE&#10;Hw1qK+I/D/i7Q7M3erWE66fd26OqNc2E7qsq/Nhf3TbJV3f3H/vV6TRQB5z8RfDWqf2vofinw1Gs&#10;mt6VP5clq7KovrKVlW4gLt9xuFlX/aix/G1Xfih4Uu/Fnhhv7JaKHX9MnTUNKuJfupdRfd3N/df5&#10;on/2Xau5ooA888X+F7/4ieArb93J4a8Sp5Op2Lyssr6ffphkVtjMrLuGxwrbWVnH8VcZ8QfD7/Eb&#10;X/AGl+IbJtKu9S0zURPEkqs1nceVAwZHX+NHXcrf7Fe7V534u/5LP8Pf+vbVP/QIaAGaVo998Rfh&#10;a+jeM7B9P1G4ilsL5YmwfMjdovtMTL93fsWWL+Jdy+lcn8QP+Ehf4L6VbeLIon1qDxBo1rc3MW3y&#10;7zbrFqi3Cqv3PNTD7P4d22vc682/aA/5EG0/7GLQv/Tra0AP+GfhzWfB9tqnhu8tVk0HTp9mi3Ym&#10;U+bZv83lOv3laJtyf3WTyv8Aa2nwz8K6j4FfWfDrrJL4ctbj7Rok8kqv5UUhZ2tcfe2xNuVP+mZR&#10;f4a9GooA858JeG9W8J+OtetIbZH8Jap/xNLadXUfY7x3/wBIh2f3X4lVl/iMu7+Cl8LeGdR8HfED&#10;XksYmk8K63/xMtm5f9AvvlSZUX+7L8sv+/5rfx16LRQB5zr3hvU7H4jaP4q0FBcpcj+zNbsi6p5t&#10;t96Kdf8Abift/Esr+i0eKfDN5D470DxZoVv594p/svVYkZU8+xZ9yt833mhf5l/2Xl2/fr0aigDz&#10;f4m+HdUkuNI8UeH4jNr2iTb/ALKf+X6zb5bi3/3tvzp/tov+1Tvil4WvdXh0jxDoVqZfE+gTGe0i&#10;jdYzcxP8k9qzt8u10/vfLvVG/hr0aigDxvwt4RsPHXhf4iaHqcbvZ3+v38Mmxtrp9wqyN/Cyt86t&#10;/CwrqNF0HUfEvw2Og+NoVnvZ7eXT79kZf36fMnm/J93eu1v9nfVf4QdPGf8A2M99/wCyV6JQBwfg&#10;Cw1u48EtpPjGzjnvYPMsJZmdXTUYF+VLjZ/D5qfMyN91i1QfC3w1qPhPw5deGdSje50zS5mstLuL&#10;iXzXnsAv7pX/AItyKfKJb72zd/FXodFAHmHgDQdX8IaJrXhu9tc6Ppjsmi3vmKxlsmQskTr95Wi/&#10;1X+0qof723lfgt4c1TR9N+H+t6VbJNo+ueHLK21pDJteCWK13QXS/wB//nk38Xzxf3Gr23VP+QZd&#10;/wDXJ/8A0GuS+B//ACRbwJ/2ArL/ANEJQBT1Twtf6P8AFGw8SaPEZbTVIv7P122BVU2pueC6G7+N&#10;Pnib+8sq/wBxab428OavB4u0LxZoFqLy9tZBp+oWnnLF9psZWG5tzfLuifEvP8Kuq/M9ej0UAec+&#10;OvCupTeJNC8VaAhfWdNl+yXNvuVFvLCVl86Ji38SYWVP9zb/ABtTvin4b1LUrOw13w/bC58TaBP9&#10;tsYHkWH7UvKy2u9vu+any/N8u7Y38NeiUUAeffFXwlqHiHS7TUNDYQ+JtFn+36W7nakrjKvA5/uS&#10;ozRt/vK38Nc7+0nozeI/gVqokto4dQh+y3Vr9o+cWt0sqbH+X+4392vY687+P3/JKNd/7Yf+lEVA&#10;C674c1D4ofDOC01e3k8KeIpYYrpfJlSeXS79drqyMvyvsk9PvL/vVi/Fb+09Y/Zn8YjxHYrY6lP4&#10;bvFvrSGXeiN9nfftdf4a9drgPj1/yRHx5/2A7z/0S1AEfw60LV18FSeHfFsEd8LXfYRXLlXTUrLb&#10;+6ldf4WKNsdP7yMfustTfC7QNW8K+HpfDmqCW5s9Jm+y6ZfTS+a1zZhf3O/+Lei/um3fe2bv4q7a&#10;1/49ov8AcWp6APCv2X7TXtH8GXWn3sAk0BbqafSL1GU7IXuJt1qyfe/dMp2v90pKn9xq7H4eeEtQ&#10;8Ea1ruixxs/hRpvt+lP5q/6M8rs09rt+9tR/nT+HbLt/gp3wI/5JZpP/AF1uv/SiWvQqAPOrPw3q&#10;3hz4n3d/psaS+G9eh83UIdyq9nfxKqpKn95ZU+V/Rok/vNRD4Tv/AA78UjrWkwM+j69Bs1qESqqx&#10;3US/urrb3Zk/dPt/uRf3a9FooA858Q+G9V0/4iaJ4o0GFblbhTpmtWhdV821yXiuFP8Afift/Ekr&#10;/wAWyjxX4Tv7fx7oHi7QoWe7U/2Xq0CSKv2mwZt287vvNE/zL/FtaVV+/Xo1FAHnPxL8OarPeaJ4&#10;l8OW6z+INFuDstGKqLyzl2rcQF2+42351/24k/hLUvxQ8JX+sJpOv6FC7+JtAnM9mqyqn2qJ/luL&#10;Vi3y7XT+9/GkTfwV6LRQB87/ABj8Lah4r+OXhr+yJI7TxFYeF9S1DSprj7iXUV7YbVfb/A/3G/2X&#10;avQPGHhy6+Jfw6tGa3n8PeIEWDVbEyMvm2F+vzorFf8Aa+R/7yO6/wAVU9W/5Od8Mf8AYoat/wCl&#10;un16pQB4b8ctHk8cfDjwfYa7bS6ZPqeuaXHeQQyqXtZXf5tjr/ErfxV12g+H9T8X/Debw74+sorq&#10;5uIJdPvyn3LxMbPtC7T+73r8237yM1RfG3/j08G/9jXpf/o2vSaAOI+HthrB8Ff2R4oT7bd2vm2E&#10;1xMyv9viX5Ulb3dPvf7W6s74X6Lqug6ZqvhDWYGu9N0iX7Ppl/KuVvLBl3RK3+3FzE397Yrfx16R&#10;RQB538KvDmo+CbDUfC88UraJpdxs0W5aTeWs2+dIv737rPlf7qrSfFjw9qd5Y2PiLw9tPibQHe7s&#10;4T928i2/vbV/+uqfd/uvsb+GvRaKAMbwx4ks/Fvh7T9Z0+TzrK/gS4if/ZatmvItF8n4VfEltBZv&#10;s/h3xbPLeaWjn5LfUfmluLdf7vmrunVf7yzV64v3RQAtM3ru27uaH+5Xx9+0j4x1vQfjTHa+HfG+&#10;naZq95pFrFDplwmJUT7au9sROsrf3vvIrL8u75vmAPr2GaKeLdHIrp/eVqm3V80fsUXPieH4arp/&#10;iK8ubm2s4LX7CbmzW12K6sz7F+80e7OGbd91vm+Wuc/bs0e0v9H0+V7SGeVNMvdrmzWa4/1tuv7r&#10;5H2t+9b7i7t2ygD67or5E/Yp0ixtdQv7yPSLbTbqXT5Uz9hS3uIlj1K7t/Kb5Uf7trEzbl+/ur67&#10;oAKKKKACiiigAooooAKKKKACiiigAooooAKKKKACiiigAooooAKKKKACiiigAooooAKKKKAPMPj7&#10;/wAi/wCFf+xu0P8A9L4q9PrzD4+/8i/4V/7G7Q//AEvir0+gAooooAKKKKACiiigArzvxd/yWf4e&#10;/wDXtqn/AKBDXoled+Lv+Sz/AA9/69tU/wDQIaAPRK82/aA/5EG0/wCxi0L/ANOtrXpNebftAf8A&#10;Ig2n/YxaF/6dbWgD0miiigAooooAKKKKACiiigDzv4QdPGf/AGM99/7JXoled/CDp4z/AOxnvv8A&#10;2SvRKACiiigCnqn/ACDLv/rk/wD6DXJfA/8A5It4E/7AVl/6ISut1T/kGXf/AFyf/wBBrkvgf/yR&#10;bwJ/2ArL/wBEJQB3NFFFABRRRQAV538e/wDklGu/9u//AKPir0F/uV8nfF343ePPiVe+NPBnwx+E&#10;V34ysdHvV0rUNZudes9KMV4nlSsiW8/71l2ldsvyq/3k3LtdgD60rgPj1/yRHx5/2A7z/wBEtXnP&#10;wu/aT8R+Jfiwnw98e/DK++Heu3emPq2mn+1bfVbe6gR9ku54P9Uw3Lt3fe+fphd/o/x6/wCSIePf&#10;+wJef+imoA7e1/49ov8AcWp6gtf+PaL/AHFqegDz34Ef8ks0n/rrdf8ApRLXoVee/Aj/AJJZpP8A&#10;11uv/SiWvQqACiiigAooooAKKKKAPK9W/wCTnfDH/Yoat/6W6fXqleV6t/yc74Y/7FDVv/S3T69U&#10;oA82+Nv/AB6eDf8Asa9L/wDRtek15t8bf+PTwb/2Nel/+ja9JoAKKKKACiiigDk/iJ4PXxv4Tu9K&#10;Nx9jum2y2d4q/Pa3KNuilX/dfbVX4Z+NJvGPhtZb6z/s3WrGVrHVbAtu8i6j+/t/vI330b+JGVq7&#10;avOvEvwT8M+J/EU+sXH9t2F9OqrO+j6/f6cku0/KzJbzIrN/tfeoA9CrC1vwfoniC01G01LTLa5t&#10;9RRUvEeP/Xqv3Nzf7Ncf/wAM5eE/+gj4z/8AC31n/wCS6P8AhnLwn/0EfGf/AIW+s/8AyXQB0fg7&#10;4deG/AU19LoWjQ6bLfCP7VMm5ml2btm5mP8ADvf/AL6pPGnwx8J/EN7RvE+gWGu/Y93kLewCXyt2&#10;3d/6Cv5Vzv8Awzl4T/6CPjP/AMLfWf8A5Lo/4Zy8J/8AQR8Z/wDhb6z/APJdAG94P+FfhH4e3F3c&#10;+GvD2n6HNdqiTvYwCLzFVmb5tvu7V2VeX/8ADOXhP/oI+M//AAt9Z/8Akuj/AIZy8J/9BHxn/wCF&#10;vrP/AMl0AeoUVlaFott4d0m2020a6kgt02I97dy3UuP9qWVmdv8AgTVq0AFFFFABRRRQAUUUUAFF&#10;FFABRRRQAUUUUAFFFFABRRRQAUUUUAFFFFABRRRQAUUUUAeYfH3/AJF/wr/2N2h/+l8Ven15h8ff&#10;+Rf8K/8AY3aH/wCl8Ven0AFFFFABRRRQAUUUUAFed+Lv+Sz/AA9/69tU/wDQIa9Erzvxd/yWf4e/&#10;9e2qf+gQ0AeiV5t+0B/yINp/2MWhf+nW1r0mvNv2gP8AkQbT/sYtC/8ATra0Aek0UUUAFFFFABRR&#10;RQAUUUUAed/CDp4z/wCxnvv/AGSvRK87+EHTxn/2M99/7JXolABRRRQBT1T/AJBl3/1yf/0GuS+B&#10;/wDyRbwJ/wBgKy/9EJXW6p/yDLv/AK5P/wCg1yXwP/5It4E/7AVl/wCiEoA7miiigAooooAY/wBy&#10;vy9+LvxM+GHxu1H4zH4i6L8N7T4heEvEz+D/AAzca3qc9g8lr9r8hbq4VZd8qxbt7bV2rtf7q1+o&#10;T1598e12/CjXcf8ATD/0oioA+Vv2RrK4+Avx61L4M6XF8P8AxBZG2urrVdX8MWcthrFm0C27xfb4&#10;pWfcj/bdkW12/j+b5HWvq/49f8kQ8e/9gS8/9FNXVafo9lptxeTWlnBbT3s32m5eKNVaeXaq73/v&#10;NsRV3f7Ncr8ev+SIePf+wJef+imoA7e1/wCPaL/cWp6gtf8Aj2i/3FqegDz34Ef8ks0n/rrdf+lE&#10;tehV578CP+SWaT/11uv/AEolr0KgAooooAKKKKACiiigDyvVv+TnfDH/AGKGrf8Apbp9eqV5Xq3/&#10;ACc74Y/7FDVv/S3T69UoA82+Nv8Ax6eDf+xr0v8A9G16TXm3xt/49PBv/Y16X/6Nr0mgAooooAKK&#10;KKACiiigAooooAKKKKACiiigAooooAKKKKACiiigAooooAKKKKACiiigAooooAKKKKACiiigAooo&#10;oAKKKKACiiigAooooA8w+Pv/ACL/AIV/7G7Q/wD0vir0+vMPj7/yL/hX/sbtD/8AS+KvT6ACiiig&#10;AooooAKKKKACvO/F3/JZ/h7/ANe2qf8AoENeiV534u/5LP8AD3/r21T/ANAhoA9Erzb9oD/kQbT/&#10;ALGLQv8A062tek15t+0B/wAiDaf9jFoX/p1taAPSaKKKACiiigAooooAKKKKAPO/hB08Z/8AYz33&#10;/sleiV538IOnjP8A7Ge+/wDZK9EoAKKKKAKeqf8AIMu/+uT/APoNcl8D/wDki3gT/sBWX/ohK63V&#10;P+QZd/8AXJ//AEGuS+B//JFvAn/YCsv/AEQlAHc0UUUAFFFFABXnfx7/AOSUa7/27/8Ao+KvRK87&#10;+Pf/ACSjXf8At3/9HxUAeiVwHx6/5Ij48/7Ad5/6Jau/rgPj1/yRHx5/2A7z/wBEtQB3Fr/x7Rf7&#10;i1PUFr/x7Rf7i1PQB578CP8Aklmk/wDXW6/9KJa9Crz34Ef8ks0n/rrdf+lEtehUAFFFFABRRRQA&#10;UUUUAeV6t/yc74Y/7FDVv/S3T69UryvVv+TnfDH/AGKGrf8Apbp9eovQB5z8bP8Aj08Gf9jXpf8A&#10;6Nr0mvzx8R2vxD1ee50n4r+IvjdputWuq/2jAPAnhmC+0ratw8to9rPbWsr/ACJ5Sukrbt277y17&#10;1+y7rHxM1DV/FC6+viPU/ApMUmi6z46tYtN1uSXbtljNpFEm2AY+VnVH3Zwrq+5QD6UooooAKKKK&#10;ACiiigAooooAKKKKACiiigAooooAKKKKACiiigAooooAKKKKACiiigAooooAKKKKACiiigAooooA&#10;KKKKACiiigAooooA8w+Pv/Iv+Ff+xu0P/wBL4q9PrzD4+/8AIv8AhX/sbtD/APS+KvT6ACiiigAo&#10;oooAKKKKACvO/F3/ACWf4e/9e2qf+gQ16JXnXi//AJLP8PP+vbVP/QIaAPRa82/aA/5EG0/7GLQv&#10;/Tra16TXm37QH/Ig2n/YxaF/6dbWgD0miiigAooooAKKKKACiiigDzv4QdPGf/Yz33/sleiV538I&#10;OnjP/sZ77/2SvRKACiiigCnqn/IMu/8Ark//AKDXJfA//ki3gT/sBWX/AKISut1T/kGXf/XJ/wD0&#10;GuS+B/8AyRbwJ/2ArL/0QlAHc0UUUAFFFFABXh37W/xS8LfCz4QXd14p1eHSINRuoLO0klVj5ku/&#10;zdvy/wCzE7V7jXxl/wAFZfBI8X/sg6tdxKXuNE1Oz1ONE6t8/kN/47cGgD6x8J+LNK8deGdL8QaH&#10;eRalo+pwJdWl3F9ySJl3K1c58ev+SI+PP+wHef8AolqtfB7wYvw4+Evg3wqOf7F0ezsM/wB5ooUT&#10;/wBlqr8ev+SI+PP+wHef+iWoA7i1/wCPaL/cWp6gtf8Aj2i/3FqegDz34Ef8ks0n/rrdf+lEtehV&#10;578CP+SWaT/11uv/AEolr0KgAooooAKKKKACiiigDyvVv+TnfDH/AGKGrf8Apbp9eovXl2rf8nO+&#10;GP8AsUNW/wDS3T69R2UAfnl8SfgT8RNIuo7iz0H+w9YvtYit9a8WaD4ynTUPGMUj4W0bcn7h2+Vl&#10;d/lt1VUi+V32fQX7Mfw41/wDqfiGeLwdH8MfA18IntPBE1zBezwXi8S3SywOyRJIm391mVmZN+6L&#10;5lb0P42J/ovgz/sa9L/9G16RsoAfRRRQAUUUUAFFFFABRRRQAUUUUAFFFFABRRRQAUUUUAFFFFAB&#10;RRRQAUUUUAFFFFABRRRQAUUUUAFFFFABRRRQAUUUUAFFFFABRRRQB5h8ff8AkX/Cv/Y3aH/6XxV6&#10;fXmHx9/5F/wr/wBjdof/AKXxV6fQAUUUUAFFFFABRRRQAVxfjH4f/wDCX6no+px61qGi3+leaILj&#10;T/KztlVd6sJEf+4tdpRQB59/wrXXv+ik+JP+/Vl/8j1nan8H73WktIdW8b6/qlnb3dre/ZJUtljk&#10;eCZJ03bYtx+eJa9SooAKKKKACiiigAooooAKKKKAPO/hB08Z/wDYz33/ALJXoled/CDp4z/7Ge+/&#10;9kr0SgAooooAp6p/yDLv/rk//oNcl8D/APki3gT/ALAVl/6ISut1T/kGXf8A1yf/ANBrkvgf/wAk&#10;W8Cf9gKy/wDRCUAdzRRRQAUUUUAFcp8SfAth8TPBmp+GtUaRdPv1RZGi27l2urr97/aWurqvLPHb&#10;pukZUXO3czUAcIvwy14f81I8Sf8Afqy/+R6zfEPwX1LxToOoaRffEPxJNZX9u9rOmyy+ZGTa3/Lv&#10;XqW+jfQB5+nwy1tE2r8RvEny/wDTKy/+R6H+Gmvf9FI8Sf8Afqy/+R69A30b6AOf8F+FrbwP4Xst&#10;Ftp5riO23YmnOXkZnLszbf8AaY10dVvtMXl+Z5i7N23fuqzQAUUUUAFFFFABRRRQB5Xq3/Jzvhj/&#10;ALFDVv8A0t0+vVK8r1b/AJOd8Mf9ihq3/pbp9eqUAebfG3/j08G/9jXpf/o2vSa82+Nv/Hp4N/7G&#10;vS//AEbXpNABRRRQAUUUUAFFFFABRRRQAUUUUAFFFFABRRRQAUUUUAFFFFABRRRQAUUUUAFFFFAB&#10;RRRQAUUUUAFFFFABRRRQAUUUUAFFFFABRRRQB5h8ff8AkX/Cv/Y3aH/6XxV6fXmHx9/5F/wr/wBj&#10;dof/AKXxV6fQAUUUUAFFFFABRRRQAUUUUAFFFFABRRRQAUUUUAFFFFABRRRQB538IOnjP/sZ77/2&#10;SvRK87+EHTxn/wBjPff+yV6JQAUUUUAU9U/5Bl3/ANcn/wDQa5L4H/8AJFvAn/YCsv8A0Qldbqn/&#10;ACDLv/rk/wD6DXJfA/8A5It4E/7AVl/6ISgDuaKKKACiiigDF8R6hf6VoOp3ml6a2tanBbSyWunL&#10;OsP2qVVykW9vlTc3y7m6V8SftNftL+K9R+G3jXQ/EnwxvfCGo+GG0HX3xrEF/wCaravb+VF+4/if&#10;ypf++K+2/E15qGm6Bf3ek6f/AGtqcEDvbWPmrF58u35V3N92vi34paLN8P8A4SRf8LB1mzufi98S&#10;vFeiXktpbL8jG31Cy22Vv/eW3g/i/i+dv4qAPffhT8drr43eM5rnwdpK3vwvgs8jxXdu0P2+8Yr8&#10;lrEy7miRCwd32/N8q/cevJ/iJrEFxof7St7pfiPxfpOp2vhfUmvvCWtljFFKLWVbe/s3bdsilWI/&#10;6p9vH3V213/gr4d+O/gh8Ro9E8G2Wlax8HdYupblrKe6Nrc+GpmZ3lS3+Rllgdj8kXy7G+X5Urxr&#10;46fFbxn8Uh4u8HaXDd2Fp40vF8D+GdHe12XF5FFL/wATXVZdybkiSLzYl/h+Td/HQB57qXwyk8a/&#10;DvUtI8D/AAR8ZWnju2tLPdqcnxDgZbWWVYpUllibVG++jb9rJ/FXp37UXxT8feCvj9FN4c8Oa7Gm&#10;l+CdUuob/T7mzl89FltHaZYJWffsb91tZN/73cny765bxrZfD/wj8ffi1bfFHxJr9h4YX+xr2x8K&#10;Wkc8Vv4g8jTbdN7NEm642yxbfK37dyfPXqvxS+HvjL4jeJD8Twmk6P4PtfBstqvh7W/tVvd3sF0s&#10;U9xFevErNa+V5Sf6pZW+V1oA+YNK8X+M9VktPhL/AMJKufE2r2urxW9xPE9jK32p7+6/0hYopVb/&#10;AEX5ok+X/SF/v1+hP7PnjnXviX8JvD/inxFbWVnqGrW4ult9PLbEib7v3ua/OHwD4Q834TXN34Tk&#10;tPEHxK8Qan/bvhfR9Bgur17eK11CWL7Q8t1Ltis2iSWJX2Izb/43+Sv0Z/Z31jRdY+DHhZPD/wBr&#10;Gl6dYppQW+tnt5opLb/R5UdXX76PE6N/tK1AHqFFFFABRRRQAUUUUAeV6t/yc74Y/wCxQ1b/ANLd&#10;Pr1SvK9W/wCTnfDH/Yoat/6W6fXqlAHm3xt/49PBv/Y16X/6Nr0mvNvjb/x6eDf+xr0v/wBG16TQ&#10;AUUUUAFFFFABRRRQAUUUUAFFFFABRRRQAUUUUAFFFFABRRRQAUUUUAFFFFABRRRQAUUUUAFFFFAB&#10;RRRQAUUUUAFFFFABRRRQAUUUUAeYfH3/AJF/wr/2N2h/+l8Ven15h8ff+Rf8K/8AY3aH/wCl8Ven&#10;0AFFFFABRRRQAUUUUAFFFFABRRRQAUUUUAFFFFABRRRQAUUUUAed/CDp4z/7Ge+/9kr0SvO/hB08&#10;Z/8AYz33/sleiUAFFFFAFPVP+QZd/wDXJ/8A0GuS+B//ACRbwJ/2ArL/ANEJXW6p/wAgy7/65P8A&#10;+g1yXwP/AOSLeBP+wFZf+iEoA7miiigAooooAKqPbRTzxTvEryx7trsvzLVuigAqHZvk3Ffu/dqa&#10;igApj0+igCqkKRfcjVcKqfd/hq1RRQAUUUUAFFFFABRRRQB5Xq3/ACc74Y/7FDVv/S3T69UryvVv&#10;+TnfDH/Yoat/6W6fXqlAHm3xt/49PBv/AGNel/8Ao2vSa82+Nv8Ax6eDf+xr0v8A9G16TQAUUUUA&#10;FFFFABRRRQAUUUUAFFFFABRRRQAUUUUAFFFFABRRRQAUUUUAFFFFABRRRQAUUUUAFFFFABRRRQAU&#10;UUUAFFFFABRRRQAUUUUAeYfH3/kX/Cv/AGN2h/8ApfFXp9eb/GrQdX1/wxpY0WxGpX9jrmm6kbXz&#10;FiaSOC7ilfazfLu2pUv/AAnfjH/ommpf+DOy/wDjtAHodFed/wDCfeMf+iZ6n/4M7L/47S/8J94v&#10;/wCiZ6p/4M7L/wCO0Aeh0V59/wAJ94v/AOiZ6p/4M7L/AOO03/hPvF//AETPVP8AwZ2X/wAdoA9D&#10;orz3/hPvGH/RM9W/8Gdh/wDHqP8AhPvGH/RM9W/8Gdh/8eoA9Corz3/hPvGH/RM9W/8ABnYf/HqP&#10;+E+8Yf8ARM9W/wDBnYf/AB6gD0KivPf+E+8Xf9Ez1f8A8GVj/wDHqT/hYXiz/omWs/8AgxsP/kig&#10;D0OivPf+FgeLf+iaaz/4MbH/AOPUn/CwvFn/AETLWf8AwY2H/wAkUAeh0V59/wALB8Wf9Ey1n/wY&#10;2H/yRR/wsHxZ/wBEy1n/AMGNh/8AJFAHoNFeff8ACwPFn/RMtb/8GNh/8kUn/CwfFn/RMdb/APBj&#10;Yf8AyRQB6FRXnv8AwsHxZ/0THW//AAY2H/yRSf8ACwfFX/RMdc/8GNh/8kUAJ8IOnjP/ALGe+/8A&#10;ZK9Erz34R6dq9hpuvXOtaXJol1qWs3V+lpNLFK6xvt27niZl7etehUAFFFFAFPVP+QZd/wDXJ/8A&#10;0GuS+B//ACRbwJ/2ArL/ANEJXW6p/wAgy7/65P8A+g14t8HfGviu2+EvguKD4f6hexJotkq3CajZ&#10;osi+SnzfNLQB7rRXnv8Awn3jH/omep/+DOy/+O0n/CfeMf8Aomupf+DOy/8AjtAHodFeff8ACfeL&#10;/wDomeqf+DOy/wDjtM/4T/xj/wBEz1T/AMGdl/8AHaAPRKK88/4T7xf/ANEz1T/wZ2X/AMdpf+E+&#10;8Yf9Ez1b/wAGdh/8eoA9Corzv/hPvF//AETPVv8AwZ2H/wAdp3/CfeMP+iZ6t/4M7D/49QB6FRXn&#10;v/CfeMP+iZ6t/wCDOw/+PUf8J94u/wCiZ6v/AODKx/8Aj1AHoVFeef8ACwvFn/RMtZ/8GNh/8kU7&#10;/hYPiz/omWs/+DGw/wDkigD0GivPv+Fg+LP+iZaz/wCDGw/+SKP+Fg+LP+iZaz/4MbD/AOSKAPQa&#10;K8+/4WD4t/6JjrP/AIMbD/4/R/wsDxZ/0TLW/wDwY2H/AMkUAeg0V55/wsHxZ/0THW//AAY2H/yR&#10;R/wsHxZ/0TDW/wDwY2H/AMkUAZ2rf8nO+GP+xQ1b/wBLdPr1SvnPUvG/iX/horw3cf8ACvtY85fC&#10;uqJ9mN9Zb2X7XYfN/r9lel/8LC8Vf9Ez1v8A8DrD/wCSKAPjH/gqr4m+IHhPW/g6PBnifUtFi1bV&#10;XsmhtG+X7UrxeTL/AL3zvX6C2iMlrEkj73VV3O38VfNPx88D+IvjvefDaG5+HupWMXh7xfYa1NdX&#10;V9Zusdum9ZeEn3/xf+OV9QUAFFFFABRRRQAUUUUAFFFFABRRRQAUUUUAFFFFABRRRQAUUUUAFFFF&#10;ABRRRQAUUUUAFFFFABRRRQAUUUUAFFFFABRRRQAUUUUAFFFFABRRRQAUUUUAFFFFABRRRQAUUUUA&#10;FFFFABRRRQAUUUUAFFFFABRRRQAUUUUAFFFFAFPVP+QZd/8AXJ//AEGuS+B//JFvAn/YCsv/AEQl&#10;dbqn/IMu/wDrk/8A6DXyd4V/bz+Bfwt+FvhPStd8eWiapp+kWtvc2NpFLcSxOkSKy/KlAH17RXyt&#10;8K/+Cj/wX+L/AIq1DRdJ1e705LO1+1PqeswJaW7/ADKuxNzbi3z/AN3+GvWv+GmfhT/0UHw//wCB&#10;yUAen0V5h/w0z8Kf+ig+H/8AwOSj/hpn4U/9FB8P/wDgclAHp9FeYf8ADTPwp/6KD4f/APA5KP8A&#10;hpn4U/8ARQfD/wD4HJQB6fRXmH/DTPwp/wCig+H/APwOSj/hpn4U/wDRQfD/AP4HJQB6ZuWjfXwH&#10;4a/at8cr8QjDLq02reKdGbxFqHjHwJNaxWmn6ZpVtFusriC68ppfnX7KyP8AvVl+1P8AMiqlbnwG&#10;/aZ1nw38QPCth8UfH9ld6b41+HVj41im1KKCxSwvJ7h/9Ft9o+ZPKkH32Zv9H3fLuagD7jorzBf2&#10;mfhTt/5KD4f/APA5KP8Ahpn4U/8ARQfD/wD4HJQB6fRXmH/DTPwp/wCig+H/APwOSj/hpn4U/wDR&#10;QfD/AP4HJQB6fRXmH/DTPwp/6KD4f/8AA5KP+GmfhT/0UHw//wCByUAen0V5a/7TfwqVN3/Cf6A3&#10;y/dW+SvCND/4Kt/ADVbs2l5rWraFMknlMdQ019n/AH1FvWgD3XVv+TnfDH/Yoat/6W6fXqlfNnw6&#10;+O/gP44ftGaFd+BvE9l4iitfCOqef9kdt8W690/buVq+k6ACiiigAooooAKKKKACiiigAooooAKK&#10;KKACiiigAooooAKKKKACiiigAooooAKKKKACiiigAooooAKKKKACiiigAooooAKKKKACiiigAooo&#10;oAKKKKACiiigAooooAKKKKACiiigAooooAKKKKACiiigAooooAKKKKACiiigAooooAK5jxR8NfCf&#10;jqHy/EnhjSNfT+7qVhFP/wChrXT0UAeafDv9nz4cfCXX9Q1rwZ4P0zw3qN/F9nuptOi8rzU37tu3&#10;7v3q9LoooAKKKKACiiigApn/AAGn0UAfEVh+xb4q1nVfBei+IruxGk+Fb7xBLJ4ws7tjrGsWupm6&#10;d4tjRMkXzXW2Xf5u7b8jLubd2f7NH7PPjTwF410HxF41m0mGXwx4Gt/h/YQ6SzyLfwQXHmpetu/1&#10;XyJEmz5tzb2+T5Vr6qooAYn3KfRRQAUUUUAFFFFAELorrtZfvV5J4f8A2Sfg14ZupLyy+Gnhz7XK&#10;/mNPPp6XDbvX591ew0UAUdO02z0u2W3sbWGzt1+7DbxqiL+C1e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ET1&#10;AABbQ29udGVudF9UeXBlc10ueG1sUEsBAhQACgAAAAAAh07iQAAAAAAAAAAAAAAAAAYAAAAAAAAA&#10;AAAQAAAAE/MAAF9yZWxzL1BLAQIUABQAAAAIAIdO4kCKFGY80QAAAJQBAAALAAAAAAAAAAEAIAAA&#10;ADfzAABfcmVscy8ucmVsc1BLAQIUAAoAAAAAAIdO4kAAAAAAAAAAAAAAAAAEAAAAAAAAAAAAEAAA&#10;AAAAAABkcnMvUEsBAhQACgAAAAAAh07iQAAAAAAAAAAAAAAAAAoAAAAAAAAAAAAQAAAAMfQAAGRy&#10;cy9fcmVscy9QSwECFAAUAAAACACHTuJAWGCzG7QAAAAiAQAAGQAAAAAAAAABACAAAABZ9AAAZHJz&#10;L19yZWxzL2Uyb0RvYy54bWwucmVsc1BLAQIUABQAAAAIAIdO4kCq3vY22AAAAAkBAAAPAAAAAAAA&#10;AAEAIAAAACIAAABkcnMvZG93bnJldi54bWxQSwECFAAUAAAACACHTuJAwwm2J8sDAADGCQAADgAA&#10;AAAAAAABACAAAAAnAQAAZHJzL2Uyb0RvYy54bWxQSwECFAAKAAAAAACHTuJAAAAAAAAAAAAAAAAA&#10;CgAAAAAAAAAAABAAAAAeBQAAZHJzL21lZGlhL1BLAQIUABQAAAAIAIdO4kD/kScAmu0AAJDtAAAV&#10;AAAAAAAAAAEAIAAAAEYFAABkcnMvbWVkaWEvaW1hZ2UxLmpwZWdQSwUGAAAAAAoACgBTAgAAiPYA&#10;AAAA&#10;">
                      <o:lock v:ext="edit" aspectratio="f"/>
                      <v:shape id="图片 1319" o:spid="_x0000_s1026" o:spt="75" type="#_x0000_t75" style="position:absolute;left:5;top:5;height:5889;width:4670;" filled="f" o:preferrelative="t" stroked="f" coordsize="21600,21600" o:gfxdata="UEsDBAoAAAAAAIdO4kAAAAAAAAAAAAAAAAAEAAAAZHJzL1BLAwQUAAAACACHTuJARg0uZb8AAADb&#10;AAAADwAAAGRycy9kb3ducmV2LnhtbEWPQWvDMAyF74P+B6NCL2NxWrpuZHF7CAQKK4ymu+wmbC0J&#10;i+Vgu0377+fCYDeJ9/S+p3J3tYO4kA+9YwXLLAdBrJ3puVXweaqfXkGEiGxwcEwKbhRgt509lFgY&#10;N/GRLk1sRQrhUKCCLsaxkDLojiyGzI3ESft23mJMq2+l8TilcDvIVZ5vpMWeE6HDkaqO9E9ztgky&#10;9b6uavuxPhz1+vndVo9ft0qpxXyZv4GIdI3/5r/rvUn1X+D+Sxp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LmW/&#10;AAAA2wAAAA8AAAAAAAAAAQAgAAAAIgAAAGRycy9kb3ducmV2LnhtbFBLAQIUABQAAAAIAIdO4kAz&#10;LwWeOwAAADkAAAAQAAAAAAAAAAEAIAAAAA4BAABkcnMvc2hhcGV4bWwueG1sUEsFBgAAAAAGAAYA&#10;WwEAALgDAAAAAA==&#10;">
                        <v:fill on="f" focussize="0,0"/>
                        <v:stroke on="f"/>
                        <v:imagedata r:id="rId10" o:title=""/>
                        <o:lock v:ext="edit" aspectratio="t"/>
                      </v:shape>
                      <v:group id="组合 1320" o:spid="_x0000_s1026" o:spt="203" style="position:absolute;left:3;top:3;height:5894;width:4676;" coordorigin="3,3" coordsize="4676,5894"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任意多边形 1321" o:spid="_x0000_s1026" o:spt="100" style="position:absolute;left:3;top:3;height:5894;width:4676;" filled="f" stroked="t" coordsize="4676,5894" o:gfxdata="UEsDBAoAAAAAAIdO4kAAAAAAAAAAAAAAAAAEAAAAZHJzL1BLAwQUAAAACACHTuJAUokEEbgAAADb&#10;AAAADwAAAGRycy9kb3ducmV2LnhtbEVPzYrCMBC+C75DGMGbTdyDaDV6UGTXm+v6AEMztsVkUpts&#10;tT69WRD2Nh/f76w2D2dFR22oPWuYZgoEceFNzaWG889+MgcRIrJB65k09BRgsx4OVpgbf+dv6k6x&#10;FCmEQ44aqhibXMpQVOQwZL4hTtzFtw5jgm0pTYv3FO6s/FBqJh3WnBoqbGhbUXE9/ToNuy72Ssq9&#10;feLCHg/289YXDrUej6ZqCSLSI/6L3+4vk+Yv4O+XdIB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okEEbgAAADbAAAA&#10;DwAAAAAAAAABACAAAAAiAAAAZHJzL2Rvd25yZXYueG1sUEsBAhQAFAAAAAgAh07iQDMvBZ47AAAA&#10;OQAAABAAAAAAAAAAAQAgAAAABwEAAGRycy9zaGFwZXhtbC54bWxQSwUGAAAAAAYABgBbAQAAsQMA&#10;AAAA&#10;" path="m0,5893l4675,5893,4675,0,0,0,0,5893xe">
                          <v:fill on="f" focussize="0,0"/>
                          <v:stroke weight="0.25pt" color="#000000" joinstyle="round"/>
                          <v:imagedata o:title=""/>
                          <o:lock v:ext="edit" aspectratio="f"/>
                        </v:shape>
                      </v:group>
                      <w10:wrap type="topAndBottom"/>
                    </v:group>
                  </w:pict>
                </mc:Fallback>
              </mc:AlternateContent>
            </w:r>
            <w:r>
              <w:rPr>
                <w:rFonts w:hint="eastAsia"/>
                <w:color w:val="auto"/>
                <w:lang w:val="en-US" w:eastAsia="zh-CN"/>
              </w:rPr>
              <w:t xml:space="preserve">图2-2  </w:t>
            </w:r>
            <w:r>
              <w:rPr>
                <w:rFonts w:hint="default"/>
                <w:color w:val="auto"/>
              </w:rPr>
              <w:t>宣传牌设计图</w:t>
            </w:r>
          </w:p>
          <w:p w14:paraId="4FD583F3">
            <w:pPr>
              <w:pStyle w:val="2"/>
              <w:keepLines w:val="0"/>
              <w:suppressLineNumbers w:val="0"/>
              <w:bidi w:val="0"/>
              <w:spacing w:before="0" w:beforeAutospacing="0" w:after="0" w:afterAutospacing="0"/>
              <w:ind w:left="0" w:right="0"/>
              <w:jc w:val="left"/>
              <w:rPr>
                <w:rFonts w:hint="default"/>
                <w:color w:val="auto"/>
                <w:highlight w:val="yellow"/>
              </w:rPr>
            </w:pPr>
            <w:r>
              <w:rPr>
                <w:rFonts w:hint="eastAsia"/>
                <w:color w:val="auto"/>
                <w:lang w:val="en-US" w:eastAsia="zh-CN"/>
              </w:rPr>
              <w:t>5 土</w:t>
            </w:r>
            <w:r>
              <w:rPr>
                <w:rFonts w:hint="eastAsia"/>
                <w:color w:val="auto"/>
                <w:highlight w:val="none"/>
                <w:lang w:val="en-US" w:eastAsia="zh-CN"/>
              </w:rPr>
              <w:t>石方平衡</w:t>
            </w:r>
          </w:p>
          <w:p w14:paraId="79C809F4">
            <w:pPr>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本项目挖方量为581269m</w:t>
            </w:r>
            <w:r>
              <w:rPr>
                <w:rFonts w:hint="eastAsia"/>
                <w:color w:val="auto"/>
                <w:vertAlign w:val="superscript"/>
                <w:lang w:val="en-US" w:eastAsia="zh-CN"/>
              </w:rPr>
              <w:t>3</w:t>
            </w:r>
            <w:r>
              <w:rPr>
                <w:rFonts w:hint="eastAsia"/>
                <w:color w:val="auto"/>
                <w:lang w:val="en-US" w:eastAsia="zh-CN"/>
              </w:rPr>
              <w:t>，填方量为2002495m</w:t>
            </w:r>
            <w:r>
              <w:rPr>
                <w:rFonts w:hint="eastAsia"/>
                <w:color w:val="auto"/>
                <w:vertAlign w:val="superscript"/>
                <w:lang w:val="en-US" w:eastAsia="zh-CN"/>
              </w:rPr>
              <w:t>3</w:t>
            </w:r>
            <w:r>
              <w:rPr>
                <w:rFonts w:hint="eastAsia"/>
                <w:color w:val="auto"/>
                <w:lang w:val="en-US" w:eastAsia="zh-CN"/>
              </w:rPr>
              <w:t>，调入方为1421226m</w:t>
            </w:r>
            <w:r>
              <w:rPr>
                <w:rFonts w:hint="eastAsia"/>
                <w:color w:val="auto"/>
                <w:vertAlign w:val="superscript"/>
                <w:lang w:val="en-US" w:eastAsia="zh-CN"/>
              </w:rPr>
              <w:t>3</w:t>
            </w:r>
            <w:r>
              <w:rPr>
                <w:rFonts w:hint="eastAsia"/>
                <w:color w:val="auto"/>
                <w:lang w:val="en-US" w:eastAsia="zh-CN"/>
              </w:rPr>
              <w:t>，详见表</w:t>
            </w:r>
            <w:r>
              <w:rPr>
                <w:rFonts w:hint="default"/>
                <w:color w:val="auto"/>
                <w:lang w:val="en-US" w:eastAsia="zh-CN"/>
              </w:rPr>
              <w:t>2-</w:t>
            </w:r>
            <w:r>
              <w:rPr>
                <w:rFonts w:hint="eastAsia"/>
                <w:color w:val="auto"/>
                <w:lang w:val="en-US" w:eastAsia="zh-CN"/>
              </w:rPr>
              <w:t>5。</w:t>
            </w:r>
          </w:p>
          <w:p w14:paraId="3D9390DA">
            <w:pPr>
              <w:pStyle w:val="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表</w:t>
            </w:r>
            <w:r>
              <w:rPr>
                <w:rFonts w:hint="default"/>
                <w:color w:val="auto"/>
                <w:highlight w:val="none"/>
                <w:lang w:val="en-US" w:eastAsia="zh-CN"/>
              </w:rPr>
              <w:t>2-</w:t>
            </w:r>
            <w:r>
              <w:rPr>
                <w:rFonts w:hint="eastAsia"/>
                <w:color w:val="auto"/>
                <w:highlight w:val="none"/>
                <w:lang w:val="en-US" w:eastAsia="zh-CN"/>
              </w:rPr>
              <w:t>5</w:t>
            </w:r>
            <w:r>
              <w:rPr>
                <w:rFonts w:hint="default"/>
                <w:color w:val="auto"/>
                <w:highlight w:val="none"/>
                <w:lang w:val="en-US" w:eastAsia="zh-CN"/>
              </w:rPr>
              <w:t xml:space="preserve"> </w:t>
            </w:r>
            <w:r>
              <w:rPr>
                <w:rFonts w:hint="eastAsia"/>
                <w:color w:val="auto"/>
                <w:highlight w:val="none"/>
                <w:lang w:val="en-US" w:eastAsia="zh-CN"/>
              </w:rPr>
              <w:t xml:space="preserve"> 项目土石方平衡表  单位</w:t>
            </w:r>
            <w:r>
              <w:rPr>
                <w:rFonts w:hint="eastAsia"/>
                <w:color w:val="auto"/>
                <w:lang w:val="en-US" w:eastAsia="zh-CN"/>
              </w:rPr>
              <w:t>m</w:t>
            </w:r>
            <w:r>
              <w:rPr>
                <w:rFonts w:hint="eastAsia"/>
                <w:color w:val="auto"/>
                <w:vertAlign w:val="superscript"/>
                <w:lang w:val="en-US" w:eastAsia="zh-CN"/>
              </w:rPr>
              <w:t>3</w:t>
            </w:r>
          </w:p>
          <w:tbl>
            <w:tblPr>
              <w:tblStyle w:val="26"/>
              <w:tblW w:w="82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21"/>
              <w:gridCol w:w="1353"/>
              <w:gridCol w:w="1061"/>
              <w:gridCol w:w="1742"/>
              <w:gridCol w:w="1620"/>
              <w:gridCol w:w="1220"/>
            </w:tblGrid>
            <w:tr w14:paraId="18BEB3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7" w:hRule="atLeast"/>
                <w:jc w:val="center"/>
              </w:trPr>
              <w:tc>
                <w:tcPr>
                  <w:tcW w:w="1221" w:type="dxa"/>
                  <w:vMerge w:val="restart"/>
                  <w:tcBorders>
                    <w:tl2br w:val="nil"/>
                    <w:tr2bl w:val="nil"/>
                  </w:tcBorders>
                  <w:shd w:val="clear" w:color="auto" w:fill="auto"/>
                  <w:noWrap/>
                  <w:vAlign w:val="center"/>
                </w:tcPr>
                <w:p w14:paraId="3EF8A7C5">
                  <w:pPr>
                    <w:pStyle w:val="33"/>
                    <w:keepNext w:val="0"/>
                    <w:keepLines w:val="0"/>
                    <w:suppressLineNumbers w:val="0"/>
                    <w:bidi w:val="0"/>
                    <w:spacing w:beforeAutospacing="0" w:afterAutospacing="0"/>
                    <w:ind w:left="0" w:right="0"/>
                    <w:rPr>
                      <w:rFonts w:hint="default" w:eastAsia="宋体"/>
                      <w:b/>
                      <w:bCs/>
                      <w:color w:val="auto"/>
                      <w:lang w:val="en-US" w:eastAsia="zh-CN"/>
                    </w:rPr>
                  </w:pPr>
                  <w:r>
                    <w:rPr>
                      <w:rFonts w:hint="eastAsia"/>
                      <w:b/>
                      <w:bCs/>
                      <w:color w:val="auto"/>
                      <w:lang w:val="en-US" w:eastAsia="zh-CN"/>
                    </w:rPr>
                    <w:t>治理区编号</w:t>
                  </w:r>
                </w:p>
              </w:tc>
              <w:tc>
                <w:tcPr>
                  <w:tcW w:w="1353" w:type="dxa"/>
                  <w:vMerge w:val="restart"/>
                  <w:tcBorders>
                    <w:tl2br w:val="nil"/>
                    <w:tr2bl w:val="nil"/>
                  </w:tcBorders>
                  <w:shd w:val="clear" w:color="auto" w:fill="auto"/>
                  <w:noWrap/>
                  <w:vAlign w:val="center"/>
                </w:tcPr>
                <w:p w14:paraId="05C7A033">
                  <w:pPr>
                    <w:pStyle w:val="33"/>
                    <w:keepNext w:val="0"/>
                    <w:keepLines w:val="0"/>
                    <w:suppressLineNumbers w:val="0"/>
                    <w:bidi w:val="0"/>
                    <w:spacing w:beforeAutospacing="0" w:afterAutospacing="0"/>
                    <w:ind w:left="0" w:right="0"/>
                    <w:rPr>
                      <w:rFonts w:hint="default" w:eastAsia="宋体"/>
                      <w:b/>
                      <w:bCs/>
                      <w:color w:val="auto"/>
                      <w:lang w:val="en-US" w:eastAsia="zh-CN"/>
                    </w:rPr>
                  </w:pPr>
                  <w:r>
                    <w:rPr>
                      <w:rFonts w:hint="eastAsia"/>
                      <w:b/>
                      <w:bCs/>
                      <w:color w:val="auto"/>
                      <w:lang w:val="en-US" w:eastAsia="zh-CN"/>
                    </w:rPr>
                    <w:t>工程名称</w:t>
                  </w:r>
                </w:p>
              </w:tc>
              <w:tc>
                <w:tcPr>
                  <w:tcW w:w="1061" w:type="dxa"/>
                  <w:vMerge w:val="restart"/>
                  <w:tcBorders>
                    <w:tl2br w:val="nil"/>
                    <w:tr2bl w:val="nil"/>
                  </w:tcBorders>
                  <w:shd w:val="clear" w:color="auto" w:fill="auto"/>
                  <w:noWrap/>
                  <w:vAlign w:val="center"/>
                </w:tcPr>
                <w:p w14:paraId="48B4266F">
                  <w:pPr>
                    <w:pStyle w:val="33"/>
                    <w:keepNext w:val="0"/>
                    <w:keepLines w:val="0"/>
                    <w:suppressLineNumbers w:val="0"/>
                    <w:bidi w:val="0"/>
                    <w:spacing w:beforeAutospacing="0" w:afterAutospacing="0"/>
                    <w:ind w:left="0" w:right="0"/>
                    <w:rPr>
                      <w:rFonts w:hint="eastAsia"/>
                      <w:b/>
                      <w:bCs/>
                      <w:color w:val="auto"/>
                    </w:rPr>
                  </w:pPr>
                  <w:r>
                    <w:rPr>
                      <w:rFonts w:hint="eastAsia"/>
                      <w:b/>
                      <w:bCs/>
                      <w:color w:val="auto"/>
                      <w:lang w:val="en-US" w:eastAsia="zh-CN"/>
                    </w:rPr>
                    <w:t>挖方</w:t>
                  </w:r>
                </w:p>
              </w:tc>
              <w:tc>
                <w:tcPr>
                  <w:tcW w:w="1742" w:type="dxa"/>
                  <w:vMerge w:val="restart"/>
                  <w:tcBorders>
                    <w:tl2br w:val="nil"/>
                    <w:tr2bl w:val="nil"/>
                  </w:tcBorders>
                  <w:shd w:val="clear" w:color="auto" w:fill="auto"/>
                  <w:noWrap/>
                  <w:vAlign w:val="center"/>
                </w:tcPr>
                <w:p w14:paraId="77F38654">
                  <w:pPr>
                    <w:pStyle w:val="33"/>
                    <w:keepNext w:val="0"/>
                    <w:keepLines w:val="0"/>
                    <w:suppressLineNumbers w:val="0"/>
                    <w:bidi w:val="0"/>
                    <w:spacing w:beforeAutospacing="0" w:afterAutospacing="0"/>
                    <w:ind w:left="0" w:right="0"/>
                    <w:rPr>
                      <w:rFonts w:hint="eastAsia"/>
                      <w:b/>
                      <w:bCs/>
                      <w:color w:val="auto"/>
                    </w:rPr>
                  </w:pPr>
                  <w:r>
                    <w:rPr>
                      <w:rFonts w:hint="eastAsia"/>
                      <w:b/>
                      <w:bCs/>
                      <w:color w:val="auto"/>
                      <w:lang w:val="en-US" w:eastAsia="zh-CN"/>
                    </w:rPr>
                    <w:t>填方</w:t>
                  </w:r>
                </w:p>
              </w:tc>
              <w:tc>
                <w:tcPr>
                  <w:tcW w:w="2840" w:type="dxa"/>
                  <w:gridSpan w:val="2"/>
                  <w:tcBorders>
                    <w:tl2br w:val="nil"/>
                    <w:tr2bl w:val="nil"/>
                  </w:tcBorders>
                  <w:shd w:val="clear" w:color="auto" w:fill="auto"/>
                  <w:noWrap/>
                  <w:vAlign w:val="center"/>
                </w:tcPr>
                <w:p w14:paraId="4D2A6687">
                  <w:pPr>
                    <w:pStyle w:val="33"/>
                    <w:keepNext w:val="0"/>
                    <w:keepLines w:val="0"/>
                    <w:suppressLineNumbers w:val="0"/>
                    <w:bidi w:val="0"/>
                    <w:spacing w:beforeAutospacing="0" w:afterAutospacing="0"/>
                    <w:ind w:left="0" w:right="0"/>
                    <w:rPr>
                      <w:rFonts w:hint="eastAsia"/>
                      <w:b/>
                      <w:bCs/>
                      <w:color w:val="auto"/>
                    </w:rPr>
                  </w:pPr>
                  <w:r>
                    <w:rPr>
                      <w:rFonts w:hint="eastAsia"/>
                      <w:b/>
                      <w:bCs/>
                      <w:color w:val="auto"/>
                      <w:lang w:val="en-US" w:eastAsia="zh-CN"/>
                    </w:rPr>
                    <w:t>调运方</w:t>
                  </w:r>
                </w:p>
              </w:tc>
            </w:tr>
            <w:tr w14:paraId="56ECE9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noWrap/>
                  <w:vAlign w:val="center"/>
                </w:tcPr>
                <w:p w14:paraId="1E0A6F4A">
                  <w:pPr>
                    <w:pStyle w:val="33"/>
                    <w:keepNext w:val="0"/>
                    <w:keepLines w:val="0"/>
                    <w:suppressLineNumbers w:val="0"/>
                    <w:bidi w:val="0"/>
                    <w:spacing w:beforeAutospacing="0" w:afterAutospacing="0"/>
                    <w:ind w:left="0" w:right="0"/>
                    <w:rPr>
                      <w:rFonts w:hint="eastAsia"/>
                      <w:b/>
                      <w:bCs/>
                      <w:color w:val="auto"/>
                    </w:rPr>
                  </w:pPr>
                </w:p>
              </w:tc>
              <w:tc>
                <w:tcPr>
                  <w:tcW w:w="1353" w:type="dxa"/>
                  <w:vMerge w:val="continue"/>
                  <w:tcBorders>
                    <w:tl2br w:val="nil"/>
                    <w:tr2bl w:val="nil"/>
                  </w:tcBorders>
                  <w:shd w:val="clear" w:color="auto" w:fill="auto"/>
                  <w:noWrap/>
                  <w:vAlign w:val="center"/>
                </w:tcPr>
                <w:p w14:paraId="5BE874B3">
                  <w:pPr>
                    <w:pStyle w:val="33"/>
                    <w:keepNext w:val="0"/>
                    <w:keepLines w:val="0"/>
                    <w:suppressLineNumbers w:val="0"/>
                    <w:bidi w:val="0"/>
                    <w:spacing w:beforeAutospacing="0" w:afterAutospacing="0"/>
                    <w:ind w:left="0" w:right="0"/>
                    <w:rPr>
                      <w:rFonts w:hint="eastAsia"/>
                      <w:b/>
                      <w:bCs/>
                      <w:color w:val="auto"/>
                    </w:rPr>
                  </w:pPr>
                </w:p>
              </w:tc>
              <w:tc>
                <w:tcPr>
                  <w:tcW w:w="1061" w:type="dxa"/>
                  <w:vMerge w:val="continue"/>
                  <w:tcBorders>
                    <w:tl2br w:val="nil"/>
                    <w:tr2bl w:val="nil"/>
                  </w:tcBorders>
                  <w:shd w:val="clear" w:color="auto" w:fill="auto"/>
                  <w:noWrap/>
                  <w:vAlign w:val="center"/>
                </w:tcPr>
                <w:p w14:paraId="12AFB239">
                  <w:pPr>
                    <w:pStyle w:val="33"/>
                    <w:keepNext w:val="0"/>
                    <w:keepLines w:val="0"/>
                    <w:suppressLineNumbers w:val="0"/>
                    <w:bidi w:val="0"/>
                    <w:spacing w:beforeAutospacing="0" w:afterAutospacing="0"/>
                    <w:ind w:left="0" w:right="0"/>
                    <w:rPr>
                      <w:rFonts w:hint="eastAsia"/>
                      <w:b/>
                      <w:bCs/>
                      <w:color w:val="auto"/>
                    </w:rPr>
                  </w:pPr>
                </w:p>
              </w:tc>
              <w:tc>
                <w:tcPr>
                  <w:tcW w:w="1742" w:type="dxa"/>
                  <w:vMerge w:val="continue"/>
                  <w:tcBorders>
                    <w:tl2br w:val="nil"/>
                    <w:tr2bl w:val="nil"/>
                  </w:tcBorders>
                  <w:shd w:val="clear" w:color="auto" w:fill="auto"/>
                  <w:noWrap/>
                  <w:vAlign w:val="center"/>
                </w:tcPr>
                <w:p w14:paraId="323B6EA7">
                  <w:pPr>
                    <w:pStyle w:val="33"/>
                    <w:keepNext w:val="0"/>
                    <w:keepLines w:val="0"/>
                    <w:suppressLineNumbers w:val="0"/>
                    <w:bidi w:val="0"/>
                    <w:spacing w:beforeAutospacing="0" w:afterAutospacing="0"/>
                    <w:ind w:left="0" w:right="0"/>
                    <w:rPr>
                      <w:rFonts w:hint="eastAsia"/>
                      <w:b/>
                      <w:bCs/>
                      <w:color w:val="auto"/>
                    </w:rPr>
                  </w:pPr>
                </w:p>
              </w:tc>
              <w:tc>
                <w:tcPr>
                  <w:tcW w:w="1620" w:type="dxa"/>
                  <w:tcBorders>
                    <w:tl2br w:val="nil"/>
                    <w:tr2bl w:val="nil"/>
                  </w:tcBorders>
                  <w:shd w:val="clear" w:color="auto" w:fill="auto"/>
                  <w:noWrap/>
                  <w:vAlign w:val="center"/>
                </w:tcPr>
                <w:p w14:paraId="39E3909D">
                  <w:pPr>
                    <w:pStyle w:val="33"/>
                    <w:keepNext w:val="0"/>
                    <w:keepLines w:val="0"/>
                    <w:suppressLineNumbers w:val="0"/>
                    <w:bidi w:val="0"/>
                    <w:spacing w:beforeAutospacing="0" w:afterAutospacing="0"/>
                    <w:ind w:left="0" w:right="0"/>
                    <w:rPr>
                      <w:rFonts w:hint="eastAsia"/>
                      <w:b/>
                      <w:bCs/>
                      <w:color w:val="auto"/>
                    </w:rPr>
                  </w:pPr>
                  <w:r>
                    <w:rPr>
                      <w:rFonts w:hint="eastAsia"/>
                      <w:b/>
                      <w:bCs/>
                      <w:color w:val="auto"/>
                      <w:lang w:val="en-US" w:eastAsia="zh-CN"/>
                    </w:rPr>
                    <w:t>调入</w:t>
                  </w:r>
                </w:p>
              </w:tc>
              <w:tc>
                <w:tcPr>
                  <w:tcW w:w="1220" w:type="dxa"/>
                  <w:tcBorders>
                    <w:tl2br w:val="nil"/>
                    <w:tr2bl w:val="nil"/>
                  </w:tcBorders>
                  <w:shd w:val="clear" w:color="auto" w:fill="auto"/>
                  <w:noWrap/>
                  <w:vAlign w:val="center"/>
                </w:tcPr>
                <w:p w14:paraId="43E4BF37">
                  <w:pPr>
                    <w:pStyle w:val="33"/>
                    <w:keepNext w:val="0"/>
                    <w:keepLines w:val="0"/>
                    <w:suppressLineNumbers w:val="0"/>
                    <w:bidi w:val="0"/>
                    <w:spacing w:beforeAutospacing="0" w:afterAutospacing="0"/>
                    <w:ind w:left="0" w:right="0"/>
                    <w:rPr>
                      <w:rFonts w:hint="eastAsia"/>
                      <w:b/>
                      <w:bCs/>
                      <w:color w:val="auto"/>
                    </w:rPr>
                  </w:pPr>
                  <w:r>
                    <w:rPr>
                      <w:rFonts w:hint="eastAsia"/>
                      <w:b/>
                      <w:bCs/>
                      <w:color w:val="auto"/>
                      <w:lang w:val="en-US" w:eastAsia="zh-CN"/>
                    </w:rPr>
                    <w:t>调出</w:t>
                  </w:r>
                </w:p>
              </w:tc>
            </w:tr>
            <w:tr w14:paraId="2F7F70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noWrap/>
                  <w:vAlign w:val="center"/>
                </w:tcPr>
                <w:p w14:paraId="5524ECF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w:t>
                  </w:r>
                </w:p>
              </w:tc>
              <w:tc>
                <w:tcPr>
                  <w:tcW w:w="1353" w:type="dxa"/>
                  <w:tcBorders>
                    <w:tl2br w:val="nil"/>
                    <w:tr2bl w:val="nil"/>
                  </w:tcBorders>
                  <w:shd w:val="clear" w:color="auto" w:fill="auto"/>
                  <w:noWrap/>
                  <w:vAlign w:val="center"/>
                </w:tcPr>
                <w:p w14:paraId="6DEF0EF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0229CCEB">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B6CDE9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3584</w:t>
                  </w:r>
                </w:p>
              </w:tc>
              <w:tc>
                <w:tcPr>
                  <w:tcW w:w="1620" w:type="dxa"/>
                  <w:vMerge w:val="restart"/>
                  <w:tcBorders>
                    <w:tl2br w:val="nil"/>
                    <w:tr2bl w:val="nil"/>
                  </w:tcBorders>
                  <w:shd w:val="clear" w:color="auto" w:fill="auto"/>
                  <w:noWrap/>
                  <w:vAlign w:val="center"/>
                </w:tcPr>
                <w:p w14:paraId="0DCA082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63070</w:t>
                  </w:r>
                </w:p>
              </w:tc>
              <w:tc>
                <w:tcPr>
                  <w:tcW w:w="1220" w:type="dxa"/>
                  <w:tcBorders>
                    <w:tl2br w:val="nil"/>
                    <w:tr2bl w:val="nil"/>
                  </w:tcBorders>
                  <w:shd w:val="clear" w:color="auto" w:fill="auto"/>
                  <w:noWrap/>
                  <w:vAlign w:val="center"/>
                </w:tcPr>
                <w:p w14:paraId="247F4E04">
                  <w:pPr>
                    <w:pStyle w:val="33"/>
                    <w:keepNext w:val="0"/>
                    <w:keepLines w:val="0"/>
                    <w:suppressLineNumbers w:val="0"/>
                    <w:bidi w:val="0"/>
                    <w:spacing w:beforeAutospacing="0" w:afterAutospacing="0"/>
                    <w:ind w:left="0" w:right="0"/>
                    <w:rPr>
                      <w:rFonts w:hint="eastAsia"/>
                      <w:color w:val="auto"/>
                    </w:rPr>
                  </w:pPr>
                </w:p>
              </w:tc>
            </w:tr>
            <w:tr w14:paraId="3A64C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noWrap/>
                  <w:vAlign w:val="center"/>
                </w:tcPr>
                <w:p w14:paraId="2E358DDD">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444210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12C94E5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DCD0F8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18780</w:t>
                  </w:r>
                </w:p>
              </w:tc>
              <w:tc>
                <w:tcPr>
                  <w:tcW w:w="1620" w:type="dxa"/>
                  <w:vMerge w:val="continue"/>
                  <w:tcBorders>
                    <w:tl2br w:val="nil"/>
                    <w:tr2bl w:val="nil"/>
                  </w:tcBorders>
                  <w:shd w:val="clear" w:color="auto" w:fill="auto"/>
                  <w:noWrap/>
                  <w:vAlign w:val="center"/>
                </w:tcPr>
                <w:p w14:paraId="10995E4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06B9F85">
                  <w:pPr>
                    <w:pStyle w:val="33"/>
                    <w:keepNext w:val="0"/>
                    <w:keepLines w:val="0"/>
                    <w:suppressLineNumbers w:val="0"/>
                    <w:bidi w:val="0"/>
                    <w:spacing w:beforeAutospacing="0" w:afterAutospacing="0"/>
                    <w:ind w:left="0" w:right="0"/>
                    <w:rPr>
                      <w:rFonts w:hint="eastAsia"/>
                      <w:color w:val="auto"/>
                    </w:rPr>
                  </w:pPr>
                </w:p>
              </w:tc>
            </w:tr>
            <w:tr w14:paraId="57DF89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noWrap/>
                  <w:vAlign w:val="center"/>
                </w:tcPr>
                <w:p w14:paraId="298E028F">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938360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86CF91F">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CF2E00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13620</w:t>
                  </w:r>
                </w:p>
              </w:tc>
              <w:tc>
                <w:tcPr>
                  <w:tcW w:w="1620" w:type="dxa"/>
                  <w:vMerge w:val="continue"/>
                  <w:tcBorders>
                    <w:tl2br w:val="nil"/>
                    <w:tr2bl w:val="nil"/>
                  </w:tcBorders>
                  <w:shd w:val="clear" w:color="auto" w:fill="auto"/>
                  <w:noWrap/>
                  <w:vAlign w:val="center"/>
                </w:tcPr>
                <w:p w14:paraId="516BA19F">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816EF7C">
                  <w:pPr>
                    <w:pStyle w:val="33"/>
                    <w:keepNext w:val="0"/>
                    <w:keepLines w:val="0"/>
                    <w:suppressLineNumbers w:val="0"/>
                    <w:bidi w:val="0"/>
                    <w:spacing w:beforeAutospacing="0" w:afterAutospacing="0"/>
                    <w:ind w:left="0" w:right="0"/>
                    <w:rPr>
                      <w:rFonts w:hint="eastAsia"/>
                      <w:color w:val="auto"/>
                    </w:rPr>
                  </w:pPr>
                </w:p>
              </w:tc>
            </w:tr>
            <w:tr w14:paraId="4162C2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noWrap/>
                  <w:vAlign w:val="center"/>
                </w:tcPr>
                <w:p w14:paraId="4BB6F837">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96873B7">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4F8DDC3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7194</w:t>
                  </w:r>
                </w:p>
              </w:tc>
              <w:tc>
                <w:tcPr>
                  <w:tcW w:w="1742" w:type="dxa"/>
                  <w:tcBorders>
                    <w:tl2br w:val="nil"/>
                    <w:tr2bl w:val="nil"/>
                  </w:tcBorders>
                  <w:shd w:val="clear" w:color="auto" w:fill="auto"/>
                  <w:noWrap/>
                  <w:vAlign w:val="center"/>
                </w:tcPr>
                <w:p w14:paraId="2C68918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15506</w:t>
                  </w:r>
                </w:p>
              </w:tc>
              <w:tc>
                <w:tcPr>
                  <w:tcW w:w="1620" w:type="dxa"/>
                  <w:vMerge w:val="continue"/>
                  <w:tcBorders>
                    <w:tl2br w:val="nil"/>
                    <w:tr2bl w:val="nil"/>
                  </w:tcBorders>
                  <w:shd w:val="clear" w:color="auto" w:fill="auto"/>
                  <w:noWrap/>
                  <w:vAlign w:val="center"/>
                </w:tcPr>
                <w:p w14:paraId="21611451">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DB7702B">
                  <w:pPr>
                    <w:pStyle w:val="33"/>
                    <w:keepNext w:val="0"/>
                    <w:keepLines w:val="0"/>
                    <w:suppressLineNumbers w:val="0"/>
                    <w:bidi w:val="0"/>
                    <w:spacing w:beforeAutospacing="0" w:afterAutospacing="0"/>
                    <w:ind w:left="0" w:right="0"/>
                    <w:rPr>
                      <w:rFonts w:hint="eastAsia"/>
                      <w:color w:val="auto"/>
                    </w:rPr>
                  </w:pPr>
                </w:p>
              </w:tc>
            </w:tr>
            <w:tr w14:paraId="23C9A4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noWrap/>
                  <w:vAlign w:val="center"/>
                </w:tcPr>
                <w:p w14:paraId="4DA86F89">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D631D0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4BCE5963">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13A3ED71">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18774</w:t>
                  </w:r>
                </w:p>
              </w:tc>
              <w:tc>
                <w:tcPr>
                  <w:tcW w:w="1620" w:type="dxa"/>
                  <w:vMerge w:val="continue"/>
                  <w:tcBorders>
                    <w:tl2br w:val="nil"/>
                    <w:tr2bl w:val="nil"/>
                  </w:tcBorders>
                  <w:shd w:val="clear" w:color="auto" w:fill="auto"/>
                  <w:noWrap/>
                  <w:vAlign w:val="center"/>
                </w:tcPr>
                <w:p w14:paraId="46CEA62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B7C6688">
                  <w:pPr>
                    <w:pStyle w:val="33"/>
                    <w:keepNext w:val="0"/>
                    <w:keepLines w:val="0"/>
                    <w:suppressLineNumbers w:val="0"/>
                    <w:bidi w:val="0"/>
                    <w:spacing w:beforeAutospacing="0" w:afterAutospacing="0"/>
                    <w:ind w:left="0" w:right="0"/>
                    <w:rPr>
                      <w:rFonts w:hint="eastAsia"/>
                      <w:color w:val="auto"/>
                    </w:rPr>
                  </w:pPr>
                </w:p>
              </w:tc>
            </w:tr>
            <w:tr w14:paraId="7E1471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tcBorders>
                    <w:tl2br w:val="nil"/>
                    <w:tr2bl w:val="nil"/>
                  </w:tcBorders>
                  <w:shd w:val="clear" w:color="auto" w:fill="auto"/>
                  <w:vAlign w:val="center"/>
                </w:tcPr>
                <w:p w14:paraId="264F389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w:t>
                  </w:r>
                </w:p>
              </w:tc>
              <w:tc>
                <w:tcPr>
                  <w:tcW w:w="1353" w:type="dxa"/>
                  <w:tcBorders>
                    <w:tl2br w:val="nil"/>
                    <w:tr2bl w:val="nil"/>
                  </w:tcBorders>
                  <w:shd w:val="clear" w:color="auto" w:fill="auto"/>
                  <w:noWrap/>
                  <w:vAlign w:val="center"/>
                </w:tcPr>
                <w:p w14:paraId="2080FD89">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ECCA49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6825</w:t>
                  </w:r>
                </w:p>
              </w:tc>
              <w:tc>
                <w:tcPr>
                  <w:tcW w:w="1742" w:type="dxa"/>
                  <w:tcBorders>
                    <w:tl2br w:val="nil"/>
                    <w:tr2bl w:val="nil"/>
                  </w:tcBorders>
                  <w:shd w:val="clear" w:color="auto" w:fill="auto"/>
                  <w:noWrap/>
                  <w:vAlign w:val="center"/>
                </w:tcPr>
                <w:p w14:paraId="447F773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6825</w:t>
                  </w:r>
                </w:p>
              </w:tc>
              <w:tc>
                <w:tcPr>
                  <w:tcW w:w="1620" w:type="dxa"/>
                  <w:tcBorders>
                    <w:tl2br w:val="nil"/>
                    <w:tr2bl w:val="nil"/>
                  </w:tcBorders>
                  <w:shd w:val="clear" w:color="auto" w:fill="auto"/>
                  <w:noWrap/>
                  <w:vAlign w:val="center"/>
                </w:tcPr>
                <w:p w14:paraId="2EFAD903">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C288C9F">
                  <w:pPr>
                    <w:pStyle w:val="33"/>
                    <w:keepNext w:val="0"/>
                    <w:keepLines w:val="0"/>
                    <w:suppressLineNumbers w:val="0"/>
                    <w:bidi w:val="0"/>
                    <w:spacing w:beforeAutospacing="0" w:afterAutospacing="0"/>
                    <w:ind w:left="0" w:right="0"/>
                    <w:rPr>
                      <w:rFonts w:hint="eastAsia"/>
                      <w:color w:val="auto"/>
                    </w:rPr>
                  </w:pPr>
                </w:p>
              </w:tc>
            </w:tr>
            <w:tr w14:paraId="4EA71A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tcBorders>
                    <w:tl2br w:val="nil"/>
                    <w:tr2bl w:val="nil"/>
                  </w:tcBorders>
                  <w:shd w:val="clear" w:color="auto" w:fill="auto"/>
                  <w:vAlign w:val="center"/>
                </w:tcPr>
                <w:p w14:paraId="25F683F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w:t>
                  </w:r>
                </w:p>
              </w:tc>
              <w:tc>
                <w:tcPr>
                  <w:tcW w:w="1353" w:type="dxa"/>
                  <w:tcBorders>
                    <w:tl2br w:val="nil"/>
                    <w:tr2bl w:val="nil"/>
                  </w:tcBorders>
                  <w:shd w:val="clear" w:color="auto" w:fill="auto"/>
                  <w:noWrap/>
                  <w:vAlign w:val="center"/>
                </w:tcPr>
                <w:p w14:paraId="3273C56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4337C58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5925</w:t>
                  </w:r>
                </w:p>
              </w:tc>
              <w:tc>
                <w:tcPr>
                  <w:tcW w:w="1742" w:type="dxa"/>
                  <w:tcBorders>
                    <w:tl2br w:val="nil"/>
                    <w:tr2bl w:val="nil"/>
                  </w:tcBorders>
                  <w:shd w:val="clear" w:color="auto" w:fill="auto"/>
                  <w:noWrap/>
                  <w:vAlign w:val="center"/>
                </w:tcPr>
                <w:p w14:paraId="5CA214E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5925</w:t>
                  </w:r>
                </w:p>
              </w:tc>
              <w:tc>
                <w:tcPr>
                  <w:tcW w:w="1620" w:type="dxa"/>
                  <w:tcBorders>
                    <w:tl2br w:val="nil"/>
                    <w:tr2bl w:val="nil"/>
                  </w:tcBorders>
                  <w:shd w:val="clear" w:color="auto" w:fill="auto"/>
                  <w:noWrap/>
                  <w:vAlign w:val="center"/>
                </w:tcPr>
                <w:p w14:paraId="622288FC">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1C03ADED">
                  <w:pPr>
                    <w:pStyle w:val="33"/>
                    <w:keepNext w:val="0"/>
                    <w:keepLines w:val="0"/>
                    <w:suppressLineNumbers w:val="0"/>
                    <w:bidi w:val="0"/>
                    <w:spacing w:beforeAutospacing="0" w:afterAutospacing="0"/>
                    <w:ind w:left="0" w:right="0"/>
                    <w:rPr>
                      <w:rFonts w:hint="eastAsia"/>
                      <w:color w:val="auto"/>
                    </w:rPr>
                  </w:pPr>
                </w:p>
              </w:tc>
            </w:tr>
            <w:tr w14:paraId="589523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7939AFD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A4</w:t>
                  </w:r>
                </w:p>
              </w:tc>
              <w:tc>
                <w:tcPr>
                  <w:tcW w:w="1353" w:type="dxa"/>
                  <w:tcBorders>
                    <w:tl2br w:val="nil"/>
                    <w:tr2bl w:val="nil"/>
                  </w:tcBorders>
                  <w:shd w:val="clear" w:color="auto" w:fill="auto"/>
                  <w:noWrap/>
                  <w:vAlign w:val="center"/>
                </w:tcPr>
                <w:p w14:paraId="29FA3B3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4811FC2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0</w:t>
                  </w:r>
                </w:p>
              </w:tc>
              <w:tc>
                <w:tcPr>
                  <w:tcW w:w="1742" w:type="dxa"/>
                  <w:tcBorders>
                    <w:tl2br w:val="nil"/>
                    <w:tr2bl w:val="nil"/>
                  </w:tcBorders>
                  <w:shd w:val="clear" w:color="auto" w:fill="auto"/>
                  <w:noWrap/>
                  <w:vAlign w:val="center"/>
                </w:tcPr>
                <w:p w14:paraId="24286C2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14730</w:t>
                  </w:r>
                </w:p>
              </w:tc>
              <w:tc>
                <w:tcPr>
                  <w:tcW w:w="1620" w:type="dxa"/>
                  <w:vMerge w:val="restart"/>
                  <w:tcBorders>
                    <w:tl2br w:val="nil"/>
                    <w:tr2bl w:val="nil"/>
                  </w:tcBorders>
                  <w:shd w:val="clear" w:color="auto" w:fill="auto"/>
                  <w:noWrap/>
                  <w:vAlign w:val="center"/>
                </w:tcPr>
                <w:p w14:paraId="0D631CD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14730</w:t>
                  </w:r>
                </w:p>
              </w:tc>
              <w:tc>
                <w:tcPr>
                  <w:tcW w:w="1220" w:type="dxa"/>
                  <w:tcBorders>
                    <w:tl2br w:val="nil"/>
                    <w:tr2bl w:val="nil"/>
                  </w:tcBorders>
                  <w:shd w:val="clear" w:color="auto" w:fill="auto"/>
                  <w:noWrap/>
                  <w:vAlign w:val="center"/>
                </w:tcPr>
                <w:p w14:paraId="12D608F0">
                  <w:pPr>
                    <w:pStyle w:val="33"/>
                    <w:keepNext w:val="0"/>
                    <w:keepLines w:val="0"/>
                    <w:suppressLineNumbers w:val="0"/>
                    <w:bidi w:val="0"/>
                    <w:spacing w:beforeAutospacing="0" w:afterAutospacing="0"/>
                    <w:ind w:left="0" w:right="0"/>
                    <w:rPr>
                      <w:rFonts w:hint="eastAsia"/>
                      <w:color w:val="auto"/>
                    </w:rPr>
                  </w:pPr>
                </w:p>
              </w:tc>
            </w:tr>
            <w:tr w14:paraId="4C1CA7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707A2C6">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CEB811A">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559C45C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15030</w:t>
                  </w:r>
                </w:p>
              </w:tc>
              <w:tc>
                <w:tcPr>
                  <w:tcW w:w="1742" w:type="dxa"/>
                  <w:tcBorders>
                    <w:tl2br w:val="nil"/>
                    <w:tr2bl w:val="nil"/>
                  </w:tcBorders>
                  <w:shd w:val="clear" w:color="auto" w:fill="auto"/>
                  <w:noWrap/>
                  <w:vAlign w:val="center"/>
                </w:tcPr>
                <w:p w14:paraId="3B2BA68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15030</w:t>
                  </w:r>
                </w:p>
              </w:tc>
              <w:tc>
                <w:tcPr>
                  <w:tcW w:w="1620" w:type="dxa"/>
                  <w:vMerge w:val="continue"/>
                  <w:tcBorders>
                    <w:tl2br w:val="nil"/>
                    <w:tr2bl w:val="nil"/>
                  </w:tcBorders>
                  <w:shd w:val="clear" w:color="auto" w:fill="auto"/>
                  <w:noWrap/>
                  <w:vAlign w:val="center"/>
                </w:tcPr>
                <w:p w14:paraId="40FDF68A">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E03CC4A">
                  <w:pPr>
                    <w:pStyle w:val="33"/>
                    <w:keepNext w:val="0"/>
                    <w:keepLines w:val="0"/>
                    <w:suppressLineNumbers w:val="0"/>
                    <w:bidi w:val="0"/>
                    <w:spacing w:beforeAutospacing="0" w:afterAutospacing="0"/>
                    <w:ind w:left="0" w:right="0"/>
                    <w:rPr>
                      <w:rFonts w:hint="eastAsia"/>
                      <w:color w:val="auto"/>
                    </w:rPr>
                  </w:pPr>
                </w:p>
              </w:tc>
            </w:tr>
            <w:tr w14:paraId="036F0C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4ACDF7E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A5</w:t>
                  </w:r>
                </w:p>
              </w:tc>
              <w:tc>
                <w:tcPr>
                  <w:tcW w:w="1353" w:type="dxa"/>
                  <w:tcBorders>
                    <w:tl2br w:val="nil"/>
                    <w:tr2bl w:val="nil"/>
                  </w:tcBorders>
                  <w:shd w:val="clear" w:color="auto" w:fill="auto"/>
                  <w:noWrap/>
                  <w:vAlign w:val="center"/>
                </w:tcPr>
                <w:p w14:paraId="4E0307F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50FFDED7">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8A2826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8769</w:t>
                  </w:r>
                </w:p>
              </w:tc>
              <w:tc>
                <w:tcPr>
                  <w:tcW w:w="1620" w:type="dxa"/>
                  <w:vMerge w:val="restart"/>
                  <w:tcBorders>
                    <w:tl2br w:val="nil"/>
                    <w:tr2bl w:val="nil"/>
                  </w:tcBorders>
                  <w:shd w:val="clear" w:color="auto" w:fill="auto"/>
                  <w:noWrap/>
                  <w:vAlign w:val="center"/>
                </w:tcPr>
                <w:p w14:paraId="732B888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202519</w:t>
                  </w:r>
                </w:p>
              </w:tc>
              <w:tc>
                <w:tcPr>
                  <w:tcW w:w="1220" w:type="dxa"/>
                  <w:tcBorders>
                    <w:tl2br w:val="nil"/>
                    <w:tr2bl w:val="nil"/>
                  </w:tcBorders>
                  <w:shd w:val="clear" w:color="auto" w:fill="auto"/>
                  <w:noWrap/>
                  <w:vAlign w:val="center"/>
                </w:tcPr>
                <w:p w14:paraId="0E7D3D71">
                  <w:pPr>
                    <w:pStyle w:val="33"/>
                    <w:keepNext w:val="0"/>
                    <w:keepLines w:val="0"/>
                    <w:suppressLineNumbers w:val="0"/>
                    <w:bidi w:val="0"/>
                    <w:spacing w:beforeAutospacing="0" w:afterAutospacing="0"/>
                    <w:ind w:left="0" w:right="0"/>
                    <w:rPr>
                      <w:rFonts w:hint="eastAsia"/>
                      <w:color w:val="auto"/>
                    </w:rPr>
                  </w:pPr>
                </w:p>
              </w:tc>
            </w:tr>
            <w:tr w14:paraId="1FCAB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7F62BAD">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BE6D4E1">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254C10B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161D186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65456</w:t>
                  </w:r>
                </w:p>
              </w:tc>
              <w:tc>
                <w:tcPr>
                  <w:tcW w:w="1620" w:type="dxa"/>
                  <w:vMerge w:val="continue"/>
                  <w:tcBorders>
                    <w:tl2br w:val="nil"/>
                    <w:tr2bl w:val="nil"/>
                  </w:tcBorders>
                  <w:shd w:val="clear" w:color="auto" w:fill="auto"/>
                  <w:noWrap/>
                  <w:vAlign w:val="center"/>
                </w:tcPr>
                <w:p w14:paraId="7D17FBB0">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C46E955">
                  <w:pPr>
                    <w:pStyle w:val="33"/>
                    <w:keepNext w:val="0"/>
                    <w:keepLines w:val="0"/>
                    <w:suppressLineNumbers w:val="0"/>
                    <w:bidi w:val="0"/>
                    <w:spacing w:beforeAutospacing="0" w:afterAutospacing="0"/>
                    <w:ind w:left="0" w:right="0"/>
                    <w:rPr>
                      <w:rFonts w:hint="eastAsia"/>
                      <w:color w:val="auto"/>
                    </w:rPr>
                  </w:pPr>
                </w:p>
              </w:tc>
            </w:tr>
            <w:tr w14:paraId="0FCF0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98C1027">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993DF9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BC760C0">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217E36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37530</w:t>
                  </w:r>
                </w:p>
              </w:tc>
              <w:tc>
                <w:tcPr>
                  <w:tcW w:w="1620" w:type="dxa"/>
                  <w:vMerge w:val="continue"/>
                  <w:tcBorders>
                    <w:tl2br w:val="nil"/>
                    <w:tr2bl w:val="nil"/>
                  </w:tcBorders>
                  <w:shd w:val="clear" w:color="auto" w:fill="auto"/>
                  <w:noWrap/>
                  <w:vAlign w:val="center"/>
                </w:tcPr>
                <w:p w14:paraId="17ACDC6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A073B32">
                  <w:pPr>
                    <w:pStyle w:val="33"/>
                    <w:keepNext w:val="0"/>
                    <w:keepLines w:val="0"/>
                    <w:suppressLineNumbers w:val="0"/>
                    <w:bidi w:val="0"/>
                    <w:spacing w:beforeAutospacing="0" w:afterAutospacing="0"/>
                    <w:ind w:left="0" w:right="0"/>
                    <w:rPr>
                      <w:rFonts w:hint="eastAsia"/>
                      <w:color w:val="auto"/>
                    </w:rPr>
                  </w:pPr>
                </w:p>
              </w:tc>
            </w:tr>
            <w:tr w14:paraId="0AF3B5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E8747A9">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9CE9D6A">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3425B780">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D1CD78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65434</w:t>
                  </w:r>
                </w:p>
              </w:tc>
              <w:tc>
                <w:tcPr>
                  <w:tcW w:w="1620" w:type="dxa"/>
                  <w:vMerge w:val="continue"/>
                  <w:tcBorders>
                    <w:tl2br w:val="nil"/>
                    <w:tr2bl w:val="nil"/>
                  </w:tcBorders>
                  <w:shd w:val="clear" w:color="auto" w:fill="auto"/>
                  <w:noWrap/>
                  <w:vAlign w:val="center"/>
                </w:tcPr>
                <w:p w14:paraId="3E55163B">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57D9DD6A">
                  <w:pPr>
                    <w:pStyle w:val="33"/>
                    <w:keepNext w:val="0"/>
                    <w:keepLines w:val="0"/>
                    <w:suppressLineNumbers w:val="0"/>
                    <w:bidi w:val="0"/>
                    <w:spacing w:beforeAutospacing="0" w:afterAutospacing="0"/>
                    <w:ind w:left="0" w:right="0"/>
                    <w:rPr>
                      <w:rFonts w:hint="eastAsia"/>
                      <w:color w:val="auto"/>
                    </w:rPr>
                  </w:pPr>
                </w:p>
              </w:tc>
            </w:tr>
            <w:tr w14:paraId="62A248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221" w:type="dxa"/>
                  <w:vMerge w:val="continue"/>
                  <w:tcBorders>
                    <w:tl2br w:val="nil"/>
                    <w:tr2bl w:val="nil"/>
                  </w:tcBorders>
                  <w:shd w:val="clear" w:color="auto" w:fill="auto"/>
                  <w:vAlign w:val="center"/>
                </w:tcPr>
                <w:p w14:paraId="2FFA71FB">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34C84F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6C5E841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129895</w:t>
                  </w:r>
                </w:p>
              </w:tc>
              <w:tc>
                <w:tcPr>
                  <w:tcW w:w="1742" w:type="dxa"/>
                  <w:tcBorders>
                    <w:tl2br w:val="nil"/>
                    <w:tr2bl w:val="nil"/>
                  </w:tcBorders>
                  <w:shd w:val="clear" w:color="auto" w:fill="auto"/>
                  <w:noWrap/>
                  <w:vAlign w:val="center"/>
                </w:tcPr>
                <w:p w14:paraId="0F1A35A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155225</w:t>
                  </w:r>
                </w:p>
              </w:tc>
              <w:tc>
                <w:tcPr>
                  <w:tcW w:w="1620" w:type="dxa"/>
                  <w:vMerge w:val="continue"/>
                  <w:tcBorders>
                    <w:tl2br w:val="nil"/>
                    <w:tr2bl w:val="nil"/>
                  </w:tcBorders>
                  <w:shd w:val="clear" w:color="auto" w:fill="auto"/>
                  <w:noWrap/>
                  <w:vAlign w:val="center"/>
                </w:tcPr>
                <w:p w14:paraId="539E7777">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9E5FB42">
                  <w:pPr>
                    <w:pStyle w:val="33"/>
                    <w:keepNext w:val="0"/>
                    <w:keepLines w:val="0"/>
                    <w:suppressLineNumbers w:val="0"/>
                    <w:bidi w:val="0"/>
                    <w:spacing w:beforeAutospacing="0" w:afterAutospacing="0"/>
                    <w:ind w:left="0" w:right="0"/>
                    <w:rPr>
                      <w:rFonts w:hint="eastAsia"/>
                      <w:color w:val="auto"/>
                    </w:rPr>
                  </w:pPr>
                </w:p>
              </w:tc>
            </w:tr>
            <w:tr w14:paraId="5F82D2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62DCD07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A6</w:t>
                  </w:r>
                </w:p>
              </w:tc>
              <w:tc>
                <w:tcPr>
                  <w:tcW w:w="1353" w:type="dxa"/>
                  <w:tcBorders>
                    <w:tl2br w:val="nil"/>
                    <w:tr2bl w:val="nil"/>
                  </w:tcBorders>
                  <w:shd w:val="clear" w:color="auto" w:fill="auto"/>
                  <w:noWrap/>
                  <w:vAlign w:val="center"/>
                </w:tcPr>
                <w:p w14:paraId="6B7C452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4C68A72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785C39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2766</w:t>
                  </w:r>
                </w:p>
              </w:tc>
              <w:tc>
                <w:tcPr>
                  <w:tcW w:w="1620" w:type="dxa"/>
                  <w:vMerge w:val="restart"/>
                  <w:tcBorders>
                    <w:tl2br w:val="nil"/>
                    <w:tr2bl w:val="nil"/>
                  </w:tcBorders>
                  <w:shd w:val="clear" w:color="auto" w:fill="auto"/>
                  <w:noWrap/>
                  <w:vAlign w:val="center"/>
                </w:tcPr>
                <w:p w14:paraId="0F959DE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77520</w:t>
                  </w:r>
                </w:p>
              </w:tc>
              <w:tc>
                <w:tcPr>
                  <w:tcW w:w="1220" w:type="dxa"/>
                  <w:tcBorders>
                    <w:tl2br w:val="nil"/>
                    <w:tr2bl w:val="nil"/>
                  </w:tcBorders>
                  <w:shd w:val="clear" w:color="auto" w:fill="auto"/>
                  <w:noWrap/>
                  <w:vAlign w:val="center"/>
                </w:tcPr>
                <w:p w14:paraId="1338B467">
                  <w:pPr>
                    <w:pStyle w:val="33"/>
                    <w:keepNext w:val="0"/>
                    <w:keepLines w:val="0"/>
                    <w:suppressLineNumbers w:val="0"/>
                    <w:bidi w:val="0"/>
                    <w:spacing w:beforeAutospacing="0" w:afterAutospacing="0"/>
                    <w:ind w:left="0" w:right="0"/>
                    <w:rPr>
                      <w:rFonts w:hint="eastAsia"/>
                      <w:color w:val="auto"/>
                    </w:rPr>
                  </w:pPr>
                </w:p>
              </w:tc>
            </w:tr>
            <w:tr w14:paraId="21D45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9405588">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7ECAFDA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6F4B886A">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F427C3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77520</w:t>
                  </w:r>
                </w:p>
              </w:tc>
              <w:tc>
                <w:tcPr>
                  <w:tcW w:w="1620" w:type="dxa"/>
                  <w:vMerge w:val="continue"/>
                  <w:tcBorders>
                    <w:tl2br w:val="nil"/>
                    <w:tr2bl w:val="nil"/>
                  </w:tcBorders>
                  <w:shd w:val="clear" w:color="auto" w:fill="auto"/>
                  <w:noWrap/>
                  <w:vAlign w:val="center"/>
                </w:tcPr>
                <w:p w14:paraId="56FD6F37">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B1D2B6C">
                  <w:pPr>
                    <w:pStyle w:val="33"/>
                    <w:keepNext w:val="0"/>
                    <w:keepLines w:val="0"/>
                    <w:suppressLineNumbers w:val="0"/>
                    <w:bidi w:val="0"/>
                    <w:spacing w:beforeAutospacing="0" w:afterAutospacing="0"/>
                    <w:ind w:left="0" w:right="0"/>
                    <w:rPr>
                      <w:rFonts w:hint="eastAsia"/>
                      <w:color w:val="auto"/>
                    </w:rPr>
                  </w:pPr>
                </w:p>
              </w:tc>
            </w:tr>
            <w:tr w14:paraId="2EBC70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5A248DCA">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763B1A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46DF4AB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57483</w:t>
                  </w:r>
                </w:p>
              </w:tc>
              <w:tc>
                <w:tcPr>
                  <w:tcW w:w="1742" w:type="dxa"/>
                  <w:tcBorders>
                    <w:tl2br w:val="nil"/>
                    <w:tr2bl w:val="nil"/>
                  </w:tcBorders>
                  <w:shd w:val="clear" w:color="auto" w:fill="auto"/>
                  <w:noWrap/>
                  <w:vAlign w:val="center"/>
                </w:tcPr>
                <w:p w14:paraId="62426C2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54717</w:t>
                  </w:r>
                </w:p>
              </w:tc>
              <w:tc>
                <w:tcPr>
                  <w:tcW w:w="1620" w:type="dxa"/>
                  <w:vMerge w:val="continue"/>
                  <w:tcBorders>
                    <w:tl2br w:val="nil"/>
                    <w:tr2bl w:val="nil"/>
                  </w:tcBorders>
                  <w:shd w:val="clear" w:color="auto" w:fill="auto"/>
                  <w:noWrap/>
                  <w:vAlign w:val="center"/>
                </w:tcPr>
                <w:p w14:paraId="51A2251E">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19D5FFA">
                  <w:pPr>
                    <w:pStyle w:val="33"/>
                    <w:keepNext w:val="0"/>
                    <w:keepLines w:val="0"/>
                    <w:suppressLineNumbers w:val="0"/>
                    <w:bidi w:val="0"/>
                    <w:spacing w:beforeAutospacing="0" w:afterAutospacing="0"/>
                    <w:ind w:left="0" w:right="0"/>
                    <w:rPr>
                      <w:rFonts w:hint="eastAsia"/>
                      <w:color w:val="auto"/>
                    </w:rPr>
                  </w:pPr>
                </w:p>
              </w:tc>
            </w:tr>
            <w:tr w14:paraId="463B9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tcBorders>
                    <w:tl2br w:val="nil"/>
                    <w:tr2bl w:val="nil"/>
                  </w:tcBorders>
                  <w:shd w:val="clear" w:color="auto" w:fill="auto"/>
                  <w:vAlign w:val="center"/>
                </w:tcPr>
                <w:p w14:paraId="19A55E7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A7</w:t>
                  </w:r>
                </w:p>
              </w:tc>
              <w:tc>
                <w:tcPr>
                  <w:tcW w:w="1353" w:type="dxa"/>
                  <w:tcBorders>
                    <w:tl2br w:val="nil"/>
                    <w:tr2bl w:val="nil"/>
                  </w:tcBorders>
                  <w:shd w:val="clear" w:color="auto" w:fill="auto"/>
                  <w:noWrap/>
                  <w:vAlign w:val="center"/>
                </w:tcPr>
                <w:p w14:paraId="1B302C51">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08625C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6840</w:t>
                  </w:r>
                </w:p>
              </w:tc>
              <w:tc>
                <w:tcPr>
                  <w:tcW w:w="1742" w:type="dxa"/>
                  <w:tcBorders>
                    <w:tl2br w:val="nil"/>
                    <w:tr2bl w:val="nil"/>
                  </w:tcBorders>
                  <w:shd w:val="clear" w:color="auto" w:fill="auto"/>
                  <w:noWrap/>
                  <w:vAlign w:val="center"/>
                </w:tcPr>
                <w:p w14:paraId="64E6156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6840</w:t>
                  </w:r>
                </w:p>
              </w:tc>
              <w:tc>
                <w:tcPr>
                  <w:tcW w:w="1620" w:type="dxa"/>
                  <w:tcBorders>
                    <w:tl2br w:val="nil"/>
                    <w:tr2bl w:val="nil"/>
                  </w:tcBorders>
                  <w:shd w:val="clear" w:color="auto" w:fill="auto"/>
                  <w:noWrap/>
                  <w:vAlign w:val="center"/>
                </w:tcPr>
                <w:p w14:paraId="610A04D1">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56FFBEE1">
                  <w:pPr>
                    <w:pStyle w:val="33"/>
                    <w:keepNext w:val="0"/>
                    <w:keepLines w:val="0"/>
                    <w:suppressLineNumbers w:val="0"/>
                    <w:bidi w:val="0"/>
                    <w:spacing w:beforeAutospacing="0" w:afterAutospacing="0"/>
                    <w:ind w:left="0" w:right="0"/>
                    <w:rPr>
                      <w:rFonts w:hint="eastAsia"/>
                      <w:color w:val="auto"/>
                    </w:rPr>
                  </w:pPr>
                </w:p>
              </w:tc>
            </w:tr>
            <w:tr w14:paraId="636E03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E1CEB2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A8</w:t>
                  </w:r>
                </w:p>
              </w:tc>
              <w:tc>
                <w:tcPr>
                  <w:tcW w:w="1353" w:type="dxa"/>
                  <w:tcBorders>
                    <w:tl2br w:val="nil"/>
                    <w:tr2bl w:val="nil"/>
                  </w:tcBorders>
                  <w:shd w:val="clear" w:color="auto" w:fill="auto"/>
                  <w:noWrap/>
                  <w:vAlign w:val="center"/>
                </w:tcPr>
                <w:p w14:paraId="3A2601C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49941C7">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332C0A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3570</w:t>
                  </w:r>
                </w:p>
              </w:tc>
              <w:tc>
                <w:tcPr>
                  <w:tcW w:w="1620" w:type="dxa"/>
                  <w:vMerge w:val="restart"/>
                  <w:tcBorders>
                    <w:tl2br w:val="nil"/>
                    <w:tr2bl w:val="nil"/>
                  </w:tcBorders>
                  <w:shd w:val="clear" w:color="auto" w:fill="auto"/>
                  <w:noWrap/>
                  <w:vAlign w:val="center"/>
                </w:tcPr>
                <w:p w14:paraId="6D5C8C7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3570</w:t>
                  </w:r>
                </w:p>
              </w:tc>
              <w:tc>
                <w:tcPr>
                  <w:tcW w:w="1220" w:type="dxa"/>
                  <w:tcBorders>
                    <w:tl2br w:val="nil"/>
                    <w:tr2bl w:val="nil"/>
                  </w:tcBorders>
                  <w:shd w:val="clear" w:color="auto" w:fill="auto"/>
                  <w:noWrap/>
                  <w:vAlign w:val="center"/>
                </w:tcPr>
                <w:p w14:paraId="18E42E6F">
                  <w:pPr>
                    <w:pStyle w:val="33"/>
                    <w:keepNext w:val="0"/>
                    <w:keepLines w:val="0"/>
                    <w:suppressLineNumbers w:val="0"/>
                    <w:bidi w:val="0"/>
                    <w:spacing w:beforeAutospacing="0" w:afterAutospacing="0"/>
                    <w:ind w:left="0" w:right="0"/>
                    <w:rPr>
                      <w:rFonts w:hint="eastAsia"/>
                      <w:color w:val="auto"/>
                    </w:rPr>
                  </w:pPr>
                </w:p>
              </w:tc>
            </w:tr>
            <w:tr w14:paraId="0A4383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FC256F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C180C6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62FAECF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3480</w:t>
                  </w:r>
                </w:p>
              </w:tc>
              <w:tc>
                <w:tcPr>
                  <w:tcW w:w="1742" w:type="dxa"/>
                  <w:tcBorders>
                    <w:tl2br w:val="nil"/>
                    <w:tr2bl w:val="nil"/>
                  </w:tcBorders>
                  <w:shd w:val="clear" w:color="auto" w:fill="auto"/>
                  <w:noWrap/>
                  <w:vAlign w:val="center"/>
                </w:tcPr>
                <w:p w14:paraId="3DC6EAF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3480</w:t>
                  </w:r>
                </w:p>
              </w:tc>
              <w:tc>
                <w:tcPr>
                  <w:tcW w:w="1620" w:type="dxa"/>
                  <w:vMerge w:val="continue"/>
                  <w:tcBorders>
                    <w:tl2br w:val="nil"/>
                    <w:tr2bl w:val="nil"/>
                  </w:tcBorders>
                  <w:shd w:val="clear" w:color="auto" w:fill="auto"/>
                  <w:noWrap/>
                  <w:vAlign w:val="center"/>
                </w:tcPr>
                <w:p w14:paraId="7221FD34">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6E90450">
                  <w:pPr>
                    <w:pStyle w:val="33"/>
                    <w:keepNext w:val="0"/>
                    <w:keepLines w:val="0"/>
                    <w:suppressLineNumbers w:val="0"/>
                    <w:bidi w:val="0"/>
                    <w:spacing w:beforeAutospacing="0" w:afterAutospacing="0"/>
                    <w:ind w:left="0" w:right="0"/>
                    <w:rPr>
                      <w:rFonts w:hint="eastAsia"/>
                      <w:color w:val="auto"/>
                    </w:rPr>
                  </w:pPr>
                </w:p>
              </w:tc>
            </w:tr>
            <w:tr w14:paraId="3E2475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49F26D3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A9</w:t>
                  </w:r>
                </w:p>
              </w:tc>
              <w:tc>
                <w:tcPr>
                  <w:tcW w:w="1353" w:type="dxa"/>
                  <w:tcBorders>
                    <w:tl2br w:val="nil"/>
                    <w:tr2bl w:val="nil"/>
                  </w:tcBorders>
                  <w:shd w:val="clear" w:color="auto" w:fill="auto"/>
                  <w:noWrap/>
                  <w:vAlign w:val="center"/>
                </w:tcPr>
                <w:p w14:paraId="31A64B11">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504398C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C598A5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91637</w:t>
                  </w:r>
                </w:p>
              </w:tc>
              <w:tc>
                <w:tcPr>
                  <w:tcW w:w="1620" w:type="dxa"/>
                  <w:vMerge w:val="restart"/>
                  <w:tcBorders>
                    <w:tl2br w:val="nil"/>
                    <w:tr2bl w:val="nil"/>
                  </w:tcBorders>
                  <w:shd w:val="clear" w:color="auto" w:fill="auto"/>
                  <w:noWrap/>
                  <w:vAlign w:val="center"/>
                </w:tcPr>
                <w:p w14:paraId="267ECFC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133685</w:t>
                  </w:r>
                </w:p>
              </w:tc>
              <w:tc>
                <w:tcPr>
                  <w:tcW w:w="1220" w:type="dxa"/>
                  <w:tcBorders>
                    <w:tl2br w:val="nil"/>
                    <w:tr2bl w:val="nil"/>
                  </w:tcBorders>
                  <w:shd w:val="clear" w:color="auto" w:fill="auto"/>
                  <w:noWrap/>
                  <w:vAlign w:val="center"/>
                </w:tcPr>
                <w:p w14:paraId="75BF597B">
                  <w:pPr>
                    <w:pStyle w:val="33"/>
                    <w:keepNext w:val="0"/>
                    <w:keepLines w:val="0"/>
                    <w:suppressLineNumbers w:val="0"/>
                    <w:bidi w:val="0"/>
                    <w:spacing w:beforeAutospacing="0" w:afterAutospacing="0"/>
                    <w:ind w:left="0" w:right="0"/>
                    <w:rPr>
                      <w:rFonts w:hint="eastAsia"/>
                      <w:color w:val="auto"/>
                    </w:rPr>
                  </w:pPr>
                </w:p>
              </w:tc>
            </w:tr>
            <w:tr w14:paraId="4CD521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71522E5">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592196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17FA493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C607AE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1441</w:t>
                  </w:r>
                </w:p>
              </w:tc>
              <w:tc>
                <w:tcPr>
                  <w:tcW w:w="1620" w:type="dxa"/>
                  <w:vMerge w:val="continue"/>
                  <w:tcBorders>
                    <w:tl2br w:val="nil"/>
                    <w:tr2bl w:val="nil"/>
                  </w:tcBorders>
                  <w:shd w:val="clear" w:color="auto" w:fill="auto"/>
                  <w:noWrap/>
                  <w:vAlign w:val="center"/>
                </w:tcPr>
                <w:p w14:paraId="103527A9">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EF3F3F6">
                  <w:pPr>
                    <w:pStyle w:val="33"/>
                    <w:keepNext w:val="0"/>
                    <w:keepLines w:val="0"/>
                    <w:suppressLineNumbers w:val="0"/>
                    <w:bidi w:val="0"/>
                    <w:spacing w:beforeAutospacing="0" w:afterAutospacing="0"/>
                    <w:ind w:left="0" w:right="0"/>
                    <w:rPr>
                      <w:rFonts w:hint="eastAsia"/>
                      <w:color w:val="auto"/>
                    </w:rPr>
                  </w:pPr>
                </w:p>
              </w:tc>
            </w:tr>
            <w:tr w14:paraId="6A9287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343AF6A">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7515802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4D10B15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568DAD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22740</w:t>
                  </w:r>
                </w:p>
              </w:tc>
              <w:tc>
                <w:tcPr>
                  <w:tcW w:w="1620" w:type="dxa"/>
                  <w:vMerge w:val="continue"/>
                  <w:tcBorders>
                    <w:tl2br w:val="nil"/>
                    <w:tr2bl w:val="nil"/>
                  </w:tcBorders>
                  <w:shd w:val="clear" w:color="auto" w:fill="auto"/>
                  <w:noWrap/>
                  <w:vAlign w:val="center"/>
                </w:tcPr>
                <w:p w14:paraId="020CAB6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E1158ED">
                  <w:pPr>
                    <w:pStyle w:val="33"/>
                    <w:keepNext w:val="0"/>
                    <w:keepLines w:val="0"/>
                    <w:suppressLineNumbers w:val="0"/>
                    <w:bidi w:val="0"/>
                    <w:spacing w:beforeAutospacing="0" w:afterAutospacing="0"/>
                    <w:ind w:left="0" w:right="0"/>
                    <w:rPr>
                      <w:rFonts w:hint="eastAsia"/>
                      <w:color w:val="auto"/>
                    </w:rPr>
                  </w:pPr>
                </w:p>
              </w:tc>
            </w:tr>
            <w:tr w14:paraId="252BE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3A9288B4">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A3123F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477213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11527</w:t>
                  </w:r>
                </w:p>
              </w:tc>
              <w:tc>
                <w:tcPr>
                  <w:tcW w:w="1742" w:type="dxa"/>
                  <w:tcBorders>
                    <w:tl2br w:val="nil"/>
                    <w:tr2bl w:val="nil"/>
                  </w:tcBorders>
                  <w:shd w:val="clear" w:color="auto" w:fill="auto"/>
                  <w:noWrap/>
                  <w:vAlign w:val="center"/>
                </w:tcPr>
                <w:p w14:paraId="03D083F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27953</w:t>
                  </w:r>
                </w:p>
              </w:tc>
              <w:tc>
                <w:tcPr>
                  <w:tcW w:w="1620" w:type="dxa"/>
                  <w:vMerge w:val="continue"/>
                  <w:tcBorders>
                    <w:tl2br w:val="nil"/>
                    <w:tr2bl w:val="nil"/>
                  </w:tcBorders>
                  <w:shd w:val="clear" w:color="auto" w:fill="auto"/>
                  <w:noWrap/>
                  <w:vAlign w:val="center"/>
                </w:tcPr>
                <w:p w14:paraId="174F29D4">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23D6033">
                  <w:pPr>
                    <w:pStyle w:val="33"/>
                    <w:keepNext w:val="0"/>
                    <w:keepLines w:val="0"/>
                    <w:suppressLineNumbers w:val="0"/>
                    <w:bidi w:val="0"/>
                    <w:spacing w:beforeAutospacing="0" w:afterAutospacing="0"/>
                    <w:ind w:left="0" w:right="0"/>
                    <w:rPr>
                      <w:rFonts w:hint="eastAsia"/>
                      <w:color w:val="auto"/>
                    </w:rPr>
                  </w:pPr>
                </w:p>
              </w:tc>
            </w:tr>
            <w:tr w14:paraId="333526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39745DD">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1336F1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71245BFA">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D5A8DF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1441</w:t>
                  </w:r>
                </w:p>
              </w:tc>
              <w:tc>
                <w:tcPr>
                  <w:tcW w:w="1620" w:type="dxa"/>
                  <w:vMerge w:val="continue"/>
                  <w:tcBorders>
                    <w:tl2br w:val="nil"/>
                    <w:tr2bl w:val="nil"/>
                  </w:tcBorders>
                  <w:shd w:val="clear" w:color="auto" w:fill="auto"/>
                  <w:noWrap/>
                  <w:vAlign w:val="center"/>
                </w:tcPr>
                <w:p w14:paraId="14A2086B">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B6D2AE6">
                  <w:pPr>
                    <w:pStyle w:val="33"/>
                    <w:keepNext w:val="0"/>
                    <w:keepLines w:val="0"/>
                    <w:suppressLineNumbers w:val="0"/>
                    <w:bidi w:val="0"/>
                    <w:spacing w:beforeAutospacing="0" w:afterAutospacing="0"/>
                    <w:ind w:left="0" w:right="0"/>
                    <w:rPr>
                      <w:rFonts w:hint="eastAsia"/>
                      <w:color w:val="auto"/>
                    </w:rPr>
                  </w:pPr>
                </w:p>
              </w:tc>
            </w:tr>
            <w:tr w14:paraId="6D3A9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tcBorders>
                    <w:tl2br w:val="nil"/>
                    <w:tr2bl w:val="nil"/>
                  </w:tcBorders>
                  <w:shd w:val="clear" w:color="auto" w:fill="auto"/>
                  <w:vAlign w:val="center"/>
                </w:tcPr>
                <w:p w14:paraId="5E08537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A10</w:t>
                  </w:r>
                </w:p>
              </w:tc>
              <w:tc>
                <w:tcPr>
                  <w:tcW w:w="1353" w:type="dxa"/>
                  <w:tcBorders>
                    <w:tl2br w:val="nil"/>
                    <w:tr2bl w:val="nil"/>
                  </w:tcBorders>
                  <w:shd w:val="clear" w:color="auto" w:fill="auto"/>
                  <w:noWrap/>
                  <w:vAlign w:val="center"/>
                </w:tcPr>
                <w:p w14:paraId="0349C800">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1265C5C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4950</w:t>
                  </w:r>
                </w:p>
              </w:tc>
              <w:tc>
                <w:tcPr>
                  <w:tcW w:w="1742" w:type="dxa"/>
                  <w:tcBorders>
                    <w:tl2br w:val="nil"/>
                    <w:tr2bl w:val="nil"/>
                  </w:tcBorders>
                  <w:shd w:val="clear" w:color="auto" w:fill="auto"/>
                  <w:noWrap/>
                  <w:vAlign w:val="center"/>
                </w:tcPr>
                <w:p w14:paraId="417E1DA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4950</w:t>
                  </w:r>
                </w:p>
              </w:tc>
              <w:tc>
                <w:tcPr>
                  <w:tcW w:w="1620" w:type="dxa"/>
                  <w:tcBorders>
                    <w:tl2br w:val="nil"/>
                    <w:tr2bl w:val="nil"/>
                  </w:tcBorders>
                  <w:shd w:val="clear" w:color="auto" w:fill="auto"/>
                  <w:noWrap/>
                  <w:vAlign w:val="center"/>
                </w:tcPr>
                <w:p w14:paraId="1532965A">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03FC68A">
                  <w:pPr>
                    <w:pStyle w:val="33"/>
                    <w:keepNext w:val="0"/>
                    <w:keepLines w:val="0"/>
                    <w:suppressLineNumbers w:val="0"/>
                    <w:bidi w:val="0"/>
                    <w:spacing w:beforeAutospacing="0" w:afterAutospacing="0"/>
                    <w:ind w:left="0" w:right="0"/>
                    <w:rPr>
                      <w:rFonts w:hint="eastAsia"/>
                      <w:color w:val="auto"/>
                    </w:rPr>
                  </w:pPr>
                </w:p>
              </w:tc>
            </w:tr>
            <w:tr w14:paraId="40DF40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76AF34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A11</w:t>
                  </w:r>
                </w:p>
              </w:tc>
              <w:tc>
                <w:tcPr>
                  <w:tcW w:w="1353" w:type="dxa"/>
                  <w:tcBorders>
                    <w:tl2br w:val="nil"/>
                    <w:tr2bl w:val="nil"/>
                  </w:tcBorders>
                  <w:shd w:val="clear" w:color="auto" w:fill="auto"/>
                  <w:noWrap/>
                  <w:vAlign w:val="center"/>
                </w:tcPr>
                <w:p w14:paraId="4AE6556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5BCCF35B">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4D73976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16680</w:t>
                  </w:r>
                </w:p>
              </w:tc>
              <w:tc>
                <w:tcPr>
                  <w:tcW w:w="1620" w:type="dxa"/>
                  <w:vMerge w:val="restart"/>
                  <w:tcBorders>
                    <w:tl2br w:val="nil"/>
                    <w:tr2bl w:val="nil"/>
                  </w:tcBorders>
                  <w:shd w:val="clear" w:color="auto" w:fill="auto"/>
                  <w:noWrap/>
                  <w:vAlign w:val="center"/>
                </w:tcPr>
                <w:p w14:paraId="4D3D723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16680</w:t>
                  </w:r>
                </w:p>
              </w:tc>
              <w:tc>
                <w:tcPr>
                  <w:tcW w:w="1220" w:type="dxa"/>
                  <w:tcBorders>
                    <w:tl2br w:val="nil"/>
                    <w:tr2bl w:val="nil"/>
                  </w:tcBorders>
                  <w:shd w:val="clear" w:color="auto" w:fill="auto"/>
                  <w:noWrap/>
                  <w:vAlign w:val="center"/>
                </w:tcPr>
                <w:p w14:paraId="0239883F">
                  <w:pPr>
                    <w:pStyle w:val="33"/>
                    <w:keepNext w:val="0"/>
                    <w:keepLines w:val="0"/>
                    <w:suppressLineNumbers w:val="0"/>
                    <w:bidi w:val="0"/>
                    <w:spacing w:beforeAutospacing="0" w:afterAutospacing="0"/>
                    <w:ind w:left="0" w:right="0"/>
                    <w:rPr>
                      <w:rFonts w:hint="eastAsia"/>
                      <w:color w:val="auto"/>
                    </w:rPr>
                  </w:pPr>
                </w:p>
              </w:tc>
            </w:tr>
            <w:tr w14:paraId="784D07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C14B30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7523708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36E0FBA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18600</w:t>
                  </w:r>
                </w:p>
              </w:tc>
              <w:tc>
                <w:tcPr>
                  <w:tcW w:w="1742" w:type="dxa"/>
                  <w:tcBorders>
                    <w:tl2br w:val="nil"/>
                    <w:tr2bl w:val="nil"/>
                  </w:tcBorders>
                  <w:shd w:val="clear" w:color="auto" w:fill="auto"/>
                  <w:noWrap/>
                  <w:vAlign w:val="center"/>
                </w:tcPr>
                <w:p w14:paraId="2C0ADBC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18600</w:t>
                  </w:r>
                </w:p>
              </w:tc>
              <w:tc>
                <w:tcPr>
                  <w:tcW w:w="1620" w:type="dxa"/>
                  <w:vMerge w:val="continue"/>
                  <w:tcBorders>
                    <w:tl2br w:val="nil"/>
                    <w:tr2bl w:val="nil"/>
                  </w:tcBorders>
                  <w:shd w:val="clear" w:color="auto" w:fill="auto"/>
                  <w:noWrap/>
                  <w:vAlign w:val="center"/>
                </w:tcPr>
                <w:p w14:paraId="2DE3C87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3AF14DC">
                  <w:pPr>
                    <w:pStyle w:val="33"/>
                    <w:keepNext w:val="0"/>
                    <w:keepLines w:val="0"/>
                    <w:suppressLineNumbers w:val="0"/>
                    <w:bidi w:val="0"/>
                    <w:spacing w:beforeAutospacing="0" w:afterAutospacing="0"/>
                    <w:ind w:left="0" w:right="0"/>
                    <w:rPr>
                      <w:rFonts w:hint="eastAsia"/>
                      <w:color w:val="auto"/>
                    </w:rPr>
                  </w:pPr>
                </w:p>
              </w:tc>
            </w:tr>
            <w:tr w14:paraId="39C180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0CA0615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A12</w:t>
                  </w:r>
                </w:p>
              </w:tc>
              <w:tc>
                <w:tcPr>
                  <w:tcW w:w="1353" w:type="dxa"/>
                  <w:tcBorders>
                    <w:tl2br w:val="nil"/>
                    <w:tr2bl w:val="nil"/>
                  </w:tcBorders>
                  <w:shd w:val="clear" w:color="auto" w:fill="auto"/>
                  <w:noWrap/>
                  <w:vAlign w:val="center"/>
                </w:tcPr>
                <w:p w14:paraId="1B04380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3B27855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34548D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19140</w:t>
                  </w:r>
                </w:p>
              </w:tc>
              <w:tc>
                <w:tcPr>
                  <w:tcW w:w="1620" w:type="dxa"/>
                  <w:vMerge w:val="restart"/>
                  <w:tcBorders>
                    <w:tl2br w:val="nil"/>
                    <w:tr2bl w:val="nil"/>
                  </w:tcBorders>
                  <w:shd w:val="clear" w:color="auto" w:fill="auto"/>
                  <w:noWrap/>
                  <w:vAlign w:val="center"/>
                </w:tcPr>
                <w:p w14:paraId="5CDA21C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19140</w:t>
                  </w:r>
                </w:p>
              </w:tc>
              <w:tc>
                <w:tcPr>
                  <w:tcW w:w="1220" w:type="dxa"/>
                  <w:tcBorders>
                    <w:tl2br w:val="nil"/>
                    <w:tr2bl w:val="nil"/>
                  </w:tcBorders>
                  <w:shd w:val="clear" w:color="auto" w:fill="auto"/>
                  <w:noWrap/>
                  <w:vAlign w:val="center"/>
                </w:tcPr>
                <w:p w14:paraId="1AFBDD29">
                  <w:pPr>
                    <w:pStyle w:val="33"/>
                    <w:keepNext w:val="0"/>
                    <w:keepLines w:val="0"/>
                    <w:suppressLineNumbers w:val="0"/>
                    <w:bidi w:val="0"/>
                    <w:spacing w:beforeAutospacing="0" w:afterAutospacing="0"/>
                    <w:ind w:left="0" w:right="0"/>
                    <w:rPr>
                      <w:rFonts w:hint="eastAsia"/>
                      <w:color w:val="auto"/>
                    </w:rPr>
                  </w:pPr>
                </w:p>
              </w:tc>
            </w:tr>
            <w:tr w14:paraId="58660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6C02600">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D78C68C">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1FD310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18950</w:t>
                  </w:r>
                </w:p>
              </w:tc>
              <w:tc>
                <w:tcPr>
                  <w:tcW w:w="1742" w:type="dxa"/>
                  <w:tcBorders>
                    <w:tl2br w:val="nil"/>
                    <w:tr2bl w:val="nil"/>
                  </w:tcBorders>
                  <w:shd w:val="clear" w:color="auto" w:fill="auto"/>
                  <w:noWrap/>
                  <w:vAlign w:val="center"/>
                </w:tcPr>
                <w:p w14:paraId="33561AB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18950</w:t>
                  </w:r>
                </w:p>
              </w:tc>
              <w:tc>
                <w:tcPr>
                  <w:tcW w:w="1620" w:type="dxa"/>
                  <w:vMerge w:val="continue"/>
                  <w:tcBorders>
                    <w:tl2br w:val="nil"/>
                    <w:tr2bl w:val="nil"/>
                  </w:tcBorders>
                  <w:shd w:val="clear" w:color="auto" w:fill="auto"/>
                  <w:noWrap/>
                  <w:vAlign w:val="center"/>
                </w:tcPr>
                <w:p w14:paraId="57CEC54A">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EDCE9B2">
                  <w:pPr>
                    <w:pStyle w:val="33"/>
                    <w:keepNext w:val="0"/>
                    <w:keepLines w:val="0"/>
                    <w:suppressLineNumbers w:val="0"/>
                    <w:bidi w:val="0"/>
                    <w:spacing w:beforeAutospacing="0" w:afterAutospacing="0"/>
                    <w:ind w:left="0" w:right="0"/>
                    <w:rPr>
                      <w:rFonts w:hint="eastAsia"/>
                      <w:color w:val="auto"/>
                    </w:rPr>
                  </w:pPr>
                </w:p>
              </w:tc>
            </w:tr>
            <w:tr w14:paraId="2E93CF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20894BC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A13</w:t>
                  </w:r>
                </w:p>
              </w:tc>
              <w:tc>
                <w:tcPr>
                  <w:tcW w:w="1353" w:type="dxa"/>
                  <w:tcBorders>
                    <w:tl2br w:val="nil"/>
                    <w:tr2bl w:val="nil"/>
                  </w:tcBorders>
                  <w:shd w:val="clear" w:color="auto" w:fill="auto"/>
                  <w:noWrap/>
                  <w:vAlign w:val="center"/>
                </w:tcPr>
                <w:p w14:paraId="53A85EC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71BC9664">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4F401A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670</w:t>
                  </w:r>
                </w:p>
              </w:tc>
              <w:tc>
                <w:tcPr>
                  <w:tcW w:w="1620" w:type="dxa"/>
                  <w:vMerge w:val="restart"/>
                  <w:tcBorders>
                    <w:tl2br w:val="nil"/>
                    <w:tr2bl w:val="nil"/>
                  </w:tcBorders>
                  <w:shd w:val="clear" w:color="auto" w:fill="auto"/>
                  <w:noWrap/>
                  <w:vAlign w:val="center"/>
                </w:tcPr>
                <w:p w14:paraId="76F5372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788</w:t>
                  </w:r>
                </w:p>
              </w:tc>
              <w:tc>
                <w:tcPr>
                  <w:tcW w:w="1220" w:type="dxa"/>
                  <w:tcBorders>
                    <w:tl2br w:val="nil"/>
                    <w:tr2bl w:val="nil"/>
                  </w:tcBorders>
                  <w:shd w:val="clear" w:color="auto" w:fill="auto"/>
                  <w:noWrap/>
                  <w:vAlign w:val="center"/>
                </w:tcPr>
                <w:p w14:paraId="41F3F817">
                  <w:pPr>
                    <w:pStyle w:val="33"/>
                    <w:keepNext w:val="0"/>
                    <w:keepLines w:val="0"/>
                    <w:suppressLineNumbers w:val="0"/>
                    <w:bidi w:val="0"/>
                    <w:spacing w:beforeAutospacing="0" w:afterAutospacing="0"/>
                    <w:ind w:left="0" w:right="0"/>
                    <w:rPr>
                      <w:rFonts w:hint="eastAsia"/>
                      <w:color w:val="auto"/>
                    </w:rPr>
                  </w:pPr>
                </w:p>
              </w:tc>
            </w:tr>
            <w:tr w14:paraId="1023AE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B8EF3CB">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42A8CF7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76506B3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2041</w:t>
                  </w:r>
                </w:p>
              </w:tc>
              <w:tc>
                <w:tcPr>
                  <w:tcW w:w="1742" w:type="dxa"/>
                  <w:tcBorders>
                    <w:tl2br w:val="nil"/>
                    <w:tr2bl w:val="nil"/>
                  </w:tcBorders>
                  <w:shd w:val="clear" w:color="auto" w:fill="auto"/>
                  <w:noWrap/>
                  <w:vAlign w:val="center"/>
                </w:tcPr>
                <w:p w14:paraId="6657EE2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2159</w:t>
                  </w:r>
                </w:p>
              </w:tc>
              <w:tc>
                <w:tcPr>
                  <w:tcW w:w="1620" w:type="dxa"/>
                  <w:vMerge w:val="continue"/>
                  <w:tcBorders>
                    <w:tl2br w:val="nil"/>
                    <w:tr2bl w:val="nil"/>
                  </w:tcBorders>
                  <w:shd w:val="clear" w:color="auto" w:fill="auto"/>
                  <w:noWrap/>
                  <w:vAlign w:val="center"/>
                </w:tcPr>
                <w:p w14:paraId="14186F58">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DEC4D72">
                  <w:pPr>
                    <w:pStyle w:val="33"/>
                    <w:keepNext w:val="0"/>
                    <w:keepLines w:val="0"/>
                    <w:suppressLineNumbers w:val="0"/>
                    <w:bidi w:val="0"/>
                    <w:spacing w:beforeAutospacing="0" w:afterAutospacing="0"/>
                    <w:ind w:left="0" w:right="0"/>
                    <w:rPr>
                      <w:rFonts w:hint="eastAsia"/>
                      <w:color w:val="auto"/>
                    </w:rPr>
                  </w:pPr>
                </w:p>
              </w:tc>
            </w:tr>
            <w:tr w14:paraId="0934E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037FB2F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A14</w:t>
                  </w:r>
                </w:p>
              </w:tc>
              <w:tc>
                <w:tcPr>
                  <w:tcW w:w="1353" w:type="dxa"/>
                  <w:tcBorders>
                    <w:tl2br w:val="nil"/>
                    <w:tr2bl w:val="nil"/>
                  </w:tcBorders>
                  <w:shd w:val="clear" w:color="auto" w:fill="auto"/>
                  <w:noWrap/>
                  <w:vAlign w:val="center"/>
                </w:tcPr>
                <w:p w14:paraId="61C735B9">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2F509770">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D82B77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61050</w:t>
                  </w:r>
                </w:p>
              </w:tc>
              <w:tc>
                <w:tcPr>
                  <w:tcW w:w="1620" w:type="dxa"/>
                  <w:vMerge w:val="restart"/>
                  <w:tcBorders>
                    <w:tl2br w:val="nil"/>
                    <w:tr2bl w:val="nil"/>
                  </w:tcBorders>
                  <w:shd w:val="clear" w:color="auto" w:fill="auto"/>
                  <w:noWrap/>
                  <w:vAlign w:val="center"/>
                </w:tcPr>
                <w:p w14:paraId="128F842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61050</w:t>
                  </w:r>
                </w:p>
              </w:tc>
              <w:tc>
                <w:tcPr>
                  <w:tcW w:w="1220" w:type="dxa"/>
                  <w:tcBorders>
                    <w:tl2br w:val="nil"/>
                    <w:tr2bl w:val="nil"/>
                  </w:tcBorders>
                  <w:shd w:val="clear" w:color="auto" w:fill="auto"/>
                  <w:noWrap/>
                  <w:vAlign w:val="center"/>
                </w:tcPr>
                <w:p w14:paraId="27623FC9">
                  <w:pPr>
                    <w:pStyle w:val="33"/>
                    <w:keepNext w:val="0"/>
                    <w:keepLines w:val="0"/>
                    <w:suppressLineNumbers w:val="0"/>
                    <w:bidi w:val="0"/>
                    <w:spacing w:beforeAutospacing="0" w:afterAutospacing="0"/>
                    <w:ind w:left="0" w:right="0"/>
                    <w:rPr>
                      <w:rFonts w:hint="eastAsia"/>
                      <w:color w:val="auto"/>
                    </w:rPr>
                  </w:pPr>
                </w:p>
              </w:tc>
            </w:tr>
            <w:tr w14:paraId="38C308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ADA6EBB">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42A94A9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2D9220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52620</w:t>
                  </w:r>
                </w:p>
              </w:tc>
              <w:tc>
                <w:tcPr>
                  <w:tcW w:w="1742" w:type="dxa"/>
                  <w:tcBorders>
                    <w:tl2br w:val="nil"/>
                    <w:tr2bl w:val="nil"/>
                  </w:tcBorders>
                  <w:shd w:val="clear" w:color="auto" w:fill="auto"/>
                  <w:noWrap/>
                  <w:vAlign w:val="center"/>
                </w:tcPr>
                <w:p w14:paraId="6633C34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52620</w:t>
                  </w:r>
                </w:p>
              </w:tc>
              <w:tc>
                <w:tcPr>
                  <w:tcW w:w="1620" w:type="dxa"/>
                  <w:vMerge w:val="continue"/>
                  <w:tcBorders>
                    <w:tl2br w:val="nil"/>
                    <w:tr2bl w:val="nil"/>
                  </w:tcBorders>
                  <w:shd w:val="clear" w:color="auto" w:fill="auto"/>
                  <w:noWrap/>
                  <w:vAlign w:val="center"/>
                </w:tcPr>
                <w:p w14:paraId="3EDF3E5B">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9E9FC8D">
                  <w:pPr>
                    <w:pStyle w:val="33"/>
                    <w:keepNext w:val="0"/>
                    <w:keepLines w:val="0"/>
                    <w:suppressLineNumbers w:val="0"/>
                    <w:bidi w:val="0"/>
                    <w:spacing w:beforeAutospacing="0" w:afterAutospacing="0"/>
                    <w:ind w:left="0" w:right="0"/>
                    <w:rPr>
                      <w:rFonts w:hint="eastAsia"/>
                      <w:color w:val="auto"/>
                    </w:rPr>
                  </w:pPr>
                </w:p>
              </w:tc>
            </w:tr>
            <w:tr w14:paraId="1F9D52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48947B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A15</w:t>
                  </w:r>
                </w:p>
              </w:tc>
              <w:tc>
                <w:tcPr>
                  <w:tcW w:w="1353" w:type="dxa"/>
                  <w:tcBorders>
                    <w:tl2br w:val="nil"/>
                    <w:tr2bl w:val="nil"/>
                  </w:tcBorders>
                  <w:shd w:val="clear" w:color="auto" w:fill="auto"/>
                  <w:noWrap/>
                  <w:vAlign w:val="center"/>
                </w:tcPr>
                <w:p w14:paraId="5C8CE89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DC8F85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7627CB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54060</w:t>
                  </w:r>
                </w:p>
              </w:tc>
              <w:tc>
                <w:tcPr>
                  <w:tcW w:w="1620" w:type="dxa"/>
                  <w:vMerge w:val="restart"/>
                  <w:tcBorders>
                    <w:tl2br w:val="nil"/>
                    <w:tr2bl w:val="nil"/>
                  </w:tcBorders>
                  <w:shd w:val="clear" w:color="auto" w:fill="auto"/>
                  <w:noWrap/>
                  <w:vAlign w:val="center"/>
                </w:tcPr>
                <w:p w14:paraId="130D01C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54060</w:t>
                  </w:r>
                </w:p>
              </w:tc>
              <w:tc>
                <w:tcPr>
                  <w:tcW w:w="1220" w:type="dxa"/>
                  <w:tcBorders>
                    <w:tl2br w:val="nil"/>
                    <w:tr2bl w:val="nil"/>
                  </w:tcBorders>
                  <w:shd w:val="clear" w:color="auto" w:fill="auto"/>
                  <w:noWrap/>
                  <w:vAlign w:val="center"/>
                </w:tcPr>
                <w:p w14:paraId="2604512F">
                  <w:pPr>
                    <w:pStyle w:val="33"/>
                    <w:keepNext w:val="0"/>
                    <w:keepLines w:val="0"/>
                    <w:suppressLineNumbers w:val="0"/>
                    <w:bidi w:val="0"/>
                    <w:spacing w:beforeAutospacing="0" w:afterAutospacing="0"/>
                    <w:ind w:left="0" w:right="0"/>
                    <w:rPr>
                      <w:rFonts w:hint="eastAsia"/>
                      <w:color w:val="auto"/>
                    </w:rPr>
                  </w:pPr>
                </w:p>
              </w:tc>
            </w:tr>
            <w:tr w14:paraId="14A12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1FF90403">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00B716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5D003C7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30400</w:t>
                  </w:r>
                </w:p>
              </w:tc>
              <w:tc>
                <w:tcPr>
                  <w:tcW w:w="1742" w:type="dxa"/>
                  <w:tcBorders>
                    <w:tl2br w:val="nil"/>
                    <w:tr2bl w:val="nil"/>
                  </w:tcBorders>
                  <w:shd w:val="clear" w:color="auto" w:fill="auto"/>
                  <w:noWrap/>
                  <w:vAlign w:val="center"/>
                </w:tcPr>
                <w:p w14:paraId="758416B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30400</w:t>
                  </w:r>
                </w:p>
              </w:tc>
              <w:tc>
                <w:tcPr>
                  <w:tcW w:w="1620" w:type="dxa"/>
                  <w:vMerge w:val="continue"/>
                  <w:tcBorders>
                    <w:tl2br w:val="nil"/>
                    <w:tr2bl w:val="nil"/>
                  </w:tcBorders>
                  <w:shd w:val="clear" w:color="auto" w:fill="auto"/>
                  <w:noWrap/>
                  <w:vAlign w:val="center"/>
                </w:tcPr>
                <w:p w14:paraId="0D0582B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94BE82C">
                  <w:pPr>
                    <w:pStyle w:val="33"/>
                    <w:keepNext w:val="0"/>
                    <w:keepLines w:val="0"/>
                    <w:suppressLineNumbers w:val="0"/>
                    <w:bidi w:val="0"/>
                    <w:spacing w:beforeAutospacing="0" w:afterAutospacing="0"/>
                    <w:ind w:left="0" w:right="0"/>
                    <w:rPr>
                      <w:rFonts w:hint="eastAsia"/>
                      <w:color w:val="auto"/>
                    </w:rPr>
                  </w:pPr>
                </w:p>
              </w:tc>
            </w:tr>
            <w:tr w14:paraId="00D64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1E7C441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A16</w:t>
                  </w:r>
                </w:p>
              </w:tc>
              <w:tc>
                <w:tcPr>
                  <w:tcW w:w="1353" w:type="dxa"/>
                  <w:tcBorders>
                    <w:tl2br w:val="nil"/>
                    <w:tr2bl w:val="nil"/>
                  </w:tcBorders>
                  <w:shd w:val="clear" w:color="auto" w:fill="auto"/>
                  <w:noWrap/>
                  <w:vAlign w:val="center"/>
                </w:tcPr>
                <w:p w14:paraId="179F7479">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89A2734">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00C890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14340</w:t>
                  </w:r>
                </w:p>
              </w:tc>
              <w:tc>
                <w:tcPr>
                  <w:tcW w:w="1620" w:type="dxa"/>
                  <w:vMerge w:val="restart"/>
                  <w:tcBorders>
                    <w:tl2br w:val="nil"/>
                    <w:tr2bl w:val="nil"/>
                  </w:tcBorders>
                  <w:shd w:val="clear" w:color="auto" w:fill="auto"/>
                  <w:noWrap/>
                  <w:vAlign w:val="center"/>
                </w:tcPr>
                <w:p w14:paraId="0FD80F5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14340</w:t>
                  </w:r>
                </w:p>
              </w:tc>
              <w:tc>
                <w:tcPr>
                  <w:tcW w:w="1220" w:type="dxa"/>
                  <w:tcBorders>
                    <w:tl2br w:val="nil"/>
                    <w:tr2bl w:val="nil"/>
                  </w:tcBorders>
                  <w:shd w:val="clear" w:color="auto" w:fill="auto"/>
                  <w:noWrap/>
                  <w:vAlign w:val="center"/>
                </w:tcPr>
                <w:p w14:paraId="25AF49F2">
                  <w:pPr>
                    <w:pStyle w:val="33"/>
                    <w:keepNext w:val="0"/>
                    <w:keepLines w:val="0"/>
                    <w:suppressLineNumbers w:val="0"/>
                    <w:bidi w:val="0"/>
                    <w:spacing w:beforeAutospacing="0" w:afterAutospacing="0"/>
                    <w:ind w:left="0" w:right="0"/>
                    <w:rPr>
                      <w:rFonts w:hint="eastAsia"/>
                      <w:color w:val="auto"/>
                    </w:rPr>
                  </w:pPr>
                </w:p>
              </w:tc>
            </w:tr>
            <w:tr w14:paraId="66D73B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3E5CF84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835544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1BBA561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15420</w:t>
                  </w:r>
                </w:p>
              </w:tc>
              <w:tc>
                <w:tcPr>
                  <w:tcW w:w="1742" w:type="dxa"/>
                  <w:tcBorders>
                    <w:tl2br w:val="nil"/>
                    <w:tr2bl w:val="nil"/>
                  </w:tcBorders>
                  <w:shd w:val="clear" w:color="auto" w:fill="auto"/>
                  <w:noWrap/>
                  <w:vAlign w:val="center"/>
                </w:tcPr>
                <w:p w14:paraId="3BED1E8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15420</w:t>
                  </w:r>
                </w:p>
              </w:tc>
              <w:tc>
                <w:tcPr>
                  <w:tcW w:w="1620" w:type="dxa"/>
                  <w:vMerge w:val="continue"/>
                  <w:tcBorders>
                    <w:tl2br w:val="nil"/>
                    <w:tr2bl w:val="nil"/>
                  </w:tcBorders>
                  <w:shd w:val="clear" w:color="auto" w:fill="auto"/>
                  <w:noWrap/>
                  <w:vAlign w:val="center"/>
                </w:tcPr>
                <w:p w14:paraId="048F9AF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31D5815">
                  <w:pPr>
                    <w:pStyle w:val="33"/>
                    <w:keepNext w:val="0"/>
                    <w:keepLines w:val="0"/>
                    <w:suppressLineNumbers w:val="0"/>
                    <w:bidi w:val="0"/>
                    <w:spacing w:beforeAutospacing="0" w:afterAutospacing="0"/>
                    <w:ind w:left="0" w:right="0"/>
                    <w:rPr>
                      <w:rFonts w:hint="eastAsia"/>
                      <w:color w:val="auto"/>
                    </w:rPr>
                  </w:pPr>
                </w:p>
              </w:tc>
            </w:tr>
            <w:tr w14:paraId="3B018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6EE2091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A17</w:t>
                  </w:r>
                </w:p>
              </w:tc>
              <w:tc>
                <w:tcPr>
                  <w:tcW w:w="1353" w:type="dxa"/>
                  <w:tcBorders>
                    <w:tl2br w:val="nil"/>
                    <w:tr2bl w:val="nil"/>
                  </w:tcBorders>
                  <w:shd w:val="clear" w:color="auto" w:fill="auto"/>
                  <w:noWrap/>
                  <w:vAlign w:val="center"/>
                </w:tcPr>
                <w:p w14:paraId="540A8750">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79D2D1F8">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871056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9660</w:t>
                  </w:r>
                </w:p>
              </w:tc>
              <w:tc>
                <w:tcPr>
                  <w:tcW w:w="1620" w:type="dxa"/>
                  <w:vMerge w:val="restart"/>
                  <w:tcBorders>
                    <w:tl2br w:val="nil"/>
                    <w:tr2bl w:val="nil"/>
                  </w:tcBorders>
                  <w:shd w:val="clear" w:color="auto" w:fill="auto"/>
                  <w:noWrap/>
                  <w:vAlign w:val="center"/>
                </w:tcPr>
                <w:p w14:paraId="78CEFD5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9660</w:t>
                  </w:r>
                </w:p>
              </w:tc>
              <w:tc>
                <w:tcPr>
                  <w:tcW w:w="1220" w:type="dxa"/>
                  <w:tcBorders>
                    <w:tl2br w:val="nil"/>
                    <w:tr2bl w:val="nil"/>
                  </w:tcBorders>
                  <w:shd w:val="clear" w:color="auto" w:fill="auto"/>
                  <w:noWrap/>
                  <w:vAlign w:val="center"/>
                </w:tcPr>
                <w:p w14:paraId="663B87D5">
                  <w:pPr>
                    <w:pStyle w:val="33"/>
                    <w:keepNext w:val="0"/>
                    <w:keepLines w:val="0"/>
                    <w:suppressLineNumbers w:val="0"/>
                    <w:bidi w:val="0"/>
                    <w:spacing w:beforeAutospacing="0" w:afterAutospacing="0"/>
                    <w:ind w:left="0" w:right="0"/>
                    <w:rPr>
                      <w:rFonts w:hint="eastAsia"/>
                      <w:color w:val="auto"/>
                    </w:rPr>
                  </w:pPr>
                </w:p>
              </w:tc>
            </w:tr>
            <w:tr w14:paraId="25C796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72C1CE8">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2C66DFC">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55FABB4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7375</w:t>
                  </w:r>
                </w:p>
              </w:tc>
              <w:tc>
                <w:tcPr>
                  <w:tcW w:w="1742" w:type="dxa"/>
                  <w:tcBorders>
                    <w:tl2br w:val="nil"/>
                    <w:tr2bl w:val="nil"/>
                  </w:tcBorders>
                  <w:shd w:val="clear" w:color="auto" w:fill="auto"/>
                  <w:noWrap/>
                  <w:vAlign w:val="center"/>
                </w:tcPr>
                <w:p w14:paraId="0188B89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7375</w:t>
                  </w:r>
                </w:p>
              </w:tc>
              <w:tc>
                <w:tcPr>
                  <w:tcW w:w="1620" w:type="dxa"/>
                  <w:vMerge w:val="continue"/>
                  <w:tcBorders>
                    <w:tl2br w:val="nil"/>
                    <w:tr2bl w:val="nil"/>
                  </w:tcBorders>
                  <w:shd w:val="clear" w:color="auto" w:fill="auto"/>
                  <w:noWrap/>
                  <w:vAlign w:val="center"/>
                </w:tcPr>
                <w:p w14:paraId="4129F93D">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C04AD00">
                  <w:pPr>
                    <w:pStyle w:val="33"/>
                    <w:keepNext w:val="0"/>
                    <w:keepLines w:val="0"/>
                    <w:suppressLineNumbers w:val="0"/>
                    <w:bidi w:val="0"/>
                    <w:spacing w:beforeAutospacing="0" w:afterAutospacing="0"/>
                    <w:ind w:left="0" w:right="0"/>
                    <w:rPr>
                      <w:rFonts w:hint="eastAsia"/>
                      <w:color w:val="auto"/>
                    </w:rPr>
                  </w:pPr>
                </w:p>
              </w:tc>
            </w:tr>
            <w:tr w14:paraId="50A5CB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1682CF1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A18</w:t>
                  </w:r>
                </w:p>
              </w:tc>
              <w:tc>
                <w:tcPr>
                  <w:tcW w:w="1353" w:type="dxa"/>
                  <w:tcBorders>
                    <w:tl2br w:val="nil"/>
                    <w:tr2bl w:val="nil"/>
                  </w:tcBorders>
                  <w:shd w:val="clear" w:color="auto" w:fill="auto"/>
                  <w:noWrap/>
                  <w:vAlign w:val="center"/>
                </w:tcPr>
                <w:p w14:paraId="18F601C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877E632">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42E24C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13140</w:t>
                  </w:r>
                </w:p>
              </w:tc>
              <w:tc>
                <w:tcPr>
                  <w:tcW w:w="1620" w:type="dxa"/>
                  <w:vMerge w:val="restart"/>
                  <w:tcBorders>
                    <w:tl2br w:val="nil"/>
                    <w:tr2bl w:val="nil"/>
                  </w:tcBorders>
                  <w:shd w:val="clear" w:color="auto" w:fill="auto"/>
                  <w:noWrap/>
                  <w:vAlign w:val="center"/>
                </w:tcPr>
                <w:p w14:paraId="5669654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13140</w:t>
                  </w:r>
                </w:p>
              </w:tc>
              <w:tc>
                <w:tcPr>
                  <w:tcW w:w="1220" w:type="dxa"/>
                  <w:tcBorders>
                    <w:tl2br w:val="nil"/>
                    <w:tr2bl w:val="nil"/>
                  </w:tcBorders>
                  <w:shd w:val="clear" w:color="auto" w:fill="auto"/>
                  <w:noWrap/>
                  <w:vAlign w:val="center"/>
                </w:tcPr>
                <w:p w14:paraId="5249FA83">
                  <w:pPr>
                    <w:pStyle w:val="33"/>
                    <w:keepNext w:val="0"/>
                    <w:keepLines w:val="0"/>
                    <w:suppressLineNumbers w:val="0"/>
                    <w:bidi w:val="0"/>
                    <w:spacing w:beforeAutospacing="0" w:afterAutospacing="0"/>
                    <w:ind w:left="0" w:right="0"/>
                    <w:rPr>
                      <w:rFonts w:hint="eastAsia"/>
                      <w:color w:val="auto"/>
                    </w:rPr>
                  </w:pPr>
                </w:p>
              </w:tc>
            </w:tr>
            <w:tr w14:paraId="63CCD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0D114637">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92D5F0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7DE3D22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12450</w:t>
                  </w:r>
                </w:p>
              </w:tc>
              <w:tc>
                <w:tcPr>
                  <w:tcW w:w="1742" w:type="dxa"/>
                  <w:tcBorders>
                    <w:tl2br w:val="nil"/>
                    <w:tr2bl w:val="nil"/>
                  </w:tcBorders>
                  <w:shd w:val="clear" w:color="auto" w:fill="auto"/>
                  <w:noWrap/>
                  <w:vAlign w:val="center"/>
                </w:tcPr>
                <w:p w14:paraId="7DD7274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12450</w:t>
                  </w:r>
                </w:p>
              </w:tc>
              <w:tc>
                <w:tcPr>
                  <w:tcW w:w="1620" w:type="dxa"/>
                  <w:vMerge w:val="continue"/>
                  <w:tcBorders>
                    <w:tl2br w:val="nil"/>
                    <w:tr2bl w:val="nil"/>
                  </w:tcBorders>
                  <w:shd w:val="clear" w:color="auto" w:fill="auto"/>
                  <w:noWrap/>
                  <w:vAlign w:val="center"/>
                </w:tcPr>
                <w:p w14:paraId="3E207844">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AD9AD69">
                  <w:pPr>
                    <w:pStyle w:val="33"/>
                    <w:keepNext w:val="0"/>
                    <w:keepLines w:val="0"/>
                    <w:suppressLineNumbers w:val="0"/>
                    <w:bidi w:val="0"/>
                    <w:spacing w:beforeAutospacing="0" w:afterAutospacing="0"/>
                    <w:ind w:left="0" w:right="0"/>
                    <w:rPr>
                      <w:rFonts w:hint="eastAsia"/>
                      <w:color w:val="auto"/>
                    </w:rPr>
                  </w:pPr>
                </w:p>
              </w:tc>
            </w:tr>
            <w:tr w14:paraId="09794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11CDE06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A19</w:t>
                  </w:r>
                </w:p>
              </w:tc>
              <w:tc>
                <w:tcPr>
                  <w:tcW w:w="1353" w:type="dxa"/>
                  <w:tcBorders>
                    <w:tl2br w:val="nil"/>
                    <w:tr2bl w:val="nil"/>
                  </w:tcBorders>
                  <w:shd w:val="clear" w:color="auto" w:fill="auto"/>
                  <w:noWrap/>
                  <w:vAlign w:val="center"/>
                </w:tcPr>
                <w:p w14:paraId="10269DE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172F05E2">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ECAA5C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12394</w:t>
                  </w:r>
                </w:p>
              </w:tc>
              <w:tc>
                <w:tcPr>
                  <w:tcW w:w="1620" w:type="dxa"/>
                  <w:vMerge w:val="restart"/>
                  <w:tcBorders>
                    <w:tl2br w:val="nil"/>
                    <w:tr2bl w:val="nil"/>
                  </w:tcBorders>
                  <w:shd w:val="clear" w:color="auto" w:fill="auto"/>
                  <w:noWrap/>
                  <w:vAlign w:val="center"/>
                </w:tcPr>
                <w:p w14:paraId="34C02B6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27934</w:t>
                  </w:r>
                </w:p>
              </w:tc>
              <w:tc>
                <w:tcPr>
                  <w:tcW w:w="1220" w:type="dxa"/>
                  <w:tcBorders>
                    <w:tl2br w:val="nil"/>
                    <w:tr2bl w:val="nil"/>
                  </w:tcBorders>
                  <w:shd w:val="clear" w:color="auto" w:fill="auto"/>
                  <w:noWrap/>
                  <w:vAlign w:val="center"/>
                </w:tcPr>
                <w:p w14:paraId="7BD09CD6">
                  <w:pPr>
                    <w:pStyle w:val="33"/>
                    <w:keepNext w:val="0"/>
                    <w:keepLines w:val="0"/>
                    <w:suppressLineNumbers w:val="0"/>
                    <w:bidi w:val="0"/>
                    <w:spacing w:beforeAutospacing="0" w:afterAutospacing="0"/>
                    <w:ind w:left="0" w:right="0"/>
                    <w:rPr>
                      <w:rFonts w:hint="eastAsia"/>
                      <w:color w:val="auto"/>
                    </w:rPr>
                  </w:pPr>
                </w:p>
              </w:tc>
            </w:tr>
            <w:tr w14:paraId="5CCA6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0E756CA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7332067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7F7A47B">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4C3D550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3150</w:t>
                  </w:r>
                </w:p>
              </w:tc>
              <w:tc>
                <w:tcPr>
                  <w:tcW w:w="1620" w:type="dxa"/>
                  <w:vMerge w:val="continue"/>
                  <w:tcBorders>
                    <w:tl2br w:val="nil"/>
                    <w:tr2bl w:val="nil"/>
                  </w:tcBorders>
                  <w:shd w:val="clear" w:color="auto" w:fill="auto"/>
                  <w:noWrap/>
                  <w:vAlign w:val="center"/>
                </w:tcPr>
                <w:p w14:paraId="5619F214">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E7837ED">
                  <w:pPr>
                    <w:pStyle w:val="33"/>
                    <w:keepNext w:val="0"/>
                    <w:keepLines w:val="0"/>
                    <w:suppressLineNumbers w:val="0"/>
                    <w:bidi w:val="0"/>
                    <w:spacing w:beforeAutospacing="0" w:afterAutospacing="0"/>
                    <w:ind w:left="0" w:right="0"/>
                    <w:rPr>
                      <w:rFonts w:hint="eastAsia"/>
                      <w:color w:val="auto"/>
                    </w:rPr>
                  </w:pPr>
                </w:p>
              </w:tc>
            </w:tr>
            <w:tr w14:paraId="434345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3A1B28C">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0CF085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1CA70F4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7B3A0C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12390</w:t>
                  </w:r>
                </w:p>
              </w:tc>
              <w:tc>
                <w:tcPr>
                  <w:tcW w:w="1620" w:type="dxa"/>
                  <w:vMerge w:val="continue"/>
                  <w:tcBorders>
                    <w:tl2br w:val="nil"/>
                    <w:tr2bl w:val="nil"/>
                  </w:tcBorders>
                  <w:shd w:val="clear" w:color="auto" w:fill="auto"/>
                  <w:noWrap/>
                  <w:vAlign w:val="center"/>
                </w:tcPr>
                <w:p w14:paraId="6F343F5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CB359A6">
                  <w:pPr>
                    <w:pStyle w:val="33"/>
                    <w:keepNext w:val="0"/>
                    <w:keepLines w:val="0"/>
                    <w:suppressLineNumbers w:val="0"/>
                    <w:bidi w:val="0"/>
                    <w:spacing w:beforeAutospacing="0" w:afterAutospacing="0"/>
                    <w:ind w:left="0" w:right="0"/>
                    <w:rPr>
                      <w:rFonts w:hint="eastAsia"/>
                      <w:color w:val="auto"/>
                    </w:rPr>
                  </w:pPr>
                </w:p>
              </w:tc>
            </w:tr>
            <w:tr w14:paraId="578BBD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7058564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A20</w:t>
                  </w:r>
                </w:p>
              </w:tc>
              <w:tc>
                <w:tcPr>
                  <w:tcW w:w="1353" w:type="dxa"/>
                  <w:tcBorders>
                    <w:tl2br w:val="nil"/>
                    <w:tr2bl w:val="nil"/>
                  </w:tcBorders>
                  <w:shd w:val="clear" w:color="auto" w:fill="auto"/>
                  <w:noWrap/>
                  <w:vAlign w:val="center"/>
                </w:tcPr>
                <w:p w14:paraId="2F7C6C9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761583B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C72297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23458</w:t>
                  </w:r>
                </w:p>
              </w:tc>
              <w:tc>
                <w:tcPr>
                  <w:tcW w:w="1620" w:type="dxa"/>
                  <w:vMerge w:val="restart"/>
                  <w:tcBorders>
                    <w:tl2br w:val="nil"/>
                    <w:tr2bl w:val="nil"/>
                  </w:tcBorders>
                  <w:shd w:val="clear" w:color="auto" w:fill="auto"/>
                  <w:noWrap/>
                  <w:vAlign w:val="center"/>
                </w:tcPr>
                <w:p w14:paraId="64C84E7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461615</w:t>
                  </w:r>
                </w:p>
              </w:tc>
              <w:tc>
                <w:tcPr>
                  <w:tcW w:w="1220" w:type="dxa"/>
                  <w:tcBorders>
                    <w:tl2br w:val="nil"/>
                    <w:tr2bl w:val="nil"/>
                  </w:tcBorders>
                  <w:shd w:val="clear" w:color="auto" w:fill="auto"/>
                  <w:noWrap/>
                  <w:vAlign w:val="center"/>
                </w:tcPr>
                <w:p w14:paraId="786057CE">
                  <w:pPr>
                    <w:pStyle w:val="33"/>
                    <w:keepNext w:val="0"/>
                    <w:keepLines w:val="0"/>
                    <w:suppressLineNumbers w:val="0"/>
                    <w:bidi w:val="0"/>
                    <w:spacing w:beforeAutospacing="0" w:afterAutospacing="0"/>
                    <w:ind w:left="0" w:right="0"/>
                    <w:rPr>
                      <w:rFonts w:hint="eastAsia"/>
                      <w:color w:val="auto"/>
                    </w:rPr>
                  </w:pPr>
                </w:p>
              </w:tc>
            </w:tr>
            <w:tr w14:paraId="283912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C31FA23">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7AB7BA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7ABC6887">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C30110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178614</w:t>
                  </w:r>
                </w:p>
              </w:tc>
              <w:tc>
                <w:tcPr>
                  <w:tcW w:w="1620" w:type="dxa"/>
                  <w:vMerge w:val="continue"/>
                  <w:tcBorders>
                    <w:tl2br w:val="nil"/>
                    <w:tr2bl w:val="nil"/>
                  </w:tcBorders>
                  <w:shd w:val="clear" w:color="auto" w:fill="auto"/>
                  <w:noWrap/>
                  <w:vAlign w:val="center"/>
                </w:tcPr>
                <w:p w14:paraId="2849D168">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1892382B">
                  <w:pPr>
                    <w:pStyle w:val="33"/>
                    <w:keepNext w:val="0"/>
                    <w:keepLines w:val="0"/>
                    <w:suppressLineNumbers w:val="0"/>
                    <w:bidi w:val="0"/>
                    <w:spacing w:beforeAutospacing="0" w:afterAutospacing="0"/>
                    <w:ind w:left="0" w:right="0"/>
                    <w:rPr>
                      <w:rFonts w:hint="eastAsia"/>
                      <w:color w:val="auto"/>
                    </w:rPr>
                  </w:pPr>
                </w:p>
              </w:tc>
            </w:tr>
            <w:tr w14:paraId="324B1A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8EC4998">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249869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7761D67">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C8E0AF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45330</w:t>
                  </w:r>
                </w:p>
              </w:tc>
              <w:tc>
                <w:tcPr>
                  <w:tcW w:w="1620" w:type="dxa"/>
                  <w:vMerge w:val="continue"/>
                  <w:tcBorders>
                    <w:tl2br w:val="nil"/>
                    <w:tr2bl w:val="nil"/>
                  </w:tcBorders>
                  <w:shd w:val="clear" w:color="auto" w:fill="auto"/>
                  <w:noWrap/>
                  <w:vAlign w:val="center"/>
                </w:tcPr>
                <w:p w14:paraId="753B0E3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1474BB7">
                  <w:pPr>
                    <w:pStyle w:val="33"/>
                    <w:keepNext w:val="0"/>
                    <w:keepLines w:val="0"/>
                    <w:suppressLineNumbers w:val="0"/>
                    <w:bidi w:val="0"/>
                    <w:spacing w:beforeAutospacing="0" w:afterAutospacing="0"/>
                    <w:ind w:left="0" w:right="0"/>
                    <w:rPr>
                      <w:rFonts w:hint="eastAsia"/>
                      <w:color w:val="auto"/>
                    </w:rPr>
                  </w:pPr>
                </w:p>
              </w:tc>
            </w:tr>
            <w:tr w14:paraId="22D1D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DEE4F1F">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1A8E0F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7B42DD6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28850</w:t>
                  </w:r>
                </w:p>
              </w:tc>
              <w:tc>
                <w:tcPr>
                  <w:tcW w:w="1742" w:type="dxa"/>
                  <w:tcBorders>
                    <w:tl2br w:val="nil"/>
                    <w:tr2bl w:val="nil"/>
                  </w:tcBorders>
                  <w:shd w:val="clear" w:color="auto" w:fill="auto"/>
                  <w:noWrap/>
                  <w:vAlign w:val="center"/>
                </w:tcPr>
                <w:p w14:paraId="2BC0C8D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64510</w:t>
                  </w:r>
                </w:p>
              </w:tc>
              <w:tc>
                <w:tcPr>
                  <w:tcW w:w="1620" w:type="dxa"/>
                  <w:vMerge w:val="continue"/>
                  <w:tcBorders>
                    <w:tl2br w:val="nil"/>
                    <w:tr2bl w:val="nil"/>
                  </w:tcBorders>
                  <w:shd w:val="clear" w:color="auto" w:fill="auto"/>
                  <w:noWrap/>
                  <w:vAlign w:val="center"/>
                </w:tcPr>
                <w:p w14:paraId="7B51C54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62FE26E">
                  <w:pPr>
                    <w:pStyle w:val="33"/>
                    <w:keepNext w:val="0"/>
                    <w:keepLines w:val="0"/>
                    <w:suppressLineNumbers w:val="0"/>
                    <w:bidi w:val="0"/>
                    <w:spacing w:beforeAutospacing="0" w:afterAutospacing="0"/>
                    <w:ind w:left="0" w:right="0"/>
                    <w:rPr>
                      <w:rFonts w:hint="eastAsia"/>
                      <w:color w:val="auto"/>
                    </w:rPr>
                  </w:pPr>
                </w:p>
              </w:tc>
            </w:tr>
            <w:tr w14:paraId="1C2E71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221" w:type="dxa"/>
                  <w:vMerge w:val="continue"/>
                  <w:tcBorders>
                    <w:tl2br w:val="nil"/>
                    <w:tr2bl w:val="nil"/>
                  </w:tcBorders>
                  <w:shd w:val="clear" w:color="auto" w:fill="auto"/>
                  <w:vAlign w:val="center"/>
                </w:tcPr>
                <w:p w14:paraId="69663A56">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EA1938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00BBCDA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D08AA0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178553</w:t>
                  </w:r>
                </w:p>
              </w:tc>
              <w:tc>
                <w:tcPr>
                  <w:tcW w:w="1620" w:type="dxa"/>
                  <w:vMerge w:val="continue"/>
                  <w:tcBorders>
                    <w:tl2br w:val="nil"/>
                    <w:tr2bl w:val="nil"/>
                  </w:tcBorders>
                  <w:shd w:val="clear" w:color="auto" w:fill="auto"/>
                  <w:noWrap/>
                  <w:vAlign w:val="center"/>
                </w:tcPr>
                <w:p w14:paraId="27A58FC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544DFEDE">
                  <w:pPr>
                    <w:pStyle w:val="33"/>
                    <w:keepNext w:val="0"/>
                    <w:keepLines w:val="0"/>
                    <w:suppressLineNumbers w:val="0"/>
                    <w:bidi w:val="0"/>
                    <w:spacing w:beforeAutospacing="0" w:afterAutospacing="0"/>
                    <w:ind w:left="0" w:right="0"/>
                    <w:rPr>
                      <w:rFonts w:hint="eastAsia"/>
                      <w:color w:val="auto"/>
                    </w:rPr>
                  </w:pPr>
                </w:p>
              </w:tc>
            </w:tr>
            <w:tr w14:paraId="7567FD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412093B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A21</w:t>
                  </w:r>
                </w:p>
              </w:tc>
              <w:tc>
                <w:tcPr>
                  <w:tcW w:w="1353" w:type="dxa"/>
                  <w:tcBorders>
                    <w:tl2br w:val="nil"/>
                    <w:tr2bl w:val="nil"/>
                  </w:tcBorders>
                  <w:shd w:val="clear" w:color="auto" w:fill="auto"/>
                  <w:noWrap/>
                  <w:vAlign w:val="center"/>
                </w:tcPr>
                <w:p w14:paraId="5E9C226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437C4F1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320E63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1150</w:t>
                  </w:r>
                </w:p>
              </w:tc>
              <w:tc>
                <w:tcPr>
                  <w:tcW w:w="1620" w:type="dxa"/>
                  <w:vMerge w:val="restart"/>
                  <w:tcBorders>
                    <w:tl2br w:val="nil"/>
                    <w:tr2bl w:val="nil"/>
                  </w:tcBorders>
                  <w:shd w:val="clear" w:color="auto" w:fill="auto"/>
                  <w:noWrap/>
                  <w:vAlign w:val="center"/>
                </w:tcPr>
                <w:p w14:paraId="4902245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4412</w:t>
                  </w:r>
                </w:p>
              </w:tc>
              <w:tc>
                <w:tcPr>
                  <w:tcW w:w="1220" w:type="dxa"/>
                  <w:tcBorders>
                    <w:tl2br w:val="nil"/>
                    <w:tr2bl w:val="nil"/>
                  </w:tcBorders>
                  <w:shd w:val="clear" w:color="auto" w:fill="auto"/>
                  <w:noWrap/>
                  <w:vAlign w:val="center"/>
                </w:tcPr>
                <w:p w14:paraId="7721C9A1">
                  <w:pPr>
                    <w:pStyle w:val="33"/>
                    <w:keepNext w:val="0"/>
                    <w:keepLines w:val="0"/>
                    <w:suppressLineNumbers w:val="0"/>
                    <w:bidi w:val="0"/>
                    <w:spacing w:beforeAutospacing="0" w:afterAutospacing="0"/>
                    <w:ind w:left="0" w:right="0"/>
                    <w:rPr>
                      <w:rFonts w:hint="eastAsia"/>
                      <w:color w:val="auto"/>
                    </w:rPr>
                  </w:pPr>
                </w:p>
              </w:tc>
            </w:tr>
            <w:tr w14:paraId="01210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F854DFF">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04870E0">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D4877B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402614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3060</w:t>
                  </w:r>
                </w:p>
              </w:tc>
              <w:tc>
                <w:tcPr>
                  <w:tcW w:w="1620" w:type="dxa"/>
                  <w:vMerge w:val="continue"/>
                  <w:tcBorders>
                    <w:tl2br w:val="nil"/>
                    <w:tr2bl w:val="nil"/>
                  </w:tcBorders>
                  <w:shd w:val="clear" w:color="auto" w:fill="auto"/>
                  <w:noWrap/>
                  <w:vAlign w:val="center"/>
                </w:tcPr>
                <w:p w14:paraId="43F75B1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B958BDF">
                  <w:pPr>
                    <w:pStyle w:val="33"/>
                    <w:keepNext w:val="0"/>
                    <w:keepLines w:val="0"/>
                    <w:suppressLineNumbers w:val="0"/>
                    <w:bidi w:val="0"/>
                    <w:spacing w:beforeAutospacing="0" w:afterAutospacing="0"/>
                    <w:ind w:left="0" w:right="0"/>
                    <w:rPr>
                      <w:rFonts w:hint="eastAsia"/>
                      <w:color w:val="auto"/>
                    </w:rPr>
                  </w:pPr>
                </w:p>
              </w:tc>
            </w:tr>
            <w:tr w14:paraId="4F298C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139256C">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76BB061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8EE2F3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3349</w:t>
                  </w:r>
                </w:p>
              </w:tc>
              <w:tc>
                <w:tcPr>
                  <w:tcW w:w="1742" w:type="dxa"/>
                  <w:tcBorders>
                    <w:tl2br w:val="nil"/>
                    <w:tr2bl w:val="nil"/>
                  </w:tcBorders>
                  <w:shd w:val="clear" w:color="auto" w:fill="auto"/>
                  <w:noWrap/>
                  <w:vAlign w:val="center"/>
                </w:tcPr>
                <w:p w14:paraId="337F574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3551</w:t>
                  </w:r>
                </w:p>
              </w:tc>
              <w:tc>
                <w:tcPr>
                  <w:tcW w:w="1620" w:type="dxa"/>
                  <w:vMerge w:val="continue"/>
                  <w:tcBorders>
                    <w:tl2br w:val="nil"/>
                    <w:tr2bl w:val="nil"/>
                  </w:tcBorders>
                  <w:shd w:val="clear" w:color="auto" w:fill="auto"/>
                  <w:noWrap/>
                  <w:vAlign w:val="center"/>
                </w:tcPr>
                <w:p w14:paraId="7174644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ABE8547">
                  <w:pPr>
                    <w:pStyle w:val="33"/>
                    <w:keepNext w:val="0"/>
                    <w:keepLines w:val="0"/>
                    <w:suppressLineNumbers w:val="0"/>
                    <w:bidi w:val="0"/>
                    <w:spacing w:beforeAutospacing="0" w:afterAutospacing="0"/>
                    <w:ind w:left="0" w:right="0"/>
                    <w:rPr>
                      <w:rFonts w:hint="eastAsia"/>
                      <w:color w:val="auto"/>
                    </w:rPr>
                  </w:pPr>
                </w:p>
              </w:tc>
            </w:tr>
            <w:tr w14:paraId="3D447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1C20F645">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47EA601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27D3BF7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5DD27A5">
                  <w:pPr>
                    <w:pStyle w:val="33"/>
                    <w:keepNext w:val="0"/>
                    <w:keepLines w:val="0"/>
                    <w:suppressLineNumbers w:val="0"/>
                    <w:bidi w:val="0"/>
                    <w:spacing w:beforeAutospacing="0" w:afterAutospacing="0"/>
                    <w:ind w:left="0" w:right="0"/>
                    <w:rPr>
                      <w:rFonts w:hint="eastAsia"/>
                      <w:color w:val="auto"/>
                    </w:rPr>
                  </w:pPr>
                </w:p>
              </w:tc>
              <w:tc>
                <w:tcPr>
                  <w:tcW w:w="1620" w:type="dxa"/>
                  <w:vMerge w:val="continue"/>
                  <w:tcBorders>
                    <w:tl2br w:val="nil"/>
                    <w:tr2bl w:val="nil"/>
                  </w:tcBorders>
                  <w:shd w:val="clear" w:color="auto" w:fill="auto"/>
                  <w:noWrap/>
                  <w:vAlign w:val="center"/>
                </w:tcPr>
                <w:p w14:paraId="3CFD6062">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AFA3E8D">
                  <w:pPr>
                    <w:pStyle w:val="33"/>
                    <w:keepNext w:val="0"/>
                    <w:keepLines w:val="0"/>
                    <w:suppressLineNumbers w:val="0"/>
                    <w:bidi w:val="0"/>
                    <w:spacing w:beforeAutospacing="0" w:afterAutospacing="0"/>
                    <w:ind w:left="0" w:right="0"/>
                    <w:rPr>
                      <w:rFonts w:hint="eastAsia"/>
                      <w:color w:val="auto"/>
                    </w:rPr>
                  </w:pPr>
                </w:p>
              </w:tc>
            </w:tr>
            <w:tr w14:paraId="25E97D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64472C3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A22</w:t>
                  </w:r>
                </w:p>
              </w:tc>
              <w:tc>
                <w:tcPr>
                  <w:tcW w:w="1353" w:type="dxa"/>
                  <w:tcBorders>
                    <w:tl2br w:val="nil"/>
                    <w:tr2bl w:val="nil"/>
                  </w:tcBorders>
                  <w:shd w:val="clear" w:color="auto" w:fill="auto"/>
                  <w:noWrap/>
                  <w:vAlign w:val="center"/>
                </w:tcPr>
                <w:p w14:paraId="69CD7EE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1E8A4FD4">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019FCA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19676</w:t>
                  </w:r>
                </w:p>
              </w:tc>
              <w:tc>
                <w:tcPr>
                  <w:tcW w:w="1620" w:type="dxa"/>
                  <w:vMerge w:val="restart"/>
                  <w:tcBorders>
                    <w:tl2br w:val="nil"/>
                    <w:tr2bl w:val="nil"/>
                  </w:tcBorders>
                  <w:shd w:val="clear" w:color="auto" w:fill="auto"/>
                  <w:noWrap/>
                  <w:vAlign w:val="center"/>
                </w:tcPr>
                <w:p w14:paraId="63D8553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62407</w:t>
                  </w:r>
                </w:p>
              </w:tc>
              <w:tc>
                <w:tcPr>
                  <w:tcW w:w="1220" w:type="dxa"/>
                  <w:tcBorders>
                    <w:tl2br w:val="nil"/>
                    <w:tr2bl w:val="nil"/>
                  </w:tcBorders>
                  <w:shd w:val="clear" w:color="auto" w:fill="auto"/>
                  <w:noWrap/>
                  <w:vAlign w:val="center"/>
                </w:tcPr>
                <w:p w14:paraId="598B8137">
                  <w:pPr>
                    <w:pStyle w:val="33"/>
                    <w:keepNext w:val="0"/>
                    <w:keepLines w:val="0"/>
                    <w:suppressLineNumbers w:val="0"/>
                    <w:bidi w:val="0"/>
                    <w:spacing w:beforeAutospacing="0" w:afterAutospacing="0"/>
                    <w:ind w:left="0" w:right="0"/>
                    <w:rPr>
                      <w:rFonts w:hint="eastAsia"/>
                      <w:color w:val="auto"/>
                    </w:rPr>
                  </w:pPr>
                </w:p>
              </w:tc>
            </w:tr>
            <w:tr w14:paraId="23DD25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154EDA8A">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DEDCD7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49ECCB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221358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19590</w:t>
                  </w:r>
                </w:p>
              </w:tc>
              <w:tc>
                <w:tcPr>
                  <w:tcW w:w="1620" w:type="dxa"/>
                  <w:vMerge w:val="continue"/>
                  <w:tcBorders>
                    <w:tl2br w:val="nil"/>
                    <w:tr2bl w:val="nil"/>
                  </w:tcBorders>
                  <w:shd w:val="clear" w:color="auto" w:fill="auto"/>
                  <w:noWrap/>
                  <w:vAlign w:val="center"/>
                </w:tcPr>
                <w:p w14:paraId="39387C7C">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1896AD5">
                  <w:pPr>
                    <w:pStyle w:val="33"/>
                    <w:keepNext w:val="0"/>
                    <w:keepLines w:val="0"/>
                    <w:suppressLineNumbers w:val="0"/>
                    <w:bidi w:val="0"/>
                    <w:spacing w:beforeAutospacing="0" w:afterAutospacing="0"/>
                    <w:ind w:left="0" w:right="0"/>
                    <w:rPr>
                      <w:rFonts w:hint="eastAsia"/>
                      <w:color w:val="auto"/>
                    </w:rPr>
                  </w:pPr>
                </w:p>
              </w:tc>
            </w:tr>
            <w:tr w14:paraId="0D13D1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5DC534B7">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762A63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435F692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20854</w:t>
                  </w:r>
                </w:p>
              </w:tc>
              <w:tc>
                <w:tcPr>
                  <w:tcW w:w="1742" w:type="dxa"/>
                  <w:tcBorders>
                    <w:tl2br w:val="nil"/>
                    <w:tr2bl w:val="nil"/>
                  </w:tcBorders>
                  <w:shd w:val="clear" w:color="auto" w:fill="auto"/>
                  <w:noWrap/>
                  <w:vAlign w:val="center"/>
                </w:tcPr>
                <w:p w14:paraId="3BCEC39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24326</w:t>
                  </w:r>
                </w:p>
              </w:tc>
              <w:tc>
                <w:tcPr>
                  <w:tcW w:w="1620" w:type="dxa"/>
                  <w:vMerge w:val="continue"/>
                  <w:tcBorders>
                    <w:tl2br w:val="nil"/>
                    <w:tr2bl w:val="nil"/>
                  </w:tcBorders>
                  <w:shd w:val="clear" w:color="auto" w:fill="auto"/>
                  <w:noWrap/>
                  <w:vAlign w:val="center"/>
                </w:tcPr>
                <w:p w14:paraId="35E768A7">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8DE8A32">
                  <w:pPr>
                    <w:pStyle w:val="33"/>
                    <w:keepNext w:val="0"/>
                    <w:keepLines w:val="0"/>
                    <w:suppressLineNumbers w:val="0"/>
                    <w:bidi w:val="0"/>
                    <w:spacing w:beforeAutospacing="0" w:afterAutospacing="0"/>
                    <w:ind w:left="0" w:right="0"/>
                    <w:rPr>
                      <w:rFonts w:hint="eastAsia"/>
                      <w:color w:val="auto"/>
                    </w:rPr>
                  </w:pPr>
                </w:p>
              </w:tc>
            </w:tr>
            <w:tr w14:paraId="69673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67346B4">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54F8965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2D4789D3">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749347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19669</w:t>
                  </w:r>
                </w:p>
              </w:tc>
              <w:tc>
                <w:tcPr>
                  <w:tcW w:w="1620" w:type="dxa"/>
                  <w:vMerge w:val="continue"/>
                  <w:tcBorders>
                    <w:tl2br w:val="nil"/>
                    <w:tr2bl w:val="nil"/>
                  </w:tcBorders>
                  <w:shd w:val="clear" w:color="auto" w:fill="auto"/>
                  <w:noWrap/>
                  <w:vAlign w:val="center"/>
                </w:tcPr>
                <w:p w14:paraId="2AAA31AC">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25C06F0">
                  <w:pPr>
                    <w:pStyle w:val="33"/>
                    <w:keepNext w:val="0"/>
                    <w:keepLines w:val="0"/>
                    <w:suppressLineNumbers w:val="0"/>
                    <w:bidi w:val="0"/>
                    <w:spacing w:beforeAutospacing="0" w:afterAutospacing="0"/>
                    <w:ind w:left="0" w:right="0"/>
                    <w:rPr>
                      <w:rFonts w:hint="eastAsia"/>
                      <w:color w:val="auto"/>
                    </w:rPr>
                  </w:pPr>
                </w:p>
              </w:tc>
            </w:tr>
            <w:tr w14:paraId="1482BF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1221" w:type="dxa"/>
                  <w:tcBorders>
                    <w:tl2br w:val="nil"/>
                    <w:tr2bl w:val="nil"/>
                  </w:tcBorders>
                  <w:shd w:val="clear" w:color="auto" w:fill="auto"/>
                  <w:vAlign w:val="center"/>
                </w:tcPr>
                <w:p w14:paraId="05BCAB1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A23</w:t>
                  </w:r>
                </w:p>
              </w:tc>
              <w:tc>
                <w:tcPr>
                  <w:tcW w:w="1353" w:type="dxa"/>
                  <w:tcBorders>
                    <w:tl2br w:val="nil"/>
                    <w:tr2bl w:val="nil"/>
                  </w:tcBorders>
                  <w:shd w:val="clear" w:color="auto" w:fill="auto"/>
                  <w:noWrap/>
                  <w:vAlign w:val="center"/>
                </w:tcPr>
                <w:p w14:paraId="035E571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w:t>
                  </w:r>
                </w:p>
              </w:tc>
              <w:tc>
                <w:tcPr>
                  <w:tcW w:w="1061" w:type="dxa"/>
                  <w:tcBorders>
                    <w:tl2br w:val="nil"/>
                    <w:tr2bl w:val="nil"/>
                  </w:tcBorders>
                  <w:shd w:val="clear" w:color="auto" w:fill="auto"/>
                  <w:noWrap/>
                  <w:vAlign w:val="center"/>
                </w:tcPr>
                <w:p w14:paraId="3BB45739">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03807C8">
                  <w:pPr>
                    <w:pStyle w:val="33"/>
                    <w:keepNext w:val="0"/>
                    <w:keepLines w:val="0"/>
                    <w:suppressLineNumbers w:val="0"/>
                    <w:bidi w:val="0"/>
                    <w:spacing w:beforeAutospacing="0" w:afterAutospacing="0"/>
                    <w:ind w:left="0" w:right="0"/>
                    <w:rPr>
                      <w:rFonts w:hint="eastAsia"/>
                      <w:color w:val="auto"/>
                    </w:rPr>
                  </w:pPr>
                </w:p>
              </w:tc>
              <w:tc>
                <w:tcPr>
                  <w:tcW w:w="1620" w:type="dxa"/>
                  <w:tcBorders>
                    <w:tl2br w:val="nil"/>
                    <w:tr2bl w:val="nil"/>
                  </w:tcBorders>
                  <w:shd w:val="clear" w:color="auto" w:fill="auto"/>
                  <w:noWrap/>
                  <w:vAlign w:val="center"/>
                </w:tcPr>
                <w:p w14:paraId="4C0CE53D">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D4813EC">
                  <w:pPr>
                    <w:pStyle w:val="33"/>
                    <w:keepNext w:val="0"/>
                    <w:keepLines w:val="0"/>
                    <w:suppressLineNumbers w:val="0"/>
                    <w:bidi w:val="0"/>
                    <w:spacing w:beforeAutospacing="0" w:afterAutospacing="0"/>
                    <w:ind w:left="0" w:right="0"/>
                    <w:rPr>
                      <w:rFonts w:hint="eastAsia"/>
                      <w:color w:val="auto"/>
                    </w:rPr>
                  </w:pPr>
                </w:p>
              </w:tc>
            </w:tr>
            <w:tr w14:paraId="2E0539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4F4687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A24</w:t>
                  </w:r>
                </w:p>
              </w:tc>
              <w:tc>
                <w:tcPr>
                  <w:tcW w:w="1353" w:type="dxa"/>
                  <w:tcBorders>
                    <w:tl2br w:val="nil"/>
                    <w:tr2bl w:val="nil"/>
                  </w:tcBorders>
                  <w:shd w:val="clear" w:color="auto" w:fill="auto"/>
                  <w:noWrap/>
                  <w:vAlign w:val="center"/>
                </w:tcPr>
                <w:p w14:paraId="3FB9CC0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5989FB81">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4456CFB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3630</w:t>
                  </w:r>
                </w:p>
              </w:tc>
              <w:tc>
                <w:tcPr>
                  <w:tcW w:w="1620" w:type="dxa"/>
                  <w:vMerge w:val="restart"/>
                  <w:tcBorders>
                    <w:tl2br w:val="nil"/>
                    <w:tr2bl w:val="nil"/>
                  </w:tcBorders>
                  <w:shd w:val="clear" w:color="auto" w:fill="auto"/>
                  <w:noWrap/>
                  <w:vAlign w:val="center"/>
                </w:tcPr>
                <w:p w14:paraId="19D8F5B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3630</w:t>
                  </w:r>
                </w:p>
              </w:tc>
              <w:tc>
                <w:tcPr>
                  <w:tcW w:w="1220" w:type="dxa"/>
                  <w:tcBorders>
                    <w:tl2br w:val="nil"/>
                    <w:tr2bl w:val="nil"/>
                  </w:tcBorders>
                  <w:shd w:val="clear" w:color="auto" w:fill="auto"/>
                  <w:noWrap/>
                  <w:vAlign w:val="center"/>
                </w:tcPr>
                <w:p w14:paraId="3D5C8BD7">
                  <w:pPr>
                    <w:pStyle w:val="33"/>
                    <w:keepNext w:val="0"/>
                    <w:keepLines w:val="0"/>
                    <w:suppressLineNumbers w:val="0"/>
                    <w:bidi w:val="0"/>
                    <w:spacing w:beforeAutospacing="0" w:afterAutospacing="0"/>
                    <w:ind w:left="0" w:right="0"/>
                    <w:rPr>
                      <w:rFonts w:hint="eastAsia"/>
                      <w:color w:val="auto"/>
                    </w:rPr>
                  </w:pPr>
                </w:p>
              </w:tc>
            </w:tr>
            <w:tr w14:paraId="77EECF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558F589">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0C53C6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45A787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2550</w:t>
                  </w:r>
                </w:p>
              </w:tc>
              <w:tc>
                <w:tcPr>
                  <w:tcW w:w="1742" w:type="dxa"/>
                  <w:tcBorders>
                    <w:tl2br w:val="nil"/>
                    <w:tr2bl w:val="nil"/>
                  </w:tcBorders>
                  <w:shd w:val="clear" w:color="auto" w:fill="auto"/>
                  <w:noWrap/>
                  <w:vAlign w:val="center"/>
                </w:tcPr>
                <w:p w14:paraId="4D943A2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2550</w:t>
                  </w:r>
                </w:p>
              </w:tc>
              <w:tc>
                <w:tcPr>
                  <w:tcW w:w="1620" w:type="dxa"/>
                  <w:vMerge w:val="continue"/>
                  <w:tcBorders>
                    <w:tl2br w:val="nil"/>
                    <w:tr2bl w:val="nil"/>
                  </w:tcBorders>
                  <w:shd w:val="clear" w:color="auto" w:fill="auto"/>
                  <w:noWrap/>
                  <w:vAlign w:val="center"/>
                </w:tcPr>
                <w:p w14:paraId="68E27F07">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E1E7864">
                  <w:pPr>
                    <w:pStyle w:val="33"/>
                    <w:keepNext w:val="0"/>
                    <w:keepLines w:val="0"/>
                    <w:suppressLineNumbers w:val="0"/>
                    <w:bidi w:val="0"/>
                    <w:spacing w:beforeAutospacing="0" w:afterAutospacing="0"/>
                    <w:ind w:left="0" w:right="0"/>
                    <w:rPr>
                      <w:rFonts w:hint="eastAsia"/>
                      <w:color w:val="auto"/>
                    </w:rPr>
                  </w:pPr>
                </w:p>
              </w:tc>
            </w:tr>
            <w:tr w14:paraId="79F890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150FB95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A25</w:t>
                  </w:r>
                </w:p>
              </w:tc>
              <w:tc>
                <w:tcPr>
                  <w:tcW w:w="1353" w:type="dxa"/>
                  <w:tcBorders>
                    <w:tl2br w:val="nil"/>
                    <w:tr2bl w:val="nil"/>
                  </w:tcBorders>
                  <w:shd w:val="clear" w:color="auto" w:fill="auto"/>
                  <w:noWrap/>
                  <w:vAlign w:val="center"/>
                </w:tcPr>
                <w:p w14:paraId="3537AFA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650A672F">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5A4C013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23550</w:t>
                  </w:r>
                </w:p>
              </w:tc>
              <w:tc>
                <w:tcPr>
                  <w:tcW w:w="1620" w:type="dxa"/>
                  <w:vMerge w:val="restart"/>
                  <w:tcBorders>
                    <w:tl2br w:val="nil"/>
                    <w:tr2bl w:val="nil"/>
                  </w:tcBorders>
                  <w:shd w:val="clear" w:color="auto" w:fill="auto"/>
                  <w:noWrap/>
                  <w:vAlign w:val="center"/>
                </w:tcPr>
                <w:p w14:paraId="25A62C4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23550</w:t>
                  </w:r>
                </w:p>
              </w:tc>
              <w:tc>
                <w:tcPr>
                  <w:tcW w:w="1220" w:type="dxa"/>
                  <w:tcBorders>
                    <w:tl2br w:val="nil"/>
                    <w:tr2bl w:val="nil"/>
                  </w:tcBorders>
                  <w:shd w:val="clear" w:color="auto" w:fill="auto"/>
                  <w:noWrap/>
                  <w:vAlign w:val="center"/>
                </w:tcPr>
                <w:p w14:paraId="4BAFCA3B">
                  <w:pPr>
                    <w:pStyle w:val="33"/>
                    <w:keepNext w:val="0"/>
                    <w:keepLines w:val="0"/>
                    <w:suppressLineNumbers w:val="0"/>
                    <w:bidi w:val="0"/>
                    <w:spacing w:beforeAutospacing="0" w:afterAutospacing="0"/>
                    <w:ind w:left="0" w:right="0"/>
                    <w:rPr>
                      <w:rFonts w:hint="eastAsia"/>
                      <w:color w:val="auto"/>
                    </w:rPr>
                  </w:pPr>
                </w:p>
              </w:tc>
            </w:tr>
            <w:tr w14:paraId="28E16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A1A4D8B">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4C76526E">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17315EE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18875</w:t>
                  </w:r>
                </w:p>
              </w:tc>
              <w:tc>
                <w:tcPr>
                  <w:tcW w:w="1742" w:type="dxa"/>
                  <w:tcBorders>
                    <w:tl2br w:val="nil"/>
                    <w:tr2bl w:val="nil"/>
                  </w:tcBorders>
                  <w:shd w:val="clear" w:color="auto" w:fill="auto"/>
                  <w:noWrap/>
                  <w:vAlign w:val="center"/>
                </w:tcPr>
                <w:p w14:paraId="44CA0AB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18875</w:t>
                  </w:r>
                </w:p>
              </w:tc>
              <w:tc>
                <w:tcPr>
                  <w:tcW w:w="1620" w:type="dxa"/>
                  <w:vMerge w:val="continue"/>
                  <w:tcBorders>
                    <w:tl2br w:val="nil"/>
                    <w:tr2bl w:val="nil"/>
                  </w:tcBorders>
                  <w:shd w:val="clear" w:color="auto" w:fill="auto"/>
                  <w:noWrap/>
                  <w:vAlign w:val="center"/>
                </w:tcPr>
                <w:p w14:paraId="7C72405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3153E31">
                  <w:pPr>
                    <w:pStyle w:val="33"/>
                    <w:keepNext w:val="0"/>
                    <w:keepLines w:val="0"/>
                    <w:suppressLineNumbers w:val="0"/>
                    <w:bidi w:val="0"/>
                    <w:spacing w:beforeAutospacing="0" w:afterAutospacing="0"/>
                    <w:ind w:left="0" w:right="0"/>
                    <w:rPr>
                      <w:rFonts w:hint="eastAsia"/>
                      <w:color w:val="auto"/>
                    </w:rPr>
                  </w:pPr>
                </w:p>
              </w:tc>
            </w:tr>
            <w:tr w14:paraId="429AC2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6FAF66A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A26</w:t>
                  </w:r>
                </w:p>
              </w:tc>
              <w:tc>
                <w:tcPr>
                  <w:tcW w:w="1353" w:type="dxa"/>
                  <w:tcBorders>
                    <w:tl2br w:val="nil"/>
                    <w:tr2bl w:val="nil"/>
                  </w:tcBorders>
                  <w:shd w:val="clear" w:color="auto" w:fill="auto"/>
                  <w:noWrap/>
                  <w:vAlign w:val="center"/>
                </w:tcPr>
                <w:p w14:paraId="57A489AC">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03034F7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4B5AD64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11820</w:t>
                  </w:r>
                </w:p>
              </w:tc>
              <w:tc>
                <w:tcPr>
                  <w:tcW w:w="1620" w:type="dxa"/>
                  <w:vMerge w:val="restart"/>
                  <w:tcBorders>
                    <w:tl2br w:val="nil"/>
                    <w:tr2bl w:val="nil"/>
                  </w:tcBorders>
                  <w:shd w:val="clear" w:color="auto" w:fill="auto"/>
                  <w:noWrap/>
                  <w:vAlign w:val="center"/>
                </w:tcPr>
                <w:p w14:paraId="0231D82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11820</w:t>
                  </w:r>
                </w:p>
              </w:tc>
              <w:tc>
                <w:tcPr>
                  <w:tcW w:w="1220" w:type="dxa"/>
                  <w:tcBorders>
                    <w:tl2br w:val="nil"/>
                    <w:tr2bl w:val="nil"/>
                  </w:tcBorders>
                  <w:shd w:val="clear" w:color="auto" w:fill="auto"/>
                  <w:noWrap/>
                  <w:vAlign w:val="center"/>
                </w:tcPr>
                <w:p w14:paraId="41EE3CF4">
                  <w:pPr>
                    <w:pStyle w:val="33"/>
                    <w:keepNext w:val="0"/>
                    <w:keepLines w:val="0"/>
                    <w:suppressLineNumbers w:val="0"/>
                    <w:bidi w:val="0"/>
                    <w:spacing w:beforeAutospacing="0" w:afterAutospacing="0"/>
                    <w:ind w:left="0" w:right="0"/>
                    <w:rPr>
                      <w:rFonts w:hint="eastAsia"/>
                      <w:color w:val="auto"/>
                    </w:rPr>
                  </w:pPr>
                </w:p>
              </w:tc>
            </w:tr>
            <w:tr w14:paraId="0F55E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5AD5A238">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F70A6D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1ACE211C">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9600</w:t>
                  </w:r>
                </w:p>
              </w:tc>
              <w:tc>
                <w:tcPr>
                  <w:tcW w:w="1742" w:type="dxa"/>
                  <w:tcBorders>
                    <w:tl2br w:val="nil"/>
                    <w:tr2bl w:val="nil"/>
                  </w:tcBorders>
                  <w:shd w:val="clear" w:color="auto" w:fill="auto"/>
                  <w:noWrap/>
                  <w:vAlign w:val="center"/>
                </w:tcPr>
                <w:p w14:paraId="51C0E19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9600</w:t>
                  </w:r>
                </w:p>
              </w:tc>
              <w:tc>
                <w:tcPr>
                  <w:tcW w:w="1620" w:type="dxa"/>
                  <w:vMerge w:val="continue"/>
                  <w:tcBorders>
                    <w:tl2br w:val="nil"/>
                    <w:tr2bl w:val="nil"/>
                  </w:tcBorders>
                  <w:shd w:val="clear" w:color="auto" w:fill="auto"/>
                  <w:noWrap/>
                  <w:vAlign w:val="center"/>
                </w:tcPr>
                <w:p w14:paraId="5C388F25">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291C82B">
                  <w:pPr>
                    <w:pStyle w:val="33"/>
                    <w:keepNext w:val="0"/>
                    <w:keepLines w:val="0"/>
                    <w:suppressLineNumbers w:val="0"/>
                    <w:bidi w:val="0"/>
                    <w:spacing w:beforeAutospacing="0" w:afterAutospacing="0"/>
                    <w:ind w:left="0" w:right="0"/>
                    <w:rPr>
                      <w:rFonts w:hint="eastAsia"/>
                      <w:color w:val="auto"/>
                    </w:rPr>
                  </w:pPr>
                </w:p>
              </w:tc>
            </w:tr>
            <w:tr w14:paraId="57C496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D9109F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A27</w:t>
                  </w:r>
                </w:p>
              </w:tc>
              <w:tc>
                <w:tcPr>
                  <w:tcW w:w="1353" w:type="dxa"/>
                  <w:tcBorders>
                    <w:tl2br w:val="nil"/>
                    <w:tr2bl w:val="nil"/>
                  </w:tcBorders>
                  <w:shd w:val="clear" w:color="auto" w:fill="auto"/>
                  <w:noWrap/>
                  <w:vAlign w:val="center"/>
                </w:tcPr>
                <w:p w14:paraId="069FF76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C074335">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3687A86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23280</w:t>
                  </w:r>
                </w:p>
              </w:tc>
              <w:tc>
                <w:tcPr>
                  <w:tcW w:w="1620" w:type="dxa"/>
                  <w:vMerge w:val="restart"/>
                  <w:tcBorders>
                    <w:tl2br w:val="nil"/>
                    <w:tr2bl w:val="nil"/>
                  </w:tcBorders>
                  <w:shd w:val="clear" w:color="auto" w:fill="auto"/>
                  <w:noWrap/>
                  <w:vAlign w:val="center"/>
                </w:tcPr>
                <w:p w14:paraId="1C7BF2F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23280</w:t>
                  </w:r>
                </w:p>
              </w:tc>
              <w:tc>
                <w:tcPr>
                  <w:tcW w:w="1220" w:type="dxa"/>
                  <w:tcBorders>
                    <w:tl2br w:val="nil"/>
                    <w:tr2bl w:val="nil"/>
                  </w:tcBorders>
                  <w:shd w:val="clear" w:color="auto" w:fill="auto"/>
                  <w:noWrap/>
                  <w:vAlign w:val="center"/>
                </w:tcPr>
                <w:p w14:paraId="3794DDFB">
                  <w:pPr>
                    <w:pStyle w:val="33"/>
                    <w:keepNext w:val="0"/>
                    <w:keepLines w:val="0"/>
                    <w:suppressLineNumbers w:val="0"/>
                    <w:bidi w:val="0"/>
                    <w:spacing w:beforeAutospacing="0" w:afterAutospacing="0"/>
                    <w:ind w:left="0" w:right="0"/>
                    <w:rPr>
                      <w:rFonts w:hint="eastAsia"/>
                      <w:color w:val="auto"/>
                    </w:rPr>
                  </w:pPr>
                </w:p>
              </w:tc>
            </w:tr>
            <w:tr w14:paraId="713FC0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3E98B4F6">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FCFE77A">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EA2DD26">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16140</w:t>
                  </w:r>
                </w:p>
              </w:tc>
              <w:tc>
                <w:tcPr>
                  <w:tcW w:w="1742" w:type="dxa"/>
                  <w:tcBorders>
                    <w:tl2br w:val="nil"/>
                    <w:tr2bl w:val="nil"/>
                  </w:tcBorders>
                  <w:shd w:val="clear" w:color="auto" w:fill="auto"/>
                  <w:noWrap/>
                  <w:vAlign w:val="center"/>
                </w:tcPr>
                <w:p w14:paraId="1906DEF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16140</w:t>
                  </w:r>
                </w:p>
              </w:tc>
              <w:tc>
                <w:tcPr>
                  <w:tcW w:w="1620" w:type="dxa"/>
                  <w:vMerge w:val="continue"/>
                  <w:tcBorders>
                    <w:tl2br w:val="nil"/>
                    <w:tr2bl w:val="nil"/>
                  </w:tcBorders>
                  <w:shd w:val="clear" w:color="auto" w:fill="auto"/>
                  <w:noWrap/>
                  <w:vAlign w:val="center"/>
                </w:tcPr>
                <w:p w14:paraId="7599DA60">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425E307">
                  <w:pPr>
                    <w:pStyle w:val="33"/>
                    <w:keepNext w:val="0"/>
                    <w:keepLines w:val="0"/>
                    <w:suppressLineNumbers w:val="0"/>
                    <w:bidi w:val="0"/>
                    <w:spacing w:beforeAutospacing="0" w:afterAutospacing="0"/>
                    <w:ind w:left="0" w:right="0"/>
                    <w:rPr>
                      <w:rFonts w:hint="eastAsia"/>
                      <w:color w:val="auto"/>
                    </w:rPr>
                  </w:pPr>
                </w:p>
              </w:tc>
            </w:tr>
            <w:tr w14:paraId="1C9619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55FA64A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A28</w:t>
                  </w:r>
                </w:p>
              </w:tc>
              <w:tc>
                <w:tcPr>
                  <w:tcW w:w="1353" w:type="dxa"/>
                  <w:tcBorders>
                    <w:tl2br w:val="nil"/>
                    <w:tr2bl w:val="nil"/>
                  </w:tcBorders>
                  <w:shd w:val="clear" w:color="auto" w:fill="auto"/>
                  <w:noWrap/>
                  <w:vAlign w:val="center"/>
                </w:tcPr>
                <w:p w14:paraId="1DE3A2A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7A537AC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B3C5A8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12930</w:t>
                  </w:r>
                </w:p>
              </w:tc>
              <w:tc>
                <w:tcPr>
                  <w:tcW w:w="1620" w:type="dxa"/>
                  <w:vMerge w:val="restart"/>
                  <w:tcBorders>
                    <w:tl2br w:val="nil"/>
                    <w:tr2bl w:val="nil"/>
                  </w:tcBorders>
                  <w:shd w:val="clear" w:color="auto" w:fill="auto"/>
                  <w:noWrap/>
                  <w:vAlign w:val="center"/>
                </w:tcPr>
                <w:p w14:paraId="64ECA00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12930</w:t>
                  </w:r>
                </w:p>
              </w:tc>
              <w:tc>
                <w:tcPr>
                  <w:tcW w:w="1220" w:type="dxa"/>
                  <w:tcBorders>
                    <w:tl2br w:val="nil"/>
                    <w:tr2bl w:val="nil"/>
                  </w:tcBorders>
                  <w:shd w:val="clear" w:color="auto" w:fill="auto"/>
                  <w:noWrap/>
                  <w:vAlign w:val="center"/>
                </w:tcPr>
                <w:p w14:paraId="2B0A35D1">
                  <w:pPr>
                    <w:pStyle w:val="33"/>
                    <w:keepNext w:val="0"/>
                    <w:keepLines w:val="0"/>
                    <w:suppressLineNumbers w:val="0"/>
                    <w:bidi w:val="0"/>
                    <w:spacing w:beforeAutospacing="0" w:afterAutospacing="0"/>
                    <w:ind w:left="0" w:right="0"/>
                    <w:rPr>
                      <w:rFonts w:hint="eastAsia"/>
                      <w:color w:val="auto"/>
                    </w:rPr>
                  </w:pPr>
                </w:p>
              </w:tc>
            </w:tr>
            <w:tr w14:paraId="73710A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F630C7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9D13623">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764F936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8275</w:t>
                  </w:r>
                </w:p>
              </w:tc>
              <w:tc>
                <w:tcPr>
                  <w:tcW w:w="1742" w:type="dxa"/>
                  <w:tcBorders>
                    <w:tl2br w:val="nil"/>
                    <w:tr2bl w:val="nil"/>
                  </w:tcBorders>
                  <w:shd w:val="clear" w:color="auto" w:fill="auto"/>
                  <w:noWrap/>
                  <w:vAlign w:val="center"/>
                </w:tcPr>
                <w:p w14:paraId="6A65F94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8275</w:t>
                  </w:r>
                </w:p>
              </w:tc>
              <w:tc>
                <w:tcPr>
                  <w:tcW w:w="1620" w:type="dxa"/>
                  <w:vMerge w:val="continue"/>
                  <w:tcBorders>
                    <w:tl2br w:val="nil"/>
                    <w:tr2bl w:val="nil"/>
                  </w:tcBorders>
                  <w:shd w:val="clear" w:color="auto" w:fill="auto"/>
                  <w:noWrap/>
                  <w:vAlign w:val="center"/>
                </w:tcPr>
                <w:p w14:paraId="3C36897F">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0339EF9C">
                  <w:pPr>
                    <w:pStyle w:val="33"/>
                    <w:keepNext w:val="0"/>
                    <w:keepLines w:val="0"/>
                    <w:suppressLineNumbers w:val="0"/>
                    <w:bidi w:val="0"/>
                    <w:spacing w:beforeAutospacing="0" w:afterAutospacing="0"/>
                    <w:ind w:left="0" w:right="0"/>
                    <w:rPr>
                      <w:rFonts w:hint="eastAsia"/>
                      <w:color w:val="auto"/>
                    </w:rPr>
                  </w:pPr>
                </w:p>
              </w:tc>
            </w:tr>
            <w:tr w14:paraId="0E8F9B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C8E8E5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A29</w:t>
                  </w:r>
                </w:p>
              </w:tc>
              <w:tc>
                <w:tcPr>
                  <w:tcW w:w="1353" w:type="dxa"/>
                  <w:tcBorders>
                    <w:tl2br w:val="nil"/>
                    <w:tr2bl w:val="nil"/>
                  </w:tcBorders>
                  <w:shd w:val="clear" w:color="auto" w:fill="auto"/>
                  <w:noWrap/>
                  <w:vAlign w:val="center"/>
                </w:tcPr>
                <w:p w14:paraId="6509EF9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1D91831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E3D395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3105</w:t>
                  </w:r>
                </w:p>
              </w:tc>
              <w:tc>
                <w:tcPr>
                  <w:tcW w:w="1620" w:type="dxa"/>
                  <w:vMerge w:val="restart"/>
                  <w:tcBorders>
                    <w:tl2br w:val="nil"/>
                    <w:tr2bl w:val="nil"/>
                  </w:tcBorders>
                  <w:shd w:val="clear" w:color="auto" w:fill="auto"/>
                  <w:noWrap/>
                  <w:vAlign w:val="center"/>
                </w:tcPr>
                <w:p w14:paraId="6BE5897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8213</w:t>
                  </w:r>
                </w:p>
              </w:tc>
              <w:tc>
                <w:tcPr>
                  <w:tcW w:w="1220" w:type="dxa"/>
                  <w:tcBorders>
                    <w:tl2br w:val="nil"/>
                    <w:tr2bl w:val="nil"/>
                  </w:tcBorders>
                  <w:shd w:val="clear" w:color="auto" w:fill="auto"/>
                  <w:noWrap/>
                  <w:vAlign w:val="center"/>
                </w:tcPr>
                <w:p w14:paraId="5BE85289">
                  <w:pPr>
                    <w:pStyle w:val="33"/>
                    <w:keepNext w:val="0"/>
                    <w:keepLines w:val="0"/>
                    <w:suppressLineNumbers w:val="0"/>
                    <w:bidi w:val="0"/>
                    <w:spacing w:beforeAutospacing="0" w:afterAutospacing="0"/>
                    <w:ind w:left="0" w:right="0"/>
                    <w:rPr>
                      <w:rFonts w:hint="eastAsia"/>
                      <w:color w:val="auto"/>
                    </w:rPr>
                  </w:pPr>
                </w:p>
              </w:tc>
            </w:tr>
            <w:tr w14:paraId="2E1C40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3846C62F">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1EF4FA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6B69447F">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022464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4560</w:t>
                  </w:r>
                </w:p>
              </w:tc>
              <w:tc>
                <w:tcPr>
                  <w:tcW w:w="1620" w:type="dxa"/>
                  <w:vMerge w:val="continue"/>
                  <w:tcBorders>
                    <w:tl2br w:val="nil"/>
                    <w:tr2bl w:val="nil"/>
                  </w:tcBorders>
                  <w:shd w:val="clear" w:color="auto" w:fill="auto"/>
                  <w:noWrap/>
                  <w:vAlign w:val="center"/>
                </w:tcPr>
                <w:p w14:paraId="23356DF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30600D4">
                  <w:pPr>
                    <w:pStyle w:val="33"/>
                    <w:keepNext w:val="0"/>
                    <w:keepLines w:val="0"/>
                    <w:suppressLineNumbers w:val="0"/>
                    <w:bidi w:val="0"/>
                    <w:spacing w:beforeAutospacing="0" w:afterAutospacing="0"/>
                    <w:ind w:left="0" w:right="0"/>
                    <w:rPr>
                      <w:rFonts w:hint="eastAsia"/>
                      <w:color w:val="auto"/>
                    </w:rPr>
                  </w:pPr>
                </w:p>
              </w:tc>
            </w:tr>
            <w:tr w14:paraId="0FD5BA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6EC288E">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A98E347">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5A074DE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1926</w:t>
                  </w:r>
                </w:p>
              </w:tc>
              <w:tc>
                <w:tcPr>
                  <w:tcW w:w="1742" w:type="dxa"/>
                  <w:tcBorders>
                    <w:tl2br w:val="nil"/>
                    <w:tr2bl w:val="nil"/>
                  </w:tcBorders>
                  <w:shd w:val="clear" w:color="auto" w:fill="auto"/>
                  <w:noWrap/>
                  <w:vAlign w:val="center"/>
                </w:tcPr>
                <w:p w14:paraId="296C861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2474</w:t>
                  </w:r>
                </w:p>
              </w:tc>
              <w:tc>
                <w:tcPr>
                  <w:tcW w:w="1620" w:type="dxa"/>
                  <w:vMerge w:val="continue"/>
                  <w:tcBorders>
                    <w:tl2br w:val="nil"/>
                    <w:tr2bl w:val="nil"/>
                  </w:tcBorders>
                  <w:shd w:val="clear" w:color="auto" w:fill="auto"/>
                  <w:noWrap/>
                  <w:vAlign w:val="center"/>
                </w:tcPr>
                <w:p w14:paraId="1757A2B7">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4B31DD5">
                  <w:pPr>
                    <w:pStyle w:val="33"/>
                    <w:keepNext w:val="0"/>
                    <w:keepLines w:val="0"/>
                    <w:suppressLineNumbers w:val="0"/>
                    <w:bidi w:val="0"/>
                    <w:spacing w:beforeAutospacing="0" w:afterAutospacing="0"/>
                    <w:ind w:left="0" w:right="0"/>
                    <w:rPr>
                      <w:rFonts w:hint="eastAsia"/>
                      <w:color w:val="auto"/>
                    </w:rPr>
                  </w:pPr>
                </w:p>
              </w:tc>
            </w:tr>
            <w:tr w14:paraId="7220F4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2CF1746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A30</w:t>
                  </w:r>
                </w:p>
              </w:tc>
              <w:tc>
                <w:tcPr>
                  <w:tcW w:w="1353" w:type="dxa"/>
                  <w:tcBorders>
                    <w:tl2br w:val="nil"/>
                    <w:tr2bl w:val="nil"/>
                  </w:tcBorders>
                  <w:shd w:val="clear" w:color="auto" w:fill="auto"/>
                  <w:noWrap/>
                  <w:vAlign w:val="center"/>
                </w:tcPr>
                <w:p w14:paraId="08466185">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E51AED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C8F512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7380</w:t>
                  </w:r>
                </w:p>
              </w:tc>
              <w:tc>
                <w:tcPr>
                  <w:tcW w:w="1620" w:type="dxa"/>
                  <w:vMerge w:val="restart"/>
                  <w:tcBorders>
                    <w:tl2br w:val="nil"/>
                    <w:tr2bl w:val="nil"/>
                  </w:tcBorders>
                  <w:shd w:val="clear" w:color="auto" w:fill="auto"/>
                  <w:noWrap/>
                  <w:vAlign w:val="center"/>
                </w:tcPr>
                <w:p w14:paraId="7B6BD18A">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7380</w:t>
                  </w:r>
                </w:p>
              </w:tc>
              <w:tc>
                <w:tcPr>
                  <w:tcW w:w="1220" w:type="dxa"/>
                  <w:tcBorders>
                    <w:tl2br w:val="nil"/>
                    <w:tr2bl w:val="nil"/>
                  </w:tcBorders>
                  <w:shd w:val="clear" w:color="auto" w:fill="auto"/>
                  <w:noWrap/>
                  <w:vAlign w:val="center"/>
                </w:tcPr>
                <w:p w14:paraId="414236A0">
                  <w:pPr>
                    <w:pStyle w:val="33"/>
                    <w:keepNext w:val="0"/>
                    <w:keepLines w:val="0"/>
                    <w:suppressLineNumbers w:val="0"/>
                    <w:bidi w:val="0"/>
                    <w:spacing w:beforeAutospacing="0" w:afterAutospacing="0"/>
                    <w:ind w:left="0" w:right="0"/>
                    <w:rPr>
                      <w:rFonts w:hint="eastAsia"/>
                      <w:color w:val="auto"/>
                    </w:rPr>
                  </w:pPr>
                </w:p>
              </w:tc>
            </w:tr>
            <w:tr w14:paraId="6F881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16B25715">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391B80B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07F965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6400</w:t>
                  </w:r>
                </w:p>
              </w:tc>
              <w:tc>
                <w:tcPr>
                  <w:tcW w:w="1742" w:type="dxa"/>
                  <w:tcBorders>
                    <w:tl2br w:val="nil"/>
                    <w:tr2bl w:val="nil"/>
                  </w:tcBorders>
                  <w:shd w:val="clear" w:color="auto" w:fill="auto"/>
                  <w:noWrap/>
                  <w:vAlign w:val="center"/>
                </w:tcPr>
                <w:p w14:paraId="7FD3394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6400</w:t>
                  </w:r>
                </w:p>
              </w:tc>
              <w:tc>
                <w:tcPr>
                  <w:tcW w:w="1620" w:type="dxa"/>
                  <w:vMerge w:val="continue"/>
                  <w:tcBorders>
                    <w:tl2br w:val="nil"/>
                    <w:tr2bl w:val="nil"/>
                  </w:tcBorders>
                  <w:shd w:val="clear" w:color="auto" w:fill="auto"/>
                  <w:noWrap/>
                  <w:vAlign w:val="center"/>
                </w:tcPr>
                <w:p w14:paraId="2BCC9413">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208A44BE">
                  <w:pPr>
                    <w:pStyle w:val="33"/>
                    <w:keepNext w:val="0"/>
                    <w:keepLines w:val="0"/>
                    <w:suppressLineNumbers w:val="0"/>
                    <w:bidi w:val="0"/>
                    <w:spacing w:beforeAutospacing="0" w:afterAutospacing="0"/>
                    <w:ind w:left="0" w:right="0"/>
                    <w:rPr>
                      <w:rFonts w:hint="eastAsia"/>
                      <w:color w:val="auto"/>
                    </w:rPr>
                  </w:pPr>
                </w:p>
              </w:tc>
            </w:tr>
            <w:tr w14:paraId="01500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405222A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A31</w:t>
                  </w:r>
                </w:p>
              </w:tc>
              <w:tc>
                <w:tcPr>
                  <w:tcW w:w="1353" w:type="dxa"/>
                  <w:tcBorders>
                    <w:tl2br w:val="nil"/>
                    <w:tr2bl w:val="nil"/>
                  </w:tcBorders>
                  <w:shd w:val="clear" w:color="auto" w:fill="auto"/>
                  <w:noWrap/>
                  <w:vAlign w:val="center"/>
                </w:tcPr>
                <w:p w14:paraId="5D6399F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采坑回填</w:t>
                  </w:r>
                </w:p>
              </w:tc>
              <w:tc>
                <w:tcPr>
                  <w:tcW w:w="1061" w:type="dxa"/>
                  <w:tcBorders>
                    <w:tl2br w:val="nil"/>
                    <w:tr2bl w:val="nil"/>
                  </w:tcBorders>
                  <w:shd w:val="clear" w:color="auto" w:fill="auto"/>
                  <w:noWrap/>
                  <w:vAlign w:val="center"/>
                </w:tcPr>
                <w:p w14:paraId="2BFF044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6BBB23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3472</w:t>
                  </w:r>
                </w:p>
              </w:tc>
              <w:tc>
                <w:tcPr>
                  <w:tcW w:w="1620" w:type="dxa"/>
                  <w:vMerge w:val="restart"/>
                  <w:tcBorders>
                    <w:tl2br w:val="nil"/>
                    <w:tr2bl w:val="nil"/>
                  </w:tcBorders>
                  <w:shd w:val="clear" w:color="auto" w:fill="auto"/>
                  <w:noWrap/>
                  <w:vAlign w:val="center"/>
                </w:tcPr>
                <w:p w14:paraId="47B0753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12014</w:t>
                  </w:r>
                </w:p>
              </w:tc>
              <w:tc>
                <w:tcPr>
                  <w:tcW w:w="1220" w:type="dxa"/>
                  <w:tcBorders>
                    <w:tl2br w:val="nil"/>
                    <w:tr2bl w:val="nil"/>
                  </w:tcBorders>
                  <w:shd w:val="clear" w:color="auto" w:fill="auto"/>
                  <w:noWrap/>
                  <w:vAlign w:val="center"/>
                </w:tcPr>
                <w:p w14:paraId="016A091E">
                  <w:pPr>
                    <w:pStyle w:val="33"/>
                    <w:keepNext w:val="0"/>
                    <w:keepLines w:val="0"/>
                    <w:suppressLineNumbers w:val="0"/>
                    <w:bidi w:val="0"/>
                    <w:spacing w:beforeAutospacing="0" w:afterAutospacing="0"/>
                    <w:ind w:left="0" w:right="0"/>
                    <w:rPr>
                      <w:rFonts w:hint="eastAsia"/>
                      <w:color w:val="auto"/>
                    </w:rPr>
                  </w:pPr>
                </w:p>
              </w:tc>
            </w:tr>
            <w:tr w14:paraId="437EDC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EABBD2E">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431B07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79BED68">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EBD0A7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5520</w:t>
                  </w:r>
                </w:p>
              </w:tc>
              <w:tc>
                <w:tcPr>
                  <w:tcW w:w="1620" w:type="dxa"/>
                  <w:vMerge w:val="continue"/>
                  <w:tcBorders>
                    <w:tl2br w:val="nil"/>
                    <w:tr2bl w:val="nil"/>
                  </w:tcBorders>
                  <w:shd w:val="clear" w:color="auto" w:fill="auto"/>
                  <w:noWrap/>
                  <w:vAlign w:val="center"/>
                </w:tcPr>
                <w:p w14:paraId="380C27E3">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A911293">
                  <w:pPr>
                    <w:pStyle w:val="33"/>
                    <w:keepNext w:val="0"/>
                    <w:keepLines w:val="0"/>
                    <w:suppressLineNumbers w:val="0"/>
                    <w:bidi w:val="0"/>
                    <w:spacing w:beforeAutospacing="0" w:afterAutospacing="0"/>
                    <w:ind w:left="0" w:right="0"/>
                    <w:rPr>
                      <w:rFonts w:hint="eastAsia"/>
                      <w:color w:val="auto"/>
                    </w:rPr>
                  </w:pPr>
                </w:p>
              </w:tc>
            </w:tr>
            <w:tr w14:paraId="4F9E54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4443C692">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12D6570">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3A3586F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6619</w:t>
                  </w:r>
                </w:p>
              </w:tc>
              <w:tc>
                <w:tcPr>
                  <w:tcW w:w="1742" w:type="dxa"/>
                  <w:tcBorders>
                    <w:tl2br w:val="nil"/>
                    <w:tr2bl w:val="nil"/>
                  </w:tcBorders>
                  <w:shd w:val="clear" w:color="auto" w:fill="auto"/>
                  <w:noWrap/>
                  <w:vAlign w:val="center"/>
                </w:tcPr>
                <w:p w14:paraId="486B081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9641</w:t>
                  </w:r>
                </w:p>
              </w:tc>
              <w:tc>
                <w:tcPr>
                  <w:tcW w:w="1620" w:type="dxa"/>
                  <w:vMerge w:val="continue"/>
                  <w:tcBorders>
                    <w:tl2br w:val="nil"/>
                    <w:tr2bl w:val="nil"/>
                  </w:tcBorders>
                  <w:shd w:val="clear" w:color="auto" w:fill="auto"/>
                  <w:noWrap/>
                  <w:vAlign w:val="center"/>
                </w:tcPr>
                <w:p w14:paraId="16BE08D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43EAFA02">
                  <w:pPr>
                    <w:pStyle w:val="33"/>
                    <w:keepNext w:val="0"/>
                    <w:keepLines w:val="0"/>
                    <w:suppressLineNumbers w:val="0"/>
                    <w:bidi w:val="0"/>
                    <w:spacing w:beforeAutospacing="0" w:afterAutospacing="0"/>
                    <w:ind w:left="0" w:right="0"/>
                    <w:rPr>
                      <w:rFonts w:hint="eastAsia"/>
                      <w:color w:val="auto"/>
                    </w:rPr>
                  </w:pPr>
                </w:p>
              </w:tc>
            </w:tr>
            <w:tr w14:paraId="757E5A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3EEC568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A32</w:t>
                  </w:r>
                </w:p>
              </w:tc>
              <w:tc>
                <w:tcPr>
                  <w:tcW w:w="1353" w:type="dxa"/>
                  <w:tcBorders>
                    <w:tl2br w:val="nil"/>
                    <w:tr2bl w:val="nil"/>
                  </w:tcBorders>
                  <w:shd w:val="clear" w:color="auto" w:fill="auto"/>
                  <w:noWrap/>
                  <w:vAlign w:val="center"/>
                </w:tcPr>
                <w:p w14:paraId="2D3B0714">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64AD5046">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410AD27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1920</w:t>
                  </w:r>
                </w:p>
              </w:tc>
              <w:tc>
                <w:tcPr>
                  <w:tcW w:w="1620" w:type="dxa"/>
                  <w:vMerge w:val="restart"/>
                  <w:tcBorders>
                    <w:tl2br w:val="nil"/>
                    <w:tr2bl w:val="nil"/>
                  </w:tcBorders>
                  <w:shd w:val="clear" w:color="auto" w:fill="auto"/>
                  <w:noWrap/>
                  <w:vAlign w:val="center"/>
                </w:tcPr>
                <w:p w14:paraId="08018EE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1920</w:t>
                  </w:r>
                </w:p>
              </w:tc>
              <w:tc>
                <w:tcPr>
                  <w:tcW w:w="1220" w:type="dxa"/>
                  <w:tcBorders>
                    <w:tl2br w:val="nil"/>
                    <w:tr2bl w:val="nil"/>
                  </w:tcBorders>
                  <w:shd w:val="clear" w:color="auto" w:fill="auto"/>
                  <w:noWrap/>
                  <w:vAlign w:val="center"/>
                </w:tcPr>
                <w:p w14:paraId="463EE10B">
                  <w:pPr>
                    <w:pStyle w:val="33"/>
                    <w:keepNext w:val="0"/>
                    <w:keepLines w:val="0"/>
                    <w:suppressLineNumbers w:val="0"/>
                    <w:bidi w:val="0"/>
                    <w:spacing w:beforeAutospacing="0" w:afterAutospacing="0"/>
                    <w:ind w:left="0" w:right="0"/>
                    <w:rPr>
                      <w:rFonts w:hint="eastAsia"/>
                      <w:color w:val="auto"/>
                    </w:rPr>
                  </w:pPr>
                </w:p>
              </w:tc>
            </w:tr>
            <w:tr w14:paraId="5312F7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2ADEAD9">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08DDFBCD">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19EABC8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1800</w:t>
                  </w:r>
                </w:p>
              </w:tc>
              <w:tc>
                <w:tcPr>
                  <w:tcW w:w="1742" w:type="dxa"/>
                  <w:tcBorders>
                    <w:tl2br w:val="nil"/>
                    <w:tr2bl w:val="nil"/>
                  </w:tcBorders>
                  <w:shd w:val="clear" w:color="auto" w:fill="auto"/>
                  <w:noWrap/>
                  <w:vAlign w:val="center"/>
                </w:tcPr>
                <w:p w14:paraId="20B891C1">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1800</w:t>
                  </w:r>
                </w:p>
              </w:tc>
              <w:tc>
                <w:tcPr>
                  <w:tcW w:w="1620" w:type="dxa"/>
                  <w:vMerge w:val="continue"/>
                  <w:tcBorders>
                    <w:tl2br w:val="nil"/>
                    <w:tr2bl w:val="nil"/>
                  </w:tcBorders>
                  <w:shd w:val="clear" w:color="auto" w:fill="auto"/>
                  <w:noWrap/>
                  <w:vAlign w:val="center"/>
                </w:tcPr>
                <w:p w14:paraId="75698F89">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B949DA3">
                  <w:pPr>
                    <w:pStyle w:val="33"/>
                    <w:keepNext w:val="0"/>
                    <w:keepLines w:val="0"/>
                    <w:suppressLineNumbers w:val="0"/>
                    <w:bidi w:val="0"/>
                    <w:spacing w:beforeAutospacing="0" w:afterAutospacing="0"/>
                    <w:ind w:left="0" w:right="0"/>
                    <w:rPr>
                      <w:rFonts w:hint="eastAsia"/>
                      <w:color w:val="auto"/>
                    </w:rPr>
                  </w:pPr>
                </w:p>
              </w:tc>
            </w:tr>
            <w:tr w14:paraId="54C8B8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05900707">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A33</w:t>
                  </w:r>
                </w:p>
              </w:tc>
              <w:tc>
                <w:tcPr>
                  <w:tcW w:w="1353" w:type="dxa"/>
                  <w:tcBorders>
                    <w:tl2br w:val="nil"/>
                    <w:tr2bl w:val="nil"/>
                  </w:tcBorders>
                  <w:shd w:val="clear" w:color="auto" w:fill="auto"/>
                  <w:noWrap/>
                  <w:vAlign w:val="center"/>
                </w:tcPr>
                <w:p w14:paraId="186D2C48">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土方回填</w:t>
                  </w:r>
                </w:p>
              </w:tc>
              <w:tc>
                <w:tcPr>
                  <w:tcW w:w="1061" w:type="dxa"/>
                  <w:tcBorders>
                    <w:tl2br w:val="nil"/>
                    <w:tr2bl w:val="nil"/>
                  </w:tcBorders>
                  <w:shd w:val="clear" w:color="auto" w:fill="auto"/>
                  <w:noWrap/>
                  <w:vAlign w:val="center"/>
                </w:tcPr>
                <w:p w14:paraId="2718CD70">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71E97F9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2591</w:t>
                  </w:r>
                </w:p>
              </w:tc>
              <w:tc>
                <w:tcPr>
                  <w:tcW w:w="1620" w:type="dxa"/>
                  <w:vMerge w:val="restart"/>
                  <w:tcBorders>
                    <w:tl2br w:val="nil"/>
                    <w:tr2bl w:val="nil"/>
                  </w:tcBorders>
                  <w:shd w:val="clear" w:color="auto" w:fill="auto"/>
                  <w:noWrap/>
                  <w:vAlign w:val="center"/>
                </w:tcPr>
                <w:p w14:paraId="1065FA44">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13979</w:t>
                  </w:r>
                </w:p>
              </w:tc>
              <w:tc>
                <w:tcPr>
                  <w:tcW w:w="1220" w:type="dxa"/>
                  <w:tcBorders>
                    <w:tl2br w:val="nil"/>
                    <w:tr2bl w:val="nil"/>
                  </w:tcBorders>
                  <w:shd w:val="clear" w:color="auto" w:fill="auto"/>
                  <w:noWrap/>
                  <w:vAlign w:val="center"/>
                </w:tcPr>
                <w:p w14:paraId="309EAB03">
                  <w:pPr>
                    <w:pStyle w:val="33"/>
                    <w:keepNext w:val="0"/>
                    <w:keepLines w:val="0"/>
                    <w:suppressLineNumbers w:val="0"/>
                    <w:bidi w:val="0"/>
                    <w:spacing w:beforeAutospacing="0" w:afterAutospacing="0"/>
                    <w:ind w:left="0" w:right="0"/>
                    <w:rPr>
                      <w:rFonts w:hint="eastAsia"/>
                      <w:color w:val="auto"/>
                    </w:rPr>
                  </w:pPr>
                </w:p>
              </w:tc>
            </w:tr>
            <w:tr w14:paraId="31595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2791498F">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27407B31">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73D72D4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2FE93C3">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8340</w:t>
                  </w:r>
                </w:p>
              </w:tc>
              <w:tc>
                <w:tcPr>
                  <w:tcW w:w="1620" w:type="dxa"/>
                  <w:vMerge w:val="continue"/>
                  <w:tcBorders>
                    <w:tl2br w:val="nil"/>
                    <w:tr2bl w:val="nil"/>
                  </w:tcBorders>
                  <w:shd w:val="clear" w:color="auto" w:fill="auto"/>
                  <w:noWrap/>
                  <w:vAlign w:val="center"/>
                </w:tcPr>
                <w:p w14:paraId="1E821940">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78D1A0A8">
                  <w:pPr>
                    <w:pStyle w:val="33"/>
                    <w:keepNext w:val="0"/>
                    <w:keepLines w:val="0"/>
                    <w:suppressLineNumbers w:val="0"/>
                    <w:bidi w:val="0"/>
                    <w:spacing w:beforeAutospacing="0" w:afterAutospacing="0"/>
                    <w:ind w:left="0" w:right="0"/>
                    <w:rPr>
                      <w:rFonts w:hint="eastAsia"/>
                      <w:color w:val="auto"/>
                    </w:rPr>
                  </w:pPr>
                </w:p>
              </w:tc>
            </w:tr>
            <w:tr w14:paraId="71EDE3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76428414">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6525C292">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培坡护坡</w:t>
                  </w:r>
                </w:p>
              </w:tc>
              <w:tc>
                <w:tcPr>
                  <w:tcW w:w="1061" w:type="dxa"/>
                  <w:tcBorders>
                    <w:tl2br w:val="nil"/>
                    <w:tr2bl w:val="nil"/>
                  </w:tcBorders>
                  <w:shd w:val="clear" w:color="auto" w:fill="auto"/>
                  <w:noWrap/>
                  <w:vAlign w:val="center"/>
                </w:tcPr>
                <w:p w14:paraId="4D5F35AC">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6EE5F01B">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2590</w:t>
                  </w:r>
                </w:p>
              </w:tc>
              <w:tc>
                <w:tcPr>
                  <w:tcW w:w="1620" w:type="dxa"/>
                  <w:vMerge w:val="continue"/>
                  <w:tcBorders>
                    <w:tl2br w:val="nil"/>
                    <w:tr2bl w:val="nil"/>
                  </w:tcBorders>
                  <w:shd w:val="clear" w:color="auto" w:fill="auto"/>
                  <w:noWrap/>
                  <w:vAlign w:val="center"/>
                </w:tcPr>
                <w:p w14:paraId="4A87B1E6">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511EA0C6">
                  <w:pPr>
                    <w:pStyle w:val="33"/>
                    <w:keepNext w:val="0"/>
                    <w:keepLines w:val="0"/>
                    <w:suppressLineNumbers w:val="0"/>
                    <w:bidi w:val="0"/>
                    <w:spacing w:beforeAutospacing="0" w:afterAutospacing="0"/>
                    <w:ind w:left="0" w:right="0"/>
                    <w:rPr>
                      <w:rFonts w:hint="eastAsia"/>
                      <w:color w:val="auto"/>
                    </w:rPr>
                  </w:pPr>
                </w:p>
              </w:tc>
            </w:tr>
            <w:tr w14:paraId="2CDAE1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188E9809">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6EC1F20">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C57FD70">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11721</w:t>
                  </w:r>
                </w:p>
              </w:tc>
              <w:tc>
                <w:tcPr>
                  <w:tcW w:w="1742" w:type="dxa"/>
                  <w:tcBorders>
                    <w:tl2br w:val="nil"/>
                    <w:tr2bl w:val="nil"/>
                  </w:tcBorders>
                  <w:shd w:val="clear" w:color="auto" w:fill="auto"/>
                  <w:noWrap/>
                  <w:vAlign w:val="center"/>
                </w:tcPr>
                <w:p w14:paraId="645A691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12179</w:t>
                  </w:r>
                </w:p>
              </w:tc>
              <w:tc>
                <w:tcPr>
                  <w:tcW w:w="1620" w:type="dxa"/>
                  <w:vMerge w:val="continue"/>
                  <w:tcBorders>
                    <w:tl2br w:val="nil"/>
                    <w:tr2bl w:val="nil"/>
                  </w:tcBorders>
                  <w:shd w:val="clear" w:color="auto" w:fill="auto"/>
                  <w:noWrap/>
                  <w:vAlign w:val="center"/>
                </w:tcPr>
                <w:p w14:paraId="6C764FA3">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6530908B">
                  <w:pPr>
                    <w:pStyle w:val="33"/>
                    <w:keepNext w:val="0"/>
                    <w:keepLines w:val="0"/>
                    <w:suppressLineNumbers w:val="0"/>
                    <w:bidi w:val="0"/>
                    <w:spacing w:beforeAutospacing="0" w:afterAutospacing="0"/>
                    <w:ind w:left="0" w:right="0"/>
                    <w:rPr>
                      <w:rFonts w:hint="eastAsia"/>
                      <w:color w:val="auto"/>
                    </w:rPr>
                  </w:pPr>
                </w:p>
              </w:tc>
            </w:tr>
            <w:tr w14:paraId="15626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0A1AE3B5">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A34</w:t>
                  </w:r>
                </w:p>
              </w:tc>
              <w:tc>
                <w:tcPr>
                  <w:tcW w:w="1353" w:type="dxa"/>
                  <w:tcBorders>
                    <w:tl2br w:val="nil"/>
                    <w:tr2bl w:val="nil"/>
                  </w:tcBorders>
                  <w:shd w:val="clear" w:color="auto" w:fill="auto"/>
                  <w:noWrap/>
                  <w:vAlign w:val="center"/>
                </w:tcPr>
                <w:p w14:paraId="4ACFF456">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178A4B3D">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0CA03D2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59070</w:t>
                  </w:r>
                </w:p>
              </w:tc>
              <w:tc>
                <w:tcPr>
                  <w:tcW w:w="1620" w:type="dxa"/>
                  <w:tcBorders>
                    <w:tl2br w:val="nil"/>
                    <w:tr2bl w:val="nil"/>
                  </w:tcBorders>
                  <w:shd w:val="clear" w:color="auto" w:fill="auto"/>
                  <w:noWrap/>
                  <w:vAlign w:val="center"/>
                </w:tcPr>
                <w:p w14:paraId="544CF958">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59070</w:t>
                  </w:r>
                </w:p>
              </w:tc>
              <w:tc>
                <w:tcPr>
                  <w:tcW w:w="1220" w:type="dxa"/>
                  <w:tcBorders>
                    <w:tl2br w:val="nil"/>
                    <w:tr2bl w:val="nil"/>
                  </w:tcBorders>
                  <w:shd w:val="clear" w:color="auto" w:fill="auto"/>
                  <w:noWrap/>
                  <w:vAlign w:val="center"/>
                </w:tcPr>
                <w:p w14:paraId="120B0CD0">
                  <w:pPr>
                    <w:pStyle w:val="33"/>
                    <w:keepNext w:val="0"/>
                    <w:keepLines w:val="0"/>
                    <w:suppressLineNumbers w:val="0"/>
                    <w:bidi w:val="0"/>
                    <w:spacing w:beforeAutospacing="0" w:afterAutospacing="0"/>
                    <w:ind w:left="0" w:right="0"/>
                    <w:rPr>
                      <w:rFonts w:hint="eastAsia"/>
                      <w:color w:val="auto"/>
                    </w:rPr>
                  </w:pPr>
                </w:p>
              </w:tc>
            </w:tr>
            <w:tr w14:paraId="76E040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continue"/>
                  <w:tcBorders>
                    <w:tl2br w:val="nil"/>
                    <w:tr2bl w:val="nil"/>
                  </w:tcBorders>
                  <w:shd w:val="clear" w:color="auto" w:fill="auto"/>
                  <w:vAlign w:val="center"/>
                </w:tcPr>
                <w:p w14:paraId="666925BC">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4A4E2677">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0BF862ED">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35625</w:t>
                  </w:r>
                </w:p>
              </w:tc>
              <w:tc>
                <w:tcPr>
                  <w:tcW w:w="1742" w:type="dxa"/>
                  <w:tcBorders>
                    <w:tl2br w:val="nil"/>
                    <w:tr2bl w:val="nil"/>
                  </w:tcBorders>
                  <w:shd w:val="clear" w:color="auto" w:fill="auto"/>
                  <w:noWrap/>
                  <w:vAlign w:val="center"/>
                </w:tcPr>
                <w:p w14:paraId="48421AD9">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35625</w:t>
                  </w:r>
                </w:p>
              </w:tc>
              <w:tc>
                <w:tcPr>
                  <w:tcW w:w="1620" w:type="dxa"/>
                  <w:tcBorders>
                    <w:tl2br w:val="nil"/>
                    <w:tr2bl w:val="nil"/>
                  </w:tcBorders>
                  <w:shd w:val="clear" w:color="auto" w:fill="auto"/>
                  <w:noWrap/>
                  <w:vAlign w:val="center"/>
                </w:tcPr>
                <w:p w14:paraId="1F58DA69">
                  <w:pPr>
                    <w:pStyle w:val="33"/>
                    <w:keepNext w:val="0"/>
                    <w:keepLines w:val="0"/>
                    <w:suppressLineNumbers w:val="0"/>
                    <w:bidi w:val="0"/>
                    <w:spacing w:beforeAutospacing="0" w:afterAutospacing="0"/>
                    <w:ind w:left="0" w:right="0"/>
                    <w:rPr>
                      <w:rFonts w:hint="eastAsia"/>
                      <w:color w:val="auto"/>
                    </w:rPr>
                  </w:pPr>
                </w:p>
              </w:tc>
              <w:tc>
                <w:tcPr>
                  <w:tcW w:w="1220" w:type="dxa"/>
                  <w:tcBorders>
                    <w:tl2br w:val="nil"/>
                    <w:tr2bl w:val="nil"/>
                  </w:tcBorders>
                  <w:shd w:val="clear" w:color="auto" w:fill="auto"/>
                  <w:noWrap/>
                  <w:vAlign w:val="center"/>
                </w:tcPr>
                <w:p w14:paraId="5690EAF6">
                  <w:pPr>
                    <w:pStyle w:val="33"/>
                    <w:keepNext w:val="0"/>
                    <w:keepLines w:val="0"/>
                    <w:suppressLineNumbers w:val="0"/>
                    <w:bidi w:val="0"/>
                    <w:spacing w:beforeAutospacing="0" w:afterAutospacing="0"/>
                    <w:ind w:left="0" w:right="0"/>
                    <w:rPr>
                      <w:rFonts w:hint="eastAsia"/>
                      <w:color w:val="auto"/>
                    </w:rPr>
                  </w:pPr>
                </w:p>
              </w:tc>
            </w:tr>
            <w:tr w14:paraId="09778F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21" w:type="dxa"/>
                  <w:vMerge w:val="restart"/>
                  <w:tcBorders>
                    <w:tl2br w:val="nil"/>
                    <w:tr2bl w:val="nil"/>
                  </w:tcBorders>
                  <w:shd w:val="clear" w:color="auto" w:fill="auto"/>
                  <w:vAlign w:val="center"/>
                </w:tcPr>
                <w:p w14:paraId="5575681F">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A35</w:t>
                  </w:r>
                </w:p>
              </w:tc>
              <w:tc>
                <w:tcPr>
                  <w:tcW w:w="1353" w:type="dxa"/>
                  <w:tcBorders>
                    <w:tl2br w:val="nil"/>
                    <w:tr2bl w:val="nil"/>
                  </w:tcBorders>
                  <w:shd w:val="clear" w:color="auto" w:fill="auto"/>
                  <w:noWrap/>
                  <w:vAlign w:val="center"/>
                </w:tcPr>
                <w:p w14:paraId="1CC4B2E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覆土工程</w:t>
                  </w:r>
                </w:p>
              </w:tc>
              <w:tc>
                <w:tcPr>
                  <w:tcW w:w="1061" w:type="dxa"/>
                  <w:tcBorders>
                    <w:tl2br w:val="nil"/>
                    <w:tr2bl w:val="nil"/>
                  </w:tcBorders>
                  <w:shd w:val="clear" w:color="auto" w:fill="auto"/>
                  <w:noWrap/>
                  <w:vAlign w:val="center"/>
                </w:tcPr>
                <w:p w14:paraId="4DE56D05">
                  <w:pPr>
                    <w:pStyle w:val="33"/>
                    <w:keepNext w:val="0"/>
                    <w:keepLines w:val="0"/>
                    <w:suppressLineNumbers w:val="0"/>
                    <w:bidi w:val="0"/>
                    <w:spacing w:beforeAutospacing="0" w:afterAutospacing="0"/>
                    <w:ind w:left="0" w:right="0"/>
                    <w:rPr>
                      <w:rFonts w:hint="eastAsia"/>
                      <w:color w:val="auto"/>
                    </w:rPr>
                  </w:pPr>
                </w:p>
              </w:tc>
              <w:tc>
                <w:tcPr>
                  <w:tcW w:w="1742" w:type="dxa"/>
                  <w:tcBorders>
                    <w:tl2br w:val="nil"/>
                    <w:tr2bl w:val="nil"/>
                  </w:tcBorders>
                  <w:shd w:val="clear" w:color="auto" w:fill="auto"/>
                  <w:noWrap/>
                  <w:vAlign w:val="center"/>
                </w:tcPr>
                <w:p w14:paraId="2E2F708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3120</w:t>
                  </w:r>
                </w:p>
              </w:tc>
              <w:tc>
                <w:tcPr>
                  <w:tcW w:w="1620" w:type="dxa"/>
                  <w:vMerge w:val="restart"/>
                  <w:tcBorders>
                    <w:tl2br w:val="nil"/>
                    <w:tr2bl w:val="nil"/>
                  </w:tcBorders>
                  <w:shd w:val="clear" w:color="auto" w:fill="auto"/>
                  <w:noWrap/>
                  <w:vAlign w:val="center"/>
                </w:tcPr>
                <w:p w14:paraId="54947B5B">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3120</w:t>
                  </w:r>
                </w:p>
              </w:tc>
              <w:tc>
                <w:tcPr>
                  <w:tcW w:w="1220" w:type="dxa"/>
                  <w:tcBorders>
                    <w:tl2br w:val="nil"/>
                    <w:tr2bl w:val="nil"/>
                  </w:tcBorders>
                  <w:shd w:val="clear" w:color="auto" w:fill="auto"/>
                  <w:noWrap/>
                  <w:vAlign w:val="center"/>
                </w:tcPr>
                <w:p w14:paraId="0C347963">
                  <w:pPr>
                    <w:pStyle w:val="33"/>
                    <w:keepNext w:val="0"/>
                    <w:keepLines w:val="0"/>
                    <w:suppressLineNumbers w:val="0"/>
                    <w:bidi w:val="0"/>
                    <w:spacing w:beforeAutospacing="0" w:afterAutospacing="0"/>
                    <w:ind w:left="0" w:right="0"/>
                    <w:rPr>
                      <w:rFonts w:hint="eastAsia"/>
                      <w:color w:val="auto"/>
                    </w:rPr>
                  </w:pPr>
                </w:p>
              </w:tc>
            </w:tr>
            <w:tr w14:paraId="4AA670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221" w:type="dxa"/>
                  <w:vMerge w:val="continue"/>
                  <w:tcBorders>
                    <w:tl2br w:val="nil"/>
                    <w:tr2bl w:val="nil"/>
                  </w:tcBorders>
                  <w:shd w:val="clear" w:color="auto" w:fill="auto"/>
                  <w:vAlign w:val="center"/>
                </w:tcPr>
                <w:p w14:paraId="74BAB730">
                  <w:pPr>
                    <w:pStyle w:val="33"/>
                    <w:keepNext w:val="0"/>
                    <w:keepLines w:val="0"/>
                    <w:suppressLineNumbers w:val="0"/>
                    <w:bidi w:val="0"/>
                    <w:spacing w:beforeAutospacing="0" w:afterAutospacing="0"/>
                    <w:ind w:left="0" w:right="0"/>
                    <w:rPr>
                      <w:rFonts w:hint="default"/>
                      <w:color w:val="auto"/>
                    </w:rPr>
                  </w:pPr>
                </w:p>
              </w:tc>
              <w:tc>
                <w:tcPr>
                  <w:tcW w:w="1353" w:type="dxa"/>
                  <w:tcBorders>
                    <w:tl2br w:val="nil"/>
                    <w:tr2bl w:val="nil"/>
                  </w:tcBorders>
                  <w:shd w:val="clear" w:color="auto" w:fill="auto"/>
                  <w:noWrap/>
                  <w:vAlign w:val="center"/>
                </w:tcPr>
                <w:p w14:paraId="1DF2DC8F">
                  <w:pPr>
                    <w:pStyle w:val="33"/>
                    <w:keepNext w:val="0"/>
                    <w:keepLines w:val="0"/>
                    <w:suppressLineNumbers w:val="0"/>
                    <w:bidi w:val="0"/>
                    <w:spacing w:beforeAutospacing="0" w:afterAutospacing="0"/>
                    <w:ind w:left="0" w:right="0"/>
                    <w:rPr>
                      <w:rFonts w:hint="eastAsia"/>
                      <w:color w:val="auto"/>
                    </w:rPr>
                  </w:pPr>
                  <w:r>
                    <w:rPr>
                      <w:rFonts w:hint="eastAsia"/>
                      <w:color w:val="auto"/>
                      <w:lang w:val="en-US" w:eastAsia="zh-CN"/>
                    </w:rPr>
                    <w:t>场地平整</w:t>
                  </w:r>
                </w:p>
              </w:tc>
              <w:tc>
                <w:tcPr>
                  <w:tcW w:w="1061" w:type="dxa"/>
                  <w:tcBorders>
                    <w:tl2br w:val="nil"/>
                    <w:tr2bl w:val="nil"/>
                  </w:tcBorders>
                  <w:shd w:val="clear" w:color="auto" w:fill="auto"/>
                  <w:noWrap/>
                  <w:vAlign w:val="center"/>
                </w:tcPr>
                <w:p w14:paraId="26371CD2">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1680</w:t>
                  </w:r>
                </w:p>
              </w:tc>
              <w:tc>
                <w:tcPr>
                  <w:tcW w:w="1742" w:type="dxa"/>
                  <w:tcBorders>
                    <w:tl2br w:val="nil"/>
                    <w:tr2bl w:val="nil"/>
                  </w:tcBorders>
                  <w:shd w:val="clear" w:color="auto" w:fill="auto"/>
                  <w:noWrap/>
                  <w:vAlign w:val="center"/>
                </w:tcPr>
                <w:p w14:paraId="74BF375E">
                  <w:pPr>
                    <w:pStyle w:val="33"/>
                    <w:keepNext w:val="0"/>
                    <w:keepLines w:val="0"/>
                    <w:suppressLineNumbers w:val="0"/>
                    <w:bidi w:val="0"/>
                    <w:spacing w:beforeAutospacing="0" w:afterAutospacing="0"/>
                    <w:ind w:left="0" w:right="0"/>
                    <w:rPr>
                      <w:rFonts w:hint="default"/>
                      <w:color w:val="auto"/>
                    </w:rPr>
                  </w:pPr>
                  <w:r>
                    <w:rPr>
                      <w:rFonts w:hint="default"/>
                      <w:color w:val="auto"/>
                      <w:lang w:val="en-US" w:eastAsia="zh-CN"/>
                    </w:rPr>
                    <w:t>1680</w:t>
                  </w:r>
                </w:p>
              </w:tc>
              <w:tc>
                <w:tcPr>
                  <w:tcW w:w="1620" w:type="dxa"/>
                  <w:vMerge w:val="continue"/>
                  <w:tcBorders>
                    <w:tl2br w:val="nil"/>
                    <w:tr2bl w:val="nil"/>
                  </w:tcBorders>
                  <w:shd w:val="clear" w:color="auto" w:fill="auto"/>
                  <w:noWrap/>
                  <w:vAlign w:val="center"/>
                </w:tcPr>
                <w:p w14:paraId="78AA6599">
                  <w:pPr>
                    <w:pStyle w:val="33"/>
                    <w:keepNext w:val="0"/>
                    <w:keepLines w:val="0"/>
                    <w:suppressLineNumbers w:val="0"/>
                    <w:bidi w:val="0"/>
                    <w:spacing w:beforeAutospacing="0" w:afterAutospacing="0"/>
                    <w:ind w:left="0" w:right="0"/>
                    <w:rPr>
                      <w:rFonts w:hint="default"/>
                      <w:color w:val="auto"/>
                    </w:rPr>
                  </w:pPr>
                </w:p>
              </w:tc>
              <w:tc>
                <w:tcPr>
                  <w:tcW w:w="1220" w:type="dxa"/>
                  <w:tcBorders>
                    <w:tl2br w:val="nil"/>
                    <w:tr2bl w:val="nil"/>
                  </w:tcBorders>
                  <w:shd w:val="clear" w:color="auto" w:fill="auto"/>
                  <w:noWrap/>
                  <w:vAlign w:val="center"/>
                </w:tcPr>
                <w:p w14:paraId="33D0A535">
                  <w:pPr>
                    <w:pStyle w:val="33"/>
                    <w:keepNext w:val="0"/>
                    <w:keepLines w:val="0"/>
                    <w:suppressLineNumbers w:val="0"/>
                    <w:bidi w:val="0"/>
                    <w:spacing w:beforeAutospacing="0" w:afterAutospacing="0"/>
                    <w:ind w:left="0" w:right="0"/>
                    <w:rPr>
                      <w:rFonts w:hint="eastAsia"/>
                      <w:color w:val="auto"/>
                    </w:rPr>
                  </w:pPr>
                </w:p>
              </w:tc>
            </w:tr>
            <w:tr w14:paraId="0FB51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2574" w:type="dxa"/>
                  <w:gridSpan w:val="2"/>
                  <w:tcBorders>
                    <w:tl2br w:val="nil"/>
                    <w:tr2bl w:val="nil"/>
                  </w:tcBorders>
                  <w:shd w:val="clear" w:color="auto" w:fill="auto"/>
                  <w:vAlign w:val="center"/>
                </w:tcPr>
                <w:p w14:paraId="49B33DFD">
                  <w:pPr>
                    <w:pStyle w:val="33"/>
                    <w:keepNext w:val="0"/>
                    <w:keepLines w:val="0"/>
                    <w:suppressLineNumbers w:val="0"/>
                    <w:bidi w:val="0"/>
                    <w:spacing w:beforeAutospacing="0" w:afterAutospacing="0"/>
                    <w:ind w:left="0" w:right="0"/>
                    <w:rPr>
                      <w:rFonts w:hint="default"/>
                      <w:color w:val="auto"/>
                      <w:lang w:val="en-US" w:eastAsia="zh-CN"/>
                    </w:rPr>
                  </w:pPr>
                  <w:r>
                    <w:rPr>
                      <w:rFonts w:hint="eastAsia"/>
                      <w:color w:val="auto"/>
                      <w:lang w:val="en-US" w:eastAsia="zh-CN"/>
                    </w:rPr>
                    <w:t>合计</w:t>
                  </w:r>
                </w:p>
              </w:tc>
              <w:tc>
                <w:tcPr>
                  <w:tcW w:w="1061" w:type="dxa"/>
                  <w:tcBorders>
                    <w:tl2br w:val="nil"/>
                    <w:tr2bl w:val="nil"/>
                  </w:tcBorders>
                  <w:shd w:val="clear" w:color="auto" w:fill="auto"/>
                  <w:noWrap/>
                  <w:vAlign w:val="center"/>
                </w:tcPr>
                <w:p w14:paraId="242CA3DE">
                  <w:pPr>
                    <w:pStyle w:val="33"/>
                    <w:keepNext w:val="0"/>
                    <w:keepLines w:val="0"/>
                    <w:suppressLineNumbers w:val="0"/>
                    <w:bidi w:val="0"/>
                    <w:spacing w:beforeAutospacing="0" w:afterAutospacing="0"/>
                    <w:ind w:left="0" w:right="0"/>
                    <w:rPr>
                      <w:rFonts w:hint="default"/>
                      <w:color w:val="auto"/>
                      <w:lang w:val="en-US" w:eastAsia="zh-CN"/>
                    </w:rPr>
                  </w:pPr>
                  <w:r>
                    <w:rPr>
                      <w:rFonts w:hint="eastAsia"/>
                      <w:color w:val="auto"/>
                      <w:lang w:val="en-US" w:eastAsia="zh-CN"/>
                    </w:rPr>
                    <w:t>581269</w:t>
                  </w:r>
                </w:p>
              </w:tc>
              <w:tc>
                <w:tcPr>
                  <w:tcW w:w="1742" w:type="dxa"/>
                  <w:tcBorders>
                    <w:tl2br w:val="nil"/>
                    <w:tr2bl w:val="nil"/>
                  </w:tcBorders>
                  <w:shd w:val="clear" w:color="auto" w:fill="auto"/>
                  <w:noWrap/>
                  <w:vAlign w:val="center"/>
                </w:tcPr>
                <w:p w14:paraId="17F2914F">
                  <w:pPr>
                    <w:pStyle w:val="33"/>
                    <w:keepNext w:val="0"/>
                    <w:keepLines w:val="0"/>
                    <w:suppressLineNumbers w:val="0"/>
                    <w:bidi w:val="0"/>
                    <w:spacing w:beforeAutospacing="0" w:afterAutospacing="0"/>
                    <w:ind w:left="0" w:right="0"/>
                    <w:rPr>
                      <w:rFonts w:hint="default"/>
                      <w:color w:val="auto"/>
                      <w:lang w:val="en-US" w:eastAsia="zh-CN"/>
                    </w:rPr>
                  </w:pPr>
                  <w:r>
                    <w:rPr>
                      <w:rFonts w:hint="eastAsia"/>
                      <w:color w:val="auto"/>
                      <w:lang w:val="en-US" w:eastAsia="zh-CN"/>
                    </w:rPr>
                    <w:t>2002495</w:t>
                  </w:r>
                </w:p>
              </w:tc>
              <w:tc>
                <w:tcPr>
                  <w:tcW w:w="1620" w:type="dxa"/>
                  <w:tcBorders>
                    <w:tl2br w:val="nil"/>
                    <w:tr2bl w:val="nil"/>
                  </w:tcBorders>
                  <w:shd w:val="clear" w:color="auto" w:fill="auto"/>
                  <w:noWrap/>
                  <w:vAlign w:val="center"/>
                </w:tcPr>
                <w:p w14:paraId="11F74E34">
                  <w:pPr>
                    <w:pStyle w:val="33"/>
                    <w:keepNext w:val="0"/>
                    <w:keepLines w:val="0"/>
                    <w:suppressLineNumbers w:val="0"/>
                    <w:bidi w:val="0"/>
                    <w:spacing w:beforeAutospacing="0" w:afterAutospacing="0"/>
                    <w:ind w:left="0" w:right="0"/>
                    <w:rPr>
                      <w:rFonts w:hint="default"/>
                      <w:color w:val="auto"/>
                      <w:lang w:val="en-US" w:eastAsia="zh-CN"/>
                    </w:rPr>
                  </w:pPr>
                  <w:r>
                    <w:rPr>
                      <w:rFonts w:hint="eastAsia"/>
                      <w:color w:val="auto"/>
                      <w:lang w:val="en-US" w:eastAsia="zh-CN"/>
                    </w:rPr>
                    <w:t>1421226</w:t>
                  </w:r>
                </w:p>
              </w:tc>
              <w:tc>
                <w:tcPr>
                  <w:tcW w:w="1220" w:type="dxa"/>
                  <w:tcBorders>
                    <w:tl2br w:val="nil"/>
                    <w:tr2bl w:val="nil"/>
                  </w:tcBorders>
                  <w:shd w:val="clear" w:color="auto" w:fill="auto"/>
                  <w:noWrap/>
                  <w:vAlign w:val="center"/>
                </w:tcPr>
                <w:p w14:paraId="4394F28C">
                  <w:pPr>
                    <w:pStyle w:val="33"/>
                    <w:keepNext w:val="0"/>
                    <w:keepLines w:val="0"/>
                    <w:suppressLineNumbers w:val="0"/>
                    <w:bidi w:val="0"/>
                    <w:spacing w:beforeAutospacing="0" w:afterAutospacing="0"/>
                    <w:ind w:left="0" w:right="0"/>
                    <w:rPr>
                      <w:rFonts w:hint="eastAsia"/>
                      <w:color w:val="auto"/>
                    </w:rPr>
                  </w:pPr>
                </w:p>
              </w:tc>
            </w:tr>
            <w:tr w14:paraId="244C24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217" w:type="dxa"/>
                  <w:gridSpan w:val="6"/>
                  <w:tcBorders>
                    <w:tl2br w:val="nil"/>
                    <w:tr2bl w:val="nil"/>
                  </w:tcBorders>
                  <w:shd w:val="clear" w:color="auto" w:fill="auto"/>
                  <w:vAlign w:val="center"/>
                </w:tcPr>
                <w:p w14:paraId="78D82DE0">
                  <w:pPr>
                    <w:pStyle w:val="33"/>
                    <w:keepNext w:val="0"/>
                    <w:keepLines w:val="0"/>
                    <w:suppressLineNumbers w:val="0"/>
                    <w:bidi w:val="0"/>
                    <w:spacing w:beforeAutospacing="0" w:afterAutospacing="0"/>
                    <w:ind w:left="0" w:right="0"/>
                    <w:rPr>
                      <w:rFonts w:hint="default"/>
                      <w:color w:val="auto"/>
                      <w:lang w:val="en-US" w:eastAsia="zh-CN"/>
                    </w:rPr>
                  </w:pPr>
                  <w:r>
                    <w:rPr>
                      <w:rFonts w:hint="eastAsia"/>
                      <w:b/>
                      <w:bCs/>
                      <w:color w:val="auto"/>
                      <w:lang w:val="en-US" w:eastAsia="zh-CN"/>
                    </w:rPr>
                    <w:t>注意：本项目调入方均来源于各治理区内取土场；挖方+调入方=填方+调出方</w:t>
                  </w:r>
                </w:p>
              </w:tc>
            </w:tr>
          </w:tbl>
          <w:p w14:paraId="22CED8B0">
            <w:pPr>
              <w:pStyle w:val="2"/>
              <w:keepLines w:val="0"/>
              <w:suppressLineNumbers w:val="0"/>
              <w:bidi w:val="0"/>
              <w:spacing w:before="0" w:beforeAutospacing="0" w:after="0" w:afterAutospacing="0"/>
              <w:ind w:left="0" w:right="0"/>
              <w:jc w:val="left"/>
              <w:rPr>
                <w:rFonts w:hint="default"/>
                <w:color w:val="auto"/>
              </w:rPr>
            </w:pPr>
            <w:r>
              <w:rPr>
                <w:rFonts w:hint="eastAsia"/>
                <w:color w:val="auto"/>
                <w:lang w:val="en-US" w:eastAsia="zh-CN"/>
              </w:rPr>
              <w:t>6 主要能源供应条件</w:t>
            </w:r>
          </w:p>
          <w:p w14:paraId="6DC5CBAC">
            <w:pPr>
              <w:keepNext w:val="0"/>
              <w:keepLines w:val="0"/>
              <w:suppressLineNumbers w:val="0"/>
              <w:bidi w:val="0"/>
              <w:spacing w:before="0" w:beforeAutospacing="0" w:after="0" w:afterAutospacing="0"/>
              <w:ind w:left="0" w:right="0"/>
              <w:rPr>
                <w:rFonts w:hint="default" w:cs="Times New Roman"/>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eastAsia" w:ascii="宋体" w:hAnsi="宋体" w:eastAsia="宋体" w:cs="宋体"/>
                <w:color w:val="auto"/>
                <w:kern w:val="0"/>
                <w:sz w:val="24"/>
                <w:szCs w:val="24"/>
                <w:lang w:val="en-US" w:eastAsia="zh-CN" w:bidi="ar"/>
              </w:rPr>
              <w:t>交通运输</w:t>
            </w:r>
          </w:p>
          <w:p w14:paraId="0CE6E65E">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cs="Times New Roman"/>
                <w:color w:val="auto"/>
                <w:lang w:val="en-US" w:eastAsia="zh-CN"/>
              </w:rPr>
              <w:t>治理区周边分布有高速公路、县道、乡道等交通运输道路，交通便利。</w:t>
            </w:r>
            <w:r>
              <w:rPr>
                <w:rFonts w:hint="eastAsia" w:ascii="宋体" w:hAnsi="宋体" w:eastAsia="宋体" w:cs="宋体"/>
                <w:color w:val="auto"/>
                <w:kern w:val="0"/>
                <w:sz w:val="24"/>
                <w:szCs w:val="24"/>
                <w:lang w:val="en-US" w:eastAsia="zh-CN" w:bidi="ar"/>
              </w:rPr>
              <w:t>同时治理区范围内</w:t>
            </w:r>
            <w:r>
              <w:rPr>
                <w:rFonts w:hint="eastAsia" w:ascii="宋体" w:hAnsi="宋体" w:cs="宋体"/>
                <w:color w:val="auto"/>
                <w:kern w:val="0"/>
                <w:sz w:val="24"/>
                <w:szCs w:val="24"/>
                <w:lang w:val="en-US" w:eastAsia="zh-CN" w:bidi="ar"/>
              </w:rPr>
              <w:t>设有施工便道。</w:t>
            </w:r>
            <w:r>
              <w:rPr>
                <w:rFonts w:hint="eastAsia" w:ascii="宋体" w:hAnsi="宋体" w:eastAsia="宋体" w:cs="宋体"/>
                <w:color w:val="auto"/>
                <w:kern w:val="0"/>
                <w:sz w:val="24"/>
                <w:szCs w:val="24"/>
                <w:lang w:val="en-US" w:eastAsia="zh-CN" w:bidi="ar"/>
              </w:rPr>
              <w:t>通过现有道路可通往中卫沙坡头区镇罗镇、柔远镇、东园镇、迎水桥镇的各个</w:t>
            </w:r>
            <w:r>
              <w:rPr>
                <w:rFonts w:hint="eastAsia" w:ascii="宋体" w:hAnsi="宋体" w:cs="宋体"/>
                <w:color w:val="auto"/>
                <w:kern w:val="0"/>
                <w:sz w:val="24"/>
                <w:szCs w:val="24"/>
                <w:lang w:val="en-US" w:eastAsia="zh-CN" w:bidi="ar"/>
              </w:rPr>
              <w:t>治理区</w:t>
            </w:r>
            <w:r>
              <w:rPr>
                <w:rFonts w:hint="eastAsia" w:ascii="宋体" w:hAnsi="宋体" w:eastAsia="宋体" w:cs="宋体"/>
                <w:color w:val="auto"/>
                <w:kern w:val="0"/>
                <w:sz w:val="24"/>
                <w:szCs w:val="24"/>
                <w:lang w:val="en-US" w:eastAsia="zh-CN" w:bidi="ar"/>
              </w:rPr>
              <w:t>，</w:t>
            </w:r>
            <w:r>
              <w:rPr>
                <w:rFonts w:hint="eastAsia" w:cs="Times New Roman"/>
                <w:color w:val="auto"/>
                <w:lang w:val="en-US" w:eastAsia="zh-CN"/>
              </w:rPr>
              <w:t>可满足本项目施工内外交通要求。</w:t>
            </w:r>
          </w:p>
          <w:p w14:paraId="33DECBA3">
            <w:pPr>
              <w:keepNext w:val="0"/>
              <w:keepLines w:val="0"/>
              <w:suppressLineNumbers w:val="0"/>
              <w:bidi w:val="0"/>
              <w:spacing w:before="0" w:beforeAutospacing="0" w:after="0" w:afterAutospacing="0"/>
              <w:ind w:left="0" w:right="0"/>
              <w:rPr>
                <w:rFonts w:hint="eastAsia" w:cs="Times New Roman"/>
                <w:color w:val="auto"/>
                <w:sz w:val="24"/>
                <w:szCs w:val="24"/>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cs="Times New Roman"/>
                <w:color w:val="auto"/>
                <w:sz w:val="24"/>
                <w:szCs w:val="24"/>
              </w:rPr>
              <w:t>供水</w:t>
            </w:r>
          </w:p>
          <w:p w14:paraId="283C6478">
            <w:pPr>
              <w:keepNext w:val="0"/>
              <w:keepLines w:val="0"/>
              <w:suppressLineNumbers w:val="0"/>
              <w:bidi w:val="0"/>
              <w:spacing w:before="0" w:beforeAutospacing="0" w:after="0" w:afterAutospacing="0"/>
              <w:ind w:left="0" w:right="0"/>
              <w:jc w:val="left"/>
              <w:rPr>
                <w:rFonts w:hint="default" w:eastAsia="宋体" w:cs="Times New Roman"/>
                <w:color w:val="auto"/>
                <w:lang w:val="en-US" w:eastAsia="zh-CN"/>
              </w:rPr>
            </w:pPr>
            <w:r>
              <w:rPr>
                <w:rFonts w:hint="eastAsia" w:cs="Times New Roman"/>
                <w:color w:val="auto"/>
                <w:lang w:val="en-US" w:eastAsia="zh-CN"/>
              </w:rPr>
              <w:t>施工期间</w:t>
            </w:r>
            <w:r>
              <w:rPr>
                <w:rFonts w:hint="eastAsia"/>
                <w:color w:val="auto"/>
                <w:lang w:val="en-US" w:eastAsia="zh-CN"/>
              </w:rPr>
              <w:t>施工用水、施工人员生活用水购自周边村镇</w:t>
            </w:r>
            <w:r>
              <w:rPr>
                <w:rFonts w:hint="eastAsia" w:cs="Times New Roman"/>
                <w:color w:val="auto"/>
                <w:lang w:eastAsia="zh-CN"/>
              </w:rPr>
              <w:t>。</w:t>
            </w:r>
            <w:r>
              <w:rPr>
                <w:rFonts w:hint="eastAsia" w:cs="Times New Roman"/>
                <w:color w:val="auto"/>
                <w:lang w:val="en-US" w:eastAsia="zh-CN"/>
              </w:rPr>
              <w:t>运营期养护用水依托附近农田灌溉用水水源。</w:t>
            </w:r>
          </w:p>
          <w:p w14:paraId="5E76955E">
            <w:pPr>
              <w:keepNext w:val="0"/>
              <w:keepLines w:val="0"/>
              <w:suppressLineNumbers w:val="0"/>
              <w:bidi w:val="0"/>
              <w:spacing w:before="0" w:beforeAutospacing="0" w:after="0" w:afterAutospacing="0"/>
              <w:ind w:left="0" w:right="0"/>
              <w:rPr>
                <w:rFonts w:hint="default" w:cs="Times New Roman"/>
                <w:color w:val="auto"/>
                <w:sz w:val="24"/>
                <w:szCs w:val="24"/>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eastAsia" w:cs="Times New Roman"/>
                <w:color w:val="auto"/>
                <w:sz w:val="24"/>
                <w:szCs w:val="24"/>
                <w:lang w:val="en-US" w:eastAsia="zh-CN"/>
              </w:rPr>
              <w:t>供电</w:t>
            </w:r>
          </w:p>
          <w:p w14:paraId="02319864">
            <w:pPr>
              <w:keepNext w:val="0"/>
              <w:keepLines w:val="0"/>
              <w:suppressLineNumbers w:val="0"/>
              <w:bidi w:val="0"/>
              <w:spacing w:before="0" w:beforeAutospacing="0" w:after="0" w:afterAutospacing="0"/>
              <w:ind w:left="0" w:right="0"/>
              <w:jc w:val="left"/>
              <w:rPr>
                <w:rFonts w:hint="default"/>
                <w:color w:val="auto"/>
                <w:lang w:val="en-US" w:eastAsia="zh-CN"/>
              </w:rPr>
            </w:pPr>
            <w:r>
              <w:rPr>
                <w:rFonts w:hint="eastAsia" w:cs="Times New Roman"/>
                <w:color w:val="auto"/>
                <w:lang w:val="en-US" w:eastAsia="zh-CN"/>
              </w:rPr>
              <w:t>依托各治理区附近村落镇输电电网。</w:t>
            </w:r>
          </w:p>
        </w:tc>
      </w:tr>
      <w:tr w14:paraId="49370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646" w:type="dxa"/>
            <w:noWrap w:val="0"/>
            <w:vAlign w:val="center"/>
          </w:tcPr>
          <w:p w14:paraId="44778E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kern w:val="0"/>
                <w:sz w:val="24"/>
                <w:szCs w:val="21"/>
              </w:rPr>
            </w:pPr>
            <w:r>
              <w:rPr>
                <w:rFonts w:hint="default" w:cs="Times New Roman"/>
                <w:b/>
                <w:bCs/>
                <w:color w:val="auto"/>
                <w:kern w:val="0"/>
                <w:sz w:val="24"/>
                <w:szCs w:val="21"/>
              </w:rPr>
              <w:t>总平面及现场布置</w:t>
            </w:r>
          </w:p>
        </w:tc>
        <w:tc>
          <w:tcPr>
            <w:tcW w:w="8444" w:type="dxa"/>
            <w:noWrap w:val="0"/>
            <w:vAlign w:val="center"/>
          </w:tcPr>
          <w:p w14:paraId="3A8FFD03">
            <w:pPr>
              <w:pStyle w:val="2"/>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1 工程布局情况</w:t>
            </w:r>
          </w:p>
          <w:p w14:paraId="208C54DC">
            <w:pPr>
              <w:keepNext w:val="0"/>
              <w:keepLines w:val="0"/>
              <w:suppressLineNumbers w:val="0"/>
              <w:spacing w:before="0" w:beforeAutospacing="0" w:after="0" w:afterAutospacing="0"/>
              <w:ind w:left="0" w:right="0"/>
              <w:rPr>
                <w:rFonts w:hint="default" w:cs="Times New Roman"/>
                <w:color w:val="auto"/>
                <w:sz w:val="24"/>
                <w:szCs w:val="24"/>
                <w:u w:val="none"/>
                <w:lang w:val="en-US" w:eastAsia="zh-CN"/>
              </w:rPr>
            </w:pPr>
            <w:r>
              <w:rPr>
                <w:rFonts w:hint="eastAsia"/>
                <w:color w:val="auto"/>
                <w:lang w:val="en-US" w:eastAsia="zh-CN"/>
              </w:rPr>
              <w:t>本项目共35个治理区，按行政区划分位于</w:t>
            </w:r>
            <w:r>
              <w:rPr>
                <w:rFonts w:hint="default" w:ascii="Times New Roman" w:hAnsi="Times New Roman" w:cs="Times New Roman"/>
                <w:color w:val="auto"/>
                <w:sz w:val="24"/>
                <w:szCs w:val="24"/>
                <w:u w:val="none"/>
              </w:rPr>
              <w:t>镇罗镇、柔远镇、东园镇、迎水桥镇</w:t>
            </w:r>
            <w:r>
              <w:rPr>
                <w:rFonts w:hint="eastAsia" w:cs="Times New Roman"/>
                <w:color w:val="auto"/>
                <w:sz w:val="24"/>
                <w:szCs w:val="24"/>
                <w:u w:val="none"/>
                <w:lang w:eastAsia="zh-CN"/>
              </w:rPr>
              <w:t>。</w:t>
            </w:r>
            <w:r>
              <w:rPr>
                <w:rFonts w:hint="eastAsia" w:cs="Times New Roman"/>
                <w:color w:val="auto"/>
                <w:sz w:val="24"/>
                <w:szCs w:val="24"/>
                <w:u w:val="none"/>
                <w:lang w:val="en-US" w:eastAsia="zh-CN"/>
              </w:rPr>
              <w:t>其中位于</w:t>
            </w:r>
            <w:r>
              <w:rPr>
                <w:rFonts w:hint="default" w:ascii="Times New Roman" w:hAnsi="Times New Roman" w:cs="Times New Roman"/>
                <w:color w:val="auto"/>
                <w:sz w:val="24"/>
                <w:szCs w:val="24"/>
                <w:u w:val="none"/>
              </w:rPr>
              <w:t>镇罗镇</w:t>
            </w:r>
            <w:r>
              <w:rPr>
                <w:rFonts w:hint="eastAsia" w:cs="Times New Roman"/>
                <w:color w:val="auto"/>
                <w:sz w:val="24"/>
                <w:szCs w:val="24"/>
                <w:u w:val="none"/>
                <w:lang w:eastAsia="zh-CN"/>
              </w:rPr>
              <w:t>的</w:t>
            </w:r>
            <w:r>
              <w:rPr>
                <w:rFonts w:hint="eastAsia" w:cs="Times New Roman"/>
                <w:color w:val="auto"/>
                <w:sz w:val="24"/>
                <w:szCs w:val="24"/>
                <w:u w:val="none"/>
                <w:lang w:val="en-US" w:eastAsia="zh-CN"/>
              </w:rPr>
              <w:t>共有12个治理区，分别为A7、A24、A25、A26、A27、A28、A29、A30、A31、A32、A33、A34；位于</w:t>
            </w:r>
            <w:r>
              <w:rPr>
                <w:rFonts w:hint="default" w:ascii="Times New Roman" w:hAnsi="Times New Roman" w:cs="Times New Roman"/>
                <w:color w:val="auto"/>
                <w:sz w:val="24"/>
                <w:szCs w:val="24"/>
                <w:u w:val="none"/>
              </w:rPr>
              <w:t>柔远镇</w:t>
            </w:r>
            <w:r>
              <w:rPr>
                <w:rFonts w:hint="eastAsia" w:cs="Times New Roman"/>
                <w:color w:val="auto"/>
                <w:sz w:val="24"/>
                <w:szCs w:val="24"/>
                <w:u w:val="none"/>
                <w:lang w:eastAsia="zh-CN"/>
              </w:rPr>
              <w:t>的</w:t>
            </w:r>
            <w:r>
              <w:rPr>
                <w:rFonts w:hint="eastAsia" w:cs="Times New Roman"/>
                <w:color w:val="auto"/>
                <w:sz w:val="24"/>
                <w:szCs w:val="24"/>
                <w:u w:val="none"/>
                <w:lang w:val="en-US" w:eastAsia="zh-CN"/>
              </w:rPr>
              <w:t>有A2；位于</w:t>
            </w:r>
            <w:r>
              <w:rPr>
                <w:rFonts w:hint="default" w:ascii="Times New Roman" w:hAnsi="Times New Roman" w:cs="Times New Roman"/>
                <w:color w:val="auto"/>
                <w:sz w:val="24"/>
                <w:szCs w:val="24"/>
                <w:u w:val="none"/>
              </w:rPr>
              <w:t>东园镇</w:t>
            </w:r>
            <w:r>
              <w:rPr>
                <w:rFonts w:hint="eastAsia" w:cs="Times New Roman"/>
                <w:color w:val="auto"/>
                <w:sz w:val="24"/>
                <w:szCs w:val="24"/>
                <w:u w:val="none"/>
                <w:lang w:eastAsia="zh-CN"/>
              </w:rPr>
              <w:t>的</w:t>
            </w:r>
            <w:r>
              <w:rPr>
                <w:rFonts w:hint="eastAsia" w:cs="Times New Roman"/>
                <w:color w:val="auto"/>
                <w:sz w:val="24"/>
                <w:szCs w:val="24"/>
                <w:u w:val="none"/>
                <w:lang w:val="en-US" w:eastAsia="zh-CN"/>
              </w:rPr>
              <w:t>共有21个治理区，分别为A3、A4、A5、A6、A8、A9、A10、A11、A12、A13、A14、A15、A16、A17、A18、A19、A20、A21、A22、A23、A35；位于</w:t>
            </w:r>
            <w:r>
              <w:rPr>
                <w:rFonts w:hint="default" w:ascii="Times New Roman" w:hAnsi="Times New Roman" w:cs="Times New Roman"/>
                <w:color w:val="auto"/>
                <w:sz w:val="24"/>
                <w:szCs w:val="24"/>
                <w:u w:val="none"/>
              </w:rPr>
              <w:t>迎水桥镇</w:t>
            </w:r>
            <w:r>
              <w:rPr>
                <w:rFonts w:hint="eastAsia" w:cs="Times New Roman"/>
                <w:color w:val="auto"/>
                <w:sz w:val="24"/>
                <w:szCs w:val="24"/>
                <w:u w:val="none"/>
                <w:lang w:eastAsia="zh-CN"/>
              </w:rPr>
              <w:t>的</w:t>
            </w:r>
            <w:r>
              <w:rPr>
                <w:rFonts w:hint="eastAsia" w:cs="Times New Roman"/>
                <w:color w:val="auto"/>
                <w:sz w:val="24"/>
                <w:szCs w:val="24"/>
                <w:u w:val="none"/>
                <w:lang w:val="en-US" w:eastAsia="zh-CN"/>
              </w:rPr>
              <w:t>有A1。各治理区布局情况如下：</w:t>
            </w:r>
          </w:p>
          <w:p w14:paraId="563664C9">
            <w:pPr>
              <w:keepNext w:val="0"/>
              <w:keepLines w:val="0"/>
              <w:suppressLineNumbers w:val="0"/>
              <w:bidi w:val="0"/>
              <w:spacing w:before="0" w:beforeAutospacing="0" w:after="0" w:afterAutospacing="0"/>
              <w:ind w:left="0" w:right="0"/>
              <w:rPr>
                <w:rFonts w:hint="default" w:cs="Times New Roman"/>
                <w:color w:val="auto"/>
              </w:rPr>
            </w:pPr>
            <w:r>
              <w:rPr>
                <w:rFonts w:hint="default"/>
                <w:color w:val="auto"/>
                <w:lang w:val="en-US" w:eastAsia="zh-CN"/>
              </w:rPr>
              <w:t>A1治理区划分为10个小分区</w:t>
            </w:r>
            <w:r>
              <w:rPr>
                <w:rFonts w:hint="eastAsia"/>
                <w:color w:val="auto"/>
                <w:lang w:val="en-US" w:eastAsia="zh-CN"/>
              </w:rPr>
              <w:t>，</w:t>
            </w:r>
            <w:r>
              <w:rPr>
                <w:rFonts w:hint="default"/>
                <w:color w:val="auto"/>
              </w:rPr>
              <w:t>A2治理区划分为4个小分区</w:t>
            </w:r>
            <w:r>
              <w:rPr>
                <w:rFonts w:hint="eastAsia"/>
                <w:color w:val="auto"/>
                <w:lang w:eastAsia="zh-CN"/>
              </w:rPr>
              <w:t>，</w:t>
            </w:r>
            <w:r>
              <w:rPr>
                <w:rFonts w:hint="default"/>
                <w:color w:val="auto"/>
              </w:rPr>
              <w:t>A3治理区划分为4个小分区</w:t>
            </w:r>
            <w:r>
              <w:rPr>
                <w:rFonts w:hint="eastAsia"/>
                <w:color w:val="auto"/>
                <w:lang w:eastAsia="zh-CN"/>
              </w:rPr>
              <w:t>，</w:t>
            </w:r>
            <w:r>
              <w:rPr>
                <w:rFonts w:hint="default"/>
                <w:color w:val="auto"/>
              </w:rPr>
              <w:t>A4治理区划分为2个小区</w:t>
            </w:r>
            <w:r>
              <w:rPr>
                <w:rFonts w:hint="eastAsia"/>
                <w:color w:val="auto"/>
                <w:lang w:eastAsia="zh-CN"/>
              </w:rPr>
              <w:t>，</w:t>
            </w:r>
            <w:r>
              <w:rPr>
                <w:rFonts w:hint="default"/>
                <w:color w:val="auto"/>
              </w:rPr>
              <w:t>A5治理区划分为11个小分区</w:t>
            </w:r>
            <w:r>
              <w:rPr>
                <w:rFonts w:hint="eastAsia"/>
                <w:color w:val="auto"/>
                <w:lang w:eastAsia="zh-CN"/>
              </w:rPr>
              <w:t>，</w:t>
            </w:r>
            <w:r>
              <w:rPr>
                <w:rFonts w:hint="default"/>
                <w:color w:val="auto"/>
              </w:rPr>
              <w:t>A6治理区划分为5个小分区</w:t>
            </w:r>
            <w:r>
              <w:rPr>
                <w:rFonts w:hint="eastAsia"/>
                <w:color w:val="auto"/>
                <w:lang w:eastAsia="zh-CN"/>
              </w:rPr>
              <w:t>，</w:t>
            </w:r>
            <w:r>
              <w:rPr>
                <w:rFonts w:hint="default"/>
                <w:color w:val="auto"/>
              </w:rPr>
              <w:t>A7治理区划分为2个小分区</w:t>
            </w:r>
            <w:r>
              <w:rPr>
                <w:rFonts w:hint="eastAsia"/>
                <w:color w:val="auto"/>
                <w:lang w:eastAsia="zh-CN"/>
              </w:rPr>
              <w:t>，</w:t>
            </w:r>
            <w:r>
              <w:rPr>
                <w:rFonts w:hint="default"/>
                <w:color w:val="auto"/>
              </w:rPr>
              <w:t>A8治理区划分为2个小分区</w:t>
            </w:r>
            <w:r>
              <w:rPr>
                <w:rFonts w:hint="eastAsia"/>
                <w:color w:val="auto"/>
                <w:lang w:eastAsia="zh-CN"/>
              </w:rPr>
              <w:t>，</w:t>
            </w:r>
            <w:r>
              <w:rPr>
                <w:rFonts w:hint="default"/>
                <w:color w:val="auto"/>
              </w:rPr>
              <w:t>A9治理区划分为5个小分区</w:t>
            </w:r>
            <w:r>
              <w:rPr>
                <w:rFonts w:hint="eastAsia"/>
                <w:color w:val="auto"/>
                <w:lang w:eastAsia="zh-CN"/>
              </w:rPr>
              <w:t>，</w:t>
            </w:r>
            <w:r>
              <w:rPr>
                <w:rFonts w:hint="default"/>
                <w:color w:val="auto"/>
              </w:rPr>
              <w:t>A10治理区划分为2个小分区</w:t>
            </w:r>
            <w:r>
              <w:rPr>
                <w:rFonts w:hint="eastAsia"/>
                <w:color w:val="auto"/>
                <w:lang w:eastAsia="zh-CN"/>
              </w:rPr>
              <w:t>，</w:t>
            </w:r>
            <w:r>
              <w:rPr>
                <w:rFonts w:hint="default"/>
                <w:color w:val="auto"/>
              </w:rPr>
              <w:t>A11治理区划分为4个小分区</w:t>
            </w:r>
            <w:r>
              <w:rPr>
                <w:rFonts w:hint="eastAsia"/>
                <w:color w:val="auto"/>
                <w:lang w:eastAsia="zh-CN"/>
              </w:rPr>
              <w:t>，</w:t>
            </w:r>
            <w:r>
              <w:rPr>
                <w:rFonts w:hint="default"/>
                <w:color w:val="auto"/>
              </w:rPr>
              <w:t>A12治理区划分为3个小分区</w:t>
            </w:r>
            <w:r>
              <w:rPr>
                <w:rFonts w:hint="eastAsia"/>
                <w:color w:val="auto"/>
                <w:lang w:eastAsia="zh-CN"/>
              </w:rPr>
              <w:t>，</w:t>
            </w:r>
            <w:r>
              <w:rPr>
                <w:rFonts w:hint="default"/>
                <w:color w:val="auto"/>
              </w:rPr>
              <w:t>A13治理区划分为2个小分区</w:t>
            </w:r>
            <w:r>
              <w:rPr>
                <w:rFonts w:hint="eastAsia"/>
                <w:color w:val="auto"/>
                <w:lang w:eastAsia="zh-CN"/>
              </w:rPr>
              <w:t>，</w:t>
            </w:r>
            <w:r>
              <w:rPr>
                <w:rFonts w:hint="default"/>
                <w:color w:val="auto"/>
              </w:rPr>
              <w:t>A14治理区划分为2个小分区</w:t>
            </w:r>
            <w:r>
              <w:rPr>
                <w:rFonts w:hint="eastAsia"/>
                <w:color w:val="auto"/>
                <w:lang w:eastAsia="zh-CN"/>
              </w:rPr>
              <w:t>，</w:t>
            </w:r>
            <w:r>
              <w:rPr>
                <w:rFonts w:hint="default"/>
                <w:color w:val="auto"/>
              </w:rPr>
              <w:t>A15治理区划分为9个小分区</w:t>
            </w:r>
            <w:r>
              <w:rPr>
                <w:rFonts w:hint="eastAsia"/>
                <w:color w:val="auto"/>
                <w:lang w:eastAsia="zh-CN"/>
              </w:rPr>
              <w:t>，</w:t>
            </w:r>
            <w:r>
              <w:rPr>
                <w:rFonts w:hint="default"/>
                <w:color w:val="auto"/>
              </w:rPr>
              <w:t>A16治理区划分为2个小分区</w:t>
            </w:r>
            <w:r>
              <w:rPr>
                <w:rFonts w:hint="eastAsia"/>
                <w:color w:val="auto"/>
                <w:lang w:eastAsia="zh-CN"/>
              </w:rPr>
              <w:t>，</w:t>
            </w:r>
            <w:r>
              <w:rPr>
                <w:rFonts w:hint="default"/>
                <w:color w:val="auto"/>
              </w:rPr>
              <w:t>A17治理区划分为4个小分区</w:t>
            </w:r>
            <w:r>
              <w:rPr>
                <w:rFonts w:hint="eastAsia"/>
                <w:color w:val="auto"/>
                <w:lang w:eastAsia="zh-CN"/>
              </w:rPr>
              <w:t>，</w:t>
            </w:r>
            <w:r>
              <w:rPr>
                <w:rFonts w:hint="default"/>
                <w:color w:val="auto"/>
              </w:rPr>
              <w:t>A18治理区划分为3个小分区</w:t>
            </w:r>
            <w:r>
              <w:rPr>
                <w:rFonts w:hint="eastAsia"/>
                <w:color w:val="auto"/>
                <w:lang w:eastAsia="zh-CN"/>
              </w:rPr>
              <w:t>，</w:t>
            </w:r>
            <w:r>
              <w:rPr>
                <w:rFonts w:hint="default"/>
                <w:color w:val="auto"/>
              </w:rPr>
              <w:t>A19治理区划分为1个区，A20治理区划分为15个小分区</w:t>
            </w:r>
            <w:r>
              <w:rPr>
                <w:rFonts w:hint="eastAsia"/>
                <w:color w:val="auto"/>
                <w:lang w:eastAsia="zh-CN"/>
              </w:rPr>
              <w:t>，</w:t>
            </w:r>
            <w:r>
              <w:rPr>
                <w:rFonts w:hint="default"/>
                <w:color w:val="auto"/>
              </w:rPr>
              <w:t>A21治理区划分为2个小分区</w:t>
            </w:r>
            <w:r>
              <w:rPr>
                <w:rFonts w:hint="eastAsia"/>
                <w:color w:val="auto"/>
                <w:lang w:eastAsia="zh-CN"/>
              </w:rPr>
              <w:t>，</w:t>
            </w:r>
            <w:r>
              <w:rPr>
                <w:rFonts w:hint="default"/>
                <w:color w:val="auto"/>
              </w:rPr>
              <w:t>A22治理区划分为8个小分区</w:t>
            </w:r>
            <w:r>
              <w:rPr>
                <w:rFonts w:hint="eastAsia"/>
                <w:color w:val="auto"/>
                <w:lang w:eastAsia="zh-CN"/>
              </w:rPr>
              <w:t>，</w:t>
            </w:r>
            <w:r>
              <w:rPr>
                <w:rFonts w:hint="default"/>
                <w:color w:val="auto"/>
              </w:rPr>
              <w:t>A23治理区划分为1个区</w:t>
            </w:r>
            <w:r>
              <w:rPr>
                <w:rFonts w:hint="eastAsia"/>
                <w:color w:val="auto"/>
                <w:lang w:eastAsia="zh-CN"/>
              </w:rPr>
              <w:t>，</w:t>
            </w:r>
            <w:r>
              <w:rPr>
                <w:rFonts w:hint="default"/>
                <w:color w:val="auto"/>
              </w:rPr>
              <w:t>A24治理区划分为1个区，A25治理区划分为2个小分区</w:t>
            </w:r>
            <w:r>
              <w:rPr>
                <w:rFonts w:hint="eastAsia"/>
                <w:color w:val="auto"/>
                <w:lang w:eastAsia="zh-CN"/>
              </w:rPr>
              <w:t>，</w:t>
            </w:r>
            <w:r>
              <w:rPr>
                <w:rFonts w:hint="default"/>
                <w:color w:val="auto"/>
              </w:rPr>
              <w:t>A26治理区划分为2个小分区</w:t>
            </w:r>
            <w:r>
              <w:rPr>
                <w:rFonts w:hint="eastAsia"/>
                <w:color w:val="auto"/>
                <w:lang w:eastAsia="zh-CN"/>
              </w:rPr>
              <w:t>，</w:t>
            </w:r>
            <w:r>
              <w:rPr>
                <w:rFonts w:hint="default"/>
                <w:color w:val="auto"/>
              </w:rPr>
              <w:t>A27治理区划分为2个小分区</w:t>
            </w:r>
            <w:r>
              <w:rPr>
                <w:rFonts w:hint="eastAsia"/>
                <w:color w:val="auto"/>
                <w:lang w:eastAsia="zh-CN"/>
              </w:rPr>
              <w:t>，</w:t>
            </w:r>
            <w:r>
              <w:rPr>
                <w:rFonts w:hint="default"/>
                <w:color w:val="auto"/>
              </w:rPr>
              <w:t>A28治理区划分为3个小分区</w:t>
            </w:r>
            <w:r>
              <w:rPr>
                <w:rFonts w:hint="eastAsia"/>
                <w:color w:val="auto"/>
                <w:lang w:eastAsia="zh-CN"/>
              </w:rPr>
              <w:t>，</w:t>
            </w:r>
            <w:r>
              <w:rPr>
                <w:rFonts w:hint="default"/>
                <w:color w:val="auto"/>
              </w:rPr>
              <w:t>A29治理区划分为4个小分区</w:t>
            </w:r>
            <w:r>
              <w:rPr>
                <w:rFonts w:hint="eastAsia"/>
                <w:color w:val="auto"/>
                <w:lang w:eastAsia="zh-CN"/>
              </w:rPr>
              <w:t>，</w:t>
            </w:r>
            <w:r>
              <w:rPr>
                <w:rFonts w:hint="default"/>
                <w:color w:val="auto"/>
              </w:rPr>
              <w:t>A30治理区划分为3个小分区</w:t>
            </w:r>
            <w:r>
              <w:rPr>
                <w:rFonts w:hint="eastAsia"/>
                <w:color w:val="auto"/>
                <w:lang w:eastAsia="zh-CN"/>
              </w:rPr>
              <w:t>，</w:t>
            </w:r>
            <w:r>
              <w:rPr>
                <w:rFonts w:hint="default"/>
                <w:color w:val="auto"/>
              </w:rPr>
              <w:t>A31治理区划分为4个小分区</w:t>
            </w:r>
            <w:r>
              <w:rPr>
                <w:rFonts w:hint="eastAsia"/>
                <w:color w:val="auto"/>
                <w:lang w:eastAsia="zh-CN"/>
              </w:rPr>
              <w:t>，</w:t>
            </w:r>
            <w:r>
              <w:rPr>
                <w:rFonts w:hint="default"/>
                <w:color w:val="auto"/>
              </w:rPr>
              <w:t>A32治理区划分为5个小分区</w:t>
            </w:r>
            <w:r>
              <w:rPr>
                <w:rFonts w:hint="eastAsia"/>
                <w:color w:val="auto"/>
                <w:lang w:eastAsia="zh-CN"/>
              </w:rPr>
              <w:t>，</w:t>
            </w:r>
            <w:r>
              <w:rPr>
                <w:rFonts w:hint="default"/>
                <w:color w:val="auto"/>
              </w:rPr>
              <w:t>A33治理区划分为4个小分区</w:t>
            </w:r>
            <w:r>
              <w:rPr>
                <w:rFonts w:hint="eastAsia"/>
                <w:color w:val="auto"/>
                <w:lang w:eastAsia="zh-CN"/>
              </w:rPr>
              <w:t>，</w:t>
            </w:r>
            <w:r>
              <w:rPr>
                <w:rFonts w:hint="default"/>
                <w:color w:val="auto"/>
              </w:rPr>
              <w:t>A34治理区划分为3个小分区</w:t>
            </w:r>
            <w:r>
              <w:rPr>
                <w:rFonts w:hint="eastAsia"/>
                <w:color w:val="auto"/>
                <w:lang w:eastAsia="zh-CN"/>
              </w:rPr>
              <w:t>，</w:t>
            </w:r>
            <w:r>
              <w:rPr>
                <w:rFonts w:hint="default"/>
                <w:color w:val="auto"/>
              </w:rPr>
              <w:t>A35治理区划分为1个小分区。</w:t>
            </w:r>
          </w:p>
          <w:p w14:paraId="1F239BEB">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围栏工程</w:t>
            </w:r>
            <w:r>
              <w:rPr>
                <w:rFonts w:hint="eastAsia" w:ascii="宋体" w:hAnsi="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A1</w:t>
            </w:r>
            <w:r>
              <w:rPr>
                <w:rFonts w:hint="eastAsia" w:ascii="宋体" w:hAnsi="宋体" w:eastAsia="宋体" w:cs="宋体"/>
                <w:color w:val="auto"/>
                <w:kern w:val="0"/>
                <w:sz w:val="24"/>
                <w:szCs w:val="24"/>
                <w:lang w:val="en-US" w:eastAsia="zh-CN" w:bidi="ar"/>
              </w:rPr>
              <w:t>治理区有</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处水塘，为保护附近居民生命安全，因此在该治理区设置围栏工程。</w:t>
            </w:r>
          </w:p>
          <w:p w14:paraId="77DC1057">
            <w:pPr>
              <w:keepNext w:val="0"/>
              <w:keepLines w:val="0"/>
              <w:widowControl/>
              <w:suppressLineNumbers w:val="0"/>
              <w:spacing w:before="0" w:beforeAutospacing="0" w:after="0" w:afterAutospacing="0"/>
              <w:ind w:left="0" w:right="0"/>
              <w:jc w:val="left"/>
              <w:rPr>
                <w:rFonts w:hint="eastAsia"/>
                <w:color w:val="auto"/>
                <w:lang w:val="en-US" w:eastAsia="zh-CN"/>
              </w:rPr>
            </w:pPr>
            <w:r>
              <w:rPr>
                <w:rFonts w:hint="eastAsia" w:ascii="宋体" w:hAnsi="宋体" w:eastAsia="宋体" w:cs="宋体"/>
                <w:color w:val="auto"/>
                <w:kern w:val="0"/>
                <w:sz w:val="24"/>
                <w:szCs w:val="24"/>
                <w:lang w:val="en-US" w:eastAsia="zh-CN" w:bidi="ar"/>
              </w:rPr>
              <w:t>宣传牌工程</w:t>
            </w:r>
            <w:r>
              <w:rPr>
                <w:rFonts w:hint="eastAsia" w:ascii="宋体" w:hAnsi="宋体" w:cs="宋体"/>
                <w:color w:val="auto"/>
                <w:kern w:val="0"/>
                <w:sz w:val="24"/>
                <w:szCs w:val="24"/>
                <w:lang w:val="en-US" w:eastAsia="zh-CN" w:bidi="ar"/>
              </w:rPr>
              <w:t>：</w:t>
            </w:r>
            <w:r>
              <w:rPr>
                <w:rFonts w:hint="eastAsia" w:cs="Times New Roman"/>
                <w:color w:val="auto"/>
                <w:lang w:val="en-US" w:eastAsia="zh-CN"/>
              </w:rPr>
              <w:t>在每个治理区周围靠近道路等处布设生态修复宣传牌</w:t>
            </w:r>
            <w:r>
              <w:rPr>
                <w:rFonts w:hint="default" w:cs="Times New Roman"/>
                <w:color w:val="auto"/>
                <w:lang w:val="en-US" w:eastAsia="zh-CN"/>
              </w:rPr>
              <w:t>1</w:t>
            </w:r>
            <w:r>
              <w:rPr>
                <w:rFonts w:hint="eastAsia" w:cs="Times New Roman"/>
                <w:color w:val="auto"/>
                <w:lang w:val="en-US" w:eastAsia="zh-CN"/>
              </w:rPr>
              <w:t>处，以起到宣传、警示作用。</w:t>
            </w:r>
          </w:p>
          <w:p w14:paraId="4B571654">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 施工布置情况</w:t>
            </w:r>
          </w:p>
          <w:p w14:paraId="2532CE19">
            <w:pPr>
              <w:keepNext w:val="0"/>
              <w:keepLines w:val="0"/>
              <w:suppressLineNumbers w:val="0"/>
              <w:bidi w:val="0"/>
              <w:spacing w:before="0" w:beforeAutospacing="0" w:after="0" w:afterAutospacing="0"/>
              <w:ind w:left="0" w:right="0"/>
              <w:rPr>
                <w:rFonts w:hint="default"/>
                <w:color w:val="auto"/>
              </w:rPr>
            </w:pPr>
            <w:r>
              <w:rPr>
                <w:rFonts w:hint="default"/>
                <w:color w:val="auto"/>
              </w:rPr>
              <w:t>为了便于管理，根据项目的分项工程合理安排施工顺序，依据工程特点和施工条件，研究和解决主要工程施工期间所需要的各种施工设施在平面和立面上的问题，建立健全施工组织，以便在施工总进度规定的期限内，完成整个工程的建设任务。</w:t>
            </w:r>
          </w:p>
          <w:p w14:paraId="46383EB4">
            <w:pPr>
              <w:keepNext w:val="0"/>
              <w:keepLines w:val="0"/>
              <w:suppressLineNumbers w:val="0"/>
              <w:bidi w:val="0"/>
              <w:spacing w:before="0" w:beforeAutospacing="0" w:after="0" w:afterAutospacing="0"/>
              <w:ind w:left="0" w:right="0"/>
              <w:rPr>
                <w:rFonts w:hint="default"/>
                <w:color w:val="auto"/>
              </w:rPr>
            </w:pPr>
            <w:r>
              <w:rPr>
                <w:rFonts w:hint="default"/>
                <w:color w:val="auto"/>
              </w:rPr>
              <w:t>总的布置原则应遵循因地制宜、利于施工、易于管理、方便生活、安全经济的原则。施工时应结合以下几点考虑施工布置：</w:t>
            </w:r>
          </w:p>
          <w:p w14:paraId="38B97DE8">
            <w:pPr>
              <w:keepNext w:val="0"/>
              <w:keepLines w:val="0"/>
              <w:suppressLineNumbers w:val="0"/>
              <w:bidi w:val="0"/>
              <w:spacing w:before="0" w:beforeAutospacing="0" w:after="0" w:afterAutospacing="0"/>
              <w:ind w:left="0" w:right="0"/>
              <w:rPr>
                <w:rFonts w:hint="default"/>
                <w:color w:val="auto"/>
              </w:rPr>
            </w:pPr>
            <w:r>
              <w:rPr>
                <w:rFonts w:hint="default"/>
                <w:color w:val="auto"/>
              </w:rPr>
              <w:t>——</w:t>
            </w:r>
            <w:r>
              <w:rPr>
                <w:rFonts w:hint="eastAsia"/>
                <w:color w:val="auto"/>
                <w:lang w:val="en-US" w:eastAsia="zh-CN"/>
              </w:rPr>
              <w:t>只能在修复范围内施工恢复生态，不能超出范围</w:t>
            </w:r>
            <w:r>
              <w:rPr>
                <w:rFonts w:hint="default"/>
                <w:color w:val="auto"/>
              </w:rPr>
              <w:t>，减少对附近居民的生产、生活影响；</w:t>
            </w:r>
          </w:p>
          <w:p w14:paraId="1186E3B3">
            <w:pPr>
              <w:keepNext w:val="0"/>
              <w:keepLines w:val="0"/>
              <w:suppressLineNumbers w:val="0"/>
              <w:bidi w:val="0"/>
              <w:spacing w:before="0" w:beforeAutospacing="0" w:after="0" w:afterAutospacing="0"/>
              <w:ind w:left="0" w:right="0"/>
              <w:rPr>
                <w:rFonts w:hint="default"/>
                <w:color w:val="auto"/>
              </w:rPr>
            </w:pPr>
            <w:r>
              <w:rPr>
                <w:rFonts w:hint="default"/>
                <w:color w:val="auto"/>
              </w:rPr>
              <w:t>——合理利用有利地形，尽量减少临时建筑工程量；</w:t>
            </w:r>
          </w:p>
          <w:p w14:paraId="0AB9B056">
            <w:pPr>
              <w:keepNext w:val="0"/>
              <w:keepLines w:val="0"/>
              <w:suppressLineNumbers w:val="0"/>
              <w:bidi w:val="0"/>
              <w:spacing w:before="0" w:beforeAutospacing="0" w:after="0" w:afterAutospacing="0"/>
              <w:ind w:left="0" w:right="0"/>
              <w:rPr>
                <w:rFonts w:hint="default"/>
                <w:color w:val="auto"/>
              </w:rPr>
            </w:pPr>
            <w:r>
              <w:rPr>
                <w:rFonts w:hint="default"/>
                <w:color w:val="auto"/>
              </w:rPr>
              <w:t>——采用分段就近集中布置。</w:t>
            </w:r>
          </w:p>
          <w:p w14:paraId="57168384">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default" w:ascii="宋体" w:hAnsi="宋体" w:eastAsia="宋体" w:cs="宋体"/>
                <w:b w:val="0"/>
                <w:bCs w:val="0"/>
                <w:color w:val="auto"/>
                <w:sz w:val="24"/>
                <w:szCs w:val="24"/>
              </w:rPr>
              <w:t>施工区、生活区划分</w:t>
            </w:r>
          </w:p>
          <w:p w14:paraId="04620188">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项目施工人员不在施工区域内住宿，不设置临时施工营地，施工营地依托项目区周边村庄</w:t>
            </w:r>
            <w:r>
              <w:rPr>
                <w:rFonts w:hint="eastAsia" w:ascii="宋体" w:hAnsi="宋体" w:eastAsia="宋体" w:cs="宋体"/>
                <w:b w:val="0"/>
                <w:bCs w:val="0"/>
                <w:color w:val="auto"/>
                <w:sz w:val="24"/>
                <w:szCs w:val="24"/>
                <w:lang w:val="en-US" w:eastAsia="zh-CN"/>
              </w:rPr>
              <w:t>。</w:t>
            </w:r>
          </w:p>
          <w:p w14:paraId="2E4E8FFF">
            <w:pPr>
              <w:keepNext w:val="0"/>
              <w:keepLines w:val="0"/>
              <w:suppressLineNumbers w:val="0"/>
              <w:bidi w:val="0"/>
              <w:spacing w:before="0" w:beforeAutospacing="0" w:after="0" w:afterAutospacing="0"/>
              <w:ind w:left="0" w:right="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ascii="Times New Roman" w:hAnsi="Times New Roman" w:cs="Times New Roman"/>
                <w:color w:val="auto"/>
                <w:lang w:val="en-US" w:eastAsia="zh-CN"/>
              </w:rPr>
              <w:t>施工道路</w:t>
            </w:r>
          </w:p>
          <w:p w14:paraId="11D2D1B9">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olor w:val="auto"/>
                <w:lang w:val="en-US" w:eastAsia="zh-CN"/>
              </w:rPr>
              <w:t>治理区周边分布有高速公路、县道、乡道等交通运输道路，交通便利。同时治理区范围内设有施工便道。</w:t>
            </w:r>
          </w:p>
          <w:p w14:paraId="6D58CDE0">
            <w:pPr>
              <w:keepNext w:val="0"/>
              <w:keepLines w:val="0"/>
              <w:suppressLineNumbers w:val="0"/>
              <w:bidi w:val="0"/>
              <w:spacing w:before="0" w:beforeAutospacing="0" w:after="0" w:afterAutospacing="0"/>
              <w:ind w:left="0" w:right="0"/>
              <w:rPr>
                <w:rFonts w:hint="default"/>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default"/>
                <w:color w:val="auto"/>
                <w:lang w:val="en-US" w:eastAsia="zh-CN"/>
              </w:rPr>
              <w:t>供水</w:t>
            </w:r>
          </w:p>
          <w:p w14:paraId="0DBA7D4C">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施工用水、施工人员生活用水购自周边村镇</w:t>
            </w:r>
            <w:r>
              <w:rPr>
                <w:rFonts w:hint="default"/>
                <w:color w:val="auto"/>
                <w:lang w:val="en-US" w:eastAsia="zh-CN"/>
              </w:rPr>
              <w:t>。</w:t>
            </w:r>
          </w:p>
          <w:p w14:paraId="2B45A409">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4 \* GB2 \* MERGEFORMAT </w:instrText>
            </w:r>
            <w:r>
              <w:rPr>
                <w:rFonts w:hint="default"/>
                <w:color w:val="auto"/>
                <w:lang w:val="en-US" w:eastAsia="zh-CN"/>
              </w:rPr>
              <w:fldChar w:fldCharType="separate"/>
            </w:r>
            <w:r>
              <w:rPr>
                <w:rFonts w:hint="default"/>
                <w:color w:val="auto"/>
              </w:rPr>
              <w:t>⑷</w:t>
            </w:r>
            <w:r>
              <w:rPr>
                <w:rFonts w:hint="default"/>
                <w:color w:val="auto"/>
                <w:lang w:val="en-US" w:eastAsia="zh-CN"/>
              </w:rPr>
              <w:fldChar w:fldCharType="end"/>
            </w:r>
            <w:r>
              <w:rPr>
                <w:rFonts w:hint="default"/>
                <w:color w:val="auto"/>
                <w:lang w:val="en-US" w:eastAsia="zh-CN"/>
              </w:rPr>
              <w:t>供电</w:t>
            </w:r>
          </w:p>
          <w:p w14:paraId="157A4994">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依托各治理区附近村落镇输电电网</w:t>
            </w:r>
            <w:r>
              <w:rPr>
                <w:rFonts w:hint="eastAsia"/>
                <w:color w:val="auto"/>
                <w:lang w:val="en-US" w:eastAsia="zh-CN"/>
              </w:rPr>
              <w:t>。</w:t>
            </w:r>
          </w:p>
          <w:p w14:paraId="7194BD95">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fldChar w:fldCharType="begin"/>
            </w:r>
            <w:r>
              <w:rPr>
                <w:rFonts w:hint="default" w:ascii="宋体" w:hAnsi="宋体" w:eastAsia="宋体" w:cs="宋体"/>
                <w:b w:val="0"/>
                <w:bCs w:val="0"/>
                <w:color w:val="auto"/>
                <w:sz w:val="24"/>
                <w:szCs w:val="24"/>
              </w:rPr>
              <w:instrText xml:space="preserve"> = 5 \* GB2 \* MERGEFORMAT </w:instrText>
            </w:r>
            <w:r>
              <w:rPr>
                <w:rFonts w:hint="default" w:ascii="宋体" w:hAnsi="宋体" w:eastAsia="宋体" w:cs="宋体"/>
                <w:b w:val="0"/>
                <w:bCs w:val="0"/>
                <w:color w:val="auto"/>
                <w:sz w:val="24"/>
                <w:szCs w:val="24"/>
              </w:rPr>
              <w:fldChar w:fldCharType="separate"/>
            </w:r>
            <w:r>
              <w:rPr>
                <w:rFonts w:hint="default"/>
                <w:color w:val="auto"/>
              </w:rPr>
              <w:t>⑸</w:t>
            </w:r>
            <w:r>
              <w:rPr>
                <w:rFonts w:hint="default" w:ascii="宋体" w:hAnsi="宋体" w:eastAsia="宋体" w:cs="宋体"/>
                <w:b w:val="0"/>
                <w:bCs w:val="0"/>
                <w:color w:val="auto"/>
                <w:sz w:val="24"/>
                <w:szCs w:val="24"/>
              </w:rPr>
              <w:fldChar w:fldCharType="end"/>
            </w:r>
            <w:r>
              <w:rPr>
                <w:rFonts w:hint="default" w:ascii="宋体" w:hAnsi="宋体" w:eastAsia="宋体" w:cs="宋体"/>
                <w:b w:val="0"/>
                <w:bCs w:val="0"/>
                <w:color w:val="auto"/>
                <w:sz w:val="24"/>
                <w:szCs w:val="24"/>
              </w:rPr>
              <w:t>施工技术、设备供应</w:t>
            </w:r>
          </w:p>
          <w:p w14:paraId="6A10D955">
            <w:pPr>
              <w:keepNext w:val="0"/>
              <w:keepLines w:val="0"/>
              <w:suppressLineNumbers w:val="0"/>
              <w:bidi w:val="0"/>
              <w:spacing w:before="0" w:beforeAutospacing="0" w:after="0" w:afterAutospacing="0"/>
              <w:ind w:left="0" w:right="0"/>
              <w:rPr>
                <w:rFonts w:hint="default"/>
                <w:color w:val="auto"/>
              </w:rPr>
            </w:pPr>
            <w:r>
              <w:rPr>
                <w:rFonts w:hint="default" w:ascii="宋体" w:hAnsi="宋体" w:eastAsia="宋体" w:cs="宋体"/>
                <w:b w:val="0"/>
                <w:bCs w:val="0"/>
                <w:color w:val="auto"/>
                <w:sz w:val="24"/>
                <w:szCs w:val="24"/>
              </w:rPr>
              <w:t>施工技术供应是保证施工顺利进展的关键。施工机械的先进程度和完好率，是保证整个工程能否按计划进度要求完成的基础。因此，必须根据技术要求和施工进度计划，及时作好技术供应和机械保养等工作。</w:t>
            </w:r>
          </w:p>
          <w:p w14:paraId="2635EE94">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fldChar w:fldCharType="begin"/>
            </w:r>
            <w:r>
              <w:rPr>
                <w:rFonts w:hint="default"/>
                <w:color w:val="auto"/>
                <w:lang w:val="en-US" w:eastAsia="zh-CN"/>
              </w:rPr>
              <w:instrText xml:space="preserve"> = 6 \* GB2 \* MERGEFORMAT </w:instrText>
            </w:r>
            <w:r>
              <w:rPr>
                <w:rFonts w:hint="default"/>
                <w:color w:val="auto"/>
                <w:lang w:val="en-US" w:eastAsia="zh-CN"/>
              </w:rPr>
              <w:fldChar w:fldCharType="separate"/>
            </w:r>
            <w:r>
              <w:rPr>
                <w:rFonts w:hint="default"/>
                <w:color w:val="auto"/>
              </w:rPr>
              <w:t>⑹</w:t>
            </w:r>
            <w:r>
              <w:rPr>
                <w:rFonts w:hint="default"/>
                <w:color w:val="auto"/>
                <w:lang w:val="en-US" w:eastAsia="zh-CN"/>
              </w:rPr>
              <w:fldChar w:fldCharType="end"/>
            </w:r>
            <w:r>
              <w:rPr>
                <w:rFonts w:hint="eastAsia"/>
                <w:color w:val="auto"/>
                <w:lang w:val="en-US" w:eastAsia="zh-CN"/>
              </w:rPr>
              <w:t>临时工程</w:t>
            </w:r>
          </w:p>
          <w:p w14:paraId="6D6CC062">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施工营地</w:t>
            </w:r>
            <w:r>
              <w:rPr>
                <w:rFonts w:hint="eastAsia"/>
                <w:color w:val="auto"/>
                <w:lang w:val="en-US" w:eastAsia="zh-CN"/>
              </w:rPr>
              <w:t>：</w:t>
            </w:r>
            <w:r>
              <w:rPr>
                <w:rFonts w:hint="default"/>
                <w:color w:val="auto"/>
                <w:lang w:val="en-US" w:eastAsia="zh-CN"/>
              </w:rPr>
              <w:t>项目施工人员不在施工区域内住宿，不设置临时施工营地，施工营地依托项目区周边村庄</w:t>
            </w:r>
            <w:r>
              <w:rPr>
                <w:rFonts w:hint="eastAsia"/>
                <w:color w:val="auto"/>
                <w:lang w:val="en-US" w:eastAsia="zh-CN"/>
              </w:rPr>
              <w:t>。</w:t>
            </w:r>
          </w:p>
          <w:p w14:paraId="55640090">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施工便道</w:t>
            </w:r>
            <w:r>
              <w:rPr>
                <w:rFonts w:hint="eastAsia"/>
                <w:color w:val="auto"/>
                <w:lang w:val="en-US" w:eastAsia="zh-CN"/>
              </w:rPr>
              <w:t>：</w:t>
            </w:r>
            <w:r>
              <w:rPr>
                <w:rFonts w:hint="default"/>
                <w:color w:val="auto"/>
                <w:lang w:val="en-US" w:eastAsia="zh-CN"/>
              </w:rPr>
              <w:t>治理区周边分布有高速公路、县道、乡道等交通运输道路，交通便利。同时治理区范围内设有施工便道</w:t>
            </w:r>
            <w:r>
              <w:rPr>
                <w:rFonts w:hint="eastAsia"/>
                <w:color w:val="auto"/>
                <w:lang w:val="en-US" w:eastAsia="zh-CN"/>
              </w:rPr>
              <w:t>。</w:t>
            </w:r>
          </w:p>
          <w:p w14:paraId="798EB40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highlight w:val="none"/>
                <w:lang w:val="en-US" w:eastAsia="zh-CN" w:bidi="ar"/>
              </w:rPr>
              <w:t>项目布置平面图详见</w:t>
            </w:r>
            <w:r>
              <w:rPr>
                <w:rFonts w:hint="eastAsia" w:ascii="宋体" w:hAnsi="宋体" w:cs="宋体"/>
                <w:color w:val="auto"/>
                <w:kern w:val="0"/>
                <w:sz w:val="24"/>
                <w:szCs w:val="24"/>
                <w:highlight w:val="none"/>
                <w:lang w:val="en-US" w:eastAsia="zh-CN" w:bidi="ar"/>
              </w:rPr>
              <w:t>附</w:t>
            </w:r>
            <w:r>
              <w:rPr>
                <w:rFonts w:hint="eastAsia" w:ascii="宋体" w:hAnsi="宋体" w:eastAsia="宋体" w:cs="宋体"/>
                <w:color w:val="auto"/>
                <w:kern w:val="0"/>
                <w:sz w:val="24"/>
                <w:szCs w:val="24"/>
                <w:highlight w:val="none"/>
                <w:lang w:val="en-US" w:eastAsia="zh-CN" w:bidi="ar"/>
              </w:rPr>
              <w:t>图</w:t>
            </w:r>
            <w:r>
              <w:rPr>
                <w:rFonts w:hint="default"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p>
        </w:tc>
      </w:tr>
      <w:tr w14:paraId="103F2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6" w:type="dxa"/>
            <w:noWrap w:val="0"/>
            <w:vAlign w:val="center"/>
          </w:tcPr>
          <w:p w14:paraId="1FA292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kern w:val="0"/>
                <w:szCs w:val="21"/>
              </w:rPr>
            </w:pPr>
            <w:r>
              <w:rPr>
                <w:rFonts w:hint="default" w:cs="Times New Roman"/>
                <w:b/>
                <w:bCs/>
                <w:color w:val="auto"/>
                <w:kern w:val="0"/>
                <w:sz w:val="24"/>
                <w:szCs w:val="21"/>
              </w:rPr>
              <w:t>施工方案</w:t>
            </w:r>
          </w:p>
        </w:tc>
        <w:tc>
          <w:tcPr>
            <w:tcW w:w="8444" w:type="dxa"/>
            <w:noWrap w:val="0"/>
            <w:vAlign w:val="center"/>
          </w:tcPr>
          <w:p w14:paraId="262B913A">
            <w:pPr>
              <w:pStyle w:val="2"/>
              <w:keepLines w:val="0"/>
              <w:suppressLineNumbers w:val="0"/>
              <w:bidi w:val="0"/>
              <w:spacing w:before="0" w:beforeAutospacing="0" w:after="0" w:afterAutospacing="0"/>
              <w:ind w:left="0" w:right="0"/>
              <w:rPr>
                <w:rFonts w:hint="default"/>
                <w:b w:val="0"/>
                <w:bCs/>
                <w:color w:val="auto"/>
                <w:sz w:val="24"/>
                <w:lang w:val="en-US"/>
              </w:rPr>
            </w:pPr>
            <w:r>
              <w:rPr>
                <w:rFonts w:hint="eastAsia"/>
                <w:b w:val="0"/>
                <w:bCs/>
                <w:color w:val="auto"/>
                <w:sz w:val="24"/>
              </w:rPr>
              <w:t>1</w:t>
            </w:r>
            <w:r>
              <w:rPr>
                <w:rFonts w:hint="eastAsia"/>
                <w:b w:val="0"/>
                <w:bCs/>
                <w:color w:val="auto"/>
                <w:sz w:val="24"/>
                <w:lang w:val="en-US" w:eastAsia="zh-CN"/>
              </w:rPr>
              <w:t xml:space="preserve"> 施工工艺</w:t>
            </w:r>
          </w:p>
          <w:p w14:paraId="460E7BFE">
            <w:pPr>
              <w:keepNext w:val="0"/>
              <w:keepLines w:val="0"/>
              <w:widowControl/>
              <w:suppressLineNumbers w:val="0"/>
              <w:spacing w:before="0" w:beforeAutospacing="0" w:after="0" w:afterAutospacing="0"/>
              <w:ind w:left="0" w:right="0" w:firstLine="454" w:firstLineChars="200"/>
              <w:rPr>
                <w:rFonts w:hint="eastAsia" w:ascii="宋体" w:hAnsi="宋体" w:cs="宋体"/>
                <w:color w:val="auto"/>
                <w:kern w:val="0"/>
                <w:sz w:val="24"/>
                <w:szCs w:val="24"/>
                <w:lang w:val="en-US" w:eastAsia="zh-CN" w:bidi="ar"/>
              </w:rPr>
            </w:pPr>
            <w:r>
              <w:rPr>
                <w:rFonts w:hint="eastAsia" w:cs="Times New Roman"/>
                <w:color w:val="auto"/>
                <w:sz w:val="24"/>
                <w:szCs w:val="24"/>
                <w:lang w:val="en-US" w:eastAsia="zh-CN"/>
              </w:rPr>
              <w:t>本项目主要对35个治理区进行生态修复。采取</w:t>
            </w:r>
            <w:r>
              <w:rPr>
                <w:rFonts w:hint="eastAsia" w:cs="Times New Roman"/>
                <w:color w:val="auto"/>
                <w:lang w:val="en-US" w:eastAsia="zh-CN"/>
              </w:rPr>
              <w:t>培坡护坡及凹陷处回填、场地平整、采坑回填、覆土工程、植被恢复工程、宣传牌工程、围栏工程</w:t>
            </w:r>
            <w:r>
              <w:rPr>
                <w:rFonts w:hint="eastAsia" w:ascii="宋体" w:hAnsi="宋体" w:eastAsia="宋体" w:cs="宋体"/>
                <w:color w:val="auto"/>
                <w:kern w:val="0"/>
                <w:sz w:val="24"/>
                <w:szCs w:val="24"/>
                <w:lang w:val="en-US" w:eastAsia="zh-CN" w:bidi="ar"/>
              </w:rPr>
              <w:t>等工程措施</w:t>
            </w:r>
            <w:r>
              <w:rPr>
                <w:rFonts w:hint="eastAsia" w:ascii="宋体" w:hAnsi="宋体" w:cs="宋体"/>
                <w:color w:val="auto"/>
                <w:kern w:val="0"/>
                <w:sz w:val="24"/>
                <w:szCs w:val="24"/>
                <w:lang w:val="en-US" w:eastAsia="zh-CN" w:bidi="ar"/>
              </w:rPr>
              <w:t>开展修复</w:t>
            </w:r>
            <w:r>
              <w:rPr>
                <w:rFonts w:hint="eastAsia" w:ascii="宋体" w:hAnsi="宋体" w:eastAsia="宋体" w:cs="宋体"/>
                <w:color w:val="auto"/>
                <w:kern w:val="0"/>
                <w:sz w:val="24"/>
                <w:szCs w:val="24"/>
                <w:lang w:val="en-US" w:eastAsia="zh-CN" w:bidi="ar"/>
              </w:rPr>
              <w:t>。施工期工艺流程及产污环节见图</w:t>
            </w:r>
            <w:r>
              <w:rPr>
                <w:rFonts w:hint="default" w:ascii="Times New Roman" w:hAnsi="Times New Roman" w:eastAsia="宋体" w:cs="Times New Roman"/>
                <w:color w:val="auto"/>
                <w:kern w:val="0"/>
                <w:sz w:val="24"/>
                <w:szCs w:val="24"/>
                <w:lang w:val="en-US" w:eastAsia="zh-CN" w:bidi="ar"/>
              </w:rPr>
              <w:t>2-</w:t>
            </w:r>
            <w:r>
              <w:rPr>
                <w:rFonts w:hint="eastAsia"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各修复措施施工工艺如下：</w:t>
            </w:r>
          </w:p>
          <w:p w14:paraId="7D48FA93">
            <w:pPr>
              <w:keepNext w:val="0"/>
              <w:keepLines w:val="0"/>
              <w:suppressLineNumbers w:val="0"/>
              <w:spacing w:before="0" w:beforeAutospacing="0" w:after="0" w:afterAutospacing="0"/>
              <w:ind w:left="0" w:leftChars="0" w:right="0" w:firstLine="0" w:firstLineChars="0"/>
              <w:jc w:val="center"/>
              <w:rPr>
                <w:rFonts w:hint="default" w:cs="Times New Roman"/>
                <w:b/>
                <w:bCs/>
                <w:color w:val="auto"/>
                <w:sz w:val="24"/>
              </w:rPr>
            </w:pPr>
            <w:r>
              <w:rPr>
                <w:rFonts w:hint="default" w:cs="Times New Roman"/>
                <w:color w:val="auto"/>
              </w:rPr>
              <w:object>
                <v:shape id="_x0000_i1025" o:spt="75" type="#_x0000_t75" style="height:169.95pt;width:410.3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r>
              <w:rPr>
                <w:rFonts w:hint="eastAsia" w:eastAsia="黑体" w:cs="Times New Roman"/>
                <w:color w:val="auto"/>
                <w:kern w:val="0"/>
                <w:sz w:val="24"/>
                <w:szCs w:val="20"/>
              </w:rPr>
              <w:t>图2-</w:t>
            </w:r>
            <w:r>
              <w:rPr>
                <w:rFonts w:hint="eastAsia" w:eastAsia="黑体" w:cs="Times New Roman"/>
                <w:color w:val="auto"/>
                <w:kern w:val="0"/>
                <w:sz w:val="24"/>
                <w:szCs w:val="20"/>
                <w:lang w:val="en-US" w:eastAsia="zh-CN"/>
              </w:rPr>
              <w:t>3</w:t>
            </w:r>
            <w:r>
              <w:rPr>
                <w:rFonts w:hint="default" w:eastAsia="黑体" w:cs="Times New Roman"/>
                <w:color w:val="auto"/>
                <w:kern w:val="0"/>
                <w:sz w:val="24"/>
                <w:szCs w:val="20"/>
              </w:rPr>
              <w:t xml:space="preserve"> </w:t>
            </w:r>
            <w:r>
              <w:rPr>
                <w:rFonts w:hint="eastAsia" w:eastAsia="黑体" w:cs="Times New Roman"/>
                <w:color w:val="auto"/>
                <w:kern w:val="0"/>
                <w:sz w:val="24"/>
                <w:szCs w:val="20"/>
              </w:rPr>
              <w:t xml:space="preserve"> 施工工艺流程图</w:t>
            </w:r>
          </w:p>
          <w:p w14:paraId="214BB8EB">
            <w:pPr>
              <w:keepNext w:val="0"/>
              <w:keepLines w:val="0"/>
              <w:suppressLineNumbers w:val="0"/>
              <w:bidi w:val="0"/>
              <w:spacing w:before="0" w:beforeAutospacing="0" w:after="0" w:afterAutospacing="0"/>
              <w:ind w:left="0" w:right="0"/>
              <w:rPr>
                <w:rFonts w:hint="default" w:cs="Times New Roman"/>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eastAsia" w:cs="Times New Roman"/>
                <w:color w:val="auto"/>
                <w:lang w:val="en-US" w:eastAsia="zh-CN"/>
              </w:rPr>
              <w:t>采坑回填</w:t>
            </w:r>
          </w:p>
          <w:p w14:paraId="748C1411">
            <w:pPr>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A1</w:t>
            </w:r>
            <w:r>
              <w:rPr>
                <w:rFonts w:hint="eastAsia" w:cs="Times New Roman"/>
                <w:color w:val="auto"/>
                <w:lang w:val="en-US" w:eastAsia="zh-CN"/>
              </w:rPr>
              <w:t>、</w:t>
            </w:r>
            <w:r>
              <w:rPr>
                <w:rFonts w:hint="default" w:cs="Times New Roman"/>
                <w:color w:val="auto"/>
                <w:lang w:val="en-US" w:eastAsia="zh-CN"/>
              </w:rPr>
              <w:t>A5</w:t>
            </w:r>
            <w:r>
              <w:rPr>
                <w:rFonts w:hint="eastAsia" w:cs="Times New Roman"/>
                <w:color w:val="auto"/>
                <w:lang w:val="en-US" w:eastAsia="zh-CN"/>
              </w:rPr>
              <w:t>、</w:t>
            </w:r>
            <w:r>
              <w:rPr>
                <w:rFonts w:hint="default" w:cs="Times New Roman"/>
                <w:color w:val="auto"/>
                <w:lang w:val="en-US" w:eastAsia="zh-CN"/>
              </w:rPr>
              <w:t>A9</w:t>
            </w:r>
            <w:r>
              <w:rPr>
                <w:rFonts w:hint="eastAsia" w:cs="Times New Roman"/>
                <w:color w:val="auto"/>
                <w:lang w:val="en-US" w:eastAsia="zh-CN"/>
              </w:rPr>
              <w:t>、</w:t>
            </w:r>
            <w:r>
              <w:rPr>
                <w:rFonts w:hint="default" w:cs="Times New Roman"/>
                <w:color w:val="auto"/>
                <w:lang w:val="en-US" w:eastAsia="zh-CN"/>
              </w:rPr>
              <w:t>A13</w:t>
            </w:r>
            <w:r>
              <w:rPr>
                <w:rFonts w:hint="eastAsia" w:cs="Times New Roman"/>
                <w:color w:val="auto"/>
                <w:lang w:val="en-US" w:eastAsia="zh-CN"/>
              </w:rPr>
              <w:t>、</w:t>
            </w:r>
            <w:r>
              <w:rPr>
                <w:rFonts w:hint="default" w:cs="Times New Roman"/>
                <w:color w:val="auto"/>
                <w:lang w:val="en-US" w:eastAsia="zh-CN"/>
              </w:rPr>
              <w:t>A29</w:t>
            </w:r>
            <w:r>
              <w:rPr>
                <w:rFonts w:hint="eastAsia" w:cs="Times New Roman"/>
                <w:color w:val="auto"/>
                <w:lang w:val="en-US" w:eastAsia="zh-CN"/>
              </w:rPr>
              <w:t>、</w:t>
            </w:r>
            <w:r>
              <w:rPr>
                <w:rFonts w:hint="default" w:cs="Times New Roman"/>
                <w:color w:val="auto"/>
                <w:lang w:val="en-US" w:eastAsia="zh-CN"/>
              </w:rPr>
              <w:t>A31</w:t>
            </w:r>
            <w:r>
              <w:rPr>
                <w:rFonts w:hint="eastAsia" w:cs="Times New Roman"/>
                <w:color w:val="auto"/>
                <w:lang w:val="en-US" w:eastAsia="zh-CN"/>
              </w:rPr>
              <w:t>治理区由于采矿活动开挖形成深</w:t>
            </w:r>
            <w:r>
              <w:rPr>
                <w:rFonts w:hint="default" w:cs="Times New Roman"/>
                <w:color w:val="auto"/>
                <w:lang w:val="en-US" w:eastAsia="zh-CN"/>
              </w:rPr>
              <w:t>1-6m</w:t>
            </w:r>
            <w:r>
              <w:rPr>
                <w:rFonts w:hint="eastAsia" w:cs="Times New Roman"/>
                <w:color w:val="auto"/>
                <w:lang w:val="en-US" w:eastAsia="zh-CN"/>
              </w:rPr>
              <w:t>的采坑，采用人工回填机械夯实的方法，自下而上依次将渣土直接设法倾倒于坑道区内，然后进行分层回填夯实，回填材料以</w:t>
            </w:r>
            <w:r>
              <w:rPr>
                <w:rFonts w:hint="default" w:cs="Times New Roman"/>
                <w:color w:val="auto"/>
                <w:lang w:val="en-US" w:eastAsia="zh-CN"/>
              </w:rPr>
              <w:t>30cm</w:t>
            </w:r>
            <w:r>
              <w:rPr>
                <w:rFonts w:hint="eastAsia" w:cs="Times New Roman"/>
                <w:color w:val="auto"/>
                <w:lang w:val="en-US" w:eastAsia="zh-CN"/>
              </w:rPr>
              <w:t>为一层，回填压实系数不小于</w:t>
            </w:r>
            <w:r>
              <w:rPr>
                <w:rFonts w:hint="default" w:cs="Times New Roman"/>
                <w:color w:val="auto"/>
                <w:lang w:val="en-US" w:eastAsia="zh-CN"/>
              </w:rPr>
              <w:t>0.80</w:t>
            </w:r>
            <w:r>
              <w:rPr>
                <w:rFonts w:hint="eastAsia" w:cs="Times New Roman"/>
                <w:color w:val="auto"/>
                <w:lang w:val="en-US" w:eastAsia="zh-CN"/>
              </w:rPr>
              <w:t>。</w:t>
            </w:r>
          </w:p>
          <w:p w14:paraId="06B3A724">
            <w:pPr>
              <w:keepNext w:val="0"/>
              <w:keepLines w:val="0"/>
              <w:suppressLineNumbers w:val="0"/>
              <w:bidi w:val="0"/>
              <w:spacing w:before="0" w:beforeAutospacing="0" w:after="0" w:afterAutospacing="0"/>
              <w:ind w:left="0" w:right="0"/>
              <w:rPr>
                <w:rFonts w:hint="default" w:cs="Times New Roman"/>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cs="Times New Roman"/>
                <w:color w:val="auto"/>
                <w:lang w:val="en-US" w:eastAsia="zh-CN"/>
              </w:rPr>
              <w:t>场地平整</w:t>
            </w:r>
          </w:p>
          <w:p w14:paraId="2A803223">
            <w:pPr>
              <w:keepNext w:val="0"/>
              <w:keepLines w:val="0"/>
              <w:suppressLineNumbers w:val="0"/>
              <w:bidi w:val="0"/>
              <w:spacing w:before="0" w:beforeAutospacing="0" w:after="0" w:afterAutospacing="0"/>
              <w:ind w:left="0" w:right="0"/>
              <w:rPr>
                <w:rFonts w:hint="default" w:ascii="Times New Roman" w:hAnsi="Times New Roman" w:cs="Times New Roman"/>
                <w:color w:val="auto"/>
                <w:lang w:val="en-US" w:eastAsia="zh-CN"/>
              </w:rPr>
            </w:pPr>
            <w:r>
              <w:rPr>
                <w:rFonts w:hint="default" w:cs="Times New Roman"/>
                <w:color w:val="auto"/>
                <w:lang w:val="en-US" w:eastAsia="zh-CN"/>
              </w:rPr>
              <w:t>35</w:t>
            </w:r>
            <w:r>
              <w:rPr>
                <w:rFonts w:hint="eastAsia" w:cs="Times New Roman"/>
                <w:color w:val="auto"/>
                <w:lang w:val="en-US" w:eastAsia="zh-CN"/>
              </w:rPr>
              <w:t>个治理区均存在大小不等的渣堆，对其进行削高填低，并对坡脚大于</w:t>
            </w:r>
            <w:r>
              <w:rPr>
                <w:rFonts w:hint="default" w:cs="Times New Roman"/>
                <w:color w:val="auto"/>
                <w:lang w:val="en-US" w:eastAsia="zh-CN"/>
              </w:rPr>
              <w:t>10m</w:t>
            </w:r>
            <w:r>
              <w:rPr>
                <w:rFonts w:hint="eastAsia" w:cs="Times New Roman"/>
                <w:color w:val="auto"/>
                <w:lang w:val="en-US" w:eastAsia="zh-CN"/>
              </w:rPr>
              <w:t>部位进行削坡降台，每级台阶高度</w:t>
            </w:r>
            <w:r>
              <w:rPr>
                <w:rFonts w:hint="default" w:cs="Times New Roman"/>
                <w:color w:val="auto"/>
                <w:lang w:val="en-US" w:eastAsia="zh-CN"/>
              </w:rPr>
              <w:t>5m</w:t>
            </w:r>
            <w:r>
              <w:rPr>
                <w:rFonts w:hint="eastAsia" w:cs="Times New Roman"/>
                <w:color w:val="auto"/>
                <w:lang w:val="en-US" w:eastAsia="zh-CN"/>
              </w:rPr>
              <w:t>，坡比</w:t>
            </w:r>
            <w:r>
              <w:rPr>
                <w:rFonts w:hint="default" w:cs="Times New Roman"/>
                <w:color w:val="auto"/>
                <w:lang w:val="en-US" w:eastAsia="zh-CN"/>
              </w:rPr>
              <w:t>1</w:t>
            </w:r>
            <w:r>
              <w:rPr>
                <w:rFonts w:hint="eastAsia" w:cs="Times New Roman"/>
                <w:color w:val="auto"/>
                <w:lang w:val="en-US" w:eastAsia="zh-CN"/>
              </w:rPr>
              <w:t>：</w:t>
            </w:r>
            <w:r>
              <w:rPr>
                <w:rFonts w:hint="default" w:cs="Times New Roman"/>
                <w:color w:val="auto"/>
                <w:lang w:val="en-US" w:eastAsia="zh-CN"/>
              </w:rPr>
              <w:t>2</w:t>
            </w:r>
            <w:r>
              <w:rPr>
                <w:rFonts w:hint="eastAsia" w:cs="Times New Roman"/>
                <w:color w:val="auto"/>
                <w:lang w:val="en-US" w:eastAsia="zh-CN"/>
              </w:rPr>
              <w:t>，预留平台宽度</w:t>
            </w:r>
            <w:r>
              <w:rPr>
                <w:rFonts w:hint="default" w:cs="Times New Roman"/>
                <w:color w:val="auto"/>
                <w:lang w:val="en-US" w:eastAsia="zh-CN"/>
              </w:rPr>
              <w:t>3m</w:t>
            </w:r>
            <w:r>
              <w:rPr>
                <w:rFonts w:hint="eastAsia" w:cs="Times New Roman"/>
                <w:color w:val="auto"/>
                <w:lang w:val="en-US" w:eastAsia="zh-CN"/>
              </w:rPr>
              <w:t>，每级平台设</w:t>
            </w:r>
            <w:r>
              <w:rPr>
                <w:rFonts w:hint="default" w:cs="Times New Roman"/>
                <w:color w:val="auto"/>
                <w:lang w:val="en-US" w:eastAsia="zh-CN"/>
              </w:rPr>
              <w:t>5%</w:t>
            </w:r>
            <w:r>
              <w:rPr>
                <w:rFonts w:hint="eastAsia" w:cs="Times New Roman"/>
                <w:color w:val="auto"/>
                <w:lang w:val="en-US" w:eastAsia="zh-CN"/>
              </w:rPr>
              <w:t>的反坡，在台阶外侧设置土埂。</w:t>
            </w:r>
          </w:p>
          <w:p w14:paraId="33DD20DC">
            <w:pPr>
              <w:keepNext w:val="0"/>
              <w:keepLines w:val="0"/>
              <w:suppressLineNumbers w:val="0"/>
              <w:bidi w:val="0"/>
              <w:spacing w:before="0" w:beforeAutospacing="0" w:after="0" w:afterAutospacing="0"/>
              <w:ind w:left="0" w:right="0"/>
              <w:rPr>
                <w:rFonts w:hint="default" w:cs="Times New Roman"/>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eastAsia" w:cs="Times New Roman"/>
                <w:color w:val="auto"/>
                <w:lang w:val="en-US" w:eastAsia="zh-CN"/>
              </w:rPr>
              <w:t>覆土工程</w:t>
            </w:r>
          </w:p>
          <w:p w14:paraId="0DA4BD3A">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治理区平整后，根据治理区现状条件，除高陡边坡无法覆土外，其余开采平台及垫填边坡等平缓区域均进行覆土，土源为各治理区内取土场</w:t>
            </w:r>
            <w:r>
              <w:rPr>
                <w:rFonts w:hint="default"/>
                <w:color w:val="auto"/>
              </w:rPr>
              <w:t>和采场剥离和挖出的砂土</w:t>
            </w:r>
            <w:r>
              <w:rPr>
                <w:rFonts w:hint="eastAsia"/>
                <w:color w:val="auto"/>
                <w:lang w:val="en-US" w:eastAsia="zh-CN"/>
              </w:rPr>
              <w:t>用筛网进行</w:t>
            </w:r>
            <w:r>
              <w:rPr>
                <w:rFonts w:hint="default"/>
                <w:color w:val="auto"/>
              </w:rPr>
              <w:t>简单筛分，</w:t>
            </w:r>
            <w:r>
              <w:rPr>
                <w:rFonts w:hint="eastAsia"/>
                <w:color w:val="auto"/>
                <w:lang w:val="en-US" w:eastAsia="zh-CN"/>
              </w:rPr>
              <w:t>扬尘较大时</w:t>
            </w:r>
            <w:r>
              <w:rPr>
                <w:rFonts w:hint="eastAsia" w:cs="Times New Roman"/>
                <w:color w:val="auto"/>
                <w:lang w:val="en-US" w:eastAsia="zh-CN"/>
              </w:rPr>
              <w:t>用</w:t>
            </w:r>
            <w:r>
              <w:rPr>
                <w:rFonts w:hint="eastAsia"/>
                <w:color w:val="auto"/>
                <w:lang w:val="en-US" w:eastAsia="zh-CN"/>
              </w:rPr>
              <w:t>洒水车洒水抑尘，</w:t>
            </w:r>
            <w:r>
              <w:rPr>
                <w:rFonts w:hint="eastAsia" w:cs="Times New Roman"/>
                <w:color w:val="auto"/>
                <w:lang w:val="en-US" w:eastAsia="zh-CN"/>
              </w:rPr>
              <w:t>运输依托治理区内现有道路，取土场位置见附图2-2，沙土比例为</w:t>
            </w:r>
            <w:r>
              <w:rPr>
                <w:rFonts w:hint="default" w:cs="Times New Roman"/>
                <w:color w:val="auto"/>
                <w:lang w:val="en-US" w:eastAsia="zh-CN"/>
              </w:rPr>
              <w:t>3</w:t>
            </w:r>
            <w:r>
              <w:rPr>
                <w:rFonts w:hint="eastAsia" w:cs="Times New Roman"/>
                <w:color w:val="auto"/>
                <w:lang w:val="en-US" w:eastAsia="zh-CN"/>
              </w:rPr>
              <w:t>：</w:t>
            </w:r>
            <w:r>
              <w:rPr>
                <w:rFonts w:hint="default" w:cs="Times New Roman"/>
                <w:color w:val="auto"/>
                <w:lang w:val="en-US" w:eastAsia="zh-CN"/>
              </w:rPr>
              <w:t>7</w:t>
            </w:r>
            <w:r>
              <w:rPr>
                <w:rFonts w:hint="eastAsia" w:cs="Times New Roman"/>
                <w:color w:val="auto"/>
                <w:lang w:val="en-US" w:eastAsia="zh-CN"/>
              </w:rPr>
              <w:t>进行覆土，本次设计覆土位置为植被恢复区域，考虑项目区为采矿挖损、压占土地资源、植被恢复等，覆土厚度为</w:t>
            </w:r>
            <w:r>
              <w:rPr>
                <w:rFonts w:hint="default" w:cs="Times New Roman"/>
                <w:color w:val="auto"/>
                <w:lang w:val="en-US" w:eastAsia="zh-CN"/>
              </w:rPr>
              <w:t>0.3m</w:t>
            </w:r>
            <w:r>
              <w:rPr>
                <w:rFonts w:hint="eastAsia" w:cs="Times New Roman"/>
                <w:color w:val="auto"/>
                <w:lang w:val="en-US" w:eastAsia="zh-CN"/>
              </w:rPr>
              <w:t>。</w:t>
            </w:r>
          </w:p>
          <w:p w14:paraId="1B60ADD8">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fldChar w:fldCharType="begin"/>
            </w:r>
            <w:r>
              <w:rPr>
                <w:rFonts w:hint="eastAsia" w:cs="Times New Roman"/>
                <w:color w:val="auto"/>
                <w:lang w:val="en-US" w:eastAsia="zh-CN"/>
              </w:rPr>
              <w:instrText xml:space="preserve"> = 4 \* GB2 \* MERGEFORMAT </w:instrText>
            </w:r>
            <w:r>
              <w:rPr>
                <w:rFonts w:hint="eastAsia" w:cs="Times New Roman"/>
                <w:color w:val="auto"/>
                <w:lang w:val="en-US" w:eastAsia="zh-CN"/>
              </w:rPr>
              <w:fldChar w:fldCharType="separate"/>
            </w:r>
            <w:r>
              <w:rPr>
                <w:rFonts w:hint="default"/>
                <w:color w:val="auto"/>
              </w:rPr>
              <w:t>⑷</w:t>
            </w:r>
            <w:r>
              <w:rPr>
                <w:rFonts w:hint="eastAsia" w:cs="Times New Roman"/>
                <w:color w:val="auto"/>
                <w:lang w:val="en-US" w:eastAsia="zh-CN"/>
              </w:rPr>
              <w:fldChar w:fldCharType="end"/>
            </w:r>
            <w:r>
              <w:rPr>
                <w:rFonts w:hint="eastAsia" w:cs="Times New Roman"/>
                <w:color w:val="auto"/>
                <w:lang w:val="en-US" w:eastAsia="zh-CN"/>
              </w:rPr>
              <w:t>植被恢复工程</w:t>
            </w:r>
          </w:p>
          <w:p w14:paraId="2D694DF0">
            <w:pPr>
              <w:keepNext w:val="0"/>
              <w:keepLines w:val="0"/>
              <w:suppressLineNumbers w:val="0"/>
              <w:bidi w:val="0"/>
              <w:spacing w:before="0" w:beforeAutospacing="0" w:after="0" w:afterAutospacing="0"/>
              <w:ind w:left="0" w:right="0"/>
              <w:rPr>
                <w:rFonts w:hint="default" w:cs="Times New Roman"/>
                <w:color w:val="auto"/>
              </w:rPr>
            </w:pPr>
            <w:r>
              <w:rPr>
                <w:rFonts w:hint="eastAsia" w:cs="Times New Roman"/>
                <w:color w:val="auto"/>
                <w:lang w:val="en-US" w:eastAsia="zh-CN"/>
              </w:rPr>
              <w:t>治理区及周边土地类型主要为天然牧草地，因此治理区生态恢复主要方向为人工牧草地。整平覆土后穴播草籽进行生态恢复。同时结合示范工程，在紧邻A6、A15、A20治理区段乌玛高速沿线栽植旱榆。</w:t>
            </w:r>
          </w:p>
          <w:p w14:paraId="25B4C921">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 1 \* GB3 \* MERGEFORMAT </w:instrText>
            </w:r>
            <w:r>
              <w:rPr>
                <w:rFonts w:hint="eastAsia" w:ascii="宋体" w:hAnsi="宋体" w:eastAsia="宋体" w:cs="宋体"/>
                <w:color w:val="auto"/>
              </w:rPr>
              <w:fldChar w:fldCharType="separate"/>
            </w:r>
            <w:r>
              <w:rPr>
                <w:rFonts w:hint="default"/>
                <w:color w:val="auto"/>
              </w:rPr>
              <w:t>①</w:t>
            </w:r>
            <w:r>
              <w:rPr>
                <w:rFonts w:hint="eastAsia" w:ascii="宋体" w:hAnsi="宋体" w:eastAsia="宋体" w:cs="宋体"/>
                <w:color w:val="auto"/>
              </w:rPr>
              <w:fldChar w:fldCharType="end"/>
            </w:r>
            <w:r>
              <w:rPr>
                <w:rFonts w:hint="eastAsia" w:ascii="宋体" w:hAnsi="宋体" w:eastAsia="宋体" w:cs="宋体"/>
                <w:color w:val="auto"/>
                <w:kern w:val="0"/>
                <w:sz w:val="24"/>
                <w:szCs w:val="24"/>
                <w:lang w:val="en-US" w:eastAsia="zh-CN" w:bidi="ar"/>
              </w:rPr>
              <w:t>乔木种植</w:t>
            </w:r>
          </w:p>
          <w:p w14:paraId="7E89CFE0">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乔木树种选择旱榆</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栽植时间以春秋季栽植为主</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栽植时要保证苗木位正干直，根系舒展，先回填培底湿土，裸根苗按照“三埋两踩一提苗”的规范要求栽植，使根系与土壤密切接触。带土球苗木将苗木在树穴中放正后，从四周填土踩实，填土到根界线的位置。植后要立即浇透水，待水渗干后要扶正苗木，培土封穴。</w:t>
            </w:r>
          </w:p>
          <w:p w14:paraId="71067BD1">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rPr>
              <w:t>②</w:t>
            </w:r>
            <w:r>
              <w:rPr>
                <w:rFonts w:hint="eastAsia" w:ascii="宋体" w:hAnsi="宋体" w:eastAsia="宋体" w:cs="宋体"/>
                <w:color w:val="auto"/>
                <w:kern w:val="0"/>
                <w:sz w:val="24"/>
                <w:szCs w:val="24"/>
                <w:lang w:val="en-US" w:eastAsia="zh-CN" w:bidi="ar"/>
              </w:rPr>
              <w:t>穴播草籽</w:t>
            </w:r>
          </w:p>
          <w:p w14:paraId="0E53C955">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根据沙坡头区长期的草原管理、治理、恢复的经验，结合《国土空间生态修复工程建设标准第</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部分：矿山生态修复》（</w:t>
            </w:r>
            <w:r>
              <w:rPr>
                <w:rFonts w:hint="default" w:ascii="Times New Roman" w:hAnsi="Times New Roman" w:eastAsia="宋体" w:cs="Times New Roman"/>
                <w:color w:val="auto"/>
                <w:kern w:val="0"/>
                <w:sz w:val="24"/>
                <w:szCs w:val="24"/>
                <w:lang w:val="en-US" w:eastAsia="zh-CN" w:bidi="ar"/>
              </w:rPr>
              <w:t>DB64</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T1999.2</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2024</w:t>
            </w:r>
            <w:r>
              <w:rPr>
                <w:rFonts w:hint="eastAsia" w:ascii="宋体" w:hAnsi="宋体" w:eastAsia="宋体" w:cs="宋体"/>
                <w:color w:val="auto"/>
                <w:kern w:val="0"/>
                <w:sz w:val="24"/>
                <w:szCs w:val="24"/>
                <w:lang w:val="en-US" w:eastAsia="zh-CN" w:bidi="ar"/>
              </w:rPr>
              <w:t>），本项目主要选用禾本科和豆科灌草种子在以下种类中冰草、骆驼蓬、芨芨草、披碱草、紫花苜蓿、沙打旺、草木樨、无芒燕麦、甘草、针茅、河西菊、赖草、羊草、沙蓬、西北针茅、沙米、百花蒿耐干旱沙生植物为主，优选沙蓬、芨芨草、梭梭草、针茅。</w:t>
            </w:r>
          </w:p>
          <w:p w14:paraId="530370E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根据设计比例将处理好的草种拌和，采用人工草籽撒播，确保草籽撒播均匀，密度适宜，考虑项目区气候干旱，自然条件恶劣，降水量小，设计播种量为</w:t>
            </w:r>
            <w:r>
              <w:rPr>
                <w:rFonts w:hint="default" w:ascii="Times New Roman" w:hAnsi="Times New Roman" w:eastAsia="宋体" w:cs="Times New Roman"/>
                <w:color w:val="auto"/>
                <w:kern w:val="0"/>
                <w:sz w:val="24"/>
                <w:szCs w:val="24"/>
                <w:lang w:val="en-US" w:eastAsia="zh-CN" w:bidi="ar"/>
              </w:rPr>
              <w:t>40kg/hm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，播深</w:t>
            </w:r>
            <w:r>
              <w:rPr>
                <w:rFonts w:hint="default" w:ascii="Times New Roman" w:hAnsi="Times New Roman" w:eastAsia="宋体" w:cs="Times New Roman"/>
                <w:color w:val="auto"/>
                <w:kern w:val="0"/>
                <w:sz w:val="24"/>
                <w:szCs w:val="24"/>
                <w:lang w:val="en-US" w:eastAsia="zh-CN" w:bidi="ar"/>
              </w:rPr>
              <w:t>2-3cm</w:t>
            </w:r>
            <w:r>
              <w:rPr>
                <w:rFonts w:hint="eastAsia" w:ascii="宋体" w:hAnsi="宋体" w:eastAsia="宋体" w:cs="宋体"/>
                <w:color w:val="auto"/>
                <w:kern w:val="0"/>
                <w:sz w:val="24"/>
                <w:szCs w:val="24"/>
                <w:lang w:val="en-US" w:eastAsia="zh-CN" w:bidi="ar"/>
              </w:rPr>
              <w:t>。穴播后，人工用铁耙整理，保证草籽被土覆盖，确保成活率。</w:t>
            </w:r>
          </w:p>
          <w:p w14:paraId="7865C36D">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fldChar w:fldCharType="begin"/>
            </w:r>
            <w:r>
              <w:rPr>
                <w:rFonts w:hint="eastAsia" w:cs="Times New Roman"/>
                <w:color w:val="auto"/>
                <w:lang w:val="en-US" w:eastAsia="zh-CN"/>
              </w:rPr>
              <w:instrText xml:space="preserve"> = 5 \* GB2 \* MERGEFORMAT </w:instrText>
            </w:r>
            <w:r>
              <w:rPr>
                <w:rFonts w:hint="eastAsia" w:cs="Times New Roman"/>
                <w:color w:val="auto"/>
                <w:lang w:val="en-US" w:eastAsia="zh-CN"/>
              </w:rPr>
              <w:fldChar w:fldCharType="separate"/>
            </w:r>
            <w:r>
              <w:rPr>
                <w:rFonts w:hint="default"/>
                <w:color w:val="auto"/>
              </w:rPr>
              <w:t>⑸</w:t>
            </w:r>
            <w:r>
              <w:rPr>
                <w:rFonts w:hint="eastAsia" w:cs="Times New Roman"/>
                <w:color w:val="auto"/>
                <w:lang w:val="en-US" w:eastAsia="zh-CN"/>
              </w:rPr>
              <w:fldChar w:fldCharType="end"/>
            </w:r>
            <w:r>
              <w:rPr>
                <w:rFonts w:hint="eastAsia" w:cs="Times New Roman"/>
                <w:color w:val="auto"/>
                <w:lang w:val="en-US" w:eastAsia="zh-CN"/>
              </w:rPr>
              <w:t>培坡护坡及凹陷处回填工程</w:t>
            </w:r>
          </w:p>
          <w:p w14:paraId="26DE5327">
            <w:pPr>
              <w:keepNext w:val="0"/>
              <w:keepLines w:val="0"/>
              <w:widowControl/>
              <w:suppressLineNumbers w:val="0"/>
              <w:spacing w:before="0" w:beforeAutospacing="0" w:after="0" w:afterAutospacing="0"/>
              <w:ind w:left="0" w:right="0"/>
              <w:jc w:val="left"/>
              <w:rPr>
                <w:rFonts w:hint="default" w:ascii="宋体" w:hAnsi="宋体" w:eastAsia="宋体" w:cs="宋体"/>
                <w:color w:val="auto"/>
                <w:kern w:val="0"/>
                <w:sz w:val="24"/>
                <w:szCs w:val="24"/>
                <w:lang w:val="en-US" w:eastAsia="zh-CN" w:bidi="ar"/>
              </w:rPr>
            </w:pPr>
            <w:r>
              <w:rPr>
                <w:rFonts w:hint="default" w:cs="Times New Roman"/>
                <w:color w:val="auto"/>
                <w:lang w:val="en-US" w:eastAsia="zh-CN"/>
              </w:rPr>
              <w:t>A1</w:t>
            </w:r>
            <w:r>
              <w:rPr>
                <w:rFonts w:hint="eastAsia" w:cs="Times New Roman"/>
                <w:color w:val="auto"/>
                <w:lang w:val="en-US" w:eastAsia="zh-CN"/>
              </w:rPr>
              <w:t>、</w:t>
            </w:r>
            <w:r>
              <w:rPr>
                <w:rFonts w:hint="default" w:cs="Times New Roman"/>
                <w:color w:val="auto"/>
                <w:lang w:val="en-US" w:eastAsia="zh-CN"/>
              </w:rPr>
              <w:t>A5</w:t>
            </w:r>
            <w:r>
              <w:rPr>
                <w:rFonts w:hint="eastAsia" w:cs="Times New Roman"/>
                <w:color w:val="auto"/>
                <w:lang w:val="en-US" w:eastAsia="zh-CN"/>
              </w:rPr>
              <w:t>、</w:t>
            </w:r>
            <w:r>
              <w:rPr>
                <w:rFonts w:hint="default" w:cs="Times New Roman"/>
                <w:color w:val="auto"/>
                <w:lang w:val="en-US" w:eastAsia="zh-CN"/>
              </w:rPr>
              <w:t>A9</w:t>
            </w:r>
            <w:r>
              <w:rPr>
                <w:rFonts w:hint="eastAsia" w:cs="Times New Roman"/>
                <w:color w:val="auto"/>
                <w:lang w:val="en-US" w:eastAsia="zh-CN"/>
              </w:rPr>
              <w:t>、</w:t>
            </w:r>
            <w:r>
              <w:rPr>
                <w:rFonts w:hint="default" w:cs="Times New Roman"/>
                <w:color w:val="auto"/>
                <w:lang w:val="en-US" w:eastAsia="zh-CN"/>
              </w:rPr>
              <w:t>A19</w:t>
            </w:r>
            <w:r>
              <w:rPr>
                <w:rFonts w:hint="eastAsia" w:cs="Times New Roman"/>
                <w:color w:val="auto"/>
                <w:lang w:val="en-US" w:eastAsia="zh-CN"/>
              </w:rPr>
              <w:t>、</w:t>
            </w:r>
            <w:r>
              <w:rPr>
                <w:rFonts w:hint="default" w:cs="Times New Roman"/>
                <w:color w:val="auto"/>
                <w:lang w:val="en-US" w:eastAsia="zh-CN"/>
              </w:rPr>
              <w:t>A20</w:t>
            </w:r>
            <w:r>
              <w:rPr>
                <w:rFonts w:hint="eastAsia" w:cs="Times New Roman"/>
                <w:color w:val="auto"/>
                <w:lang w:val="en-US" w:eastAsia="zh-CN"/>
              </w:rPr>
              <w:t>、</w:t>
            </w:r>
            <w:r>
              <w:rPr>
                <w:rFonts w:hint="default" w:cs="Times New Roman"/>
                <w:color w:val="auto"/>
                <w:lang w:val="en-US" w:eastAsia="zh-CN"/>
              </w:rPr>
              <w:t>A21</w:t>
            </w:r>
            <w:r>
              <w:rPr>
                <w:rFonts w:hint="eastAsia" w:cs="Times New Roman"/>
                <w:color w:val="auto"/>
                <w:lang w:val="en-US" w:eastAsia="zh-CN"/>
              </w:rPr>
              <w:t>、</w:t>
            </w:r>
            <w:r>
              <w:rPr>
                <w:rFonts w:hint="default" w:cs="Times New Roman"/>
                <w:color w:val="auto"/>
                <w:lang w:val="en-US" w:eastAsia="zh-CN"/>
              </w:rPr>
              <w:t>A22</w:t>
            </w:r>
            <w:r>
              <w:rPr>
                <w:rFonts w:hint="eastAsia" w:cs="Times New Roman"/>
                <w:color w:val="auto"/>
                <w:lang w:val="en-US" w:eastAsia="zh-CN"/>
              </w:rPr>
              <w:t>、</w:t>
            </w:r>
            <w:r>
              <w:rPr>
                <w:rFonts w:hint="default" w:cs="Times New Roman"/>
                <w:color w:val="auto"/>
                <w:lang w:val="en-US" w:eastAsia="zh-CN"/>
              </w:rPr>
              <w:t>A33</w:t>
            </w:r>
            <w:r>
              <w:rPr>
                <w:rFonts w:hint="eastAsia" w:cs="Times New Roman"/>
                <w:color w:val="auto"/>
                <w:lang w:val="en-US" w:eastAsia="zh-CN"/>
              </w:rPr>
              <w:t>治理区由于矿山开采形成高陡边坡和边坡凹陷。高陡边坡上部存在滑塌现象，且坡脚被挖空，存在一定的地质灾害隐患，严重影响治理区内地貌景观以及生态自然修复。为消除安全隐患、修复地貌、促进生态自然修复，根据治理区地形地貌特点，对高陡边坡采取边坡坡脚培土及凹陷处回填，构建与周边地形地貌相协调的边坡，稳固边坡，回填分级进行，每级台阶高度</w:t>
            </w:r>
            <w:r>
              <w:rPr>
                <w:rFonts w:hint="default" w:cs="Times New Roman"/>
                <w:color w:val="auto"/>
                <w:lang w:val="en-US" w:eastAsia="zh-CN"/>
              </w:rPr>
              <w:t>5m</w:t>
            </w:r>
            <w:r>
              <w:rPr>
                <w:rFonts w:hint="eastAsia" w:cs="Times New Roman"/>
                <w:color w:val="auto"/>
                <w:lang w:val="en-US" w:eastAsia="zh-CN"/>
              </w:rPr>
              <w:t>，坡比</w:t>
            </w:r>
            <w:r>
              <w:rPr>
                <w:rFonts w:hint="default" w:cs="Times New Roman"/>
                <w:color w:val="auto"/>
                <w:lang w:val="en-US" w:eastAsia="zh-CN"/>
              </w:rPr>
              <w:t>1</w:t>
            </w:r>
            <w:r>
              <w:rPr>
                <w:rFonts w:hint="eastAsia" w:cs="Times New Roman"/>
                <w:color w:val="auto"/>
                <w:lang w:val="en-US" w:eastAsia="zh-CN"/>
              </w:rPr>
              <w:t>：</w:t>
            </w:r>
            <w:r>
              <w:rPr>
                <w:rFonts w:hint="default" w:cs="Times New Roman"/>
                <w:color w:val="auto"/>
                <w:lang w:val="en-US" w:eastAsia="zh-CN"/>
              </w:rPr>
              <w:t>2</w:t>
            </w:r>
            <w:r>
              <w:rPr>
                <w:rFonts w:hint="eastAsia" w:cs="Times New Roman"/>
                <w:color w:val="auto"/>
                <w:lang w:val="en-US" w:eastAsia="zh-CN"/>
              </w:rPr>
              <w:t>，预留平台宽度</w:t>
            </w:r>
            <w:r>
              <w:rPr>
                <w:rFonts w:hint="default" w:cs="Times New Roman"/>
                <w:color w:val="auto"/>
                <w:lang w:val="en-US" w:eastAsia="zh-CN"/>
              </w:rPr>
              <w:t>4m</w:t>
            </w:r>
            <w:r>
              <w:rPr>
                <w:rFonts w:hint="eastAsia" w:cs="Times New Roman"/>
                <w:color w:val="auto"/>
                <w:lang w:val="en-US" w:eastAsia="zh-CN"/>
              </w:rPr>
              <w:t>，每级平台设</w:t>
            </w:r>
            <w:r>
              <w:rPr>
                <w:rFonts w:hint="default" w:cs="Times New Roman"/>
                <w:color w:val="auto"/>
                <w:lang w:val="en-US" w:eastAsia="zh-CN"/>
              </w:rPr>
              <w:t>5%</w:t>
            </w:r>
            <w:r>
              <w:rPr>
                <w:rFonts w:hint="eastAsia" w:cs="Times New Roman"/>
                <w:color w:val="auto"/>
                <w:lang w:val="en-US" w:eastAsia="zh-CN"/>
              </w:rPr>
              <w:t>的反坡，在台阶外侧设置土埂，土埂高</w:t>
            </w:r>
            <w:r>
              <w:rPr>
                <w:rFonts w:hint="default" w:cs="Times New Roman"/>
                <w:color w:val="auto"/>
                <w:lang w:val="en-US" w:eastAsia="zh-CN"/>
              </w:rPr>
              <w:t>0.3m</w:t>
            </w:r>
            <w:r>
              <w:rPr>
                <w:rFonts w:hint="eastAsia" w:cs="Times New Roman"/>
                <w:color w:val="auto"/>
                <w:lang w:val="en-US" w:eastAsia="zh-CN"/>
              </w:rPr>
              <w:t>，底宽</w:t>
            </w:r>
            <w:r>
              <w:rPr>
                <w:rFonts w:hint="default" w:cs="Times New Roman"/>
                <w:color w:val="auto"/>
                <w:lang w:val="en-US" w:eastAsia="zh-CN"/>
              </w:rPr>
              <w:t>0.5m</w:t>
            </w:r>
            <w:r>
              <w:rPr>
                <w:rFonts w:hint="eastAsia" w:cs="Times New Roman"/>
                <w:color w:val="auto"/>
                <w:lang w:val="en-US" w:eastAsia="zh-CN"/>
              </w:rPr>
              <w:t>，顶宽</w:t>
            </w:r>
            <w:r>
              <w:rPr>
                <w:rFonts w:hint="default" w:cs="Times New Roman"/>
                <w:color w:val="auto"/>
                <w:lang w:val="en-US" w:eastAsia="zh-CN"/>
              </w:rPr>
              <w:t>0.3m</w:t>
            </w:r>
            <w:r>
              <w:rPr>
                <w:rFonts w:hint="eastAsia" w:cs="Times New Roman"/>
                <w:color w:val="auto"/>
                <w:lang w:val="en-US" w:eastAsia="zh-CN"/>
              </w:rPr>
              <w:t>。</w:t>
            </w:r>
          </w:p>
          <w:p w14:paraId="73DC1EA9">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cs="Times New Roman"/>
                <w:color w:val="auto"/>
                <w:lang w:eastAsia="zh-CN"/>
              </w:rPr>
              <w:fldChar w:fldCharType="begin"/>
            </w:r>
            <w:r>
              <w:rPr>
                <w:rFonts w:hint="eastAsia" w:cs="Times New Roman"/>
                <w:color w:val="auto"/>
                <w:lang w:eastAsia="zh-CN"/>
              </w:rPr>
              <w:instrText xml:space="preserve"> = 6 \* GB2 \* MERGEFORMAT </w:instrText>
            </w:r>
            <w:r>
              <w:rPr>
                <w:rFonts w:hint="eastAsia" w:cs="Times New Roman"/>
                <w:color w:val="auto"/>
                <w:lang w:eastAsia="zh-CN"/>
              </w:rPr>
              <w:fldChar w:fldCharType="separate"/>
            </w:r>
            <w:r>
              <w:rPr>
                <w:rFonts w:hint="default"/>
                <w:color w:val="auto"/>
              </w:rPr>
              <w:t>⑹</w:t>
            </w:r>
            <w:r>
              <w:rPr>
                <w:rFonts w:hint="eastAsia" w:cs="Times New Roman"/>
                <w:color w:val="auto"/>
                <w:lang w:eastAsia="zh-CN"/>
              </w:rPr>
              <w:fldChar w:fldCharType="end"/>
            </w:r>
            <w:r>
              <w:rPr>
                <w:rFonts w:hint="eastAsia" w:ascii="宋体" w:hAnsi="宋体" w:eastAsia="宋体" w:cs="宋体"/>
                <w:color w:val="auto"/>
                <w:kern w:val="0"/>
                <w:sz w:val="24"/>
                <w:szCs w:val="24"/>
                <w:lang w:val="en-US" w:eastAsia="zh-CN" w:bidi="ar"/>
              </w:rPr>
              <w:t>围栏工程</w:t>
            </w:r>
          </w:p>
          <w:p w14:paraId="75DBDEEB">
            <w:pPr>
              <w:keepNext w:val="0"/>
              <w:keepLines w:val="0"/>
              <w:widowControl/>
              <w:suppressLineNumbers w:val="0"/>
              <w:spacing w:before="0" w:beforeAutospacing="0" w:after="0" w:afterAutospacing="0"/>
              <w:ind w:left="0" w:right="0"/>
              <w:jc w:val="left"/>
              <w:rPr>
                <w:rFonts w:hint="default" w:cs="Times New Roman"/>
                <w:color w:val="auto"/>
                <w:lang w:val="en-US"/>
              </w:rPr>
            </w:pPr>
            <w:r>
              <w:rPr>
                <w:rFonts w:hint="default" w:ascii="Times New Roman" w:hAnsi="Times New Roman" w:eastAsia="宋体" w:cs="Times New Roman"/>
                <w:color w:val="auto"/>
                <w:kern w:val="0"/>
                <w:sz w:val="24"/>
                <w:szCs w:val="24"/>
                <w:lang w:val="en-US" w:eastAsia="zh-CN" w:bidi="ar"/>
              </w:rPr>
              <w:t>A1</w:t>
            </w:r>
            <w:r>
              <w:rPr>
                <w:rFonts w:hint="eastAsia" w:ascii="宋体" w:hAnsi="宋体" w:eastAsia="宋体" w:cs="宋体"/>
                <w:color w:val="auto"/>
                <w:kern w:val="0"/>
                <w:sz w:val="24"/>
                <w:szCs w:val="24"/>
                <w:lang w:val="en-US" w:eastAsia="zh-CN" w:bidi="ar"/>
              </w:rPr>
              <w:t>治理区有</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处水塘，为保护附近居民生命安全，因此在该治理区设置围栏工程。</w:t>
            </w:r>
          </w:p>
          <w:p w14:paraId="76FDE9AF">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Times New Roman" w:hAnsi="Times New Roman" w:eastAsia="宋体" w:cs="Times New Roman"/>
                <w:color w:val="auto"/>
                <w:kern w:val="0"/>
                <w:sz w:val="24"/>
                <w:szCs w:val="24"/>
                <w:lang w:val="en-US" w:eastAsia="zh-CN" w:bidi="ar"/>
              </w:rPr>
              <w:fldChar w:fldCharType="begin"/>
            </w:r>
            <w:r>
              <w:rPr>
                <w:rFonts w:hint="eastAsia" w:ascii="Times New Roman" w:hAnsi="Times New Roman" w:eastAsia="宋体" w:cs="Times New Roman"/>
                <w:color w:val="auto"/>
                <w:kern w:val="0"/>
                <w:sz w:val="24"/>
                <w:szCs w:val="24"/>
                <w:lang w:val="en-US" w:eastAsia="zh-CN" w:bidi="ar"/>
              </w:rPr>
              <w:instrText xml:space="preserve"> = 7 \* GB2 \* MERGEFORMAT </w:instrText>
            </w:r>
            <w:r>
              <w:rPr>
                <w:rFonts w:hint="eastAsia" w:ascii="Times New Roman" w:hAnsi="Times New Roman" w:eastAsia="宋体" w:cs="Times New Roman"/>
                <w:color w:val="auto"/>
                <w:kern w:val="0"/>
                <w:sz w:val="24"/>
                <w:szCs w:val="24"/>
                <w:lang w:val="en-US" w:eastAsia="zh-CN" w:bidi="ar"/>
              </w:rPr>
              <w:fldChar w:fldCharType="separate"/>
            </w:r>
            <w:r>
              <w:rPr>
                <w:rFonts w:hint="default"/>
                <w:color w:val="auto"/>
              </w:rPr>
              <w:t>⑺</w:t>
            </w:r>
            <w:r>
              <w:rPr>
                <w:rFonts w:hint="eastAsia" w:ascii="Times New Roman" w:hAnsi="Times New Roman" w:eastAsia="宋体" w:cs="Times New Roman"/>
                <w:color w:val="auto"/>
                <w:kern w:val="0"/>
                <w:sz w:val="24"/>
                <w:szCs w:val="24"/>
                <w:lang w:val="en-US" w:eastAsia="zh-CN" w:bidi="ar"/>
              </w:rPr>
              <w:fldChar w:fldCharType="end"/>
            </w:r>
            <w:r>
              <w:rPr>
                <w:rFonts w:hint="eastAsia" w:ascii="宋体" w:hAnsi="宋体" w:eastAsia="宋体" w:cs="宋体"/>
                <w:color w:val="auto"/>
                <w:kern w:val="0"/>
                <w:sz w:val="24"/>
                <w:szCs w:val="24"/>
                <w:lang w:val="en-US" w:eastAsia="zh-CN" w:bidi="ar"/>
              </w:rPr>
              <w:t>宣传牌工程</w:t>
            </w:r>
          </w:p>
          <w:p w14:paraId="783D4B4E">
            <w:pPr>
              <w:keepNext w:val="0"/>
              <w:keepLines w:val="0"/>
              <w:suppressLineNumbers w:val="0"/>
              <w:bidi w:val="0"/>
              <w:spacing w:before="0" w:beforeAutospacing="0" w:after="0" w:afterAutospacing="0"/>
              <w:ind w:left="0" w:right="0"/>
              <w:rPr>
                <w:rFonts w:hint="default"/>
                <w:color w:val="auto"/>
                <w:lang w:val="en-US" w:eastAsia="zh-CN"/>
              </w:rPr>
            </w:pPr>
            <w:r>
              <w:rPr>
                <w:rFonts w:hint="eastAsia" w:ascii="宋体" w:hAnsi="宋体" w:eastAsia="宋体" w:cs="宋体"/>
                <w:color w:val="auto"/>
                <w:kern w:val="0"/>
                <w:sz w:val="24"/>
                <w:szCs w:val="24"/>
                <w:lang w:val="en-US" w:eastAsia="zh-CN" w:bidi="ar"/>
              </w:rPr>
              <w:t>在每个治理区周围靠近道路等处布设生态修复宣传牌</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处，以起到宣传、警示作用。</w:t>
            </w:r>
          </w:p>
          <w:p w14:paraId="545DC1D7">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2 </w:t>
            </w:r>
            <w:r>
              <w:rPr>
                <w:rFonts w:hint="eastAsia"/>
                <w:color w:val="auto"/>
              </w:rPr>
              <w:t>施工时序</w:t>
            </w:r>
          </w:p>
          <w:p w14:paraId="5E98C631">
            <w:pPr>
              <w:keepNext w:val="0"/>
              <w:keepLines w:val="0"/>
              <w:suppressLineNumbers w:val="0"/>
              <w:bidi w:val="0"/>
              <w:spacing w:before="0" w:beforeAutospacing="0" w:after="0" w:afterAutospacing="0"/>
              <w:ind w:left="0" w:right="0"/>
              <w:rPr>
                <w:rFonts w:hint="eastAsia" w:cs="Times New Roman"/>
                <w:color w:val="auto"/>
                <w:sz w:val="24"/>
              </w:rPr>
            </w:pPr>
            <w:r>
              <w:rPr>
                <w:rFonts w:hint="default"/>
                <w:color w:val="auto"/>
              </w:rPr>
              <w:t>项目将在2025年</w:t>
            </w:r>
            <w:r>
              <w:rPr>
                <w:rFonts w:hint="eastAsia"/>
                <w:color w:val="auto"/>
                <w:lang w:val="en-US" w:eastAsia="zh-CN"/>
              </w:rPr>
              <w:t>11</w:t>
            </w:r>
            <w:r>
              <w:rPr>
                <w:rFonts w:hint="default"/>
                <w:color w:val="auto"/>
              </w:rPr>
              <w:t>月底前完成主体工程，项目计划建设期为</w:t>
            </w:r>
            <w:r>
              <w:rPr>
                <w:rFonts w:hint="eastAsia"/>
                <w:color w:val="auto"/>
                <w:lang w:val="en-US" w:eastAsia="zh-CN"/>
              </w:rPr>
              <w:t>8</w:t>
            </w:r>
            <w:r>
              <w:rPr>
                <w:rFonts w:hint="default"/>
                <w:color w:val="auto"/>
              </w:rPr>
              <w:t>个月，202</w:t>
            </w:r>
            <w:r>
              <w:rPr>
                <w:rFonts w:hint="eastAsia"/>
                <w:color w:val="auto"/>
                <w:lang w:val="en-US" w:eastAsia="zh-CN"/>
              </w:rPr>
              <w:t>5</w:t>
            </w:r>
            <w:r>
              <w:rPr>
                <w:rFonts w:hint="default"/>
                <w:color w:val="auto"/>
              </w:rPr>
              <w:t>年</w:t>
            </w:r>
            <w:r>
              <w:rPr>
                <w:rFonts w:hint="eastAsia"/>
                <w:color w:val="auto"/>
                <w:lang w:val="en-US" w:eastAsia="zh-CN"/>
              </w:rPr>
              <w:t>1</w:t>
            </w:r>
            <w:r>
              <w:rPr>
                <w:rFonts w:hint="default"/>
                <w:color w:val="auto"/>
              </w:rPr>
              <w:t>-</w:t>
            </w:r>
            <w:r>
              <w:rPr>
                <w:rFonts w:hint="eastAsia"/>
                <w:color w:val="auto"/>
                <w:lang w:val="en-US" w:eastAsia="zh-CN"/>
              </w:rPr>
              <w:t>4</w:t>
            </w:r>
            <w:r>
              <w:rPr>
                <w:rFonts w:hint="default"/>
                <w:color w:val="auto"/>
              </w:rPr>
              <w:t>月进行项目前期工作，2025年</w:t>
            </w:r>
            <w:r>
              <w:rPr>
                <w:rFonts w:hint="eastAsia"/>
                <w:color w:val="auto"/>
                <w:lang w:val="en-US" w:eastAsia="zh-CN"/>
              </w:rPr>
              <w:t>4月-7月，按空间分布顺序施工，完成场地平整、采坑回填、覆土工程、宣传牌工程、围栏工程，</w:t>
            </w:r>
            <w:r>
              <w:rPr>
                <w:rFonts w:hint="default"/>
                <w:color w:val="auto"/>
              </w:rPr>
              <w:t>2025年</w:t>
            </w:r>
            <w:r>
              <w:rPr>
                <w:rFonts w:hint="eastAsia"/>
                <w:color w:val="auto"/>
                <w:lang w:val="en-US" w:eastAsia="zh-CN"/>
              </w:rPr>
              <w:t>8</w:t>
            </w:r>
            <w:r>
              <w:rPr>
                <w:rFonts w:hint="default"/>
                <w:color w:val="auto"/>
              </w:rPr>
              <w:t>月</w:t>
            </w:r>
            <w:r>
              <w:rPr>
                <w:rFonts w:hint="eastAsia"/>
                <w:color w:val="auto"/>
                <w:lang w:val="en-US" w:eastAsia="zh-CN"/>
              </w:rPr>
              <w:t>-11月完成植被恢复工程、培坡护坡及凹陷处回填工程。2025年11月-2028年11月进行养护。</w:t>
            </w:r>
          </w:p>
          <w:p w14:paraId="0F5CF0E0">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 建设周期</w:t>
            </w:r>
          </w:p>
          <w:p w14:paraId="2B523120">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eastAsia" w:cs="Times New Roman"/>
                <w:color w:val="auto"/>
                <w:lang w:val="en-US" w:eastAsia="zh-CN"/>
              </w:rPr>
              <w:t>施工阶段：</w:t>
            </w:r>
            <w:r>
              <w:rPr>
                <w:rFonts w:hint="default" w:cs="Times New Roman"/>
                <w:color w:val="auto"/>
                <w:lang w:val="en-US" w:eastAsia="zh-CN"/>
              </w:rPr>
              <w:t>202</w:t>
            </w:r>
            <w:r>
              <w:rPr>
                <w:rFonts w:hint="eastAsia" w:cs="Times New Roman"/>
                <w:color w:val="auto"/>
                <w:lang w:val="en-US" w:eastAsia="zh-CN"/>
              </w:rPr>
              <w:t>5年4月～</w:t>
            </w:r>
            <w:r>
              <w:rPr>
                <w:rFonts w:hint="default" w:cs="Times New Roman"/>
                <w:color w:val="auto"/>
                <w:lang w:val="en-US" w:eastAsia="zh-CN"/>
              </w:rPr>
              <w:t>202</w:t>
            </w:r>
            <w:r>
              <w:rPr>
                <w:rFonts w:hint="eastAsia" w:cs="Times New Roman"/>
                <w:color w:val="auto"/>
                <w:lang w:val="en-US" w:eastAsia="zh-CN"/>
              </w:rPr>
              <w:t>5年11月，完成全部施工工作；包括培坡护坡及凹陷处回填、场地平整、采坑回填、覆土工程、植被恢复工程、宣传牌工程、围栏工程。</w:t>
            </w:r>
          </w:p>
          <w:p w14:paraId="0B5D898B">
            <w:pPr>
              <w:keepNext w:val="0"/>
              <w:keepLines w:val="0"/>
              <w:suppressLineNumbers w:val="0"/>
              <w:bidi w:val="0"/>
              <w:spacing w:before="0" w:beforeAutospacing="0" w:after="0" w:afterAutospacing="0"/>
              <w:ind w:left="0" w:right="0"/>
              <w:rPr>
                <w:rFonts w:hint="default" w:cs="Times New Roman"/>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cs="Times New Roman"/>
                <w:color w:val="auto"/>
                <w:lang w:val="en-US" w:eastAsia="zh-CN"/>
              </w:rPr>
              <w:t>养护阶段：自项目不同治理区施工期结束起3年，对人工种植的草地进行及时浇水、施肥、补植等养护和管理等工作。</w:t>
            </w:r>
          </w:p>
          <w:p w14:paraId="2DA47179">
            <w:pPr>
              <w:keepNext w:val="0"/>
              <w:keepLines w:val="0"/>
              <w:suppressLineNumbers w:val="0"/>
              <w:bidi w:val="0"/>
              <w:spacing w:before="0" w:beforeAutospacing="0" w:after="0" w:afterAutospacing="0"/>
              <w:ind w:left="0" w:right="0"/>
              <w:rPr>
                <w:rFonts w:hint="default" w:cs="Times New Roman"/>
                <w:color w:val="auto"/>
                <w:sz w:val="24"/>
                <w:szCs w:val="22"/>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eastAsia" w:cs="Times New Roman"/>
                <w:color w:val="auto"/>
                <w:lang w:val="en-US" w:eastAsia="zh-CN"/>
              </w:rPr>
              <w:t>验收工作阶段：</w:t>
            </w:r>
            <w:r>
              <w:rPr>
                <w:rFonts w:hint="default" w:cs="Times New Roman"/>
                <w:color w:val="auto"/>
                <w:lang w:val="en-US" w:eastAsia="zh-CN"/>
              </w:rPr>
              <w:t>202</w:t>
            </w:r>
            <w:r>
              <w:rPr>
                <w:rFonts w:hint="eastAsia" w:cs="Times New Roman"/>
                <w:color w:val="auto"/>
                <w:lang w:val="en-US" w:eastAsia="zh-CN"/>
              </w:rPr>
              <w:t>5年11月～</w:t>
            </w:r>
            <w:r>
              <w:rPr>
                <w:rFonts w:hint="default" w:cs="Times New Roman"/>
                <w:color w:val="auto"/>
                <w:lang w:val="en-US" w:eastAsia="zh-CN"/>
              </w:rPr>
              <w:t>202</w:t>
            </w:r>
            <w:r>
              <w:rPr>
                <w:rFonts w:hint="eastAsia" w:cs="Times New Roman"/>
                <w:color w:val="auto"/>
                <w:lang w:val="en-US" w:eastAsia="zh-CN"/>
              </w:rPr>
              <w:t>8年11月完成竣工验收。</w:t>
            </w:r>
          </w:p>
        </w:tc>
      </w:tr>
      <w:tr w14:paraId="06B0F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646" w:type="dxa"/>
            <w:noWrap w:val="0"/>
            <w:vAlign w:val="center"/>
          </w:tcPr>
          <w:p w14:paraId="3D45C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kern w:val="0"/>
                <w:szCs w:val="21"/>
              </w:rPr>
            </w:pPr>
            <w:r>
              <w:rPr>
                <w:rFonts w:hint="default" w:cs="Times New Roman"/>
                <w:b/>
                <w:bCs/>
                <w:color w:val="auto"/>
                <w:kern w:val="0"/>
                <w:szCs w:val="21"/>
              </w:rPr>
              <w:t>其他</w:t>
            </w:r>
          </w:p>
          <w:p w14:paraId="118E0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cs="Times New Roman"/>
                <w:b/>
                <w:bCs/>
                <w:color w:val="auto"/>
                <w:kern w:val="0"/>
                <w:szCs w:val="21"/>
              </w:rPr>
            </w:pPr>
          </w:p>
          <w:p w14:paraId="2CC38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cs="Times New Roman"/>
                <w:b/>
                <w:bCs/>
                <w:color w:val="auto"/>
                <w:kern w:val="0"/>
                <w:szCs w:val="21"/>
              </w:rPr>
            </w:pPr>
          </w:p>
          <w:p w14:paraId="59B828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cs="Times New Roman"/>
                <w:b/>
                <w:bCs/>
                <w:color w:val="auto"/>
                <w:kern w:val="0"/>
                <w:szCs w:val="21"/>
              </w:rPr>
            </w:pPr>
          </w:p>
          <w:p w14:paraId="17F3C28D">
            <w:pPr>
              <w:pStyle w:val="13"/>
              <w:keepNext w:val="0"/>
              <w:keepLines w:val="0"/>
              <w:suppressLineNumbers w:val="0"/>
              <w:spacing w:before="0" w:beforeAutospacing="0" w:after="0" w:afterAutospacing="0"/>
              <w:ind w:left="0" w:right="0"/>
              <w:rPr>
                <w:rFonts w:hint="default" w:cs="Times New Roman"/>
                <w:b/>
                <w:bCs/>
                <w:color w:val="auto"/>
                <w:kern w:val="0"/>
                <w:szCs w:val="21"/>
              </w:rPr>
            </w:pPr>
          </w:p>
          <w:p w14:paraId="438FC150">
            <w:pPr>
              <w:keepNext w:val="0"/>
              <w:keepLines w:val="0"/>
              <w:suppressLineNumbers w:val="0"/>
              <w:spacing w:before="0" w:beforeAutospacing="0" w:after="0" w:afterAutospacing="0"/>
              <w:ind w:left="0" w:right="0"/>
              <w:rPr>
                <w:rFonts w:hint="default" w:cs="Times New Roman"/>
                <w:b/>
                <w:bCs/>
                <w:color w:val="auto"/>
                <w:kern w:val="0"/>
                <w:szCs w:val="21"/>
              </w:rPr>
            </w:pPr>
          </w:p>
          <w:p w14:paraId="7DA6081C">
            <w:pPr>
              <w:pStyle w:val="13"/>
              <w:keepNext w:val="0"/>
              <w:keepLines w:val="0"/>
              <w:suppressLineNumbers w:val="0"/>
              <w:spacing w:before="0" w:beforeAutospacing="0" w:after="0" w:afterAutospacing="0"/>
              <w:ind w:left="0" w:right="0"/>
              <w:rPr>
                <w:rFonts w:hint="default" w:cs="Times New Roman"/>
                <w:b/>
                <w:bCs/>
                <w:color w:val="auto"/>
                <w:kern w:val="0"/>
                <w:szCs w:val="21"/>
              </w:rPr>
            </w:pPr>
          </w:p>
          <w:p w14:paraId="41B70D3E">
            <w:pPr>
              <w:keepNext w:val="0"/>
              <w:keepLines w:val="0"/>
              <w:suppressLineNumbers w:val="0"/>
              <w:spacing w:before="0" w:beforeAutospacing="0" w:after="0" w:afterAutospacing="0"/>
              <w:ind w:left="0" w:right="0"/>
              <w:rPr>
                <w:rFonts w:hint="default" w:cs="Times New Roman"/>
                <w:b/>
                <w:bCs/>
                <w:color w:val="auto"/>
                <w:kern w:val="0"/>
                <w:szCs w:val="21"/>
              </w:rPr>
            </w:pPr>
          </w:p>
          <w:p w14:paraId="564682EC">
            <w:pPr>
              <w:pStyle w:val="13"/>
              <w:keepNext w:val="0"/>
              <w:keepLines w:val="0"/>
              <w:suppressLineNumbers w:val="0"/>
              <w:spacing w:before="0" w:beforeAutospacing="0" w:after="0" w:afterAutospacing="0"/>
              <w:ind w:left="0" w:right="0"/>
              <w:rPr>
                <w:rFonts w:hint="default" w:cs="Times New Roman"/>
                <w:b/>
                <w:bCs/>
                <w:color w:val="auto"/>
                <w:kern w:val="0"/>
                <w:szCs w:val="21"/>
              </w:rPr>
            </w:pPr>
          </w:p>
          <w:p w14:paraId="0FBDC666">
            <w:pPr>
              <w:keepNext w:val="0"/>
              <w:keepLines w:val="0"/>
              <w:suppressLineNumbers w:val="0"/>
              <w:spacing w:before="0" w:beforeAutospacing="0" w:after="0" w:afterAutospacing="0"/>
              <w:ind w:left="0" w:right="0"/>
              <w:rPr>
                <w:rFonts w:hint="default"/>
                <w:color w:val="auto"/>
              </w:rPr>
            </w:pPr>
          </w:p>
          <w:p w14:paraId="693E89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both"/>
              <w:textAlignment w:val="auto"/>
              <w:rPr>
                <w:rFonts w:hint="default" w:cs="Times New Roman"/>
                <w:b/>
                <w:bCs/>
                <w:color w:val="auto"/>
                <w:kern w:val="0"/>
                <w:szCs w:val="21"/>
              </w:rPr>
            </w:pPr>
          </w:p>
        </w:tc>
        <w:tc>
          <w:tcPr>
            <w:tcW w:w="8444" w:type="dxa"/>
            <w:noWrap w:val="0"/>
            <w:vAlign w:val="center"/>
          </w:tcPr>
          <w:p w14:paraId="4133FF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762F2D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r>
              <w:rPr>
                <w:rFonts w:hint="eastAsia" w:cs="Times New Roman"/>
                <w:color w:val="auto"/>
                <w:sz w:val="24"/>
              </w:rPr>
              <w:t>无</w:t>
            </w:r>
          </w:p>
          <w:p w14:paraId="033F6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2233B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2793AC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18812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56A1C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75DF7D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0BD50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47BDAA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61F00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36B45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4B811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6FEE4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79235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04E65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1EF2F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204EC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7B73B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p w14:paraId="38155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sz w:val="24"/>
              </w:rPr>
            </w:pPr>
          </w:p>
        </w:tc>
      </w:tr>
    </w:tbl>
    <w:p w14:paraId="6948A411">
      <w:pPr>
        <w:pStyle w:val="4"/>
        <w:bidi w:val="0"/>
        <w:rPr>
          <w:rStyle w:val="37"/>
          <w:bCs/>
          <w:color w:val="auto"/>
        </w:rPr>
      </w:pPr>
      <w:r>
        <w:rPr>
          <w:rFonts w:ascii="Times New Roman" w:hAnsi="Times New Roman" w:eastAsia="仿宋_GB2312"/>
          <w:b/>
          <w:bCs w:val="0"/>
          <w:color w:val="auto"/>
        </w:rPr>
        <w:br w:type="page"/>
      </w:r>
      <w:r>
        <w:rPr>
          <w:rStyle w:val="37"/>
          <w:bCs/>
          <w:color w:val="auto"/>
        </w:rPr>
        <w:t>三、</w:t>
      </w:r>
      <w:r>
        <w:rPr>
          <w:rStyle w:val="37"/>
          <w:rFonts w:hint="eastAsia"/>
          <w:bCs/>
          <w:color w:val="auto"/>
        </w:rPr>
        <w:t>生态环境现状、保护目标及评价标准</w:t>
      </w:r>
    </w:p>
    <w:tbl>
      <w:tblPr>
        <w:tblStyle w:val="26"/>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8"/>
        <w:gridCol w:w="8649"/>
      </w:tblGrid>
      <w:tr w14:paraId="24F7D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39" w:hRule="atLeast"/>
          <w:jc w:val="center"/>
        </w:trPr>
        <w:tc>
          <w:tcPr>
            <w:tcW w:w="508" w:type="dxa"/>
            <w:noWrap w:val="0"/>
            <w:vAlign w:val="center"/>
          </w:tcPr>
          <w:p w14:paraId="0B8558F4">
            <w:pPr>
              <w:keepNext w:val="0"/>
              <w:keepLines w:val="0"/>
              <w:suppressLineNumbers w:val="0"/>
              <w:adjustRightInd w:val="0"/>
              <w:snapToGrid w:val="0"/>
              <w:spacing w:before="0" w:beforeAutospacing="0" w:after="0" w:afterAutospacing="0"/>
              <w:ind w:left="0" w:right="0"/>
              <w:jc w:val="center"/>
              <w:rPr>
                <w:rFonts w:hint="default" w:cs="Times New Roman"/>
                <w:color w:val="auto"/>
                <w:kern w:val="0"/>
                <w:szCs w:val="21"/>
              </w:rPr>
            </w:pPr>
            <w:r>
              <w:rPr>
                <w:rFonts w:hint="default" w:cs="Times New Roman"/>
                <w:b/>
                <w:bCs/>
                <w:color w:val="auto"/>
                <w:kern w:val="0"/>
                <w:sz w:val="24"/>
              </w:rPr>
              <w:t>生</w:t>
            </w:r>
            <w:r>
              <w:rPr>
                <w:rFonts w:hint="eastAsia" w:cs="Times New Roman"/>
                <w:b/>
                <w:bCs/>
                <w:color w:val="auto"/>
                <w:kern w:val="0"/>
                <w:sz w:val="24"/>
                <w:lang w:val="en-US" w:eastAsia="zh-CN"/>
              </w:rPr>
              <w:t>生</w:t>
            </w:r>
            <w:r>
              <w:rPr>
                <w:rFonts w:hint="default" w:cs="Times New Roman"/>
                <w:b/>
                <w:bCs/>
                <w:color w:val="auto"/>
                <w:kern w:val="0"/>
                <w:sz w:val="24"/>
              </w:rPr>
              <w:t>态环境现状</w:t>
            </w:r>
          </w:p>
        </w:tc>
        <w:tc>
          <w:tcPr>
            <w:tcW w:w="8649" w:type="dxa"/>
            <w:noWrap w:val="0"/>
            <w:vAlign w:val="center"/>
          </w:tcPr>
          <w:p w14:paraId="2C7CA8E1">
            <w:pPr>
              <w:pStyle w:val="2"/>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生态环境现状</w:t>
            </w:r>
          </w:p>
          <w:p w14:paraId="223D7E17">
            <w:pPr>
              <w:pStyle w:val="2"/>
              <w:keepLines w:val="0"/>
              <w:numPr>
                <w:ilvl w:val="0"/>
                <w:numId w:val="0"/>
              </w:numPr>
              <w:suppressLineNumbers w:val="0"/>
              <w:bidi w:val="0"/>
              <w:spacing w:before="0" w:beforeAutospacing="0" w:after="0" w:afterAutospacing="0"/>
              <w:ind w:left="0" w:leftChars="0" w:right="0"/>
              <w:rPr>
                <w:rFonts w:hint="default" w:ascii="黑体" w:hAnsi="宋体" w:eastAsia="黑体" w:cs="黑体"/>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1.1 </w:t>
            </w:r>
            <w:r>
              <w:rPr>
                <w:rFonts w:hint="default" w:ascii="黑体" w:hAnsi="宋体" w:eastAsia="黑体" w:cs="黑体"/>
                <w:color w:val="auto"/>
                <w:kern w:val="0"/>
                <w:sz w:val="24"/>
                <w:szCs w:val="24"/>
                <w:lang w:val="en-US" w:eastAsia="zh-CN" w:bidi="ar"/>
              </w:rPr>
              <w:t>主体功能区规划</w:t>
            </w:r>
          </w:p>
          <w:p w14:paraId="6866F97E">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本项目位于中卫市</w:t>
            </w:r>
            <w:r>
              <w:rPr>
                <w:rFonts w:hint="eastAsia" w:cs="Times New Roman"/>
                <w:color w:val="auto"/>
              </w:rPr>
              <w:t>沙坡头区</w:t>
            </w:r>
            <w:r>
              <w:rPr>
                <w:rFonts w:hint="default" w:cs="Times New Roman"/>
                <w:color w:val="auto"/>
              </w:rPr>
              <w:t>，</w:t>
            </w:r>
            <w:r>
              <w:rPr>
                <w:rFonts w:hint="eastAsia" w:cs="Times New Roman"/>
                <w:color w:val="auto"/>
                <w:lang w:val="en-US" w:eastAsia="zh-CN"/>
              </w:rPr>
              <w:t>根据宁夏回族自治区主体功能区规划图，本项目位于</w:t>
            </w:r>
            <w:r>
              <w:rPr>
                <w:rFonts w:hint="default" w:cs="Times New Roman"/>
                <w:color w:val="auto"/>
                <w:lang w:val="en-US" w:eastAsia="zh-CN"/>
              </w:rPr>
              <w:t>国家重点开发区域、国家农产品主产区</w:t>
            </w:r>
            <w:r>
              <w:rPr>
                <w:rFonts w:hint="eastAsia" w:cs="Times New Roman"/>
                <w:color w:val="auto"/>
                <w:lang w:val="en-US" w:eastAsia="zh-CN"/>
              </w:rPr>
              <w:t>。</w:t>
            </w:r>
          </w:p>
          <w:p w14:paraId="48BE150F">
            <w:pPr>
              <w:keepNext w:val="0"/>
              <w:keepLines w:val="0"/>
              <w:suppressLineNumbers w:val="0"/>
              <w:bidi w:val="0"/>
              <w:spacing w:before="0" w:beforeAutospacing="0" w:after="0" w:afterAutospacing="0"/>
              <w:ind w:left="0" w:right="0"/>
              <w:rPr>
                <w:rFonts w:hint="eastAsia" w:eastAsia="宋体" w:cs="Times New Roman"/>
                <w:color w:val="auto"/>
                <w:lang w:val="en-US" w:eastAsia="zh-CN"/>
              </w:rPr>
            </w:pPr>
            <w:r>
              <w:rPr>
                <w:rFonts w:hint="default" w:cs="Times New Roman"/>
                <w:color w:val="auto"/>
                <w:lang w:val="en-US" w:eastAsia="zh-CN"/>
              </w:rPr>
              <w:t>国家重点开发区域</w:t>
            </w:r>
            <w:r>
              <w:rPr>
                <w:rFonts w:hint="eastAsia" w:cs="Times New Roman"/>
                <w:color w:val="auto"/>
                <w:lang w:val="en-US" w:eastAsia="zh-CN"/>
              </w:rPr>
              <w:t>要求为：保护生态环境。做好生态环境、基本农田等保护规划，减少工业化、城镇化对生态环境的影响，避免出现土地过多占用、水资源过度开发和生态环境压力过大等问题，努力提高环境质量，加大防沙治沙力度，着力构建防风固沙生态屏障。本项目通过培坡护坡及凹陷处回填、场地平整、采坑回填、覆土工程、植被恢复工程、宣传牌工程、围栏工程等工程措施对项目区</w:t>
            </w:r>
            <w:r>
              <w:rPr>
                <w:rFonts w:hint="eastAsia" w:cs="Times New Roman"/>
                <w:color w:val="auto"/>
                <w:sz w:val="24"/>
                <w:lang w:eastAsia="zh-CN"/>
              </w:rPr>
              <w:t>历史遗留废弃矿山</w:t>
            </w:r>
            <w:r>
              <w:rPr>
                <w:rFonts w:hint="eastAsia" w:cs="Times New Roman"/>
                <w:color w:val="auto"/>
                <w:sz w:val="24"/>
                <w:lang w:val="en-US" w:eastAsia="zh-CN"/>
              </w:rPr>
              <w:t>进行</w:t>
            </w:r>
            <w:r>
              <w:rPr>
                <w:rFonts w:hint="eastAsia" w:cs="Times New Roman"/>
                <w:color w:val="auto"/>
                <w:sz w:val="24"/>
                <w:lang w:eastAsia="zh-CN"/>
              </w:rPr>
              <w:t>恢复治理，</w:t>
            </w:r>
            <w:r>
              <w:rPr>
                <w:rFonts w:hint="eastAsia" w:cs="Times New Roman"/>
                <w:b w:val="0"/>
                <w:bCs w:val="0"/>
                <w:snapToGrid w:val="0"/>
                <w:color w:val="auto"/>
                <w:kern w:val="0"/>
                <w:sz w:val="24"/>
                <w:szCs w:val="22"/>
                <w:lang w:val="en-US" w:eastAsia="zh-CN"/>
              </w:rPr>
              <w:t>有利于</w:t>
            </w:r>
            <w:r>
              <w:rPr>
                <w:rFonts w:hint="eastAsia" w:cs="Times New Roman"/>
                <w:b w:val="0"/>
                <w:bCs w:val="0"/>
                <w:snapToGrid w:val="0"/>
                <w:color w:val="auto"/>
                <w:kern w:val="0"/>
                <w:sz w:val="24"/>
                <w:szCs w:val="22"/>
              </w:rPr>
              <w:t>保护中卫市沙坡头区生态环境，提高中卫市沙坡头区环境质量</w:t>
            </w:r>
            <w:r>
              <w:rPr>
                <w:rFonts w:hint="eastAsia" w:cs="Times New Roman"/>
                <w:b w:val="0"/>
                <w:bCs w:val="0"/>
                <w:snapToGrid w:val="0"/>
                <w:color w:val="auto"/>
                <w:kern w:val="0"/>
                <w:sz w:val="24"/>
                <w:szCs w:val="22"/>
                <w:lang w:eastAsia="zh-CN"/>
              </w:rPr>
              <w:t>。</w:t>
            </w:r>
            <w:r>
              <w:rPr>
                <w:rFonts w:hint="eastAsia" w:cs="Times New Roman"/>
                <w:b w:val="0"/>
                <w:bCs w:val="0"/>
                <w:snapToGrid w:val="0"/>
                <w:color w:val="auto"/>
                <w:kern w:val="0"/>
                <w:sz w:val="24"/>
                <w:szCs w:val="22"/>
              </w:rPr>
              <w:t>因此项目的功能定位符合重点开发区域要求</w:t>
            </w:r>
            <w:r>
              <w:rPr>
                <w:rFonts w:hint="eastAsia" w:cs="Times New Roman"/>
                <w:b w:val="0"/>
                <w:bCs w:val="0"/>
                <w:snapToGrid w:val="0"/>
                <w:color w:val="auto"/>
                <w:kern w:val="0"/>
                <w:sz w:val="24"/>
                <w:szCs w:val="22"/>
                <w:lang w:eastAsia="zh-CN"/>
              </w:rPr>
              <w:t>。</w:t>
            </w:r>
          </w:p>
          <w:p w14:paraId="18A5ECF7">
            <w:pPr>
              <w:keepNext w:val="0"/>
              <w:keepLines w:val="0"/>
              <w:suppressLineNumbers w:val="0"/>
              <w:bidi w:val="0"/>
              <w:spacing w:before="0" w:beforeAutospacing="0" w:after="0" w:afterAutospacing="0"/>
              <w:ind w:left="0" w:right="0"/>
              <w:rPr>
                <w:rFonts w:hint="default" w:cs="Times New Roman"/>
                <w:color w:val="auto"/>
                <w:lang w:val="en-US" w:eastAsia="zh-CN"/>
              </w:rPr>
            </w:pPr>
            <w:r>
              <w:rPr>
                <w:rFonts w:hint="default" w:cs="Times New Roman"/>
                <w:color w:val="auto"/>
                <w:lang w:val="en-US" w:eastAsia="zh-CN"/>
              </w:rPr>
              <w:t>国家农产品主产区</w:t>
            </w:r>
            <w:r>
              <w:rPr>
                <w:rFonts w:hint="eastAsia" w:cs="Times New Roman"/>
                <w:color w:val="auto"/>
                <w:lang w:val="en-US" w:eastAsia="zh-CN"/>
              </w:rPr>
              <w:t>要求为：农产品主产区应着力保护耕地，稳定粮食生产，增强农业综合生产能力，发展现代农业，增加农民收入，加快社会主义新农村建设，保障农产品供给，确保地区粮食安全和食物安全。本项目的建设将增加耕地面积，有助于发展现代农业，增加农民收入。因此</w:t>
            </w:r>
            <w:r>
              <w:rPr>
                <w:rFonts w:hint="eastAsia" w:cs="Times New Roman"/>
                <w:b w:val="0"/>
                <w:bCs w:val="0"/>
                <w:snapToGrid w:val="0"/>
                <w:color w:val="auto"/>
                <w:kern w:val="0"/>
                <w:sz w:val="24"/>
                <w:szCs w:val="22"/>
              </w:rPr>
              <w:t>项目的功能定位符合</w:t>
            </w:r>
            <w:r>
              <w:rPr>
                <w:rFonts w:hint="default" w:cs="Times New Roman"/>
                <w:color w:val="auto"/>
                <w:lang w:val="en-US" w:eastAsia="zh-CN"/>
              </w:rPr>
              <w:t>国家农产品主产区</w:t>
            </w:r>
            <w:r>
              <w:rPr>
                <w:rFonts w:hint="eastAsia" w:cs="Times New Roman"/>
                <w:color w:val="auto"/>
                <w:lang w:val="en-US" w:eastAsia="zh-CN"/>
              </w:rPr>
              <w:t>要求。</w:t>
            </w:r>
          </w:p>
          <w:p w14:paraId="5BA16BE0">
            <w:pPr>
              <w:keepNext w:val="0"/>
              <w:keepLines w:val="0"/>
              <w:suppressLineNumbers w:val="0"/>
              <w:bidi w:val="0"/>
              <w:spacing w:before="0" w:beforeAutospacing="0" w:after="0" w:afterAutospacing="0"/>
              <w:ind w:left="0" w:right="0"/>
              <w:rPr>
                <w:rFonts w:hint="default" w:cs="Times New Roman"/>
                <w:color w:val="auto"/>
                <w:lang w:val="en-US"/>
              </w:rPr>
            </w:pPr>
            <w:r>
              <w:rPr>
                <w:rFonts w:hint="eastAsia" w:cs="Times New Roman"/>
                <w:color w:val="auto"/>
                <w:lang w:val="en-US" w:eastAsia="zh-CN"/>
              </w:rPr>
              <w:t>本项目与宁夏主体功能区规划图位置关系图见附图3-1。</w:t>
            </w:r>
          </w:p>
          <w:p w14:paraId="0E94E843">
            <w:pPr>
              <w:pStyle w:val="2"/>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color w:val="auto"/>
                <w:kern w:val="0"/>
                <w:sz w:val="24"/>
                <w:szCs w:val="24"/>
                <w:lang w:val="en-US" w:eastAsia="zh-CN" w:bidi="ar"/>
              </w:rPr>
              <w:t xml:space="preserve">1.2 </w:t>
            </w:r>
            <w:r>
              <w:rPr>
                <w:rFonts w:hint="default" w:ascii="黑体" w:hAnsi="宋体" w:eastAsia="黑体" w:cs="黑体"/>
                <w:color w:val="auto"/>
                <w:kern w:val="0"/>
                <w:sz w:val="24"/>
                <w:szCs w:val="24"/>
                <w:lang w:val="en-US" w:eastAsia="zh-CN" w:bidi="ar"/>
              </w:rPr>
              <w:t>生态功能区划</w:t>
            </w:r>
          </w:p>
          <w:p w14:paraId="39682E2F">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eastAsia" w:cs="Times New Roman"/>
                <w:color w:val="auto"/>
                <w:lang w:val="en-US" w:eastAsia="zh-CN"/>
              </w:rPr>
              <w:t>根据《宁夏生态功能区划》（</w:t>
            </w:r>
            <w:r>
              <w:rPr>
                <w:rFonts w:hint="default" w:cs="Times New Roman"/>
                <w:color w:val="auto"/>
                <w:lang w:val="en-US" w:eastAsia="zh-CN"/>
              </w:rPr>
              <w:t>2003.12</w:t>
            </w:r>
            <w:r>
              <w:rPr>
                <w:rFonts w:hint="eastAsia" w:cs="Times New Roman"/>
                <w:color w:val="auto"/>
                <w:lang w:val="en-US" w:eastAsia="zh-CN"/>
              </w:rPr>
              <w:t>），宁夏生态功能区划共划分</w:t>
            </w:r>
            <w:r>
              <w:rPr>
                <w:rFonts w:hint="default" w:cs="Times New Roman"/>
                <w:color w:val="auto"/>
                <w:lang w:val="en-US" w:eastAsia="zh-CN"/>
              </w:rPr>
              <w:t>3</w:t>
            </w:r>
            <w:r>
              <w:rPr>
                <w:rFonts w:hint="eastAsia" w:cs="Times New Roman"/>
                <w:color w:val="auto"/>
                <w:lang w:val="en-US" w:eastAsia="zh-CN"/>
              </w:rPr>
              <w:t>个一级区，</w:t>
            </w:r>
            <w:r>
              <w:rPr>
                <w:rFonts w:hint="default" w:cs="Times New Roman"/>
                <w:color w:val="auto"/>
                <w:lang w:val="en-US" w:eastAsia="zh-CN"/>
              </w:rPr>
              <w:t>10</w:t>
            </w:r>
            <w:r>
              <w:rPr>
                <w:rFonts w:hint="eastAsia" w:cs="Times New Roman"/>
                <w:color w:val="auto"/>
                <w:lang w:val="en-US" w:eastAsia="zh-CN"/>
              </w:rPr>
              <w:t>个二级区，</w:t>
            </w:r>
            <w:r>
              <w:rPr>
                <w:rFonts w:hint="default" w:cs="Times New Roman"/>
                <w:color w:val="auto"/>
                <w:lang w:val="en-US" w:eastAsia="zh-CN"/>
              </w:rPr>
              <w:t>37</w:t>
            </w:r>
            <w:r>
              <w:rPr>
                <w:rFonts w:hint="eastAsia" w:cs="Times New Roman"/>
                <w:color w:val="auto"/>
                <w:lang w:val="en-US" w:eastAsia="zh-CN"/>
              </w:rPr>
              <w:t>个三级区。本项目位于</w:t>
            </w:r>
            <w:r>
              <w:rPr>
                <w:rFonts w:hint="default" w:cs="Times New Roman"/>
                <w:color w:val="auto"/>
                <w:lang w:val="en-US" w:eastAsia="zh-CN"/>
              </w:rPr>
              <w:t>II3-1卫宁北山荒漠半荒漠植被恢复生态功能区、III1-2卫宁灌区节水改造生态功能区</w:t>
            </w:r>
            <w:r>
              <w:rPr>
                <w:rFonts w:hint="eastAsia" w:cs="Times New Roman"/>
                <w:color w:val="auto"/>
                <w:lang w:val="en-US" w:eastAsia="zh-CN"/>
              </w:rPr>
              <w:t>，各功能区特性见表3-1。本项目与宁夏生态功能区图位置关系图见附图3-2。</w:t>
            </w:r>
          </w:p>
          <w:p w14:paraId="5A9C71AA">
            <w:pPr>
              <w:keepNext w:val="0"/>
              <w:keepLines w:val="0"/>
              <w:suppressLineNumbers w:val="0"/>
              <w:wordWrap w:val="0"/>
              <w:autoSpaceDE w:val="0"/>
              <w:autoSpaceDN w:val="0"/>
              <w:spacing w:before="0" w:beforeAutospacing="0" w:after="0" w:afterAutospacing="0"/>
              <w:ind w:left="0" w:right="0" w:firstLine="750"/>
              <w:jc w:val="center"/>
              <w:rPr>
                <w:rFonts w:hint="default" w:ascii="Times New Roman" w:hAnsi="Times New Roman" w:eastAsia="黑体" w:cs="Times New Roman"/>
                <w:color w:val="auto"/>
                <w:kern w:val="0"/>
                <w:sz w:val="24"/>
                <w:lang w:bidi="zh-CN"/>
              </w:rPr>
            </w:pPr>
            <w:r>
              <w:rPr>
                <w:rFonts w:hint="default" w:ascii="Times New Roman" w:hAnsi="Times New Roman" w:eastAsia="黑体" w:cs="Times New Roman"/>
                <w:color w:val="auto"/>
                <w:kern w:val="0"/>
                <w:sz w:val="24"/>
                <w:lang w:bidi="zh-CN"/>
              </w:rPr>
              <w:t>表3-1  生态功能分区特征表</w:t>
            </w:r>
          </w:p>
          <w:tbl>
            <w:tblPr>
              <w:tblStyle w:val="26"/>
              <w:tblW w:w="84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6842"/>
            </w:tblGrid>
            <w:tr w14:paraId="555CD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vAlign w:val="center"/>
                </w:tcPr>
                <w:p w14:paraId="55891940">
                  <w:pPr>
                    <w:pStyle w:val="33"/>
                    <w:keepNext w:val="0"/>
                    <w:keepLines w:val="0"/>
                    <w:suppressLineNumbers w:val="0"/>
                    <w:bidi w:val="0"/>
                    <w:spacing w:beforeAutospacing="0" w:afterAutospacing="0"/>
                    <w:ind w:left="0" w:right="0"/>
                    <w:rPr>
                      <w:rFonts w:hint="default"/>
                      <w:b/>
                      <w:bCs/>
                      <w:color w:val="auto"/>
                      <w:lang w:val="en-US" w:eastAsia="zh-CN"/>
                    </w:rPr>
                  </w:pPr>
                  <w:r>
                    <w:rPr>
                      <w:rFonts w:hint="default"/>
                      <w:b/>
                      <w:bCs/>
                      <w:color w:val="auto"/>
                      <w:lang w:val="en-US" w:eastAsia="zh-CN"/>
                    </w:rPr>
                    <w:t>功能区代号</w:t>
                  </w:r>
                </w:p>
                <w:p w14:paraId="732DB93F">
                  <w:pPr>
                    <w:pStyle w:val="33"/>
                    <w:keepNext w:val="0"/>
                    <w:keepLines w:val="0"/>
                    <w:suppressLineNumbers w:val="0"/>
                    <w:bidi w:val="0"/>
                    <w:spacing w:beforeAutospacing="0" w:afterAutospacing="0"/>
                    <w:ind w:left="0" w:right="0"/>
                    <w:rPr>
                      <w:rFonts w:hint="default"/>
                      <w:b/>
                      <w:bCs/>
                      <w:color w:val="auto"/>
                      <w:lang w:val="en-US" w:eastAsia="zh-CN"/>
                    </w:rPr>
                  </w:pPr>
                  <w:r>
                    <w:rPr>
                      <w:rFonts w:hint="default"/>
                      <w:b/>
                      <w:bCs/>
                      <w:color w:val="auto"/>
                      <w:lang w:val="en-US" w:eastAsia="zh-CN"/>
                    </w:rPr>
                    <w:t>及名称</w:t>
                  </w:r>
                </w:p>
              </w:tc>
              <w:tc>
                <w:tcPr>
                  <w:tcW w:w="6842" w:type="dxa"/>
                  <w:tcBorders>
                    <w:tl2br w:val="nil"/>
                    <w:tr2bl w:val="nil"/>
                  </w:tcBorders>
                  <w:vAlign w:val="center"/>
                </w:tcPr>
                <w:p w14:paraId="697F56B7">
                  <w:pPr>
                    <w:pStyle w:val="33"/>
                    <w:keepNext w:val="0"/>
                    <w:keepLines w:val="0"/>
                    <w:suppressLineNumbers w:val="0"/>
                    <w:bidi w:val="0"/>
                    <w:spacing w:beforeAutospacing="0" w:afterAutospacing="0"/>
                    <w:ind w:left="0" w:right="0"/>
                    <w:rPr>
                      <w:rFonts w:hint="default"/>
                      <w:b/>
                      <w:bCs/>
                      <w:color w:val="auto"/>
                      <w:lang w:val="en-US" w:eastAsia="zh-CN"/>
                    </w:rPr>
                  </w:pPr>
                  <w:r>
                    <w:rPr>
                      <w:rFonts w:hint="default"/>
                      <w:b/>
                      <w:bCs/>
                      <w:color w:val="auto"/>
                      <w:lang w:val="en-US" w:eastAsia="zh-CN"/>
                    </w:rPr>
                    <w:t>主要生态特点、问题及措施</w:t>
                  </w:r>
                </w:p>
              </w:tc>
            </w:tr>
            <w:tr w14:paraId="72C35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vAlign w:val="center"/>
                </w:tcPr>
                <w:p w14:paraId="7D80ED97">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Ⅱ3-1卫宁北山荒漠半荒漠植被恢复生态功能区</w:t>
                  </w:r>
                </w:p>
              </w:tc>
              <w:tc>
                <w:tcPr>
                  <w:tcW w:w="6842" w:type="dxa"/>
                  <w:tcBorders>
                    <w:tl2br w:val="nil"/>
                    <w:tr2bl w:val="nil"/>
                  </w:tcBorders>
                  <w:vAlign w:val="center"/>
                </w:tcPr>
                <w:p w14:paraId="4231C68A">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本区的生态环境敏感问题是土地沙化、水土流失及土地荒漠化。其治理措施是：在卫宁北山地区靠近灌区农田的附近，营造乔、灌、草结合的防风固沙林，控制土地沙化南移，保护灌区农田和村庄。对沙丘实行草方格固沙，就地固定沙丘。对于各大山洪沟应采取生物措施和过程措施相结合，防止山洪破坏。</w:t>
                  </w:r>
                </w:p>
              </w:tc>
            </w:tr>
            <w:tr w14:paraId="6900A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7" w:type="dxa"/>
                  <w:tcBorders>
                    <w:tl2br w:val="nil"/>
                    <w:tr2bl w:val="nil"/>
                  </w:tcBorders>
                  <w:vAlign w:val="center"/>
                </w:tcPr>
                <w:p w14:paraId="7FF4CCF6">
                  <w:pPr>
                    <w:pStyle w:val="33"/>
                    <w:keepNext w:val="0"/>
                    <w:keepLines w:val="0"/>
                    <w:suppressLineNumbers w:val="0"/>
                    <w:bidi w:val="0"/>
                    <w:spacing w:beforeAutospacing="0" w:afterAutospacing="0"/>
                    <w:ind w:left="0" w:right="0"/>
                    <w:rPr>
                      <w:rFonts w:hint="default"/>
                      <w:color w:val="auto"/>
                      <w:lang w:val="en-US" w:eastAsia="zh-CN"/>
                    </w:rPr>
                  </w:pPr>
                  <w:r>
                    <w:rPr>
                      <w:rFonts w:hint="default" w:cs="Times New Roman"/>
                      <w:color w:val="auto"/>
                      <w:lang w:val="en-US" w:eastAsia="zh-CN"/>
                    </w:rPr>
                    <w:t>III1-2卫宁灌区节水改造生态功能区</w:t>
                  </w:r>
                </w:p>
              </w:tc>
              <w:tc>
                <w:tcPr>
                  <w:tcW w:w="6842" w:type="dxa"/>
                  <w:tcBorders>
                    <w:tl2br w:val="nil"/>
                    <w:tr2bl w:val="nil"/>
                  </w:tcBorders>
                  <w:vAlign w:val="center"/>
                </w:tcPr>
                <w:p w14:paraId="13281694">
                  <w:pPr>
                    <w:pStyle w:val="33"/>
                    <w:keepNext w:val="0"/>
                    <w:keepLines w:val="0"/>
                    <w:suppressLineNumbers w:val="0"/>
                    <w:bidi w:val="0"/>
                    <w:spacing w:beforeAutospacing="0" w:afterAutospacing="0"/>
                    <w:ind w:left="0" w:right="0"/>
                    <w:rPr>
                      <w:rFonts w:hint="default"/>
                      <w:color w:val="auto"/>
                      <w:lang w:val="en-US" w:eastAsia="zh-CN"/>
                    </w:rPr>
                  </w:pPr>
                  <w:r>
                    <w:rPr>
                      <w:rFonts w:hint="eastAsia"/>
                      <w:color w:val="auto"/>
                      <w:sz w:val="18"/>
                    </w:rPr>
                    <w:t>本区渠系密布，千百年来，传统的大水漫灌，加上渠道渗漏，部分渠水补充给地下水，造成亩灌水量过大，因此本区生态环境的首要治理措施就是对灌区渠系和灌溉技术进行节水改造，加强农田基本建设，平田整地，缩小灌面，改大水漫灌、串灌为畦灌，推行节水新技术，降低灌水定额；提高本区农业集约化、规模化水平，完善和健全农田生态系统</w:t>
                  </w:r>
                </w:p>
              </w:tc>
            </w:tr>
          </w:tbl>
          <w:p w14:paraId="6889EF1A">
            <w:pPr>
              <w:pStyle w:val="2"/>
              <w:keepLines w:val="0"/>
              <w:suppressLineNumbers w:val="0"/>
              <w:bidi w:val="0"/>
              <w:spacing w:before="0" w:beforeAutospacing="0" w:after="0" w:afterAutospacing="0"/>
              <w:ind w:left="0" w:right="0"/>
              <w:rPr>
                <w:rFonts w:hint="default"/>
                <w:color w:val="auto"/>
              </w:rPr>
            </w:pPr>
            <w:r>
              <w:rPr>
                <w:rFonts w:hint="eastAsia" w:cs="Times New Roman"/>
                <w:color w:val="auto"/>
                <w:lang w:val="en-US" w:eastAsia="zh-CN"/>
              </w:rPr>
              <w:t xml:space="preserve">1.3 </w:t>
            </w:r>
            <w:r>
              <w:rPr>
                <w:rFonts w:hint="default"/>
                <w:color w:val="auto"/>
              </w:rPr>
              <w:t>生态环境</w:t>
            </w:r>
          </w:p>
          <w:p w14:paraId="0617337F">
            <w:pPr>
              <w:keepNext w:val="0"/>
              <w:keepLines w:val="0"/>
              <w:suppressLineNumbers w:val="0"/>
              <w:spacing w:before="0" w:beforeAutospacing="0" w:after="0" w:afterAutospacing="0"/>
              <w:ind w:left="0" w:right="0" w:firstLine="454" w:firstLineChars="200"/>
              <w:rPr>
                <w:rFonts w:hint="default"/>
                <w:color w:val="auto"/>
                <w:sz w:val="24"/>
                <w:lang w:bidi="ar"/>
              </w:rPr>
            </w:pPr>
            <w:r>
              <w:rPr>
                <w:rFonts w:hint="eastAsia"/>
                <w:color w:val="auto"/>
                <w:sz w:val="24"/>
                <w:lang w:eastAsia="zh-CN" w:bidi="ar"/>
              </w:rPr>
              <w:t>⑴</w:t>
            </w:r>
            <w:r>
              <w:rPr>
                <w:rFonts w:hint="default"/>
                <w:color w:val="auto"/>
                <w:sz w:val="24"/>
                <w:lang w:bidi="ar"/>
              </w:rPr>
              <w:t>地形地貌</w:t>
            </w:r>
          </w:p>
          <w:p w14:paraId="29538A63">
            <w:pPr>
              <w:keepNext w:val="0"/>
              <w:keepLines w:val="0"/>
              <w:widowControl/>
              <w:suppressLineNumbers w:val="0"/>
              <w:spacing w:before="0" w:beforeAutospacing="0" w:after="0" w:afterAutospacing="0"/>
              <w:ind w:left="0" w:right="0"/>
              <w:jc w:val="left"/>
              <w:rPr>
                <w:rFonts w:hint="default"/>
                <w:color w:val="auto"/>
              </w:rPr>
            </w:pPr>
            <w:r>
              <w:rPr>
                <w:rFonts w:hint="eastAsia" w:ascii="宋体" w:hAnsi="宋体" w:eastAsia="宋体" w:cs="宋体"/>
                <w:color w:val="auto"/>
                <w:kern w:val="0"/>
                <w:sz w:val="24"/>
                <w:szCs w:val="24"/>
                <w:lang w:val="en-US" w:eastAsia="zh-CN" w:bidi="ar"/>
              </w:rPr>
              <w:t>中卫市沙坡头区位于宁夏回族自治区中西部，地处内蒙古高原和黄土高原的过渡带，南、西、北三面环山，黄河由西而东穿过，地势南北两侧低而中间高，海拔高程</w:t>
            </w:r>
            <w:r>
              <w:rPr>
                <w:rFonts w:hint="default" w:ascii="Times New Roman" w:hAnsi="Times New Roman" w:eastAsia="宋体" w:cs="Times New Roman"/>
                <w:color w:val="auto"/>
                <w:kern w:val="0"/>
                <w:sz w:val="24"/>
                <w:szCs w:val="24"/>
                <w:lang w:val="en-US" w:eastAsia="zh-CN" w:bidi="ar"/>
              </w:rPr>
              <w:t>1200</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2400m</w:t>
            </w:r>
            <w:r>
              <w:rPr>
                <w:rFonts w:hint="eastAsia" w:ascii="宋体" w:hAnsi="宋体" w:eastAsia="宋体" w:cs="宋体"/>
                <w:color w:val="auto"/>
                <w:kern w:val="0"/>
                <w:sz w:val="24"/>
                <w:szCs w:val="24"/>
                <w:lang w:val="en-US" w:eastAsia="zh-CN" w:bidi="ar"/>
              </w:rPr>
              <w:t>。地貌可分为中山、低山丘陵、沙地、平原和黄土丘陵五种类型，其中平原又可分为洪积倾斜平原和冲积平原两个亚类，项目区主要为沙地、低山丘陵、冲积平原。</w:t>
            </w:r>
          </w:p>
          <w:p w14:paraId="7219AA46">
            <w:pPr>
              <w:keepNext w:val="0"/>
              <w:keepLines w:val="0"/>
              <w:suppressLineNumbers w:val="0"/>
              <w:bidi w:val="0"/>
              <w:spacing w:before="0" w:beforeAutospacing="0" w:after="0" w:afterAutospacing="0"/>
              <w:ind w:left="0" w:right="0"/>
              <w:rPr>
                <w:rFonts w:hint="eastAsia"/>
                <w:color w:val="auto"/>
                <w:sz w:val="24"/>
                <w:lang w:bidi="ar"/>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color w:val="auto"/>
                <w:sz w:val="24"/>
                <w:lang w:bidi="ar"/>
              </w:rPr>
              <w:t>气象条件</w:t>
            </w:r>
          </w:p>
          <w:p w14:paraId="22FF3A8D">
            <w:pPr>
              <w:keepNext w:val="0"/>
              <w:keepLines w:val="0"/>
              <w:suppressLineNumbers w:val="0"/>
              <w:spacing w:before="0" w:beforeAutospacing="0" w:after="0" w:afterAutospacing="0"/>
              <w:ind w:left="0" w:right="0" w:firstLine="454" w:firstLineChars="200"/>
              <w:rPr>
                <w:rFonts w:hint="default"/>
                <w:color w:val="auto"/>
                <w:sz w:val="24"/>
                <w:lang w:bidi="ar"/>
              </w:rPr>
            </w:pPr>
            <w:r>
              <w:rPr>
                <w:rFonts w:hint="default"/>
                <w:color w:val="auto"/>
                <w:sz w:val="24"/>
                <w:lang w:bidi="ar"/>
              </w:rPr>
              <w:t>沙坡头区深居内陆，远离海洋，处于温带干旱气候区，具有典型的大陆性季风气候和沙漠气候的特点。年均降水量180-367mm，属典型的中温带大陆性季风气候。春季寒冷干燥，风沙猛烈，夏季干旱炎热，昼夜温差大，秋季微寒，温度适中冬冷。年平均气温8.8℃，年降水量179.6</w:t>
            </w:r>
            <w:r>
              <w:rPr>
                <w:rFonts w:hint="eastAsia"/>
                <w:color w:val="auto"/>
                <w:sz w:val="24"/>
                <w:lang w:bidi="ar"/>
              </w:rPr>
              <w:t>mm</w:t>
            </w:r>
            <w:r>
              <w:rPr>
                <w:rFonts w:hint="default"/>
                <w:color w:val="auto"/>
                <w:sz w:val="24"/>
                <w:lang w:bidi="ar"/>
              </w:rPr>
              <w:t>，年蒸发量为1829.6</w:t>
            </w:r>
            <w:r>
              <w:rPr>
                <w:rFonts w:hint="eastAsia"/>
                <w:color w:val="auto"/>
                <w:sz w:val="24"/>
                <w:lang w:bidi="ar"/>
              </w:rPr>
              <w:t>mm</w:t>
            </w:r>
            <w:r>
              <w:rPr>
                <w:rFonts w:hint="default"/>
                <w:color w:val="auto"/>
                <w:sz w:val="24"/>
                <w:lang w:bidi="ar"/>
              </w:rPr>
              <w:t>，为降水量的10.2倍。降水量主要集中在6~8月，占全年降水量的60%。全年无霜期平均167天，全年日照时数2870小时。</w:t>
            </w:r>
          </w:p>
          <w:p w14:paraId="25490790">
            <w:pPr>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eastAsia"/>
                <w:color w:val="auto"/>
                <w:sz w:val="24"/>
                <w:lang w:bidi="ar"/>
              </w:rPr>
              <w:t>植被类型</w:t>
            </w:r>
          </w:p>
          <w:p w14:paraId="7F9C4B70">
            <w:pPr>
              <w:keepNext w:val="0"/>
              <w:keepLines w:val="0"/>
              <w:widowControl/>
              <w:suppressLineNumbers w:val="0"/>
              <w:spacing w:before="0" w:beforeAutospacing="0" w:after="0" w:afterAutospacing="0"/>
              <w:ind w:left="0" w:right="0"/>
              <w:jc w:val="left"/>
              <w:rPr>
                <w:rFonts w:hint="default" w:eastAsia="黑体"/>
                <w:color w:val="auto"/>
                <w:kern w:val="0"/>
                <w:sz w:val="24"/>
                <w:szCs w:val="20"/>
              </w:rPr>
            </w:pPr>
            <w:r>
              <w:rPr>
                <w:rFonts w:hint="eastAsia" w:ascii="宋体" w:hAnsi="宋体" w:eastAsia="宋体" w:cs="宋体"/>
                <w:color w:val="auto"/>
                <w:kern w:val="0"/>
                <w:sz w:val="24"/>
                <w:szCs w:val="24"/>
                <w:lang w:val="en-US" w:eastAsia="zh-CN" w:bidi="ar"/>
              </w:rPr>
              <w:t>项目区属温带荒漠草原区，以多年生草本、半灌木为主，种群少结构简单，森林资源缺乏。植被主要有油蒿、白蒿、短花针茅、蓍状亚菊杂类草群落、黑沙蓬群落等荒漠草原植被。柠条、沙柳、油蒿、短花针茅、荒漠锦鸡儿等是本区代表性的植物</w:t>
            </w:r>
            <w:r>
              <w:rPr>
                <w:rFonts w:hint="eastAsia"/>
                <w:color w:val="auto"/>
                <w:sz w:val="24"/>
                <w:lang w:eastAsia="zh-CN" w:bidi="ar"/>
              </w:rPr>
              <w:t>。</w:t>
            </w:r>
          </w:p>
          <w:tbl>
            <w:tblPr>
              <w:tblStyle w:val="27"/>
              <w:tblW w:w="85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9"/>
              <w:gridCol w:w="4290"/>
            </w:tblGrid>
            <w:tr w14:paraId="06B8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3" w:hRule="atLeast"/>
                <w:jc w:val="center"/>
              </w:trPr>
              <w:tc>
                <w:tcPr>
                  <w:tcW w:w="4289" w:type="dxa"/>
                </w:tcPr>
                <w:p w14:paraId="133F3D72">
                  <w:pPr>
                    <w:keepNext w:val="0"/>
                    <w:keepLines w:val="0"/>
                    <w:suppressLineNumbers w:val="0"/>
                    <w:adjustRightInd w:val="0"/>
                    <w:snapToGrid w:val="0"/>
                    <w:spacing w:before="46" w:beforeLines="10" w:beforeAutospacing="0" w:after="46" w:afterLines="10" w:afterAutospacing="0" w:line="259" w:lineRule="auto"/>
                    <w:ind w:left="0" w:leftChars="0" w:right="0" w:firstLine="0" w:firstLineChars="0"/>
                    <w:jc w:val="both"/>
                    <w:rPr>
                      <w:rFonts w:hint="default" w:eastAsia="黑体"/>
                      <w:color w:val="auto"/>
                      <w:kern w:val="0"/>
                      <w:sz w:val="24"/>
                      <w:szCs w:val="20"/>
                      <w:vertAlign w:val="baseline"/>
                    </w:rPr>
                  </w:pPr>
                  <w:r>
                    <w:rPr>
                      <w:rFonts w:hint="default"/>
                      <w:color w:val="auto"/>
                    </w:rPr>
                    <w:drawing>
                      <wp:inline distT="0" distB="0" distL="0" distR="0">
                        <wp:extent cx="2700020" cy="2026920"/>
                        <wp:effectExtent l="0" t="0" r="5080" b="1143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jpeg"/>
                                <pic:cNvPicPr>
                                  <a:picLocks noChangeAspect="1"/>
                                </pic:cNvPicPr>
                              </pic:nvPicPr>
                              <pic:blipFill>
                                <a:blip r:embed="rId13" cstate="print"/>
                                <a:stretch>
                                  <a:fillRect/>
                                </a:stretch>
                              </pic:blipFill>
                              <pic:spPr>
                                <a:xfrm>
                                  <a:off x="0" y="0"/>
                                  <a:ext cx="2700020" cy="2026920"/>
                                </a:xfrm>
                                <a:prstGeom prst="rect">
                                  <a:avLst/>
                                </a:prstGeom>
                              </pic:spPr>
                            </pic:pic>
                          </a:graphicData>
                        </a:graphic>
                      </wp:inline>
                    </w:drawing>
                  </w:r>
                </w:p>
              </w:tc>
              <w:tc>
                <w:tcPr>
                  <w:tcW w:w="4290" w:type="dxa"/>
                </w:tcPr>
                <w:p w14:paraId="3F1E134A">
                  <w:pPr>
                    <w:keepNext w:val="0"/>
                    <w:keepLines w:val="0"/>
                    <w:suppressLineNumbers w:val="0"/>
                    <w:adjustRightInd w:val="0"/>
                    <w:snapToGrid w:val="0"/>
                    <w:spacing w:before="46" w:beforeLines="10" w:beforeAutospacing="0" w:after="46" w:afterLines="10" w:afterAutospacing="0" w:line="259" w:lineRule="auto"/>
                    <w:ind w:left="0" w:leftChars="0" w:right="0" w:firstLine="0" w:firstLineChars="0"/>
                    <w:jc w:val="both"/>
                    <w:rPr>
                      <w:rFonts w:hint="default" w:eastAsia="黑体"/>
                      <w:color w:val="auto"/>
                      <w:kern w:val="0"/>
                      <w:sz w:val="24"/>
                      <w:szCs w:val="20"/>
                      <w:vertAlign w:val="baseline"/>
                    </w:rPr>
                  </w:pPr>
                  <w:r>
                    <w:rPr>
                      <w:rFonts w:hint="default" w:eastAsia="黑体"/>
                      <w:color w:val="auto"/>
                      <w:kern w:val="0"/>
                      <w:sz w:val="24"/>
                      <w:szCs w:val="20"/>
                    </w:rPr>
                    <w:drawing>
                      <wp:inline distT="0" distB="0" distL="114300" distR="114300">
                        <wp:extent cx="2700020" cy="2022475"/>
                        <wp:effectExtent l="0" t="0" r="5080" b="15875"/>
                        <wp:docPr id="20" name="图片 1286" descr="17403683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86" descr="1740368334247"/>
                                <pic:cNvPicPr>
                                  <a:picLocks noChangeAspect="1"/>
                                </pic:cNvPicPr>
                              </pic:nvPicPr>
                              <pic:blipFill>
                                <a:blip r:embed="rId14"/>
                                <a:stretch>
                                  <a:fillRect/>
                                </a:stretch>
                              </pic:blipFill>
                              <pic:spPr>
                                <a:xfrm>
                                  <a:off x="0" y="0"/>
                                  <a:ext cx="2700020" cy="2022475"/>
                                </a:xfrm>
                                <a:prstGeom prst="rect">
                                  <a:avLst/>
                                </a:prstGeom>
                                <a:noFill/>
                                <a:ln>
                                  <a:noFill/>
                                </a:ln>
                              </pic:spPr>
                            </pic:pic>
                          </a:graphicData>
                        </a:graphic>
                      </wp:inline>
                    </w:drawing>
                  </w:r>
                </w:p>
              </w:tc>
            </w:tr>
          </w:tbl>
          <w:p w14:paraId="232672A8">
            <w:pPr>
              <w:keepNext w:val="0"/>
              <w:keepLines w:val="0"/>
              <w:suppressLineNumbers w:val="0"/>
              <w:adjustRightInd w:val="0"/>
              <w:snapToGrid w:val="0"/>
              <w:spacing w:before="46" w:beforeLines="10" w:beforeAutospacing="0" w:after="46" w:afterLines="10" w:afterAutospacing="0" w:line="259" w:lineRule="auto"/>
              <w:ind w:left="0" w:leftChars="0" w:right="0" w:firstLine="0" w:firstLineChars="0"/>
              <w:jc w:val="center"/>
              <w:rPr>
                <w:rFonts w:hint="default" w:eastAsia="黑体"/>
                <w:color w:val="auto"/>
                <w:kern w:val="0"/>
                <w:sz w:val="24"/>
                <w:szCs w:val="20"/>
              </w:rPr>
            </w:pPr>
            <w:r>
              <w:rPr>
                <w:rFonts w:hint="default" w:eastAsia="黑体"/>
                <w:color w:val="auto"/>
                <w:kern w:val="0"/>
                <w:sz w:val="24"/>
                <w:szCs w:val="20"/>
              </w:rPr>
              <w:t>图3-</w:t>
            </w:r>
            <w:r>
              <w:rPr>
                <w:rFonts w:hint="eastAsia" w:eastAsia="黑体"/>
                <w:color w:val="auto"/>
                <w:kern w:val="0"/>
                <w:sz w:val="24"/>
                <w:szCs w:val="20"/>
                <w:lang w:val="en-US" w:eastAsia="zh-CN"/>
              </w:rPr>
              <w:t>1</w:t>
            </w:r>
            <w:r>
              <w:rPr>
                <w:rFonts w:hint="eastAsia" w:eastAsia="黑体"/>
                <w:color w:val="auto"/>
                <w:kern w:val="0"/>
                <w:sz w:val="24"/>
                <w:szCs w:val="20"/>
              </w:rPr>
              <w:t xml:space="preserve"> </w:t>
            </w:r>
            <w:r>
              <w:rPr>
                <w:rFonts w:hint="default" w:eastAsia="黑体"/>
                <w:color w:val="auto"/>
                <w:kern w:val="0"/>
                <w:sz w:val="24"/>
                <w:szCs w:val="20"/>
              </w:rPr>
              <w:t xml:space="preserve"> 矿区周边植被</w:t>
            </w:r>
          </w:p>
          <w:p w14:paraId="61D08320">
            <w:pPr>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4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⑷</w:t>
            </w:r>
            <w:r>
              <w:rPr>
                <w:rFonts w:hint="default" w:ascii="Times New Roman" w:hAnsi="Times New Roman" w:cs="Times New Roman"/>
                <w:color w:val="auto"/>
                <w:lang w:val="en-US" w:eastAsia="zh-CN"/>
              </w:rPr>
              <w:fldChar w:fldCharType="end"/>
            </w:r>
            <w:r>
              <w:rPr>
                <w:rFonts w:hint="eastAsia"/>
                <w:color w:val="auto"/>
              </w:rPr>
              <w:t>野生动物分布状况</w:t>
            </w:r>
          </w:p>
          <w:p w14:paraId="1E5F5981">
            <w:pPr>
              <w:keepNext w:val="0"/>
              <w:keepLines w:val="0"/>
              <w:widowControl/>
              <w:suppressLineNumbers w:val="0"/>
              <w:spacing w:before="0" w:beforeAutospacing="0" w:after="0" w:afterAutospacing="0"/>
              <w:ind w:left="0" w:right="0" w:firstLine="454" w:firstLineChars="200"/>
              <w:jc w:val="left"/>
              <w:rPr>
                <w:rFonts w:hint="eastAsia"/>
                <w:color w:val="auto"/>
                <w:kern w:val="0"/>
                <w:sz w:val="24"/>
              </w:rPr>
            </w:pPr>
            <w:r>
              <w:rPr>
                <w:rFonts w:hint="eastAsia"/>
                <w:color w:val="auto"/>
                <w:kern w:val="0"/>
                <w:sz w:val="24"/>
              </w:rPr>
              <w:t>本项目所在区域为中卫市沙坡头区</w:t>
            </w:r>
            <w:r>
              <w:rPr>
                <w:rFonts w:hint="eastAsia"/>
                <w:color w:val="auto"/>
                <w:kern w:val="0"/>
                <w:sz w:val="24"/>
                <w:lang w:val="en-US" w:eastAsia="zh-CN"/>
              </w:rPr>
              <w:t>东园镇、迎水桥镇、永康镇常乐镇、兴仁镇</w:t>
            </w:r>
            <w:r>
              <w:rPr>
                <w:rFonts w:hint="eastAsia"/>
                <w:color w:val="auto"/>
                <w:kern w:val="0"/>
                <w:sz w:val="24"/>
              </w:rPr>
              <w:t>，野生动物主要为田鼠、黄鼠、长爪沙鼠等</w:t>
            </w:r>
            <w:r>
              <w:rPr>
                <w:rFonts w:hint="eastAsia"/>
                <w:color w:val="auto"/>
                <w:kern w:val="0"/>
                <w:sz w:val="24"/>
                <w:lang w:val="en-US" w:eastAsia="zh-CN"/>
              </w:rPr>
              <w:t>小型哺乳动物</w:t>
            </w:r>
            <w:r>
              <w:rPr>
                <w:rFonts w:hint="eastAsia"/>
                <w:color w:val="auto"/>
                <w:kern w:val="0"/>
                <w:sz w:val="24"/>
              </w:rPr>
              <w:t>，无重点保护动物种分布。该区域内鸟类主要为麻雀等，无珍惜濒危鸟类分布。</w:t>
            </w:r>
          </w:p>
          <w:p w14:paraId="646C4E9D">
            <w:pPr>
              <w:keepNext w:val="0"/>
              <w:keepLines w:val="0"/>
              <w:suppressLineNumbers w:val="0"/>
              <w:bidi w:val="0"/>
              <w:spacing w:before="0" w:beforeAutospacing="0" w:after="0" w:afterAutospacing="0"/>
              <w:ind w:left="0" w:right="0"/>
              <w:rPr>
                <w:rFonts w:hint="eastAsia"/>
                <w:color w:val="auto"/>
                <w:kern w:val="0"/>
                <w:sz w:val="24"/>
              </w:rPr>
            </w:pPr>
            <w:r>
              <w:rPr>
                <w:rFonts w:hint="eastAsia"/>
                <w:color w:val="auto"/>
                <w:kern w:val="0"/>
                <w:sz w:val="24"/>
              </w:rPr>
              <w:t>根据现场勘察，整个评价区内没有发现珍稀、濒危动物物种的栖息地和繁殖地。</w:t>
            </w:r>
          </w:p>
          <w:p w14:paraId="51E33F6B">
            <w:pPr>
              <w:keepNext w:val="0"/>
              <w:keepLines w:val="0"/>
              <w:suppressLineNumbers w:val="0"/>
              <w:bidi w:val="0"/>
              <w:spacing w:before="0" w:beforeAutospacing="0" w:after="0" w:afterAutospacing="0"/>
              <w:ind w:left="0" w:right="0"/>
              <w:rPr>
                <w:rFonts w:hint="default"/>
                <w:color w:val="auto"/>
                <w:kern w:val="0"/>
                <w:sz w:val="24"/>
                <w:highlight w:val="none"/>
                <w:lang w:val="en-US" w:eastAsia="zh-CN"/>
              </w:rPr>
            </w:pPr>
            <w:r>
              <w:rPr>
                <w:rFonts w:hint="eastAsia"/>
                <w:color w:val="auto"/>
                <w:kern w:val="0"/>
                <w:sz w:val="24"/>
                <w:highlight w:val="none"/>
                <w:lang w:val="en-US" w:eastAsia="zh-CN"/>
              </w:rPr>
              <w:fldChar w:fldCharType="begin"/>
            </w:r>
            <w:r>
              <w:rPr>
                <w:rFonts w:hint="eastAsia"/>
                <w:color w:val="auto"/>
                <w:kern w:val="0"/>
                <w:sz w:val="24"/>
                <w:highlight w:val="none"/>
                <w:lang w:val="en-US" w:eastAsia="zh-CN"/>
              </w:rPr>
              <w:instrText xml:space="preserve"> = 5 \* GB2 \* MERGEFORMAT </w:instrText>
            </w:r>
            <w:r>
              <w:rPr>
                <w:rFonts w:hint="eastAsia"/>
                <w:color w:val="auto"/>
                <w:kern w:val="0"/>
                <w:sz w:val="24"/>
                <w:highlight w:val="none"/>
                <w:lang w:val="en-US" w:eastAsia="zh-CN"/>
              </w:rPr>
              <w:fldChar w:fldCharType="separate"/>
            </w:r>
            <w:r>
              <w:rPr>
                <w:rFonts w:hint="default"/>
                <w:color w:val="auto"/>
                <w:highlight w:val="none"/>
              </w:rPr>
              <w:t>⑸</w:t>
            </w:r>
            <w:r>
              <w:rPr>
                <w:rFonts w:hint="eastAsia"/>
                <w:color w:val="auto"/>
                <w:kern w:val="0"/>
                <w:sz w:val="24"/>
                <w:highlight w:val="none"/>
                <w:lang w:val="en-US" w:eastAsia="zh-CN"/>
              </w:rPr>
              <w:fldChar w:fldCharType="end"/>
            </w:r>
            <w:r>
              <w:rPr>
                <w:rFonts w:hint="eastAsia"/>
                <w:color w:val="auto"/>
                <w:kern w:val="0"/>
                <w:sz w:val="24"/>
                <w:highlight w:val="none"/>
                <w:lang w:val="en-US" w:eastAsia="zh-CN"/>
              </w:rPr>
              <w:t>水生生态现状</w:t>
            </w:r>
          </w:p>
          <w:p w14:paraId="7868A7A9">
            <w:pPr>
              <w:keepNext w:val="0"/>
              <w:keepLines w:val="0"/>
              <w:suppressLineNumbers w:val="0"/>
              <w:bidi w:val="0"/>
              <w:spacing w:before="0" w:beforeAutospacing="0" w:after="0" w:afterAutospacing="0"/>
              <w:ind w:left="0" w:right="0"/>
              <w:rPr>
                <w:rFonts w:hint="eastAsia" w:ascii="宋体" w:hAnsi="宋体" w:cs="宋体"/>
                <w:b w:val="0"/>
                <w:bCs w:val="0"/>
                <w:color w:val="auto"/>
                <w:sz w:val="24"/>
                <w:szCs w:val="24"/>
                <w:lang w:eastAsia="zh-CN"/>
              </w:rPr>
            </w:pPr>
            <w:r>
              <w:rPr>
                <w:rFonts w:hint="eastAsia"/>
                <w:color w:val="auto"/>
                <w:lang w:val="en-US" w:eastAsia="zh-CN"/>
              </w:rPr>
              <w:t>本项目A1治理区范围内有1处水塘，A34治理区范围内有1水塘，水塘水来源于天然雨水，主要用于周边植物灌溉和动物饮用。</w:t>
            </w:r>
            <w:r>
              <w:rPr>
                <w:rFonts w:hint="default" w:ascii="宋体" w:hAnsi="宋体" w:eastAsia="宋体" w:cs="宋体"/>
                <w:b w:val="0"/>
                <w:bCs w:val="0"/>
                <w:color w:val="auto"/>
                <w:sz w:val="24"/>
                <w:szCs w:val="24"/>
              </w:rPr>
              <w:t>经现场调查，治理段无重要水生生物，且不存在重要水生生物产卵场、索饵场、越冬场和洄游通道等。水生动物主要为草鱼</w:t>
            </w:r>
            <w:r>
              <w:rPr>
                <w:rFonts w:hint="eastAsia" w:ascii="宋体" w:hAnsi="宋体" w:cs="宋体"/>
                <w:b w:val="0"/>
                <w:bCs w:val="0"/>
                <w:color w:val="auto"/>
                <w:sz w:val="24"/>
                <w:szCs w:val="24"/>
                <w:lang w:eastAsia="zh-CN"/>
              </w:rPr>
              <w:t>。</w:t>
            </w:r>
          </w:p>
          <w:p w14:paraId="5F71786D">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fldChar w:fldCharType="begin"/>
            </w:r>
            <w:r>
              <w:rPr>
                <w:rFonts w:hint="default"/>
                <w:color w:val="auto"/>
              </w:rPr>
              <w:instrText xml:space="preserve"> = 6 \* GB2 \* MERGEFORMAT </w:instrText>
            </w:r>
            <w:r>
              <w:rPr>
                <w:rFonts w:hint="default"/>
                <w:color w:val="auto"/>
              </w:rPr>
              <w:fldChar w:fldCharType="separate"/>
            </w:r>
            <w:r>
              <w:rPr>
                <w:rFonts w:hint="default"/>
                <w:color w:val="auto"/>
              </w:rPr>
              <w:t>⑹</w:t>
            </w:r>
            <w:r>
              <w:rPr>
                <w:rFonts w:hint="default"/>
                <w:color w:val="auto"/>
              </w:rPr>
              <w:fldChar w:fldCharType="end"/>
            </w:r>
            <w:r>
              <w:rPr>
                <w:rFonts w:hint="eastAsia"/>
                <w:color w:val="auto"/>
                <w:lang w:val="en-US" w:eastAsia="zh-CN"/>
              </w:rPr>
              <w:t>长城遗址</w:t>
            </w:r>
          </w:p>
          <w:p w14:paraId="23BD602D">
            <w:pPr>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项目区内长城遗址属于</w:t>
            </w:r>
            <w:r>
              <w:rPr>
                <w:rFonts w:hint="default"/>
                <w:color w:val="auto"/>
              </w:rPr>
              <w:t>自然侵蚀严重的夯土墙</w:t>
            </w:r>
            <w:r>
              <w:rPr>
                <w:rFonts w:hint="eastAsia"/>
                <w:color w:val="auto"/>
                <w:lang w:eastAsia="zh-CN"/>
              </w:rPr>
              <w:t>，</w:t>
            </w:r>
            <w:r>
              <w:rPr>
                <w:rFonts w:hint="eastAsia"/>
                <w:color w:val="auto"/>
                <w:lang w:val="en-US" w:eastAsia="zh-CN"/>
              </w:rPr>
              <w:t>为三级保护。保护范围为</w:t>
            </w:r>
            <w:r>
              <w:rPr>
                <w:rFonts w:hint="default"/>
                <w:color w:val="auto"/>
              </w:rPr>
              <w:t>以长城墙体为中心</w:t>
            </w:r>
            <w:r>
              <w:rPr>
                <w:rFonts w:hint="eastAsia"/>
                <w:color w:val="auto"/>
                <w:lang w:eastAsia="zh-CN"/>
              </w:rPr>
              <w:t>，</w:t>
            </w:r>
            <w:r>
              <w:rPr>
                <w:rFonts w:hint="eastAsia"/>
                <w:color w:val="auto"/>
                <w:lang w:val="en-US" w:eastAsia="zh-CN"/>
              </w:rPr>
              <w:t>向外延伸50米。</w:t>
            </w:r>
            <w:r>
              <w:rPr>
                <w:rFonts w:hint="default"/>
                <w:color w:val="auto"/>
              </w:rPr>
              <w:t>三级保护范围内禁止开展‌爆破、钻探、挖掘等高风险作业‌</w:t>
            </w:r>
            <w:r>
              <w:rPr>
                <w:rFonts w:hint="eastAsia"/>
                <w:color w:val="auto"/>
                <w:lang w:eastAsia="zh-CN"/>
              </w:rPr>
              <w:t>，</w:t>
            </w:r>
            <w:r>
              <w:rPr>
                <w:rFonts w:hint="default"/>
                <w:color w:val="auto"/>
              </w:rPr>
              <w:t>严禁破坏‌地形地貌、植被及地质遗迹，如采石、取土等</w:t>
            </w:r>
            <w:r>
              <w:rPr>
                <w:rFonts w:hint="eastAsia"/>
                <w:color w:val="auto"/>
                <w:lang w:eastAsia="zh-CN"/>
              </w:rPr>
              <w:t>。</w:t>
            </w:r>
            <w:r>
              <w:rPr>
                <w:rFonts w:hint="eastAsia"/>
                <w:color w:val="auto"/>
                <w:lang w:val="en-US" w:eastAsia="zh-CN"/>
              </w:rPr>
              <w:t>本项目的建设符合长城遗址保护要求。</w:t>
            </w:r>
          </w:p>
          <w:p w14:paraId="4ABFD943">
            <w:pPr>
              <w:pStyle w:val="2"/>
              <w:keepLines w:val="0"/>
              <w:suppressLineNumbers w:val="0"/>
              <w:bidi w:val="0"/>
              <w:spacing w:before="0" w:beforeAutospacing="0" w:after="0" w:afterAutospacing="0"/>
              <w:ind w:left="0" w:right="0"/>
              <w:rPr>
                <w:rFonts w:hint="default"/>
                <w:color w:val="auto"/>
                <w:highlight w:val="none"/>
              </w:rPr>
            </w:pPr>
            <w:r>
              <w:rPr>
                <w:rFonts w:hint="eastAsia"/>
                <w:color w:val="auto"/>
                <w:highlight w:val="none"/>
                <w:lang w:val="en-US" w:eastAsia="zh-CN"/>
              </w:rPr>
              <w:t xml:space="preserve">1.4 </w:t>
            </w:r>
            <w:r>
              <w:rPr>
                <w:rFonts w:hint="default"/>
                <w:color w:val="auto"/>
                <w:highlight w:val="none"/>
              </w:rPr>
              <w:t>土地利用类型</w:t>
            </w:r>
          </w:p>
          <w:p w14:paraId="4D6B1AFD">
            <w:pPr>
              <w:keepNext w:val="0"/>
              <w:keepLines w:val="0"/>
              <w:suppressLineNumbers w:val="0"/>
              <w:bidi w:val="0"/>
              <w:spacing w:before="0" w:beforeAutospacing="0" w:after="0" w:afterAutospacing="0"/>
              <w:ind w:left="0" w:right="0"/>
              <w:rPr>
                <w:rFonts w:hint="default" w:cs="Times New Roman"/>
                <w:color w:val="auto"/>
                <w:highlight w:val="none"/>
              </w:rPr>
            </w:pPr>
            <w:r>
              <w:rPr>
                <w:rFonts w:hint="default" w:cs="Times New Roman"/>
                <w:color w:val="auto"/>
                <w:highlight w:val="none"/>
              </w:rPr>
              <w:t>根据沙坡头区2022年土地利用变更调查数据，项目建设地点为沙坡头区黄河北岸东园镇、镇罗镇、柔远镇、迎水桥镇，治理区损毁土地面积338.59hm</w:t>
            </w:r>
            <w:r>
              <w:rPr>
                <w:rFonts w:hint="default" w:cs="Times New Roman"/>
                <w:color w:val="auto"/>
                <w:highlight w:val="none"/>
                <w:vertAlign w:val="superscript"/>
              </w:rPr>
              <w:t>2</w:t>
            </w:r>
            <w:r>
              <w:rPr>
                <w:rFonts w:hint="default" w:cs="Times New Roman"/>
                <w:color w:val="auto"/>
                <w:highlight w:val="none"/>
              </w:rPr>
              <w:t>，其中耕地面积为1.39hm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，占总面积的0.42%；园林面积0.01km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，占总面积的0.003%；林地面积为19.96hm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，占总面积的6.05%；草地面积为188.66hm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，占总面积的54.57%；工矿仓储用地面积为97.44hm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，占总面积的29.53%；交通运输用地面积为1.67hm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，占总面积的0.51%；水域及水利设施用地面积为1.23hm</w:t>
            </w:r>
            <w:r>
              <w:rPr>
                <w:rFonts w:hint="default" w:ascii="Times New Roman" w:hAnsi="Times New Roman" w:eastAsia="宋体" w:cs="Times New Roman"/>
                <w:color w:val="auto"/>
                <w:highlight w:val="none"/>
                <w:vertAlign w:val="superscript"/>
              </w:rPr>
              <w:t>2</w:t>
            </w:r>
            <w:r>
              <w:rPr>
                <w:rFonts w:hint="default" w:cs="Times New Roman"/>
                <w:color w:val="auto"/>
                <w:highlight w:val="none"/>
              </w:rPr>
              <w:t>，占总面积的</w:t>
            </w:r>
            <w:r>
              <w:rPr>
                <w:rFonts w:hint="default" w:ascii="Times New Roman" w:hAnsi="Times New Roman" w:eastAsia="Times New Roman" w:cs="Times New Roman"/>
                <w:color w:val="auto"/>
                <w:highlight w:val="none"/>
              </w:rPr>
              <w:t>0.37%</w:t>
            </w:r>
            <w:r>
              <w:rPr>
                <w:rFonts w:hint="default" w:cs="Times New Roman"/>
                <w:color w:val="auto"/>
                <w:highlight w:val="none"/>
              </w:rPr>
              <w:t>；其他土地面积为</w:t>
            </w:r>
            <w:r>
              <w:rPr>
                <w:rFonts w:hint="default" w:ascii="Times New Roman" w:hAnsi="Times New Roman" w:eastAsia="Times New Roman" w:cs="Times New Roman"/>
                <w:color w:val="auto"/>
                <w:highlight w:val="none"/>
              </w:rPr>
              <w:t>28.20hm</w:t>
            </w:r>
            <w:r>
              <w:rPr>
                <w:rFonts w:hint="default" w:ascii="Times New Roman" w:hAnsi="Times New Roman" w:eastAsia="Times New Roman" w:cs="Times New Roman"/>
                <w:color w:val="auto"/>
                <w:position w:val="9"/>
                <w:sz w:val="16"/>
                <w:szCs w:val="16"/>
                <w:highlight w:val="none"/>
              </w:rPr>
              <w:t>2</w:t>
            </w:r>
            <w:r>
              <w:rPr>
                <w:rFonts w:hint="default" w:cs="Times New Roman"/>
                <w:color w:val="auto"/>
                <w:highlight w:val="none"/>
              </w:rPr>
              <w:t>，占总面积的</w:t>
            </w:r>
            <w:r>
              <w:rPr>
                <w:rFonts w:hint="default" w:ascii="Times New Roman" w:hAnsi="Times New Roman" w:eastAsia="Times New Roman" w:cs="Times New Roman"/>
                <w:color w:val="auto"/>
                <w:highlight w:val="none"/>
              </w:rPr>
              <w:t>8.55%</w:t>
            </w:r>
            <w:r>
              <w:rPr>
                <w:rFonts w:hint="default" w:cs="Times New Roman"/>
                <w:color w:val="auto"/>
                <w:highlight w:val="none"/>
              </w:rPr>
              <w:t>。</w:t>
            </w:r>
            <w:r>
              <w:rPr>
                <w:rFonts w:hint="eastAsia"/>
                <w:color w:val="auto"/>
                <w:highlight w:val="none"/>
                <w:lang w:val="en-US" w:eastAsia="zh-CN"/>
              </w:rPr>
              <w:t>详见表3-5。</w:t>
            </w:r>
          </w:p>
          <w:p w14:paraId="7ABB9A90">
            <w:pPr>
              <w:pStyle w:val="33"/>
              <w:keepNext w:val="0"/>
              <w:keepLines w:val="0"/>
              <w:suppressLineNumbers w:val="0"/>
              <w:spacing w:before="46" w:beforeAutospacing="0" w:after="46" w:afterAutospacing="0" w:line="240" w:lineRule="auto"/>
              <w:ind w:left="0" w:right="0"/>
              <w:rPr>
                <w:rFonts w:hint="default" w:ascii="Times New Roman" w:eastAsia="黑体" w:cs="Times New Roman"/>
                <w:color w:val="auto"/>
                <w:sz w:val="24"/>
                <w:szCs w:val="24"/>
                <w:lang w:bidi="ar"/>
              </w:rPr>
            </w:pPr>
            <w:r>
              <w:rPr>
                <w:rFonts w:hint="default" w:ascii="Times New Roman" w:eastAsia="黑体" w:cs="Times New Roman"/>
                <w:color w:val="auto"/>
                <w:sz w:val="24"/>
                <w:szCs w:val="24"/>
                <w:lang w:bidi="ar"/>
              </w:rPr>
              <w:t>表3-</w:t>
            </w:r>
            <w:r>
              <w:rPr>
                <w:rFonts w:hint="eastAsia" w:eastAsia="黑体" w:cs="Times New Roman"/>
                <w:color w:val="auto"/>
                <w:sz w:val="24"/>
                <w:szCs w:val="24"/>
                <w:lang w:val="en-US" w:eastAsia="zh-CN" w:bidi="ar"/>
              </w:rPr>
              <w:t>5</w:t>
            </w:r>
            <w:r>
              <w:rPr>
                <w:rFonts w:hint="default" w:ascii="Times New Roman" w:eastAsia="黑体" w:cs="Times New Roman"/>
                <w:color w:val="auto"/>
                <w:sz w:val="24"/>
                <w:szCs w:val="24"/>
                <w:lang w:bidi="ar"/>
              </w:rPr>
              <w:t xml:space="preserve">  </w:t>
            </w:r>
            <w:r>
              <w:rPr>
                <w:rFonts w:hint="eastAsia" w:ascii="Times New Roman" w:eastAsia="黑体" w:cs="Times New Roman"/>
                <w:color w:val="auto"/>
                <w:sz w:val="24"/>
                <w:szCs w:val="24"/>
                <w:lang w:bidi="ar"/>
              </w:rPr>
              <w:t>项目区土地类型</w:t>
            </w:r>
            <w:r>
              <w:rPr>
                <w:rFonts w:hint="default" w:ascii="Times New Roman" w:eastAsia="黑体" w:cs="Times New Roman"/>
                <w:color w:val="auto"/>
                <w:sz w:val="24"/>
                <w:szCs w:val="24"/>
                <w:lang w:bidi="ar"/>
              </w:rPr>
              <w:t>表</w:t>
            </w:r>
          </w:p>
          <w:tbl>
            <w:tblPr>
              <w:tblStyle w:val="26"/>
              <w:tblW w:w="83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41"/>
              <w:gridCol w:w="1753"/>
              <w:gridCol w:w="4576"/>
              <w:gridCol w:w="1408"/>
            </w:tblGrid>
            <w:tr w14:paraId="0A6026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94" w:type="dxa"/>
                  <w:gridSpan w:val="2"/>
                  <w:tcBorders>
                    <w:tl2br w:val="nil"/>
                    <w:tr2bl w:val="nil"/>
                  </w:tcBorders>
                  <w:noWrap w:val="0"/>
                  <w:vAlign w:val="center"/>
                </w:tcPr>
                <w:p w14:paraId="68618EE1">
                  <w:pPr>
                    <w:pStyle w:val="33"/>
                    <w:keepNext w:val="0"/>
                    <w:keepLines w:val="0"/>
                    <w:suppressLineNumbers w:val="0"/>
                    <w:bidi w:val="0"/>
                    <w:spacing w:beforeAutospacing="0" w:afterAutospacing="0"/>
                    <w:ind w:left="0" w:right="0"/>
                    <w:jc w:val="center"/>
                    <w:rPr>
                      <w:rFonts w:hint="default"/>
                      <w:b/>
                      <w:bCs/>
                      <w:color w:val="auto"/>
                    </w:rPr>
                  </w:pPr>
                  <w:r>
                    <w:rPr>
                      <w:rFonts w:hint="default"/>
                      <w:b/>
                      <w:bCs/>
                      <w:color w:val="auto"/>
                    </w:rPr>
                    <w:t>一级地类</w:t>
                  </w:r>
                </w:p>
              </w:tc>
              <w:tc>
                <w:tcPr>
                  <w:tcW w:w="4576" w:type="dxa"/>
                  <w:tcBorders>
                    <w:tl2br w:val="nil"/>
                    <w:tr2bl w:val="nil"/>
                  </w:tcBorders>
                  <w:noWrap w:val="0"/>
                  <w:vAlign w:val="center"/>
                </w:tcPr>
                <w:p w14:paraId="3DBFA0C6">
                  <w:pPr>
                    <w:pStyle w:val="33"/>
                    <w:keepNext w:val="0"/>
                    <w:keepLines w:val="0"/>
                    <w:suppressLineNumbers w:val="0"/>
                    <w:bidi w:val="0"/>
                    <w:spacing w:beforeAutospacing="0" w:afterAutospacing="0"/>
                    <w:ind w:left="0" w:right="0"/>
                    <w:jc w:val="center"/>
                    <w:rPr>
                      <w:rFonts w:hint="default"/>
                      <w:b/>
                      <w:bCs/>
                      <w:color w:val="auto"/>
                    </w:rPr>
                  </w:pPr>
                  <w:r>
                    <w:rPr>
                      <w:rFonts w:hint="default"/>
                      <w:b/>
                      <w:bCs/>
                      <w:color w:val="auto"/>
                    </w:rPr>
                    <w:t>二级地类</w:t>
                  </w:r>
                </w:p>
              </w:tc>
              <w:tc>
                <w:tcPr>
                  <w:tcW w:w="1408" w:type="dxa"/>
                  <w:tcBorders>
                    <w:tl2br w:val="nil"/>
                    <w:tr2bl w:val="nil"/>
                  </w:tcBorders>
                  <w:noWrap w:val="0"/>
                  <w:vAlign w:val="center"/>
                </w:tcPr>
                <w:p w14:paraId="179CC630">
                  <w:pPr>
                    <w:pStyle w:val="33"/>
                    <w:keepNext w:val="0"/>
                    <w:keepLines w:val="0"/>
                    <w:suppressLineNumbers w:val="0"/>
                    <w:bidi w:val="0"/>
                    <w:spacing w:beforeAutospacing="0" w:afterAutospacing="0"/>
                    <w:ind w:left="0" w:right="0"/>
                    <w:jc w:val="center"/>
                    <w:rPr>
                      <w:rFonts w:hint="default"/>
                      <w:b/>
                      <w:bCs/>
                      <w:color w:val="auto"/>
                    </w:rPr>
                  </w:pPr>
                  <w:r>
                    <w:rPr>
                      <w:rFonts w:hint="default"/>
                      <w:b/>
                      <w:bCs/>
                      <w:color w:val="auto"/>
                    </w:rPr>
                    <w:t>合计</w:t>
                  </w:r>
                </w:p>
              </w:tc>
            </w:tr>
            <w:tr w14:paraId="07B004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76A06D0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w:t>
                  </w:r>
                </w:p>
              </w:tc>
              <w:tc>
                <w:tcPr>
                  <w:tcW w:w="1753" w:type="dxa"/>
                  <w:vMerge w:val="restart"/>
                  <w:tcBorders>
                    <w:tl2br w:val="nil"/>
                    <w:tr2bl w:val="nil"/>
                  </w:tcBorders>
                  <w:noWrap w:val="0"/>
                  <w:vAlign w:val="center"/>
                </w:tcPr>
                <w:p w14:paraId="49FE6517">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耕地</w:t>
                  </w:r>
                </w:p>
              </w:tc>
              <w:tc>
                <w:tcPr>
                  <w:tcW w:w="4576" w:type="dxa"/>
                  <w:tcBorders>
                    <w:tl2br w:val="nil"/>
                    <w:tr2bl w:val="nil"/>
                  </w:tcBorders>
                  <w:noWrap w:val="0"/>
                  <w:vAlign w:val="center"/>
                </w:tcPr>
                <w:p w14:paraId="4D478DEA">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水田（0101）</w:t>
                  </w:r>
                </w:p>
              </w:tc>
              <w:tc>
                <w:tcPr>
                  <w:tcW w:w="1408" w:type="dxa"/>
                  <w:tcBorders>
                    <w:tl2br w:val="nil"/>
                    <w:tr2bl w:val="nil"/>
                  </w:tcBorders>
                  <w:noWrap w:val="0"/>
                  <w:vAlign w:val="center"/>
                </w:tcPr>
                <w:p w14:paraId="2ACE1880">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0.11</w:t>
                  </w:r>
                </w:p>
              </w:tc>
            </w:tr>
            <w:tr w14:paraId="5EAE7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 w:hRule="atLeast"/>
                <w:jc w:val="center"/>
              </w:trPr>
              <w:tc>
                <w:tcPr>
                  <w:tcW w:w="641" w:type="dxa"/>
                  <w:vMerge w:val="continue"/>
                  <w:tcBorders>
                    <w:tl2br w:val="nil"/>
                    <w:tr2bl w:val="nil"/>
                  </w:tcBorders>
                  <w:noWrap w:val="0"/>
                  <w:vAlign w:val="center"/>
                </w:tcPr>
                <w:p w14:paraId="7A27EE7D">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0FD67E73">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6C3D297A">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水浇地（0102）</w:t>
                  </w:r>
                </w:p>
              </w:tc>
              <w:tc>
                <w:tcPr>
                  <w:tcW w:w="1408" w:type="dxa"/>
                  <w:tcBorders>
                    <w:tl2br w:val="nil"/>
                    <w:tr2bl w:val="nil"/>
                  </w:tcBorders>
                  <w:noWrap w:val="0"/>
                  <w:vAlign w:val="center"/>
                </w:tcPr>
                <w:p w14:paraId="3C8E154E">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1.28</w:t>
                  </w:r>
                </w:p>
              </w:tc>
            </w:tr>
            <w:tr w14:paraId="08CCA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699B4DD7">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126EDB9F">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4C702CEB">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48791C5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1.39</w:t>
                  </w:r>
                </w:p>
              </w:tc>
            </w:tr>
            <w:tr w14:paraId="4CAFE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531CEC3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2</w:t>
                  </w:r>
                </w:p>
              </w:tc>
              <w:tc>
                <w:tcPr>
                  <w:tcW w:w="1753" w:type="dxa"/>
                  <w:vMerge w:val="restart"/>
                  <w:tcBorders>
                    <w:tl2br w:val="nil"/>
                    <w:tr2bl w:val="nil"/>
                  </w:tcBorders>
                  <w:noWrap w:val="0"/>
                  <w:vAlign w:val="center"/>
                </w:tcPr>
                <w:p w14:paraId="42003B0A">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园林</w:t>
                  </w:r>
                </w:p>
              </w:tc>
              <w:tc>
                <w:tcPr>
                  <w:tcW w:w="4576" w:type="dxa"/>
                  <w:tcBorders>
                    <w:tl2br w:val="nil"/>
                    <w:tr2bl w:val="nil"/>
                  </w:tcBorders>
                  <w:noWrap w:val="0"/>
                  <w:vAlign w:val="center"/>
                </w:tcPr>
                <w:p w14:paraId="38BA478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果园（0201）</w:t>
                  </w:r>
                </w:p>
              </w:tc>
              <w:tc>
                <w:tcPr>
                  <w:tcW w:w="1408" w:type="dxa"/>
                  <w:tcBorders>
                    <w:tl2br w:val="nil"/>
                    <w:tr2bl w:val="nil"/>
                  </w:tcBorders>
                  <w:noWrap w:val="0"/>
                  <w:vAlign w:val="center"/>
                </w:tcPr>
                <w:p w14:paraId="00CA3B5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0.01</w:t>
                  </w:r>
                </w:p>
              </w:tc>
            </w:tr>
            <w:tr w14:paraId="48B9A3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4AD5933A">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7928834D">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6B39520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60E9FD0E">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0.01</w:t>
                  </w:r>
                </w:p>
              </w:tc>
            </w:tr>
            <w:tr w14:paraId="216E2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166AB2AA">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3</w:t>
                  </w:r>
                </w:p>
              </w:tc>
              <w:tc>
                <w:tcPr>
                  <w:tcW w:w="1753" w:type="dxa"/>
                  <w:vMerge w:val="restart"/>
                  <w:tcBorders>
                    <w:tl2br w:val="nil"/>
                    <w:tr2bl w:val="nil"/>
                  </w:tcBorders>
                  <w:noWrap w:val="0"/>
                  <w:vAlign w:val="center"/>
                </w:tcPr>
                <w:p w14:paraId="42AF29C0">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林地</w:t>
                  </w:r>
                </w:p>
              </w:tc>
              <w:tc>
                <w:tcPr>
                  <w:tcW w:w="4576" w:type="dxa"/>
                  <w:tcBorders>
                    <w:tl2br w:val="nil"/>
                    <w:tr2bl w:val="nil"/>
                  </w:tcBorders>
                  <w:noWrap w:val="0"/>
                  <w:vAlign w:val="center"/>
                </w:tcPr>
                <w:p w14:paraId="4F50E4B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乔木林地（0301）</w:t>
                  </w:r>
                </w:p>
              </w:tc>
              <w:tc>
                <w:tcPr>
                  <w:tcW w:w="1408" w:type="dxa"/>
                  <w:tcBorders>
                    <w:tl2br w:val="nil"/>
                    <w:tr2bl w:val="nil"/>
                  </w:tcBorders>
                  <w:noWrap w:val="0"/>
                  <w:vAlign w:val="center"/>
                </w:tcPr>
                <w:p w14:paraId="48A39514">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0.30</w:t>
                  </w:r>
                </w:p>
              </w:tc>
            </w:tr>
            <w:tr w14:paraId="354667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19AB6E8C">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1FE5CE67">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41A993B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灌木林地（0305）</w:t>
                  </w:r>
                </w:p>
              </w:tc>
              <w:tc>
                <w:tcPr>
                  <w:tcW w:w="1408" w:type="dxa"/>
                  <w:tcBorders>
                    <w:tl2br w:val="nil"/>
                    <w:tr2bl w:val="nil"/>
                  </w:tcBorders>
                  <w:noWrap w:val="0"/>
                  <w:vAlign w:val="center"/>
                </w:tcPr>
                <w:p w14:paraId="09A4D76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19.41</w:t>
                  </w:r>
                </w:p>
              </w:tc>
            </w:tr>
            <w:tr w14:paraId="2A289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05ECA4C5">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09D5F27E">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038E9B8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其他林地（0307）</w:t>
                  </w:r>
                </w:p>
              </w:tc>
              <w:tc>
                <w:tcPr>
                  <w:tcW w:w="1408" w:type="dxa"/>
                  <w:tcBorders>
                    <w:tl2br w:val="nil"/>
                    <w:tr2bl w:val="nil"/>
                  </w:tcBorders>
                  <w:noWrap w:val="0"/>
                  <w:vAlign w:val="center"/>
                </w:tcPr>
                <w:p w14:paraId="391DF47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0.25</w:t>
                  </w:r>
                </w:p>
              </w:tc>
            </w:tr>
            <w:tr w14:paraId="7E235C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49CDCF17">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51A22B5D">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3DEF6EA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6D99F0B8">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19.96</w:t>
                  </w:r>
                </w:p>
              </w:tc>
            </w:tr>
            <w:tr w14:paraId="0D54E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36DD0E4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4</w:t>
                  </w:r>
                </w:p>
              </w:tc>
              <w:tc>
                <w:tcPr>
                  <w:tcW w:w="1753" w:type="dxa"/>
                  <w:vMerge w:val="restart"/>
                  <w:tcBorders>
                    <w:tl2br w:val="nil"/>
                    <w:tr2bl w:val="nil"/>
                  </w:tcBorders>
                  <w:noWrap w:val="0"/>
                  <w:vAlign w:val="center"/>
                </w:tcPr>
                <w:p w14:paraId="189D931E">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草地</w:t>
                  </w:r>
                </w:p>
              </w:tc>
              <w:tc>
                <w:tcPr>
                  <w:tcW w:w="4576" w:type="dxa"/>
                  <w:tcBorders>
                    <w:tl2br w:val="nil"/>
                    <w:tr2bl w:val="nil"/>
                  </w:tcBorders>
                  <w:noWrap w:val="0"/>
                  <w:vAlign w:val="center"/>
                </w:tcPr>
                <w:p w14:paraId="2DBE59CD">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天然牧草地（0401）</w:t>
                  </w:r>
                </w:p>
              </w:tc>
              <w:tc>
                <w:tcPr>
                  <w:tcW w:w="1408" w:type="dxa"/>
                  <w:tcBorders>
                    <w:tl2br w:val="nil"/>
                    <w:tr2bl w:val="nil"/>
                  </w:tcBorders>
                  <w:noWrap w:val="0"/>
                  <w:vAlign w:val="center"/>
                </w:tcPr>
                <w:p w14:paraId="0069E80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177.56</w:t>
                  </w:r>
                </w:p>
              </w:tc>
            </w:tr>
            <w:tr w14:paraId="52162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58FC991B">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7C3CCC10">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351F128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其他草地（0404）</w:t>
                  </w:r>
                </w:p>
              </w:tc>
              <w:tc>
                <w:tcPr>
                  <w:tcW w:w="1408" w:type="dxa"/>
                  <w:tcBorders>
                    <w:tl2br w:val="nil"/>
                    <w:tr2bl w:val="nil"/>
                  </w:tcBorders>
                  <w:noWrap w:val="0"/>
                  <w:vAlign w:val="center"/>
                </w:tcPr>
                <w:p w14:paraId="76052111">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11.13</w:t>
                  </w:r>
                </w:p>
              </w:tc>
            </w:tr>
            <w:tr w14:paraId="10E3BE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3F5A6C39">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2D016828">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7CC73CD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15FEDC51">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188.66</w:t>
                  </w:r>
                </w:p>
              </w:tc>
            </w:tr>
            <w:tr w14:paraId="4D47E8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60145172">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6</w:t>
                  </w:r>
                </w:p>
              </w:tc>
              <w:tc>
                <w:tcPr>
                  <w:tcW w:w="1753" w:type="dxa"/>
                  <w:vMerge w:val="restart"/>
                  <w:tcBorders>
                    <w:tl2br w:val="nil"/>
                    <w:tr2bl w:val="nil"/>
                  </w:tcBorders>
                  <w:noWrap w:val="0"/>
                  <w:vAlign w:val="center"/>
                </w:tcPr>
                <w:p w14:paraId="119E739E">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工矿仓储用地</w:t>
                  </w:r>
                </w:p>
              </w:tc>
              <w:tc>
                <w:tcPr>
                  <w:tcW w:w="4576" w:type="dxa"/>
                  <w:tcBorders>
                    <w:tl2br w:val="nil"/>
                    <w:tr2bl w:val="nil"/>
                  </w:tcBorders>
                  <w:noWrap w:val="0"/>
                  <w:vAlign w:val="center"/>
                </w:tcPr>
                <w:p w14:paraId="66284C61">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采矿用地（0602）</w:t>
                  </w:r>
                </w:p>
              </w:tc>
              <w:tc>
                <w:tcPr>
                  <w:tcW w:w="1408" w:type="dxa"/>
                  <w:tcBorders>
                    <w:tl2br w:val="nil"/>
                    <w:tr2bl w:val="nil"/>
                  </w:tcBorders>
                  <w:noWrap w:val="0"/>
                  <w:vAlign w:val="center"/>
                </w:tcPr>
                <w:p w14:paraId="08A2270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97.44</w:t>
                  </w:r>
                </w:p>
              </w:tc>
            </w:tr>
            <w:tr w14:paraId="07A3CA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7E18E97F">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3728BE3D">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569B7068">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777E9EA7">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97.44</w:t>
                  </w:r>
                </w:p>
              </w:tc>
            </w:tr>
            <w:tr w14:paraId="3458D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7EC3718D">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10</w:t>
                  </w:r>
                </w:p>
              </w:tc>
              <w:tc>
                <w:tcPr>
                  <w:tcW w:w="1753" w:type="dxa"/>
                  <w:vMerge w:val="restart"/>
                  <w:tcBorders>
                    <w:tl2br w:val="nil"/>
                    <w:tr2bl w:val="nil"/>
                  </w:tcBorders>
                  <w:noWrap w:val="0"/>
                  <w:vAlign w:val="center"/>
                </w:tcPr>
                <w:p w14:paraId="0F0F12A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交通运输用地</w:t>
                  </w:r>
                </w:p>
              </w:tc>
              <w:tc>
                <w:tcPr>
                  <w:tcW w:w="4576" w:type="dxa"/>
                  <w:tcBorders>
                    <w:tl2br w:val="nil"/>
                    <w:tr2bl w:val="nil"/>
                  </w:tcBorders>
                  <w:noWrap w:val="0"/>
                  <w:vAlign w:val="center"/>
                </w:tcPr>
                <w:p w14:paraId="570EE68B">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公路用地（1003）</w:t>
                  </w:r>
                </w:p>
              </w:tc>
              <w:tc>
                <w:tcPr>
                  <w:tcW w:w="1408" w:type="dxa"/>
                  <w:tcBorders>
                    <w:tl2br w:val="nil"/>
                    <w:tr2bl w:val="nil"/>
                  </w:tcBorders>
                  <w:noWrap w:val="0"/>
                  <w:vAlign w:val="center"/>
                </w:tcPr>
                <w:p w14:paraId="3E066FE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0.06</w:t>
                  </w:r>
                </w:p>
              </w:tc>
            </w:tr>
            <w:tr w14:paraId="759EF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781B4D6B">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64B99417">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481723E7">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农村道路（1006）</w:t>
                  </w:r>
                </w:p>
              </w:tc>
              <w:tc>
                <w:tcPr>
                  <w:tcW w:w="1408" w:type="dxa"/>
                  <w:tcBorders>
                    <w:tl2br w:val="nil"/>
                    <w:tr2bl w:val="nil"/>
                  </w:tcBorders>
                  <w:noWrap w:val="0"/>
                  <w:vAlign w:val="center"/>
                </w:tcPr>
                <w:p w14:paraId="2F5CF84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1.61</w:t>
                  </w:r>
                </w:p>
              </w:tc>
            </w:tr>
            <w:tr w14:paraId="6449B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138D2E39">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3C716FBE">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7162F82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0BE0D938">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1.67</w:t>
                  </w:r>
                </w:p>
              </w:tc>
            </w:tr>
            <w:tr w14:paraId="6DCCC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1F1CAFF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11</w:t>
                  </w:r>
                </w:p>
              </w:tc>
              <w:tc>
                <w:tcPr>
                  <w:tcW w:w="1753" w:type="dxa"/>
                  <w:vMerge w:val="restart"/>
                  <w:tcBorders>
                    <w:tl2br w:val="nil"/>
                    <w:tr2bl w:val="nil"/>
                  </w:tcBorders>
                  <w:noWrap w:val="0"/>
                  <w:vAlign w:val="center"/>
                </w:tcPr>
                <w:p w14:paraId="6C6D955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水域及水利设施用地</w:t>
                  </w:r>
                </w:p>
              </w:tc>
              <w:tc>
                <w:tcPr>
                  <w:tcW w:w="4576" w:type="dxa"/>
                  <w:tcBorders>
                    <w:tl2br w:val="nil"/>
                    <w:tr2bl w:val="nil"/>
                  </w:tcBorders>
                  <w:noWrap w:val="0"/>
                  <w:vAlign w:val="center"/>
                </w:tcPr>
                <w:p w14:paraId="5E7F4FB0">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坑塘水面（1104）</w:t>
                  </w:r>
                </w:p>
              </w:tc>
              <w:tc>
                <w:tcPr>
                  <w:tcW w:w="1408" w:type="dxa"/>
                  <w:tcBorders>
                    <w:tl2br w:val="nil"/>
                    <w:tr2bl w:val="nil"/>
                  </w:tcBorders>
                  <w:noWrap w:val="0"/>
                  <w:vAlign w:val="center"/>
                </w:tcPr>
                <w:p w14:paraId="6B715DA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0.92</w:t>
                  </w:r>
                </w:p>
              </w:tc>
            </w:tr>
            <w:tr w14:paraId="7DC3E8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38C4A885">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50B55096">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428D317D">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沟渠（1107）</w:t>
                  </w:r>
                </w:p>
              </w:tc>
              <w:tc>
                <w:tcPr>
                  <w:tcW w:w="1408" w:type="dxa"/>
                  <w:tcBorders>
                    <w:tl2br w:val="nil"/>
                    <w:tr2bl w:val="nil"/>
                  </w:tcBorders>
                  <w:noWrap w:val="0"/>
                  <w:vAlign w:val="center"/>
                </w:tcPr>
                <w:p w14:paraId="0BB777DA">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0.31</w:t>
                  </w:r>
                </w:p>
              </w:tc>
            </w:tr>
            <w:tr w14:paraId="6071D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0008DB0B">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590954B1">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41652567">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5B2B0C84">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1.23</w:t>
                  </w:r>
                </w:p>
              </w:tc>
            </w:tr>
            <w:tr w14:paraId="0D93A7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restart"/>
                  <w:tcBorders>
                    <w:tl2br w:val="nil"/>
                    <w:tr2bl w:val="nil"/>
                  </w:tcBorders>
                  <w:noWrap w:val="0"/>
                  <w:vAlign w:val="center"/>
                </w:tcPr>
                <w:p w14:paraId="3C37C63F">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12</w:t>
                  </w:r>
                </w:p>
              </w:tc>
              <w:tc>
                <w:tcPr>
                  <w:tcW w:w="1753" w:type="dxa"/>
                  <w:vMerge w:val="restart"/>
                  <w:tcBorders>
                    <w:tl2br w:val="nil"/>
                    <w:tr2bl w:val="nil"/>
                  </w:tcBorders>
                  <w:noWrap w:val="0"/>
                  <w:vAlign w:val="center"/>
                </w:tcPr>
                <w:p w14:paraId="1176EC0C">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其他土地(12)</w:t>
                  </w:r>
                </w:p>
              </w:tc>
              <w:tc>
                <w:tcPr>
                  <w:tcW w:w="4576" w:type="dxa"/>
                  <w:tcBorders>
                    <w:tl2br w:val="nil"/>
                    <w:tr2bl w:val="nil"/>
                  </w:tcBorders>
                  <w:noWrap w:val="0"/>
                  <w:vAlign w:val="center"/>
                </w:tcPr>
                <w:p w14:paraId="26664B1E">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空闲地（1201）</w:t>
                  </w:r>
                </w:p>
              </w:tc>
              <w:tc>
                <w:tcPr>
                  <w:tcW w:w="1408" w:type="dxa"/>
                  <w:tcBorders>
                    <w:tl2br w:val="nil"/>
                    <w:tr2bl w:val="nil"/>
                  </w:tcBorders>
                  <w:noWrap w:val="0"/>
                  <w:vAlign w:val="center"/>
                </w:tcPr>
                <w:p w14:paraId="5EB30F7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3.12</w:t>
                  </w:r>
                </w:p>
              </w:tc>
            </w:tr>
            <w:tr w14:paraId="27C16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52393339">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556C297D">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6B17462F">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设施农用地（1202）</w:t>
                  </w:r>
                </w:p>
              </w:tc>
              <w:tc>
                <w:tcPr>
                  <w:tcW w:w="1408" w:type="dxa"/>
                  <w:tcBorders>
                    <w:tl2br w:val="nil"/>
                    <w:tr2bl w:val="nil"/>
                  </w:tcBorders>
                  <w:noWrap w:val="0"/>
                  <w:vAlign w:val="center"/>
                </w:tcPr>
                <w:p w14:paraId="77AB9AC6">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0.01</w:t>
                  </w:r>
                </w:p>
              </w:tc>
            </w:tr>
            <w:tr w14:paraId="09AEC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7B5A41BF">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26231712">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221151F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沙地（1205）</w:t>
                  </w:r>
                </w:p>
              </w:tc>
              <w:tc>
                <w:tcPr>
                  <w:tcW w:w="1408" w:type="dxa"/>
                  <w:tcBorders>
                    <w:tl2br w:val="nil"/>
                    <w:tr2bl w:val="nil"/>
                  </w:tcBorders>
                  <w:noWrap w:val="0"/>
                  <w:vAlign w:val="center"/>
                </w:tcPr>
                <w:p w14:paraId="7022EDA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1.69</w:t>
                  </w:r>
                </w:p>
              </w:tc>
            </w:tr>
            <w:tr w14:paraId="07B25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64FC87A3">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181344C3">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61930D1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裸土地（1206）</w:t>
                  </w:r>
                </w:p>
              </w:tc>
              <w:tc>
                <w:tcPr>
                  <w:tcW w:w="1408" w:type="dxa"/>
                  <w:tcBorders>
                    <w:tl2br w:val="nil"/>
                    <w:tr2bl w:val="nil"/>
                  </w:tcBorders>
                  <w:noWrap w:val="0"/>
                  <w:vAlign w:val="center"/>
                </w:tcPr>
                <w:p w14:paraId="1F7D68F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17.64</w:t>
                  </w:r>
                </w:p>
              </w:tc>
            </w:tr>
            <w:tr w14:paraId="559BF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6B5AF5D8">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2156DE62">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723FB143">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裸岩石砾地（1207）</w:t>
                  </w:r>
                </w:p>
              </w:tc>
              <w:tc>
                <w:tcPr>
                  <w:tcW w:w="1408" w:type="dxa"/>
                  <w:tcBorders>
                    <w:tl2br w:val="nil"/>
                    <w:tr2bl w:val="nil"/>
                  </w:tcBorders>
                  <w:noWrap w:val="0"/>
                  <w:vAlign w:val="center"/>
                </w:tcPr>
                <w:p w14:paraId="78664BD0">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5.74</w:t>
                  </w:r>
                </w:p>
              </w:tc>
            </w:tr>
            <w:tr w14:paraId="03D56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41" w:type="dxa"/>
                  <w:vMerge w:val="continue"/>
                  <w:tcBorders>
                    <w:tl2br w:val="nil"/>
                    <w:tr2bl w:val="nil"/>
                  </w:tcBorders>
                  <w:noWrap w:val="0"/>
                  <w:vAlign w:val="center"/>
                </w:tcPr>
                <w:p w14:paraId="6D80876D">
                  <w:pPr>
                    <w:pStyle w:val="33"/>
                    <w:keepNext w:val="0"/>
                    <w:keepLines w:val="0"/>
                    <w:suppressLineNumbers w:val="0"/>
                    <w:bidi w:val="0"/>
                    <w:spacing w:beforeAutospacing="0" w:afterAutospacing="0"/>
                    <w:ind w:left="0" w:right="0"/>
                    <w:jc w:val="center"/>
                    <w:rPr>
                      <w:rFonts w:hint="default"/>
                      <w:color w:val="auto"/>
                    </w:rPr>
                  </w:pPr>
                </w:p>
              </w:tc>
              <w:tc>
                <w:tcPr>
                  <w:tcW w:w="1753" w:type="dxa"/>
                  <w:vMerge w:val="continue"/>
                  <w:tcBorders>
                    <w:tl2br w:val="nil"/>
                    <w:tr2bl w:val="nil"/>
                  </w:tcBorders>
                  <w:noWrap w:val="0"/>
                  <w:vAlign w:val="center"/>
                </w:tcPr>
                <w:p w14:paraId="10AD4172">
                  <w:pPr>
                    <w:pStyle w:val="33"/>
                    <w:keepNext w:val="0"/>
                    <w:keepLines w:val="0"/>
                    <w:suppressLineNumbers w:val="0"/>
                    <w:bidi w:val="0"/>
                    <w:spacing w:beforeAutospacing="0" w:afterAutospacing="0"/>
                    <w:ind w:left="0" w:right="0"/>
                    <w:jc w:val="center"/>
                    <w:rPr>
                      <w:rFonts w:hint="default"/>
                      <w:color w:val="auto"/>
                    </w:rPr>
                  </w:pPr>
                </w:p>
              </w:tc>
              <w:tc>
                <w:tcPr>
                  <w:tcW w:w="4576" w:type="dxa"/>
                  <w:tcBorders>
                    <w:tl2br w:val="nil"/>
                    <w:tr2bl w:val="nil"/>
                  </w:tcBorders>
                  <w:noWrap w:val="0"/>
                  <w:vAlign w:val="center"/>
                </w:tcPr>
                <w:p w14:paraId="14360725">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小计</w:t>
                  </w:r>
                </w:p>
              </w:tc>
              <w:tc>
                <w:tcPr>
                  <w:tcW w:w="1408" w:type="dxa"/>
                  <w:tcBorders>
                    <w:tl2br w:val="nil"/>
                    <w:tr2bl w:val="nil"/>
                  </w:tcBorders>
                  <w:noWrap w:val="0"/>
                  <w:vAlign w:val="center"/>
                </w:tcPr>
                <w:p w14:paraId="208BD3B9">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28.2</w:t>
                  </w:r>
                </w:p>
              </w:tc>
            </w:tr>
            <w:tr w14:paraId="3C8575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970" w:type="dxa"/>
                  <w:gridSpan w:val="3"/>
                  <w:tcBorders>
                    <w:tl2br w:val="nil"/>
                    <w:tr2bl w:val="nil"/>
                  </w:tcBorders>
                  <w:noWrap w:val="0"/>
                  <w:vAlign w:val="center"/>
                </w:tcPr>
                <w:p w14:paraId="74453E0D">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合计</w:t>
                  </w:r>
                </w:p>
              </w:tc>
              <w:tc>
                <w:tcPr>
                  <w:tcW w:w="1408" w:type="dxa"/>
                  <w:tcBorders>
                    <w:tl2br w:val="nil"/>
                    <w:tr2bl w:val="nil"/>
                  </w:tcBorders>
                  <w:noWrap w:val="0"/>
                  <w:vAlign w:val="center"/>
                </w:tcPr>
                <w:p w14:paraId="038662DF">
                  <w:pPr>
                    <w:pStyle w:val="33"/>
                    <w:keepNext w:val="0"/>
                    <w:keepLines w:val="0"/>
                    <w:suppressLineNumbers w:val="0"/>
                    <w:bidi w:val="0"/>
                    <w:spacing w:beforeAutospacing="0" w:afterAutospacing="0"/>
                    <w:ind w:left="0" w:right="0"/>
                    <w:jc w:val="center"/>
                    <w:rPr>
                      <w:rFonts w:hint="default"/>
                      <w:color w:val="auto"/>
                    </w:rPr>
                  </w:pPr>
                  <w:r>
                    <w:rPr>
                      <w:rFonts w:hint="default"/>
                      <w:color w:val="auto"/>
                    </w:rPr>
                    <w:t>338.59</w:t>
                  </w:r>
                </w:p>
              </w:tc>
            </w:tr>
          </w:tbl>
          <w:p w14:paraId="6FB4810E">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2 环境空气质量现状</w:t>
            </w:r>
          </w:p>
          <w:p w14:paraId="59536C13">
            <w:pPr>
              <w:pStyle w:val="58"/>
              <w:keepNext w:val="0"/>
              <w:keepLines w:val="0"/>
              <w:suppressLineNumbers w:val="0"/>
              <w:adjustRightInd/>
              <w:spacing w:before="0" w:beforeAutospacing="0" w:after="0" w:afterAutospacing="0"/>
              <w:ind w:left="0" w:right="0" w:firstLine="454"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eastAsia" w:ascii="Times New Roman" w:hAnsi="Times New Roman" w:eastAsia="宋体" w:cs="Times New Roman"/>
                <w:color w:val="auto"/>
                <w:sz w:val="24"/>
              </w:rPr>
              <w:t>中卫市沙坡头区</w:t>
            </w:r>
            <w:r>
              <w:rPr>
                <w:rFonts w:hint="default" w:ascii="Times New Roman" w:hAnsi="Times New Roman" w:eastAsia="宋体" w:cs="Times New Roman"/>
                <w:color w:val="auto"/>
                <w:sz w:val="24"/>
              </w:rPr>
              <w:t>，项目区域环境空气质量现状数据引用《</w:t>
            </w:r>
            <w:r>
              <w:rPr>
                <w:rFonts w:hint="eastAsia"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年宁夏回族自治区生态环境状况公报》中</w:t>
            </w:r>
            <w:r>
              <w:rPr>
                <w:rFonts w:hint="eastAsia" w:ascii="Times New Roman" w:hAnsi="Times New Roman" w:eastAsia="宋体" w:cs="Times New Roman"/>
                <w:color w:val="auto"/>
                <w:sz w:val="24"/>
              </w:rPr>
              <w:t>沙坡头区</w:t>
            </w:r>
            <w:r>
              <w:rPr>
                <w:rFonts w:hint="default" w:ascii="Times New Roman" w:hAnsi="Times New Roman" w:eastAsia="宋体" w:cs="Times New Roman"/>
                <w:color w:val="auto"/>
                <w:sz w:val="24"/>
              </w:rPr>
              <w:t>环境空气质量监测数据</w:t>
            </w:r>
            <w:r>
              <w:rPr>
                <w:rFonts w:hint="eastAsia" w:ascii="Times New Roman" w:hAnsi="Times New Roman" w:eastAsia="宋体" w:cs="Times New Roman"/>
                <w:color w:val="auto"/>
                <w:sz w:val="24"/>
              </w:rPr>
              <w:t>（扣除沙尘实况数据）</w:t>
            </w:r>
            <w:r>
              <w:rPr>
                <w:rFonts w:hint="default" w:ascii="Times New Roman" w:hAnsi="Times New Roman" w:eastAsia="宋体" w:cs="Times New Roman"/>
                <w:color w:val="auto"/>
                <w:sz w:val="24"/>
              </w:rPr>
              <w:t>进行评价。项目所在区域环境空气质量达标情况见表3-</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476913F2">
            <w:pPr>
              <w:pStyle w:val="33"/>
              <w:keepNext w:val="0"/>
              <w:keepLines w:val="0"/>
              <w:suppressLineNumbers w:val="0"/>
              <w:spacing w:before="46" w:beforeAutospacing="0" w:after="46" w:afterAutospacing="0"/>
              <w:ind w:left="0" w:right="0"/>
              <w:rPr>
                <w:rFonts w:hint="default" w:ascii="Times New Roman" w:cs="Times New Roman"/>
                <w:b/>
                <w:bCs/>
                <w:color w:val="auto"/>
                <w:sz w:val="24"/>
                <w:szCs w:val="24"/>
                <w:lang w:bidi="ar"/>
              </w:rPr>
            </w:pPr>
            <w:r>
              <w:rPr>
                <w:rFonts w:hint="default" w:ascii="Times New Roman" w:eastAsia="黑体" w:cs="Times New Roman"/>
                <w:color w:val="auto"/>
                <w:sz w:val="24"/>
                <w:szCs w:val="24"/>
                <w:lang w:bidi="ar"/>
              </w:rPr>
              <w:t>表3-</w:t>
            </w:r>
            <w:r>
              <w:rPr>
                <w:rFonts w:hint="eastAsia" w:eastAsia="黑体" w:cs="Times New Roman"/>
                <w:color w:val="auto"/>
                <w:sz w:val="24"/>
                <w:szCs w:val="24"/>
                <w:lang w:val="en-US" w:eastAsia="zh-CN" w:bidi="ar"/>
              </w:rPr>
              <w:t>2</w:t>
            </w:r>
            <w:r>
              <w:rPr>
                <w:rFonts w:hint="default" w:ascii="Times New Roman" w:eastAsia="黑体" w:cs="Times New Roman"/>
                <w:color w:val="auto"/>
                <w:sz w:val="24"/>
                <w:szCs w:val="24"/>
                <w:lang w:bidi="ar"/>
              </w:rPr>
              <w:t xml:space="preserve">  202</w:t>
            </w:r>
            <w:r>
              <w:rPr>
                <w:rFonts w:hint="eastAsia" w:ascii="Times New Roman" w:eastAsia="黑体" w:cs="Times New Roman"/>
                <w:color w:val="auto"/>
                <w:sz w:val="24"/>
                <w:szCs w:val="24"/>
                <w:lang w:val="en-US" w:eastAsia="zh-CN" w:bidi="ar"/>
              </w:rPr>
              <w:t>3</w:t>
            </w:r>
            <w:r>
              <w:rPr>
                <w:rFonts w:hint="default" w:ascii="Times New Roman" w:eastAsia="黑体" w:cs="Times New Roman"/>
                <w:color w:val="auto"/>
                <w:sz w:val="24"/>
                <w:szCs w:val="24"/>
                <w:lang w:bidi="ar"/>
              </w:rPr>
              <w:t>年</w:t>
            </w:r>
            <w:r>
              <w:rPr>
                <w:rFonts w:hint="eastAsia" w:ascii="Times New Roman" w:eastAsia="黑体" w:cs="Times New Roman"/>
                <w:color w:val="auto"/>
                <w:sz w:val="24"/>
                <w:szCs w:val="24"/>
                <w:lang w:bidi="ar"/>
              </w:rPr>
              <w:t>沙坡头区</w:t>
            </w:r>
            <w:r>
              <w:rPr>
                <w:rFonts w:hint="default" w:ascii="Times New Roman" w:eastAsia="黑体" w:cs="Times New Roman"/>
                <w:color w:val="auto"/>
                <w:sz w:val="24"/>
                <w:szCs w:val="24"/>
                <w:lang w:bidi="ar"/>
              </w:rPr>
              <w:t>环境空气质量监测结果统计表  单位：ug/m</w:t>
            </w:r>
            <w:r>
              <w:rPr>
                <w:rFonts w:hint="default" w:ascii="Times New Roman" w:eastAsia="黑体" w:cs="Times New Roman"/>
                <w:color w:val="auto"/>
                <w:sz w:val="24"/>
                <w:szCs w:val="24"/>
                <w:vertAlign w:val="superscript"/>
                <w:lang w:bidi="ar"/>
              </w:rPr>
              <w:t>3</w:t>
            </w:r>
          </w:p>
          <w:tbl>
            <w:tblPr>
              <w:tblStyle w:val="26"/>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1"/>
              <w:gridCol w:w="2560"/>
              <w:gridCol w:w="1334"/>
              <w:gridCol w:w="1334"/>
              <w:gridCol w:w="1129"/>
              <w:gridCol w:w="779"/>
            </w:tblGrid>
            <w:tr w14:paraId="6962B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3" w:hRule="atLeast"/>
                <w:jc w:val="center"/>
              </w:trPr>
              <w:tc>
                <w:tcPr>
                  <w:tcW w:w="1241" w:type="dxa"/>
                  <w:noWrap w:val="0"/>
                  <w:vAlign w:val="center"/>
                </w:tcPr>
                <w:p w14:paraId="41FC423A">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rPr>
                    <w:t>污染物</w:t>
                  </w:r>
                </w:p>
              </w:tc>
              <w:tc>
                <w:tcPr>
                  <w:tcW w:w="2560" w:type="dxa"/>
                  <w:noWrap w:val="0"/>
                  <w:vAlign w:val="center"/>
                </w:tcPr>
                <w:p w14:paraId="4B4CA204">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rPr>
                    <w:t>评价指标</w:t>
                  </w:r>
                </w:p>
              </w:tc>
              <w:tc>
                <w:tcPr>
                  <w:tcW w:w="1334" w:type="dxa"/>
                  <w:noWrap w:val="0"/>
                  <w:vAlign w:val="center"/>
                </w:tcPr>
                <w:p w14:paraId="608513C4">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eastAsia="zh-TW"/>
                    </w:rPr>
                    <w:t>现状浓度</w:t>
                  </w:r>
                  <w:r>
                    <w:rPr>
                      <w:rFonts w:hint="default" w:cs="Times New Roman"/>
                      <w:b/>
                      <w:bCs/>
                      <w:color w:val="auto"/>
                      <w:lang w:val="zh-TW"/>
                    </w:rPr>
                    <w:t>（μg/m</w:t>
                  </w:r>
                  <w:r>
                    <w:rPr>
                      <w:rFonts w:hint="default" w:cs="Times New Roman"/>
                      <w:b/>
                      <w:bCs/>
                      <w:color w:val="auto"/>
                      <w:vertAlign w:val="superscript"/>
                      <w:lang w:val="zh-TW"/>
                    </w:rPr>
                    <w:t>3</w:t>
                  </w:r>
                  <w:r>
                    <w:rPr>
                      <w:rFonts w:hint="default" w:cs="Times New Roman"/>
                      <w:b/>
                      <w:bCs/>
                      <w:color w:val="auto"/>
                      <w:lang w:val="zh-TW"/>
                    </w:rPr>
                    <w:t>）</w:t>
                  </w:r>
                </w:p>
              </w:tc>
              <w:tc>
                <w:tcPr>
                  <w:tcW w:w="1334" w:type="dxa"/>
                  <w:noWrap w:val="0"/>
                  <w:vAlign w:val="center"/>
                </w:tcPr>
                <w:p w14:paraId="0F57E540">
                  <w:pPr>
                    <w:pStyle w:val="33"/>
                    <w:keepNext w:val="0"/>
                    <w:keepLines w:val="0"/>
                    <w:suppressLineNumbers w:val="0"/>
                    <w:bidi w:val="0"/>
                    <w:spacing w:beforeAutospacing="0" w:afterAutospacing="0"/>
                    <w:ind w:left="0" w:right="0"/>
                    <w:rPr>
                      <w:rFonts w:hint="default" w:cs="Times New Roman"/>
                      <w:b/>
                      <w:bCs/>
                      <w:color w:val="auto"/>
                      <w:lang w:val="zh-TW" w:eastAsia="zh-TW"/>
                    </w:rPr>
                  </w:pPr>
                  <w:r>
                    <w:rPr>
                      <w:rFonts w:hint="default" w:cs="Times New Roman"/>
                      <w:b/>
                      <w:bCs/>
                      <w:color w:val="auto"/>
                      <w:lang w:val="zh-TW" w:eastAsia="zh-TW"/>
                    </w:rPr>
                    <w:t>标准值</w:t>
                  </w:r>
                </w:p>
                <w:p w14:paraId="13D6091B">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rPr>
                    <w:t>（μg/m</w:t>
                  </w:r>
                  <w:r>
                    <w:rPr>
                      <w:rFonts w:hint="default" w:cs="Times New Roman"/>
                      <w:b/>
                      <w:bCs/>
                      <w:color w:val="auto"/>
                      <w:vertAlign w:val="superscript"/>
                      <w:lang w:val="zh-TW"/>
                    </w:rPr>
                    <w:t>3</w:t>
                  </w:r>
                  <w:r>
                    <w:rPr>
                      <w:rFonts w:hint="default" w:cs="Times New Roman"/>
                      <w:b/>
                      <w:bCs/>
                      <w:color w:val="auto"/>
                      <w:lang w:val="zh-TW"/>
                    </w:rPr>
                    <w:t>）</w:t>
                  </w:r>
                </w:p>
              </w:tc>
              <w:tc>
                <w:tcPr>
                  <w:tcW w:w="1129" w:type="dxa"/>
                  <w:noWrap w:val="0"/>
                  <w:vAlign w:val="center"/>
                </w:tcPr>
                <w:p w14:paraId="7F50D601">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eastAsia="zh-TW"/>
                    </w:rPr>
                    <w:t>占标率</w:t>
                  </w:r>
                  <w:r>
                    <w:rPr>
                      <w:rFonts w:hint="default" w:cs="Times New Roman"/>
                      <w:b/>
                      <w:bCs/>
                      <w:color w:val="auto"/>
                      <w:lang w:val="zh-TW"/>
                    </w:rPr>
                    <w:t>（%）</w:t>
                  </w:r>
                </w:p>
              </w:tc>
              <w:tc>
                <w:tcPr>
                  <w:tcW w:w="779" w:type="dxa"/>
                  <w:noWrap w:val="0"/>
                  <w:vAlign w:val="center"/>
                </w:tcPr>
                <w:p w14:paraId="17ADA9A3">
                  <w:pPr>
                    <w:pStyle w:val="33"/>
                    <w:keepNext w:val="0"/>
                    <w:keepLines w:val="0"/>
                    <w:suppressLineNumbers w:val="0"/>
                    <w:bidi w:val="0"/>
                    <w:spacing w:beforeAutospacing="0" w:afterAutospacing="0"/>
                    <w:ind w:left="0" w:right="0"/>
                    <w:rPr>
                      <w:rFonts w:hint="default" w:cs="Times New Roman"/>
                      <w:b/>
                      <w:bCs/>
                      <w:color w:val="auto"/>
                      <w:lang w:val="zh-TW"/>
                    </w:rPr>
                  </w:pPr>
                  <w:r>
                    <w:rPr>
                      <w:rFonts w:hint="default" w:cs="Times New Roman"/>
                      <w:b/>
                      <w:bCs/>
                      <w:color w:val="auto"/>
                      <w:lang w:val="zh-TW" w:eastAsia="zh-TW"/>
                    </w:rPr>
                    <w:t>达标情况</w:t>
                  </w:r>
                </w:p>
              </w:tc>
            </w:tr>
            <w:tr w14:paraId="36477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241" w:type="dxa"/>
                  <w:noWrap w:val="0"/>
                  <w:vAlign w:val="center"/>
                </w:tcPr>
                <w:p w14:paraId="5CED178E">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SO</w:t>
                  </w:r>
                  <w:r>
                    <w:rPr>
                      <w:rFonts w:hint="default" w:cs="Times New Roman"/>
                      <w:color w:val="auto"/>
                      <w:vertAlign w:val="subscript"/>
                    </w:rPr>
                    <w:t>2</w:t>
                  </w:r>
                </w:p>
              </w:tc>
              <w:tc>
                <w:tcPr>
                  <w:tcW w:w="2560" w:type="dxa"/>
                  <w:noWrap w:val="0"/>
                  <w:vAlign w:val="center"/>
                </w:tcPr>
                <w:p w14:paraId="3C8B0A70">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年平均质量浓度</w:t>
                  </w:r>
                </w:p>
              </w:tc>
              <w:tc>
                <w:tcPr>
                  <w:tcW w:w="1334" w:type="dxa"/>
                  <w:noWrap w:val="0"/>
                  <w:vAlign w:val="center"/>
                </w:tcPr>
                <w:p w14:paraId="59204865">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10</w:t>
                  </w:r>
                </w:p>
              </w:tc>
              <w:tc>
                <w:tcPr>
                  <w:tcW w:w="1334" w:type="dxa"/>
                  <w:noWrap w:val="0"/>
                  <w:vAlign w:val="center"/>
                </w:tcPr>
                <w:p w14:paraId="442807FF">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60</w:t>
                  </w:r>
                </w:p>
              </w:tc>
              <w:tc>
                <w:tcPr>
                  <w:tcW w:w="1129" w:type="dxa"/>
                  <w:noWrap w:val="0"/>
                  <w:vAlign w:val="center"/>
                </w:tcPr>
                <w:p w14:paraId="5D2E659B">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16.67</w:t>
                  </w:r>
                </w:p>
              </w:tc>
              <w:tc>
                <w:tcPr>
                  <w:tcW w:w="779" w:type="dxa"/>
                  <w:noWrap w:val="0"/>
                  <w:vAlign w:val="center"/>
                </w:tcPr>
                <w:p w14:paraId="09F2F7BD">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rPr>
                    <w:t>达标</w:t>
                  </w:r>
                </w:p>
              </w:tc>
            </w:tr>
            <w:tr w14:paraId="64C18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241" w:type="dxa"/>
                  <w:noWrap w:val="0"/>
                  <w:vAlign w:val="center"/>
                </w:tcPr>
                <w:p w14:paraId="58B39D77">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NO</w:t>
                  </w:r>
                  <w:r>
                    <w:rPr>
                      <w:rFonts w:hint="default" w:cs="Times New Roman"/>
                      <w:color w:val="auto"/>
                      <w:vertAlign w:val="subscript"/>
                    </w:rPr>
                    <w:t>2</w:t>
                  </w:r>
                </w:p>
              </w:tc>
              <w:tc>
                <w:tcPr>
                  <w:tcW w:w="2560" w:type="dxa"/>
                  <w:noWrap w:val="0"/>
                  <w:vAlign w:val="center"/>
                </w:tcPr>
                <w:p w14:paraId="4AAE0390">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年平均质量浓度</w:t>
                  </w:r>
                </w:p>
              </w:tc>
              <w:tc>
                <w:tcPr>
                  <w:tcW w:w="1334" w:type="dxa"/>
                  <w:noWrap w:val="0"/>
                  <w:vAlign w:val="center"/>
                </w:tcPr>
                <w:p w14:paraId="164F17F1">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23</w:t>
                  </w:r>
                </w:p>
              </w:tc>
              <w:tc>
                <w:tcPr>
                  <w:tcW w:w="1334" w:type="dxa"/>
                  <w:noWrap w:val="0"/>
                  <w:vAlign w:val="center"/>
                </w:tcPr>
                <w:p w14:paraId="71A2E03B">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40</w:t>
                  </w:r>
                </w:p>
              </w:tc>
              <w:tc>
                <w:tcPr>
                  <w:tcW w:w="1129" w:type="dxa"/>
                  <w:noWrap w:val="0"/>
                  <w:vAlign w:val="center"/>
                </w:tcPr>
                <w:p w14:paraId="63E3F943">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57.50</w:t>
                  </w:r>
                </w:p>
              </w:tc>
              <w:tc>
                <w:tcPr>
                  <w:tcW w:w="779" w:type="dxa"/>
                  <w:noWrap w:val="0"/>
                  <w:vAlign w:val="center"/>
                </w:tcPr>
                <w:p w14:paraId="093EC5B0">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rPr>
                    <w:t>达标</w:t>
                  </w:r>
                </w:p>
              </w:tc>
            </w:tr>
            <w:tr w14:paraId="4A4CD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241" w:type="dxa"/>
                  <w:noWrap w:val="0"/>
                  <w:vAlign w:val="center"/>
                </w:tcPr>
                <w:p w14:paraId="213062DC">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CO</w:t>
                  </w:r>
                </w:p>
              </w:tc>
              <w:tc>
                <w:tcPr>
                  <w:tcW w:w="2560" w:type="dxa"/>
                  <w:noWrap w:val="0"/>
                  <w:vAlign w:val="center"/>
                </w:tcPr>
                <w:p w14:paraId="42DF0935">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24h平均第95百分位数</w:t>
                  </w:r>
                </w:p>
              </w:tc>
              <w:tc>
                <w:tcPr>
                  <w:tcW w:w="1334" w:type="dxa"/>
                  <w:noWrap w:val="0"/>
                  <w:vAlign w:val="center"/>
                </w:tcPr>
                <w:p w14:paraId="28F861A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0.7</w:t>
                  </w:r>
                </w:p>
              </w:tc>
              <w:tc>
                <w:tcPr>
                  <w:tcW w:w="1334" w:type="dxa"/>
                  <w:noWrap w:val="0"/>
                  <w:vAlign w:val="center"/>
                </w:tcPr>
                <w:p w14:paraId="7525AB8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4</w:t>
                  </w:r>
                </w:p>
              </w:tc>
              <w:tc>
                <w:tcPr>
                  <w:tcW w:w="1129" w:type="dxa"/>
                  <w:noWrap w:val="0"/>
                  <w:vAlign w:val="center"/>
                </w:tcPr>
                <w:p w14:paraId="5F8C97FC">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17.50</w:t>
                  </w:r>
                </w:p>
              </w:tc>
              <w:tc>
                <w:tcPr>
                  <w:tcW w:w="779" w:type="dxa"/>
                  <w:noWrap w:val="0"/>
                  <w:vAlign w:val="center"/>
                </w:tcPr>
                <w:p w14:paraId="43660E67">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rPr>
                    <w:t>达标</w:t>
                  </w:r>
                </w:p>
              </w:tc>
            </w:tr>
            <w:tr w14:paraId="1D79F9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1" w:hRule="atLeast"/>
                <w:jc w:val="center"/>
              </w:trPr>
              <w:tc>
                <w:tcPr>
                  <w:tcW w:w="1241" w:type="dxa"/>
                  <w:noWrap w:val="0"/>
                  <w:vAlign w:val="center"/>
                </w:tcPr>
                <w:p w14:paraId="1E43B163">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O</w:t>
                  </w:r>
                  <w:r>
                    <w:rPr>
                      <w:rFonts w:hint="default" w:cs="Times New Roman"/>
                      <w:color w:val="auto"/>
                      <w:vertAlign w:val="subscript"/>
                    </w:rPr>
                    <w:t>3</w:t>
                  </w:r>
                </w:p>
              </w:tc>
              <w:tc>
                <w:tcPr>
                  <w:tcW w:w="2560" w:type="dxa"/>
                  <w:noWrap w:val="0"/>
                  <w:vAlign w:val="center"/>
                </w:tcPr>
                <w:p w14:paraId="5D698D06">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日最大8h滑动平均值的第90百分位数</w:t>
                  </w:r>
                </w:p>
              </w:tc>
              <w:tc>
                <w:tcPr>
                  <w:tcW w:w="1334" w:type="dxa"/>
                  <w:noWrap w:val="0"/>
                  <w:vAlign w:val="center"/>
                </w:tcPr>
                <w:p w14:paraId="68427A2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140</w:t>
                  </w:r>
                </w:p>
              </w:tc>
              <w:tc>
                <w:tcPr>
                  <w:tcW w:w="1334" w:type="dxa"/>
                  <w:noWrap w:val="0"/>
                  <w:vAlign w:val="center"/>
                </w:tcPr>
                <w:p w14:paraId="763B5D2B">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160</w:t>
                  </w:r>
                </w:p>
              </w:tc>
              <w:tc>
                <w:tcPr>
                  <w:tcW w:w="1129" w:type="dxa"/>
                  <w:noWrap w:val="0"/>
                  <w:vAlign w:val="center"/>
                </w:tcPr>
                <w:p w14:paraId="330C65F3">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87.50</w:t>
                  </w:r>
                </w:p>
              </w:tc>
              <w:tc>
                <w:tcPr>
                  <w:tcW w:w="779" w:type="dxa"/>
                  <w:noWrap w:val="0"/>
                  <w:vAlign w:val="center"/>
                </w:tcPr>
                <w:p w14:paraId="09134790">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rPr>
                    <w:t>达标</w:t>
                  </w:r>
                </w:p>
              </w:tc>
            </w:tr>
            <w:tr w14:paraId="51448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241" w:type="dxa"/>
                  <w:noWrap w:val="0"/>
                  <w:vAlign w:val="center"/>
                </w:tcPr>
                <w:p w14:paraId="6BE2D6F2">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PM</w:t>
                  </w:r>
                  <w:r>
                    <w:rPr>
                      <w:rFonts w:hint="default" w:cs="Times New Roman"/>
                      <w:color w:val="auto"/>
                      <w:vertAlign w:val="subscript"/>
                    </w:rPr>
                    <w:t>2.5</w:t>
                  </w:r>
                </w:p>
              </w:tc>
              <w:tc>
                <w:tcPr>
                  <w:tcW w:w="2560" w:type="dxa"/>
                  <w:noWrap w:val="0"/>
                  <w:vAlign w:val="center"/>
                </w:tcPr>
                <w:p w14:paraId="4B0650C3">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年平均质量浓度</w:t>
                  </w:r>
                </w:p>
              </w:tc>
              <w:tc>
                <w:tcPr>
                  <w:tcW w:w="1334" w:type="dxa"/>
                  <w:noWrap w:val="0"/>
                  <w:vAlign w:val="center"/>
                </w:tcPr>
                <w:p w14:paraId="2C5AD179">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28</w:t>
                  </w:r>
                </w:p>
              </w:tc>
              <w:tc>
                <w:tcPr>
                  <w:tcW w:w="1334" w:type="dxa"/>
                  <w:noWrap w:val="0"/>
                  <w:vAlign w:val="center"/>
                </w:tcPr>
                <w:p w14:paraId="1022779D">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35</w:t>
                  </w:r>
                </w:p>
              </w:tc>
              <w:tc>
                <w:tcPr>
                  <w:tcW w:w="1129" w:type="dxa"/>
                  <w:noWrap w:val="0"/>
                  <w:vAlign w:val="center"/>
                </w:tcPr>
                <w:p w14:paraId="5EB64799">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80.00</w:t>
                  </w:r>
                </w:p>
              </w:tc>
              <w:tc>
                <w:tcPr>
                  <w:tcW w:w="779" w:type="dxa"/>
                  <w:noWrap w:val="0"/>
                  <w:vAlign w:val="center"/>
                </w:tcPr>
                <w:p w14:paraId="3FE0C6A8">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eastAsia="zh-TW"/>
                    </w:rPr>
                    <w:t>达标</w:t>
                  </w:r>
                </w:p>
              </w:tc>
            </w:tr>
            <w:tr w14:paraId="66A38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241" w:type="dxa"/>
                  <w:noWrap w:val="0"/>
                  <w:vAlign w:val="center"/>
                </w:tcPr>
                <w:p w14:paraId="0BA430BC">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PM</w:t>
                  </w:r>
                  <w:r>
                    <w:rPr>
                      <w:rFonts w:hint="default" w:cs="Times New Roman"/>
                      <w:color w:val="auto"/>
                      <w:vertAlign w:val="subscript"/>
                    </w:rPr>
                    <w:t>10</w:t>
                  </w:r>
                </w:p>
              </w:tc>
              <w:tc>
                <w:tcPr>
                  <w:tcW w:w="2560" w:type="dxa"/>
                  <w:noWrap w:val="0"/>
                  <w:vAlign w:val="center"/>
                </w:tcPr>
                <w:p w14:paraId="033301DF">
                  <w:pPr>
                    <w:pStyle w:val="33"/>
                    <w:keepNext w:val="0"/>
                    <w:keepLines w:val="0"/>
                    <w:suppressLineNumbers w:val="0"/>
                    <w:bidi w:val="0"/>
                    <w:spacing w:beforeAutospacing="0" w:afterAutospacing="0"/>
                    <w:ind w:left="0" w:right="0"/>
                    <w:rPr>
                      <w:rFonts w:hint="default" w:cs="Times New Roman"/>
                      <w:color w:val="auto"/>
                      <w:lang w:val="zh-TW" w:eastAsia="zh-TW"/>
                    </w:rPr>
                  </w:pPr>
                  <w:r>
                    <w:rPr>
                      <w:rFonts w:hint="default" w:cs="Times New Roman"/>
                      <w:color w:val="auto"/>
                    </w:rPr>
                    <w:t>年平均质量浓度</w:t>
                  </w:r>
                </w:p>
              </w:tc>
              <w:tc>
                <w:tcPr>
                  <w:tcW w:w="1334" w:type="dxa"/>
                  <w:noWrap w:val="0"/>
                  <w:vAlign w:val="center"/>
                </w:tcPr>
                <w:p w14:paraId="5FFDD751">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66</w:t>
                  </w:r>
                </w:p>
              </w:tc>
              <w:tc>
                <w:tcPr>
                  <w:tcW w:w="1334" w:type="dxa"/>
                  <w:noWrap w:val="0"/>
                  <w:vAlign w:val="center"/>
                </w:tcPr>
                <w:p w14:paraId="30149993">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rPr>
                    <w:t>70</w:t>
                  </w:r>
                </w:p>
              </w:tc>
              <w:tc>
                <w:tcPr>
                  <w:tcW w:w="1129" w:type="dxa"/>
                  <w:noWrap w:val="0"/>
                  <w:vAlign w:val="center"/>
                </w:tcPr>
                <w:p w14:paraId="7E2D4BF4">
                  <w:pPr>
                    <w:pStyle w:val="33"/>
                    <w:keepNext w:val="0"/>
                    <w:keepLines w:val="0"/>
                    <w:suppressLineNumbers w:val="0"/>
                    <w:bidi w:val="0"/>
                    <w:spacing w:beforeAutospacing="0" w:afterAutospacing="0"/>
                    <w:ind w:left="0" w:right="0"/>
                    <w:rPr>
                      <w:rFonts w:hint="default"/>
                      <w:color w:val="auto"/>
                    </w:rPr>
                  </w:pPr>
                  <w:r>
                    <w:rPr>
                      <w:rFonts w:hint="eastAsia"/>
                      <w:color w:val="auto"/>
                      <w:lang w:val="en-US" w:eastAsia="zh-CN"/>
                    </w:rPr>
                    <w:t>94.29</w:t>
                  </w:r>
                </w:p>
              </w:tc>
              <w:tc>
                <w:tcPr>
                  <w:tcW w:w="779" w:type="dxa"/>
                  <w:noWrap w:val="0"/>
                  <w:vAlign w:val="center"/>
                </w:tcPr>
                <w:p w14:paraId="63756F30">
                  <w:pPr>
                    <w:pStyle w:val="33"/>
                    <w:keepNext w:val="0"/>
                    <w:keepLines w:val="0"/>
                    <w:suppressLineNumbers w:val="0"/>
                    <w:bidi w:val="0"/>
                    <w:spacing w:beforeAutospacing="0" w:afterAutospacing="0"/>
                    <w:ind w:left="0" w:right="0"/>
                    <w:rPr>
                      <w:rFonts w:hint="default" w:cs="Times New Roman"/>
                      <w:color w:val="auto"/>
                      <w:lang w:val="zh-TW"/>
                    </w:rPr>
                  </w:pPr>
                  <w:r>
                    <w:rPr>
                      <w:rFonts w:hint="default" w:cs="Times New Roman"/>
                      <w:color w:val="auto"/>
                      <w:lang w:val="zh-TW" w:eastAsia="zh-TW"/>
                    </w:rPr>
                    <w:t>达标</w:t>
                  </w:r>
                </w:p>
              </w:tc>
            </w:tr>
            <w:tr w14:paraId="14A63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8377" w:type="dxa"/>
                  <w:gridSpan w:val="6"/>
                  <w:noWrap w:val="0"/>
                  <w:vAlign w:val="center"/>
                </w:tcPr>
                <w:p w14:paraId="686FCB0C">
                  <w:pPr>
                    <w:keepNext w:val="0"/>
                    <w:keepLines w:val="0"/>
                    <w:suppressLineNumbers w:val="0"/>
                    <w:adjustRightInd w:val="0"/>
                    <w:snapToGrid w:val="0"/>
                    <w:spacing w:before="0" w:beforeAutospacing="0" w:after="0" w:afterAutospacing="0"/>
                    <w:ind w:left="0" w:leftChars="0" w:righ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注：1、CO现状浓度和标准值单位均为mg/m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p w14:paraId="38AB008D">
                  <w:pPr>
                    <w:pStyle w:val="33"/>
                    <w:keepNext w:val="0"/>
                    <w:keepLines w:val="0"/>
                    <w:suppressLineNumbers w:val="0"/>
                    <w:bidi w:val="0"/>
                    <w:spacing w:beforeAutospacing="0" w:afterAutospacing="0"/>
                    <w:ind w:left="0" w:right="0"/>
                    <w:jc w:val="both"/>
                    <w:rPr>
                      <w:rFonts w:hint="default" w:cs="Times New Roman"/>
                      <w:color w:val="auto"/>
                      <w:lang w:val="zh-TW" w:eastAsia="zh-TW"/>
                    </w:rPr>
                  </w:pPr>
                  <w:r>
                    <w:rPr>
                      <w:rFonts w:hint="default" w:ascii="Times New Roman" w:hAnsi="Times New Roman" w:cs="Times New Roman"/>
                      <w:color w:val="auto"/>
                      <w:sz w:val="21"/>
                      <w:szCs w:val="21"/>
                      <w:highlight w:val="none"/>
                    </w:rPr>
                    <w:t>2、现状浓度中PM</w:t>
                  </w:r>
                  <w:r>
                    <w:rPr>
                      <w:rFonts w:hint="default" w:ascii="Times New Roman" w:hAnsi="Times New Roman" w:cs="Times New Roman"/>
                      <w:color w:val="auto"/>
                      <w:sz w:val="21"/>
                      <w:szCs w:val="21"/>
                      <w:highlight w:val="none"/>
                      <w:vertAlign w:val="subscript"/>
                    </w:rPr>
                    <w:t>10</w:t>
                  </w: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r>
                    <w:rPr>
                      <w:rFonts w:hint="default" w:ascii="Times New Roman" w:hAnsi="Times New Roman" w:cs="Times New Roman"/>
                      <w:color w:val="auto"/>
                      <w:sz w:val="21"/>
                      <w:szCs w:val="21"/>
                      <w:highlight w:val="none"/>
                    </w:rPr>
                    <w:t>为剔除沙尘天气后的数值。</w:t>
                  </w:r>
                </w:p>
              </w:tc>
            </w:tr>
          </w:tbl>
          <w:p w14:paraId="439C8E1F">
            <w:pPr>
              <w:keepNext w:val="0"/>
              <w:keepLines w:val="0"/>
              <w:suppressLineNumbers w:val="0"/>
              <w:spacing w:before="0" w:beforeAutospacing="0" w:after="0" w:afterAutospacing="0"/>
              <w:ind w:left="0" w:right="0" w:firstLine="454" w:firstLineChars="200"/>
              <w:rPr>
                <w:rFonts w:hint="eastAsia" w:cs="Times New Roman"/>
                <w:color w:val="auto"/>
                <w:sz w:val="24"/>
              </w:rPr>
            </w:pPr>
            <w:r>
              <w:rPr>
                <w:rFonts w:hint="default" w:ascii="Times New Roman" w:hAnsi="Times New Roman" w:cs="Times New Roman"/>
                <w:color w:val="auto"/>
                <w:sz w:val="24"/>
              </w:rPr>
              <w:t>根据表3-1可知，</w:t>
            </w:r>
            <w:r>
              <w:rPr>
                <w:rFonts w:hint="eastAsia" w:ascii="Times New Roman" w:hAnsi="Times New Roman" w:eastAsia="宋体" w:cs="Times New Roman"/>
                <w:color w:val="auto"/>
                <w:sz w:val="24"/>
              </w:rPr>
              <w:t>沙坡头区</w:t>
            </w:r>
            <w:r>
              <w:rPr>
                <w:rFonts w:hint="default" w:ascii="Times New Roman" w:hAnsi="Times New Roman" w:cs="Times New Roman"/>
                <w:color w:val="auto"/>
                <w:sz w:val="24"/>
              </w:rPr>
              <w:t>2023年PM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的年均浓度和相应百分位数24h平均浓度</w:t>
            </w:r>
            <w:r>
              <w:rPr>
                <w:rFonts w:hint="eastAsia" w:cs="Times New Roman"/>
                <w:color w:val="auto"/>
                <w:sz w:val="24"/>
                <w:lang w:val="en-US" w:eastAsia="zh-CN"/>
              </w:rPr>
              <w:t>及</w:t>
            </w:r>
            <w:r>
              <w:rPr>
                <w:rFonts w:hint="default" w:cs="Times New Roman"/>
                <w:color w:val="auto"/>
              </w:rPr>
              <w:t>日最大8h滑动平均值的第90百分位数</w:t>
            </w:r>
            <w:r>
              <w:rPr>
                <w:rFonts w:hint="default" w:ascii="Times New Roman" w:hAnsi="Times New Roman" w:cs="Times New Roman"/>
                <w:color w:val="auto"/>
                <w:sz w:val="24"/>
              </w:rPr>
              <w:t>浓度（剔除沙尘天气）均满足《环境空气质量标准》（GB3095-2012）中二级标准及修改单要求，属于达标区。</w:t>
            </w:r>
          </w:p>
          <w:p w14:paraId="2E57837E">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3 </w:t>
            </w:r>
            <w:r>
              <w:rPr>
                <w:rFonts w:hint="default"/>
                <w:color w:val="auto"/>
              </w:rPr>
              <w:t>地表水环境</w:t>
            </w:r>
          </w:p>
          <w:p w14:paraId="488D9A36">
            <w:pPr>
              <w:keepNext w:val="0"/>
              <w:keepLines w:val="0"/>
              <w:suppressLineNumbers w:val="0"/>
              <w:spacing w:before="0" w:beforeAutospacing="0" w:after="0" w:afterAutospacing="0"/>
              <w:ind w:left="0" w:right="0" w:firstLine="454" w:firstLineChars="200"/>
              <w:rPr>
                <w:rFonts w:hint="eastAsia" w:ascii="Times New Roman" w:hAnsi="Times New Roman" w:eastAsia="宋体"/>
                <w:color w:val="auto"/>
                <w:sz w:val="24"/>
                <w:lang w:val="en-US" w:eastAsia="zh-CN"/>
              </w:rPr>
            </w:pPr>
            <w:r>
              <w:rPr>
                <w:rFonts w:hint="default" w:cs="Times New Roman"/>
                <w:color w:val="auto"/>
                <w:sz w:val="24"/>
                <w:highlight w:val="none"/>
              </w:rPr>
              <w:t>本项目所在地最近的地表水体为黄河</w:t>
            </w:r>
            <w:r>
              <w:rPr>
                <w:rFonts w:hint="eastAsia" w:cs="Times New Roman"/>
                <w:color w:val="auto"/>
                <w:sz w:val="24"/>
                <w:highlight w:val="none"/>
                <w:lang w:val="en-US" w:eastAsia="zh-CN"/>
              </w:rPr>
              <w:t>及</w:t>
            </w:r>
            <w:r>
              <w:rPr>
                <w:rFonts w:hint="eastAsia" w:ascii="Times New Roman" w:hAnsi="Times New Roman" w:eastAsia="宋体"/>
                <w:color w:val="auto"/>
                <w:sz w:val="24"/>
                <w:lang w:val="en-US" w:eastAsia="zh-CN"/>
              </w:rPr>
              <w:t>照壁山水库</w:t>
            </w:r>
            <w:r>
              <w:rPr>
                <w:rFonts w:hint="default" w:cs="Times New Roman"/>
                <w:color w:val="auto"/>
                <w:sz w:val="24"/>
                <w:highlight w:val="none"/>
              </w:rPr>
              <w:t>，黄河</w:t>
            </w:r>
            <w:r>
              <w:rPr>
                <w:rFonts w:hint="eastAsia" w:cs="Times New Roman"/>
                <w:color w:val="auto"/>
                <w:sz w:val="24"/>
                <w:highlight w:val="none"/>
                <w:lang w:val="en-US" w:eastAsia="zh-CN"/>
              </w:rPr>
              <w:t>位于A32治理区南侧，</w:t>
            </w:r>
            <w:r>
              <w:rPr>
                <w:rFonts w:hint="eastAsia" w:cs="Times New Roman"/>
                <w:color w:val="auto"/>
                <w:sz w:val="24"/>
                <w:highlight w:val="none"/>
              </w:rPr>
              <w:t>距离</w:t>
            </w:r>
            <w:r>
              <w:rPr>
                <w:rFonts w:hint="eastAsia" w:cs="Times New Roman"/>
                <w:color w:val="auto"/>
                <w:sz w:val="24"/>
                <w:highlight w:val="none"/>
                <w:lang w:val="en-US" w:eastAsia="zh-CN"/>
              </w:rPr>
              <w:t>2.2</w:t>
            </w:r>
            <w:r>
              <w:rPr>
                <w:rFonts w:hint="eastAsia" w:cs="Times New Roman"/>
                <w:color w:val="auto"/>
                <w:sz w:val="24"/>
                <w:highlight w:val="none"/>
              </w:rPr>
              <w:t>km，</w:t>
            </w:r>
            <w:r>
              <w:rPr>
                <w:rFonts w:hint="eastAsia" w:ascii="Times New Roman" w:hAnsi="Times New Roman" w:eastAsia="宋体"/>
                <w:color w:val="auto"/>
                <w:sz w:val="24"/>
                <w:lang w:val="en-US" w:eastAsia="zh-CN"/>
              </w:rPr>
              <w:t>照壁山水库</w:t>
            </w:r>
            <w:r>
              <w:rPr>
                <w:rFonts w:hint="eastAsia" w:cs="Times New Roman"/>
                <w:color w:val="auto"/>
                <w:sz w:val="24"/>
                <w:highlight w:val="none"/>
                <w:lang w:val="en-US" w:eastAsia="zh-CN"/>
              </w:rPr>
              <w:t>位于A1治理区西南侧，距离1.4km。本次评价黄河</w:t>
            </w:r>
            <w:r>
              <w:rPr>
                <w:rFonts w:hint="eastAsia" w:cs="Times New Roman"/>
                <w:color w:val="auto"/>
                <w:sz w:val="24"/>
                <w:highlight w:val="none"/>
              </w:rPr>
              <w:t>引用</w:t>
            </w:r>
            <w:r>
              <w:rPr>
                <w:rFonts w:hint="default" w:cs="Times New Roman"/>
                <w:color w:val="auto"/>
                <w:sz w:val="24"/>
                <w:highlight w:val="none"/>
              </w:rPr>
              <w:t>《202</w:t>
            </w:r>
            <w:r>
              <w:rPr>
                <w:rFonts w:hint="eastAsia" w:cs="Times New Roman"/>
                <w:color w:val="auto"/>
                <w:sz w:val="24"/>
                <w:highlight w:val="none"/>
                <w:lang w:val="en-US" w:eastAsia="zh-CN"/>
              </w:rPr>
              <w:t>3</w:t>
            </w:r>
            <w:r>
              <w:rPr>
                <w:rFonts w:hint="default" w:cs="Times New Roman"/>
                <w:color w:val="auto"/>
                <w:sz w:val="24"/>
                <w:highlight w:val="none"/>
              </w:rPr>
              <w:t>年宁夏生态环境质量状况报告》黄河中卫下河沿断面</w:t>
            </w:r>
            <w:r>
              <w:rPr>
                <w:rFonts w:hint="eastAsia" w:cs="Times New Roman"/>
                <w:color w:val="auto"/>
                <w:sz w:val="24"/>
                <w:highlight w:val="none"/>
              </w:rPr>
              <w:t>（甘肃一宁夏省界）</w:t>
            </w:r>
            <w:r>
              <w:rPr>
                <w:rFonts w:hint="default" w:cs="Times New Roman"/>
                <w:color w:val="auto"/>
                <w:sz w:val="24"/>
                <w:highlight w:val="none"/>
              </w:rPr>
              <w:t>的监测数据来评价本项目所在区域的地表水环境质量，202</w:t>
            </w:r>
            <w:r>
              <w:rPr>
                <w:rFonts w:hint="eastAsia" w:cs="Times New Roman"/>
                <w:color w:val="auto"/>
                <w:sz w:val="24"/>
                <w:highlight w:val="none"/>
                <w:lang w:val="en-US" w:eastAsia="zh-CN"/>
              </w:rPr>
              <w:t>3</w:t>
            </w:r>
            <w:r>
              <w:rPr>
                <w:rFonts w:hint="default" w:cs="Times New Roman"/>
                <w:color w:val="auto"/>
                <w:sz w:val="24"/>
                <w:highlight w:val="none"/>
              </w:rPr>
              <w:t>年黄河中卫下河沿断面的水质</w:t>
            </w:r>
            <w:r>
              <w:rPr>
                <w:rFonts w:hint="eastAsia" w:cs="Times New Roman"/>
                <w:color w:val="auto"/>
                <w:sz w:val="24"/>
                <w:highlight w:val="none"/>
                <w:lang w:val="en-US" w:eastAsia="zh-CN"/>
              </w:rPr>
              <w:t>为</w:t>
            </w:r>
            <w:r>
              <w:rPr>
                <w:rFonts w:hint="default" w:cs="Times New Roman"/>
                <w:color w:val="auto"/>
                <w:sz w:val="24"/>
                <w:highlight w:val="none"/>
              </w:rPr>
              <w:t>《地表水环境质量标准》Ⅱ类水质</w:t>
            </w:r>
            <w:r>
              <w:rPr>
                <w:rFonts w:hint="eastAsia" w:cs="Times New Roman"/>
                <w:color w:val="auto"/>
                <w:sz w:val="24"/>
                <w:highlight w:val="none"/>
                <w:lang w:eastAsia="zh-CN"/>
              </w:rPr>
              <w:t>，</w:t>
            </w:r>
            <w:r>
              <w:rPr>
                <w:rFonts w:hint="eastAsia" w:cs="Times New Roman"/>
                <w:color w:val="auto"/>
                <w:sz w:val="24"/>
                <w:highlight w:val="none"/>
                <w:lang w:val="en-US" w:eastAsia="zh-CN"/>
              </w:rPr>
              <w:t>满足</w:t>
            </w:r>
            <w:r>
              <w:rPr>
                <w:rFonts w:hint="default" w:cs="Times New Roman"/>
                <w:color w:val="auto"/>
                <w:sz w:val="24"/>
                <w:highlight w:val="none"/>
              </w:rPr>
              <w:t>Ⅱ类</w:t>
            </w:r>
            <w:r>
              <w:rPr>
                <w:rFonts w:hint="eastAsia" w:cs="Times New Roman"/>
                <w:color w:val="auto"/>
                <w:sz w:val="24"/>
                <w:highlight w:val="none"/>
                <w:lang w:val="en-US" w:eastAsia="zh-CN"/>
              </w:rPr>
              <w:t>考核标准</w:t>
            </w:r>
            <w:r>
              <w:rPr>
                <w:rFonts w:hint="eastAsia" w:cs="Times New Roman"/>
                <w:color w:val="auto"/>
                <w:sz w:val="24"/>
                <w:highlight w:val="none"/>
              </w:rPr>
              <w:t>。</w:t>
            </w:r>
            <w:r>
              <w:rPr>
                <w:rFonts w:hint="eastAsia" w:ascii="Times New Roman" w:hAnsi="Times New Roman" w:eastAsia="宋体"/>
                <w:color w:val="auto"/>
                <w:sz w:val="24"/>
                <w:lang w:val="en-US" w:eastAsia="zh-CN"/>
              </w:rPr>
              <w:t>照壁山水库引用《宁夏中盛新科技有限公司年产28000吨绿色环保染料-3000吨/年危废处置项目》中委托宁夏创安环境监测有限公司于2023年3月2日～4日对照壁山水库水质进行监测的数据。</w:t>
            </w:r>
          </w:p>
          <w:p w14:paraId="7C6FEC3B">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⑴监测点位</w:t>
            </w:r>
          </w:p>
          <w:p w14:paraId="532F307B">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监测点位具体见表3</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p>
          <w:p w14:paraId="30C0F608">
            <w:pPr>
              <w:keepNext w:val="0"/>
              <w:keepLines w:val="0"/>
              <w:suppressLineNumbers w:val="0"/>
              <w:spacing w:before="0" w:beforeAutospacing="0" w:after="0" w:afterAutospacing="0"/>
              <w:ind w:left="0" w:right="0" w:firstLine="0" w:firstLineChars="0"/>
              <w:jc w:val="center"/>
              <w:rPr>
                <w:rFonts w:hint="eastAsia" w:ascii="Times New Roman" w:hAnsi="Times New Roman" w:eastAsia="黑体" w:cs="Times New Roman"/>
                <w:snapToGrid w:val="0"/>
                <w:color w:val="auto"/>
                <w:sz w:val="24"/>
              </w:rPr>
            </w:pPr>
            <w:r>
              <w:rPr>
                <w:rFonts w:hint="eastAsia" w:ascii="Times New Roman" w:hAnsi="Times New Roman" w:eastAsia="黑体" w:cs="Times New Roman"/>
                <w:snapToGrid w:val="0"/>
                <w:color w:val="auto"/>
                <w:sz w:val="24"/>
              </w:rPr>
              <w:t>表</w:t>
            </w:r>
            <w:r>
              <w:rPr>
                <w:rFonts w:hint="default" w:ascii="Times New Roman" w:hAnsi="Times New Roman" w:eastAsia="黑体" w:cs="Times New Roman"/>
                <w:snapToGrid w:val="0"/>
                <w:color w:val="auto"/>
                <w:sz w:val="24"/>
              </w:rPr>
              <w:t>3-</w:t>
            </w:r>
            <w:r>
              <w:rPr>
                <w:rFonts w:hint="eastAsia" w:eastAsia="黑体" w:cs="Times New Roman"/>
                <w:snapToGrid w:val="0"/>
                <w:color w:val="auto"/>
                <w:sz w:val="24"/>
                <w:lang w:val="en-US" w:eastAsia="zh-CN"/>
              </w:rPr>
              <w:t>3</w:t>
            </w:r>
            <w:r>
              <w:rPr>
                <w:rFonts w:hint="default" w:ascii="Times New Roman" w:hAnsi="Times New Roman" w:eastAsia="黑体" w:cs="Times New Roman"/>
                <w:snapToGrid w:val="0"/>
                <w:color w:val="auto"/>
                <w:sz w:val="24"/>
              </w:rPr>
              <w:t xml:space="preserve">  </w:t>
            </w:r>
            <w:r>
              <w:rPr>
                <w:rFonts w:hint="eastAsia" w:ascii="Times New Roman" w:hAnsi="Times New Roman" w:eastAsia="黑体" w:cs="Times New Roman"/>
                <w:snapToGrid w:val="0"/>
                <w:color w:val="auto"/>
                <w:sz w:val="24"/>
              </w:rPr>
              <w:t>地表水监测点位一览表</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08"/>
              <w:gridCol w:w="1548"/>
              <w:gridCol w:w="3143"/>
              <w:gridCol w:w="2904"/>
            </w:tblGrid>
            <w:tr w14:paraId="0AA93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480" w:type="pct"/>
                  <w:noWrap w:val="0"/>
                  <w:vAlign w:val="center"/>
                </w:tcPr>
                <w:p w14:paraId="2605B376">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序号</w:t>
                  </w:r>
                </w:p>
              </w:tc>
              <w:tc>
                <w:tcPr>
                  <w:tcW w:w="921" w:type="pct"/>
                  <w:noWrap w:val="0"/>
                  <w:vAlign w:val="center"/>
                </w:tcPr>
                <w:p w14:paraId="1DD6C6EC">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点位名称</w:t>
                  </w:r>
                </w:p>
              </w:tc>
              <w:tc>
                <w:tcPr>
                  <w:tcW w:w="1870" w:type="pct"/>
                  <w:noWrap w:val="0"/>
                  <w:vAlign w:val="center"/>
                </w:tcPr>
                <w:p w14:paraId="2234B42B">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坐标</w:t>
                  </w:r>
                </w:p>
              </w:tc>
              <w:tc>
                <w:tcPr>
                  <w:tcW w:w="1727" w:type="pct"/>
                  <w:noWrap w:val="0"/>
                  <w:vAlign w:val="center"/>
                </w:tcPr>
                <w:p w14:paraId="079502EC">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相对距离/m</w:t>
                  </w:r>
                </w:p>
              </w:tc>
            </w:tr>
            <w:tr w14:paraId="6D6BE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trPr>
              <w:tc>
                <w:tcPr>
                  <w:tcW w:w="480" w:type="pct"/>
                  <w:noWrap w:val="0"/>
                  <w:vAlign w:val="center"/>
                </w:tcPr>
                <w:p w14:paraId="2E3DEB1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921" w:type="pct"/>
                  <w:noWrap w:val="0"/>
                  <w:vAlign w:val="center"/>
                </w:tcPr>
                <w:p w14:paraId="72A6845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照壁山水库</w:t>
                  </w:r>
                </w:p>
              </w:tc>
              <w:tc>
                <w:tcPr>
                  <w:tcW w:w="1870" w:type="pct"/>
                  <w:noWrap w:val="0"/>
                  <w:vAlign w:val="center"/>
                </w:tcPr>
                <w:p w14:paraId="2330C50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E:105.178025°</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N:37.653637°</w:t>
                  </w:r>
                </w:p>
              </w:tc>
              <w:tc>
                <w:tcPr>
                  <w:tcW w:w="1727" w:type="pct"/>
                  <w:noWrap w:val="0"/>
                  <w:vAlign w:val="center"/>
                </w:tcPr>
                <w:p w14:paraId="057F304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W</w:t>
                  </w:r>
                  <w:r>
                    <w:rPr>
                      <w:rFonts w:hint="eastAsia" w:ascii="Times New Roman" w:hAnsi="Times New Roman" w:eastAsia="宋体" w:cs="Times New Roman"/>
                      <w:color w:val="auto"/>
                      <w:kern w:val="0"/>
                      <w:sz w:val="21"/>
                      <w:szCs w:val="21"/>
                      <w:lang w:val="en-US" w:eastAsia="zh-CN"/>
                    </w:rPr>
                    <w:t>N</w:t>
                  </w:r>
                  <w:r>
                    <w:rPr>
                      <w:rFonts w:hint="eastAsia" w:ascii="Times New Roman" w:hAnsi="Times New Roman" w:eastAsia="宋体" w:cs="Times New Roman"/>
                      <w:color w:val="auto"/>
                      <w:kern w:val="0"/>
                      <w:sz w:val="21"/>
                      <w:szCs w:val="21"/>
                    </w:rPr>
                    <w:t>，</w:t>
                  </w:r>
                  <w:r>
                    <w:rPr>
                      <w:rFonts w:hint="eastAsia" w:cs="Times New Roman"/>
                      <w:color w:val="auto"/>
                      <w:sz w:val="24"/>
                      <w:highlight w:val="none"/>
                      <w:lang w:val="en-US" w:eastAsia="zh-CN"/>
                    </w:rPr>
                    <w:t>1.4km（相对A1治理区）</w:t>
                  </w:r>
                </w:p>
              </w:tc>
            </w:tr>
          </w:tbl>
          <w:p w14:paraId="40BB3F2F">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⑵监测结果</w:t>
            </w:r>
          </w:p>
          <w:p w14:paraId="5AC5357F">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eastAsia" w:ascii="Times New Roman" w:hAnsi="Times New Roman" w:eastAsia="黑体" w:cs="Times New Roman"/>
                <w:snapToGrid w:val="0"/>
                <w:color w:val="auto"/>
                <w:sz w:val="24"/>
              </w:rPr>
            </w:pPr>
            <w:r>
              <w:rPr>
                <w:rFonts w:hint="eastAsia" w:ascii="Times New Roman" w:hAnsi="Times New Roman" w:eastAsia="宋体" w:cs="Times New Roman"/>
                <w:color w:val="auto"/>
                <w:kern w:val="2"/>
                <w:sz w:val="24"/>
                <w:szCs w:val="24"/>
                <w:lang w:val="en-US" w:eastAsia="zh-CN" w:bidi="ar-SA"/>
              </w:rPr>
              <w:t>照壁山水库水质监测及评价结果见表</w:t>
            </w:r>
            <w:r>
              <w:rPr>
                <w:rFonts w:hint="default"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p>
          <w:p w14:paraId="39143AB2">
            <w:pPr>
              <w:keepNext w:val="0"/>
              <w:keepLines w:val="0"/>
              <w:suppressLineNumbers w:val="0"/>
              <w:spacing w:before="0" w:beforeAutospacing="0" w:after="0" w:afterAutospacing="0"/>
              <w:ind w:left="0" w:right="0" w:firstLine="0" w:firstLineChars="0"/>
              <w:jc w:val="center"/>
              <w:rPr>
                <w:rFonts w:hint="default" w:ascii="Times New Roman" w:hAnsi="Times New Roman" w:eastAsia="黑体" w:cs="Times New Roman"/>
                <w:snapToGrid w:val="0"/>
                <w:color w:val="auto"/>
                <w:sz w:val="24"/>
              </w:rPr>
            </w:pPr>
            <w:r>
              <w:rPr>
                <w:rFonts w:hint="eastAsia" w:ascii="Times New Roman" w:hAnsi="Times New Roman" w:eastAsia="黑体" w:cs="Times New Roman"/>
                <w:snapToGrid w:val="0"/>
                <w:color w:val="auto"/>
                <w:sz w:val="24"/>
              </w:rPr>
              <w:t>表3</w:t>
            </w:r>
            <w:r>
              <w:rPr>
                <w:rFonts w:hint="default" w:ascii="Times New Roman" w:hAnsi="Times New Roman" w:eastAsia="黑体" w:cs="Times New Roman"/>
                <w:snapToGrid w:val="0"/>
                <w:color w:val="auto"/>
                <w:sz w:val="24"/>
              </w:rPr>
              <w:t>-</w:t>
            </w:r>
            <w:r>
              <w:rPr>
                <w:rFonts w:hint="eastAsia" w:eastAsia="黑体" w:cs="Times New Roman"/>
                <w:snapToGrid w:val="0"/>
                <w:color w:val="auto"/>
                <w:sz w:val="24"/>
                <w:lang w:val="en-US" w:eastAsia="zh-CN"/>
              </w:rPr>
              <w:t>4</w:t>
            </w:r>
            <w:r>
              <w:rPr>
                <w:rFonts w:hint="default" w:ascii="Times New Roman" w:hAnsi="Times New Roman" w:eastAsia="黑体" w:cs="Times New Roman"/>
                <w:snapToGrid w:val="0"/>
                <w:color w:val="auto"/>
                <w:sz w:val="24"/>
              </w:rPr>
              <w:t xml:space="preserve">  </w:t>
            </w:r>
            <w:r>
              <w:rPr>
                <w:rFonts w:hint="eastAsia" w:ascii="Times New Roman" w:hAnsi="Times New Roman" w:eastAsia="黑体" w:cs="Times New Roman"/>
                <w:snapToGrid w:val="0"/>
                <w:color w:val="auto"/>
                <w:sz w:val="24"/>
              </w:rPr>
              <w:t xml:space="preserve">地表水水质监测及评价结果  </w:t>
            </w:r>
            <w:r>
              <w:rPr>
                <w:rFonts w:hint="default" w:ascii="Times New Roman" w:hAnsi="Times New Roman" w:eastAsia="黑体" w:cs="Times New Roman"/>
                <w:snapToGrid w:val="0"/>
                <w:color w:val="auto"/>
                <w:sz w:val="24"/>
              </w:rPr>
              <w:t>单位：mg/L（pH无量纲）</w:t>
            </w:r>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1647"/>
              <w:gridCol w:w="974"/>
              <w:gridCol w:w="954"/>
              <w:gridCol w:w="961"/>
              <w:gridCol w:w="959"/>
              <w:gridCol w:w="986"/>
              <w:gridCol w:w="934"/>
              <w:gridCol w:w="981"/>
            </w:tblGrid>
            <w:tr w14:paraId="5BF42E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vMerge w:val="restart"/>
                  <w:noWrap w:val="0"/>
                  <w:vAlign w:val="center"/>
                </w:tcPr>
                <w:p w14:paraId="5297689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监测因子</w:t>
                  </w:r>
                </w:p>
              </w:tc>
              <w:tc>
                <w:tcPr>
                  <w:tcW w:w="1148" w:type="pct"/>
                  <w:gridSpan w:val="2"/>
                  <w:noWrap w:val="0"/>
                  <w:vAlign w:val="center"/>
                </w:tcPr>
                <w:p w14:paraId="1C940E6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3月2日</w:t>
                  </w:r>
                </w:p>
              </w:tc>
              <w:tc>
                <w:tcPr>
                  <w:tcW w:w="1143" w:type="pct"/>
                  <w:gridSpan w:val="2"/>
                  <w:noWrap w:val="0"/>
                  <w:vAlign w:val="center"/>
                </w:tcPr>
                <w:p w14:paraId="7DF69C4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3月3日</w:t>
                  </w:r>
                </w:p>
              </w:tc>
              <w:tc>
                <w:tcPr>
                  <w:tcW w:w="1143" w:type="pct"/>
                  <w:gridSpan w:val="2"/>
                  <w:noWrap w:val="0"/>
                  <w:vAlign w:val="center"/>
                </w:tcPr>
                <w:p w14:paraId="7DCDC2E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3月4日</w:t>
                  </w:r>
                </w:p>
              </w:tc>
              <w:tc>
                <w:tcPr>
                  <w:tcW w:w="584" w:type="pct"/>
                  <w:vMerge w:val="restart"/>
                  <w:noWrap w:val="0"/>
                  <w:vAlign w:val="center"/>
                </w:tcPr>
                <w:p w14:paraId="35CA3F84">
                  <w:pPr>
                    <w:keepNext w:val="0"/>
                    <w:keepLines w:val="0"/>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eastAsia="宋体" w:cs="Times New Roman"/>
                      <w:b/>
                      <w:bCs/>
                      <w:color w:val="auto"/>
                      <w:kern w:val="0"/>
                      <w:sz w:val="21"/>
                      <w:szCs w:val="21"/>
                    </w:rPr>
                    <w:t>标准限值</w:t>
                  </w:r>
                </w:p>
              </w:tc>
            </w:tr>
            <w:tr w14:paraId="7385A6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vMerge w:val="continue"/>
                  <w:noWrap w:val="0"/>
                  <w:vAlign w:val="center"/>
                </w:tcPr>
                <w:p w14:paraId="79E69AC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p>
              </w:tc>
              <w:tc>
                <w:tcPr>
                  <w:tcW w:w="580" w:type="pct"/>
                  <w:noWrap w:val="0"/>
                  <w:vAlign w:val="center"/>
                </w:tcPr>
                <w:p w14:paraId="05F4C4F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检测结果</w:t>
                  </w:r>
                </w:p>
              </w:tc>
              <w:tc>
                <w:tcPr>
                  <w:tcW w:w="568" w:type="pct"/>
                  <w:noWrap w:val="0"/>
                  <w:vAlign w:val="center"/>
                </w:tcPr>
                <w:p w14:paraId="413A74F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标准指数</w:t>
                  </w:r>
                </w:p>
              </w:tc>
              <w:tc>
                <w:tcPr>
                  <w:tcW w:w="572" w:type="pct"/>
                  <w:noWrap w:val="0"/>
                  <w:vAlign w:val="center"/>
                </w:tcPr>
                <w:p w14:paraId="1267F94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检测结果</w:t>
                  </w:r>
                </w:p>
              </w:tc>
              <w:tc>
                <w:tcPr>
                  <w:tcW w:w="571" w:type="pct"/>
                  <w:noWrap w:val="0"/>
                  <w:vAlign w:val="center"/>
                </w:tcPr>
                <w:p w14:paraId="684A52F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标准指数</w:t>
                  </w:r>
                </w:p>
              </w:tc>
              <w:tc>
                <w:tcPr>
                  <w:tcW w:w="587" w:type="pct"/>
                  <w:noWrap w:val="0"/>
                  <w:vAlign w:val="center"/>
                </w:tcPr>
                <w:p w14:paraId="7802179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检测结果</w:t>
                  </w:r>
                </w:p>
              </w:tc>
              <w:tc>
                <w:tcPr>
                  <w:tcW w:w="556" w:type="pct"/>
                  <w:noWrap w:val="0"/>
                  <w:vAlign w:val="center"/>
                </w:tcPr>
                <w:p w14:paraId="1E2D528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rPr>
                    <w:t>标准指数</w:t>
                  </w:r>
                </w:p>
              </w:tc>
              <w:tc>
                <w:tcPr>
                  <w:tcW w:w="584" w:type="pct"/>
                  <w:vMerge w:val="continue"/>
                  <w:noWrap w:val="0"/>
                  <w:vAlign w:val="center"/>
                </w:tcPr>
                <w:p w14:paraId="13BD363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b/>
                      <w:bCs/>
                      <w:color w:val="auto"/>
                      <w:kern w:val="0"/>
                      <w:sz w:val="21"/>
                      <w:szCs w:val="21"/>
                    </w:rPr>
                  </w:pPr>
                </w:p>
              </w:tc>
            </w:tr>
            <w:tr w14:paraId="06E6039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5DDA67C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pH</w:t>
                  </w:r>
                </w:p>
              </w:tc>
              <w:tc>
                <w:tcPr>
                  <w:tcW w:w="580" w:type="pct"/>
                  <w:noWrap w:val="0"/>
                  <w:vAlign w:val="center"/>
                </w:tcPr>
                <w:p w14:paraId="2DA4E0A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8.1</w:t>
                  </w:r>
                </w:p>
              </w:tc>
              <w:tc>
                <w:tcPr>
                  <w:tcW w:w="568" w:type="pct"/>
                  <w:noWrap w:val="0"/>
                  <w:vAlign w:val="center"/>
                </w:tcPr>
                <w:p w14:paraId="6BE843EC">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0.55</w:t>
                  </w:r>
                </w:p>
              </w:tc>
              <w:tc>
                <w:tcPr>
                  <w:tcW w:w="572" w:type="pct"/>
                  <w:noWrap w:val="0"/>
                  <w:vAlign w:val="center"/>
                </w:tcPr>
                <w:p w14:paraId="2C2AAC6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8.0</w:t>
                  </w:r>
                </w:p>
              </w:tc>
              <w:tc>
                <w:tcPr>
                  <w:tcW w:w="571" w:type="pct"/>
                  <w:noWrap w:val="0"/>
                  <w:vAlign w:val="center"/>
                </w:tcPr>
                <w:p w14:paraId="380EB724">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0.50</w:t>
                  </w:r>
                </w:p>
              </w:tc>
              <w:tc>
                <w:tcPr>
                  <w:tcW w:w="587" w:type="pct"/>
                  <w:noWrap w:val="0"/>
                  <w:vAlign w:val="center"/>
                </w:tcPr>
                <w:p w14:paraId="5D112FA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8.2 </w:t>
                  </w:r>
                </w:p>
              </w:tc>
              <w:tc>
                <w:tcPr>
                  <w:tcW w:w="556" w:type="pct"/>
                  <w:noWrap w:val="0"/>
                  <w:vAlign w:val="center"/>
                </w:tcPr>
                <w:p w14:paraId="357DC6D3">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0.60</w:t>
                  </w:r>
                </w:p>
              </w:tc>
              <w:tc>
                <w:tcPr>
                  <w:tcW w:w="584" w:type="pct"/>
                  <w:noWrap w:val="0"/>
                  <w:vAlign w:val="center"/>
                </w:tcPr>
                <w:p w14:paraId="59C1D39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6-9</w:t>
                  </w:r>
                </w:p>
              </w:tc>
            </w:tr>
            <w:tr w14:paraId="2337BF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7DE20E4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高锰酸盐指数</w:t>
                  </w:r>
                </w:p>
              </w:tc>
              <w:tc>
                <w:tcPr>
                  <w:tcW w:w="580" w:type="pct"/>
                  <w:noWrap w:val="0"/>
                  <w:vAlign w:val="center"/>
                </w:tcPr>
                <w:p w14:paraId="53711E5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2.75 </w:t>
                  </w:r>
                </w:p>
              </w:tc>
              <w:tc>
                <w:tcPr>
                  <w:tcW w:w="568" w:type="pct"/>
                  <w:noWrap w:val="0"/>
                  <w:vAlign w:val="center"/>
                </w:tcPr>
                <w:p w14:paraId="52EB22F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0.46</w:t>
                  </w:r>
                </w:p>
              </w:tc>
              <w:tc>
                <w:tcPr>
                  <w:tcW w:w="572" w:type="pct"/>
                  <w:noWrap w:val="0"/>
                  <w:vAlign w:val="center"/>
                </w:tcPr>
                <w:p w14:paraId="4253217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2.85</w:t>
                  </w:r>
                </w:p>
              </w:tc>
              <w:tc>
                <w:tcPr>
                  <w:tcW w:w="571" w:type="pct"/>
                  <w:noWrap w:val="0"/>
                  <w:vAlign w:val="center"/>
                </w:tcPr>
                <w:p w14:paraId="7F4E1D3D">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0.48</w:t>
                  </w:r>
                </w:p>
              </w:tc>
              <w:tc>
                <w:tcPr>
                  <w:tcW w:w="587" w:type="pct"/>
                  <w:noWrap w:val="0"/>
                  <w:vAlign w:val="center"/>
                </w:tcPr>
                <w:p w14:paraId="7855D02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2.67</w:t>
                  </w:r>
                </w:p>
              </w:tc>
              <w:tc>
                <w:tcPr>
                  <w:tcW w:w="556" w:type="pct"/>
                  <w:noWrap w:val="0"/>
                  <w:vAlign w:val="center"/>
                </w:tcPr>
                <w:p w14:paraId="620F3565">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0.45</w:t>
                  </w:r>
                </w:p>
              </w:tc>
              <w:tc>
                <w:tcPr>
                  <w:tcW w:w="584" w:type="pct"/>
                  <w:noWrap w:val="0"/>
                  <w:vAlign w:val="center"/>
                </w:tcPr>
                <w:p w14:paraId="664829C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≤6</w:t>
                  </w:r>
                </w:p>
              </w:tc>
            </w:tr>
            <w:tr w14:paraId="25E02A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7B0E39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化学需氧量</w:t>
                  </w:r>
                </w:p>
              </w:tc>
              <w:tc>
                <w:tcPr>
                  <w:tcW w:w="580" w:type="pct"/>
                  <w:noWrap w:val="0"/>
                  <w:vAlign w:val="center"/>
                </w:tcPr>
                <w:p w14:paraId="3DDDDDA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13 </w:t>
                  </w:r>
                </w:p>
              </w:tc>
              <w:tc>
                <w:tcPr>
                  <w:tcW w:w="568" w:type="pct"/>
                  <w:noWrap w:val="0"/>
                  <w:vAlign w:val="center"/>
                </w:tcPr>
                <w:p w14:paraId="5A557DD3">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0.65</w:t>
                  </w:r>
                </w:p>
              </w:tc>
              <w:tc>
                <w:tcPr>
                  <w:tcW w:w="572" w:type="pct"/>
                  <w:noWrap w:val="0"/>
                  <w:vAlign w:val="center"/>
                </w:tcPr>
                <w:p w14:paraId="67C8507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w:t>
                  </w:r>
                </w:p>
              </w:tc>
              <w:tc>
                <w:tcPr>
                  <w:tcW w:w="571" w:type="pct"/>
                  <w:noWrap w:val="0"/>
                  <w:vAlign w:val="center"/>
                </w:tcPr>
                <w:p w14:paraId="39EB862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0.55</w:t>
                  </w:r>
                </w:p>
              </w:tc>
              <w:tc>
                <w:tcPr>
                  <w:tcW w:w="587" w:type="pct"/>
                  <w:noWrap w:val="0"/>
                  <w:vAlign w:val="center"/>
                </w:tcPr>
                <w:p w14:paraId="7D78BDD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w:t>
                  </w:r>
                </w:p>
              </w:tc>
              <w:tc>
                <w:tcPr>
                  <w:tcW w:w="556" w:type="pct"/>
                  <w:noWrap w:val="0"/>
                  <w:vAlign w:val="center"/>
                </w:tcPr>
                <w:p w14:paraId="7AF2DE6E">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0.60</w:t>
                  </w:r>
                </w:p>
              </w:tc>
              <w:tc>
                <w:tcPr>
                  <w:tcW w:w="584" w:type="pct"/>
                  <w:noWrap w:val="0"/>
                  <w:vAlign w:val="center"/>
                </w:tcPr>
                <w:p w14:paraId="3771013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≤20</w:t>
                  </w:r>
                </w:p>
              </w:tc>
            </w:tr>
            <w:tr w14:paraId="16EFE6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44201D5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溶解氧</w:t>
                  </w:r>
                </w:p>
              </w:tc>
              <w:tc>
                <w:tcPr>
                  <w:tcW w:w="580" w:type="pct"/>
                  <w:noWrap w:val="0"/>
                  <w:vAlign w:val="center"/>
                </w:tcPr>
                <w:p w14:paraId="2C73A48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5.80</w:t>
                  </w:r>
                </w:p>
              </w:tc>
              <w:tc>
                <w:tcPr>
                  <w:tcW w:w="568" w:type="pct"/>
                  <w:noWrap w:val="0"/>
                  <w:vAlign w:val="center"/>
                </w:tcPr>
                <w:p w14:paraId="6FF4A627">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0.80</w:t>
                  </w:r>
                </w:p>
              </w:tc>
              <w:tc>
                <w:tcPr>
                  <w:tcW w:w="572" w:type="pct"/>
                  <w:noWrap w:val="0"/>
                  <w:vAlign w:val="center"/>
                </w:tcPr>
                <w:p w14:paraId="36AE7A6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5.62</w:t>
                  </w:r>
                </w:p>
              </w:tc>
              <w:tc>
                <w:tcPr>
                  <w:tcW w:w="571" w:type="pct"/>
                  <w:noWrap w:val="0"/>
                  <w:vAlign w:val="center"/>
                </w:tcPr>
                <w:p w14:paraId="550A2371">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0.85</w:t>
                  </w:r>
                </w:p>
              </w:tc>
              <w:tc>
                <w:tcPr>
                  <w:tcW w:w="587" w:type="pct"/>
                  <w:noWrap w:val="0"/>
                  <w:vAlign w:val="center"/>
                </w:tcPr>
                <w:p w14:paraId="386D678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5.72</w:t>
                  </w:r>
                </w:p>
              </w:tc>
              <w:tc>
                <w:tcPr>
                  <w:tcW w:w="556" w:type="pct"/>
                  <w:noWrap w:val="0"/>
                  <w:vAlign w:val="center"/>
                </w:tcPr>
                <w:p w14:paraId="548DD962">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0.82</w:t>
                  </w:r>
                </w:p>
              </w:tc>
              <w:tc>
                <w:tcPr>
                  <w:tcW w:w="584" w:type="pct"/>
                  <w:noWrap w:val="0"/>
                  <w:vAlign w:val="center"/>
                </w:tcPr>
                <w:p w14:paraId="70FCB5A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w:t>
                  </w:r>
                </w:p>
              </w:tc>
            </w:tr>
            <w:tr w14:paraId="643DFE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7BEFC7F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五日生化需氧量</w:t>
                  </w:r>
                </w:p>
              </w:tc>
              <w:tc>
                <w:tcPr>
                  <w:tcW w:w="580" w:type="pct"/>
                  <w:noWrap w:val="0"/>
                  <w:vAlign w:val="center"/>
                </w:tcPr>
                <w:p w14:paraId="0AFDADD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3.8</w:t>
                  </w:r>
                </w:p>
              </w:tc>
              <w:tc>
                <w:tcPr>
                  <w:tcW w:w="568" w:type="pct"/>
                  <w:noWrap w:val="0"/>
                  <w:vAlign w:val="center"/>
                </w:tcPr>
                <w:p w14:paraId="23BA584D">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0.95</w:t>
                  </w:r>
                </w:p>
              </w:tc>
              <w:tc>
                <w:tcPr>
                  <w:tcW w:w="572" w:type="pct"/>
                  <w:noWrap w:val="0"/>
                  <w:vAlign w:val="center"/>
                </w:tcPr>
                <w:p w14:paraId="4555B19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3.2</w:t>
                  </w:r>
                </w:p>
              </w:tc>
              <w:tc>
                <w:tcPr>
                  <w:tcW w:w="571" w:type="pct"/>
                  <w:noWrap w:val="0"/>
                  <w:vAlign w:val="center"/>
                </w:tcPr>
                <w:p w14:paraId="5587E591">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0.80</w:t>
                  </w:r>
                </w:p>
              </w:tc>
              <w:tc>
                <w:tcPr>
                  <w:tcW w:w="587" w:type="pct"/>
                  <w:noWrap w:val="0"/>
                  <w:vAlign w:val="center"/>
                </w:tcPr>
                <w:p w14:paraId="42AAAC6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3.5</w:t>
                  </w:r>
                </w:p>
              </w:tc>
              <w:tc>
                <w:tcPr>
                  <w:tcW w:w="556" w:type="pct"/>
                  <w:noWrap w:val="0"/>
                  <w:vAlign w:val="center"/>
                </w:tcPr>
                <w:p w14:paraId="48FAF26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0.88</w:t>
                  </w:r>
                </w:p>
              </w:tc>
              <w:tc>
                <w:tcPr>
                  <w:tcW w:w="584" w:type="pct"/>
                  <w:noWrap w:val="0"/>
                  <w:vAlign w:val="center"/>
                </w:tcPr>
                <w:p w14:paraId="1FEF1F0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w:t>
                  </w:r>
                </w:p>
              </w:tc>
            </w:tr>
            <w:tr w14:paraId="0AA96B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7E85266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氨氮</w:t>
                  </w:r>
                </w:p>
              </w:tc>
              <w:tc>
                <w:tcPr>
                  <w:tcW w:w="580" w:type="pct"/>
                  <w:noWrap w:val="0"/>
                  <w:vAlign w:val="center"/>
                </w:tcPr>
                <w:p w14:paraId="40BDBA5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0.30</w:t>
                  </w:r>
                </w:p>
              </w:tc>
              <w:tc>
                <w:tcPr>
                  <w:tcW w:w="568" w:type="pct"/>
                  <w:noWrap w:val="0"/>
                  <w:vAlign w:val="center"/>
                </w:tcPr>
                <w:p w14:paraId="042854B8">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0.30</w:t>
                  </w:r>
                </w:p>
              </w:tc>
              <w:tc>
                <w:tcPr>
                  <w:tcW w:w="572" w:type="pct"/>
                  <w:noWrap w:val="0"/>
                  <w:vAlign w:val="center"/>
                </w:tcPr>
                <w:p w14:paraId="7E40311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0.27</w:t>
                  </w:r>
                </w:p>
              </w:tc>
              <w:tc>
                <w:tcPr>
                  <w:tcW w:w="571" w:type="pct"/>
                  <w:noWrap w:val="0"/>
                  <w:vAlign w:val="center"/>
                </w:tcPr>
                <w:p w14:paraId="2FE473CE">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0.27</w:t>
                  </w:r>
                </w:p>
              </w:tc>
              <w:tc>
                <w:tcPr>
                  <w:tcW w:w="587" w:type="pct"/>
                  <w:noWrap w:val="0"/>
                  <w:vAlign w:val="center"/>
                </w:tcPr>
                <w:p w14:paraId="0BA4485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0.31</w:t>
                  </w:r>
                </w:p>
              </w:tc>
              <w:tc>
                <w:tcPr>
                  <w:tcW w:w="556" w:type="pct"/>
                  <w:noWrap w:val="0"/>
                  <w:vAlign w:val="center"/>
                </w:tcPr>
                <w:p w14:paraId="76223F22">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0.31</w:t>
                  </w:r>
                </w:p>
              </w:tc>
              <w:tc>
                <w:tcPr>
                  <w:tcW w:w="584" w:type="pct"/>
                  <w:noWrap w:val="0"/>
                  <w:vAlign w:val="center"/>
                </w:tcPr>
                <w:p w14:paraId="55A5859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r>
            <w:tr w14:paraId="075AB5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55D68E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总磷</w:t>
                  </w:r>
                </w:p>
              </w:tc>
              <w:tc>
                <w:tcPr>
                  <w:tcW w:w="580" w:type="pct"/>
                  <w:noWrap w:val="0"/>
                  <w:vAlign w:val="center"/>
                </w:tcPr>
                <w:p w14:paraId="31005CE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0.049 </w:t>
                  </w:r>
                </w:p>
              </w:tc>
              <w:tc>
                <w:tcPr>
                  <w:tcW w:w="568" w:type="pct"/>
                  <w:noWrap w:val="0"/>
                  <w:vAlign w:val="center"/>
                </w:tcPr>
                <w:p w14:paraId="25B26F4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0.25</w:t>
                  </w:r>
                </w:p>
              </w:tc>
              <w:tc>
                <w:tcPr>
                  <w:tcW w:w="572" w:type="pct"/>
                  <w:noWrap w:val="0"/>
                  <w:vAlign w:val="center"/>
                </w:tcPr>
                <w:p w14:paraId="081189F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0.041</w:t>
                  </w:r>
                </w:p>
              </w:tc>
              <w:tc>
                <w:tcPr>
                  <w:tcW w:w="571" w:type="pct"/>
                  <w:noWrap w:val="0"/>
                  <w:vAlign w:val="center"/>
                </w:tcPr>
                <w:p w14:paraId="25F5248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0.21</w:t>
                  </w:r>
                </w:p>
              </w:tc>
              <w:tc>
                <w:tcPr>
                  <w:tcW w:w="587" w:type="pct"/>
                  <w:noWrap w:val="0"/>
                  <w:vAlign w:val="center"/>
                </w:tcPr>
                <w:p w14:paraId="72D1081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0.034</w:t>
                  </w:r>
                </w:p>
              </w:tc>
              <w:tc>
                <w:tcPr>
                  <w:tcW w:w="556" w:type="pct"/>
                  <w:noWrap w:val="0"/>
                  <w:vAlign w:val="center"/>
                </w:tcPr>
                <w:p w14:paraId="1DE9D58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0.17</w:t>
                  </w:r>
                </w:p>
              </w:tc>
              <w:tc>
                <w:tcPr>
                  <w:tcW w:w="584" w:type="pct"/>
                  <w:noWrap w:val="0"/>
                  <w:vAlign w:val="center"/>
                </w:tcPr>
                <w:p w14:paraId="25AE6E2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r>
            <w:tr w14:paraId="2D2A48B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102CBF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氟化物</w:t>
                  </w:r>
                </w:p>
              </w:tc>
              <w:tc>
                <w:tcPr>
                  <w:tcW w:w="580" w:type="pct"/>
                  <w:noWrap w:val="0"/>
                  <w:vAlign w:val="center"/>
                </w:tcPr>
                <w:p w14:paraId="34F4D96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0.51</w:t>
                  </w:r>
                </w:p>
              </w:tc>
              <w:tc>
                <w:tcPr>
                  <w:tcW w:w="568" w:type="pct"/>
                  <w:noWrap w:val="0"/>
                  <w:vAlign w:val="center"/>
                </w:tcPr>
                <w:p w14:paraId="25AE875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0.51</w:t>
                  </w:r>
                </w:p>
              </w:tc>
              <w:tc>
                <w:tcPr>
                  <w:tcW w:w="572" w:type="pct"/>
                  <w:noWrap w:val="0"/>
                  <w:vAlign w:val="center"/>
                </w:tcPr>
                <w:p w14:paraId="520CEC6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0.54</w:t>
                  </w:r>
                </w:p>
              </w:tc>
              <w:tc>
                <w:tcPr>
                  <w:tcW w:w="571" w:type="pct"/>
                  <w:noWrap w:val="0"/>
                  <w:vAlign w:val="center"/>
                </w:tcPr>
                <w:p w14:paraId="50DC7F4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0.54</w:t>
                  </w:r>
                </w:p>
              </w:tc>
              <w:tc>
                <w:tcPr>
                  <w:tcW w:w="587" w:type="pct"/>
                  <w:noWrap w:val="0"/>
                  <w:vAlign w:val="center"/>
                </w:tcPr>
                <w:p w14:paraId="2BD1158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0.57</w:t>
                  </w:r>
                </w:p>
              </w:tc>
              <w:tc>
                <w:tcPr>
                  <w:tcW w:w="556" w:type="pct"/>
                  <w:noWrap w:val="0"/>
                  <w:vAlign w:val="center"/>
                </w:tcPr>
                <w:p w14:paraId="55DCB00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0.57</w:t>
                  </w:r>
                </w:p>
              </w:tc>
              <w:tc>
                <w:tcPr>
                  <w:tcW w:w="584" w:type="pct"/>
                  <w:noWrap w:val="0"/>
                  <w:vAlign w:val="center"/>
                </w:tcPr>
                <w:p w14:paraId="3399CC8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r>
            <w:tr w14:paraId="2BE6F1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AE792E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六价铬</w:t>
                  </w:r>
                </w:p>
              </w:tc>
              <w:tc>
                <w:tcPr>
                  <w:tcW w:w="580" w:type="pct"/>
                  <w:noWrap w:val="0"/>
                  <w:vAlign w:val="center"/>
                </w:tcPr>
                <w:p w14:paraId="21D53B1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0.004L</w:t>
                  </w:r>
                </w:p>
              </w:tc>
              <w:tc>
                <w:tcPr>
                  <w:tcW w:w="568" w:type="pct"/>
                  <w:noWrap w:val="0"/>
                  <w:vAlign w:val="center"/>
                </w:tcPr>
                <w:p w14:paraId="3DCF8809">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w:t>
                  </w:r>
                </w:p>
              </w:tc>
              <w:tc>
                <w:tcPr>
                  <w:tcW w:w="572" w:type="pct"/>
                  <w:noWrap w:val="0"/>
                  <w:vAlign w:val="center"/>
                </w:tcPr>
                <w:p w14:paraId="06CE2C7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0.004L</w:t>
                  </w:r>
                </w:p>
              </w:tc>
              <w:tc>
                <w:tcPr>
                  <w:tcW w:w="571" w:type="pct"/>
                  <w:noWrap w:val="0"/>
                  <w:vAlign w:val="center"/>
                </w:tcPr>
                <w:p w14:paraId="2B71C1F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w:t>
                  </w:r>
                </w:p>
              </w:tc>
              <w:tc>
                <w:tcPr>
                  <w:tcW w:w="587" w:type="pct"/>
                  <w:noWrap w:val="0"/>
                  <w:vAlign w:val="center"/>
                </w:tcPr>
                <w:p w14:paraId="765DA8E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0.004L</w:t>
                  </w:r>
                </w:p>
              </w:tc>
              <w:tc>
                <w:tcPr>
                  <w:tcW w:w="556" w:type="pct"/>
                  <w:noWrap w:val="0"/>
                  <w:vAlign w:val="center"/>
                </w:tcPr>
                <w:p w14:paraId="21A65ADA">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w:t>
                  </w:r>
                </w:p>
              </w:tc>
              <w:tc>
                <w:tcPr>
                  <w:tcW w:w="584" w:type="pct"/>
                  <w:noWrap w:val="0"/>
                  <w:vAlign w:val="center"/>
                </w:tcPr>
                <w:p w14:paraId="785297E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73CEF8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E90093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挥发酚</w:t>
                  </w:r>
                </w:p>
              </w:tc>
              <w:tc>
                <w:tcPr>
                  <w:tcW w:w="580" w:type="pct"/>
                  <w:noWrap w:val="0"/>
                  <w:vAlign w:val="center"/>
                </w:tcPr>
                <w:p w14:paraId="5A1C8B4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0.0003L</w:t>
                  </w:r>
                </w:p>
              </w:tc>
              <w:tc>
                <w:tcPr>
                  <w:tcW w:w="568" w:type="pct"/>
                  <w:noWrap w:val="0"/>
                  <w:vAlign w:val="center"/>
                </w:tcPr>
                <w:p w14:paraId="1D1760CE">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72" w:type="pct"/>
                  <w:noWrap w:val="0"/>
                  <w:vAlign w:val="center"/>
                </w:tcPr>
                <w:p w14:paraId="308C7A0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0.0003L</w:t>
                  </w:r>
                </w:p>
              </w:tc>
              <w:tc>
                <w:tcPr>
                  <w:tcW w:w="571" w:type="pct"/>
                  <w:noWrap w:val="0"/>
                  <w:vAlign w:val="center"/>
                </w:tcPr>
                <w:p w14:paraId="5D423E9D">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7" w:type="pct"/>
                  <w:noWrap w:val="0"/>
                  <w:vAlign w:val="center"/>
                </w:tcPr>
                <w:p w14:paraId="0B072D2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0.0003L</w:t>
                  </w:r>
                </w:p>
              </w:tc>
              <w:tc>
                <w:tcPr>
                  <w:tcW w:w="556" w:type="pct"/>
                  <w:noWrap w:val="0"/>
                  <w:vAlign w:val="center"/>
                </w:tcPr>
                <w:p w14:paraId="1D87B1F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4" w:type="pct"/>
                  <w:noWrap w:val="0"/>
                  <w:vAlign w:val="center"/>
                </w:tcPr>
                <w:p w14:paraId="454EDFF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≤0.005</w:t>
                  </w:r>
                </w:p>
              </w:tc>
            </w:tr>
            <w:tr w14:paraId="34A5E96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1C7DF6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氰化物</w:t>
                  </w:r>
                </w:p>
              </w:tc>
              <w:tc>
                <w:tcPr>
                  <w:tcW w:w="580" w:type="pct"/>
                  <w:noWrap w:val="0"/>
                  <w:vAlign w:val="center"/>
                </w:tcPr>
                <w:p w14:paraId="1766883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68" w:type="pct"/>
                  <w:noWrap w:val="0"/>
                  <w:vAlign w:val="center"/>
                </w:tcPr>
                <w:p w14:paraId="7C3EB1A8">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0.0025</w:t>
                  </w:r>
                </w:p>
              </w:tc>
              <w:tc>
                <w:tcPr>
                  <w:tcW w:w="572" w:type="pct"/>
                  <w:noWrap w:val="0"/>
                  <w:vAlign w:val="center"/>
                </w:tcPr>
                <w:p w14:paraId="0595DC5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71" w:type="pct"/>
                  <w:noWrap w:val="0"/>
                  <w:vAlign w:val="center"/>
                </w:tcPr>
                <w:p w14:paraId="31F41D4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0.0025</w:t>
                  </w:r>
                </w:p>
              </w:tc>
              <w:tc>
                <w:tcPr>
                  <w:tcW w:w="587" w:type="pct"/>
                  <w:noWrap w:val="0"/>
                  <w:vAlign w:val="center"/>
                </w:tcPr>
                <w:p w14:paraId="0D57C10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56" w:type="pct"/>
                  <w:noWrap w:val="0"/>
                  <w:vAlign w:val="center"/>
                </w:tcPr>
                <w:p w14:paraId="6EFE99F5">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0.0025</w:t>
                  </w:r>
                </w:p>
              </w:tc>
              <w:tc>
                <w:tcPr>
                  <w:tcW w:w="584" w:type="pct"/>
                  <w:noWrap w:val="0"/>
                  <w:vAlign w:val="center"/>
                </w:tcPr>
                <w:p w14:paraId="12BDD67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r>
            <w:tr w14:paraId="21F3A4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044BAAB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石油类</w:t>
                  </w:r>
                </w:p>
              </w:tc>
              <w:tc>
                <w:tcPr>
                  <w:tcW w:w="580" w:type="pct"/>
                  <w:noWrap w:val="0"/>
                  <w:vAlign w:val="center"/>
                </w:tcPr>
                <w:p w14:paraId="3164A67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68" w:type="pct"/>
                  <w:noWrap w:val="0"/>
                  <w:vAlign w:val="center"/>
                </w:tcPr>
                <w:p w14:paraId="6DAA49CC">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72" w:type="pct"/>
                  <w:noWrap w:val="0"/>
                  <w:vAlign w:val="center"/>
                </w:tcPr>
                <w:p w14:paraId="35A9CCC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71" w:type="pct"/>
                  <w:noWrap w:val="0"/>
                  <w:vAlign w:val="center"/>
                </w:tcPr>
                <w:p w14:paraId="0E7D396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7" w:type="pct"/>
                  <w:noWrap w:val="0"/>
                  <w:vAlign w:val="center"/>
                </w:tcPr>
                <w:p w14:paraId="74A4550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56" w:type="pct"/>
                  <w:noWrap w:val="0"/>
                  <w:vAlign w:val="center"/>
                </w:tcPr>
                <w:p w14:paraId="4F32B6A0">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4" w:type="pct"/>
                  <w:noWrap w:val="0"/>
                  <w:vAlign w:val="center"/>
                </w:tcPr>
                <w:p w14:paraId="3B7EF66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5B08D5B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6E41EB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硫化物</w:t>
                  </w:r>
                </w:p>
              </w:tc>
              <w:tc>
                <w:tcPr>
                  <w:tcW w:w="580" w:type="pct"/>
                  <w:noWrap w:val="0"/>
                  <w:vAlign w:val="center"/>
                </w:tcPr>
                <w:p w14:paraId="1F4B793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68" w:type="pct"/>
                  <w:noWrap w:val="0"/>
                  <w:vAlign w:val="center"/>
                </w:tcPr>
                <w:p w14:paraId="5801F0C2">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72" w:type="pct"/>
                  <w:noWrap w:val="0"/>
                  <w:vAlign w:val="center"/>
                </w:tcPr>
                <w:p w14:paraId="3E92B63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71" w:type="pct"/>
                  <w:noWrap w:val="0"/>
                  <w:vAlign w:val="center"/>
                </w:tcPr>
                <w:p w14:paraId="69332AF1">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7" w:type="pct"/>
                  <w:noWrap w:val="0"/>
                  <w:vAlign w:val="center"/>
                </w:tcPr>
                <w:p w14:paraId="314DE07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56" w:type="pct"/>
                  <w:noWrap w:val="0"/>
                  <w:vAlign w:val="center"/>
                </w:tcPr>
                <w:p w14:paraId="13581F29">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4" w:type="pct"/>
                  <w:noWrap w:val="0"/>
                  <w:vAlign w:val="center"/>
                </w:tcPr>
                <w:p w14:paraId="798B7CD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r>
            <w:tr w14:paraId="28C4C36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0E5B4A3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阴离子表面活性剂</w:t>
                  </w:r>
                </w:p>
              </w:tc>
              <w:tc>
                <w:tcPr>
                  <w:tcW w:w="580" w:type="pct"/>
                  <w:noWrap w:val="0"/>
                  <w:vAlign w:val="center"/>
                </w:tcPr>
                <w:p w14:paraId="2BCE379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0.065 </w:t>
                  </w:r>
                </w:p>
              </w:tc>
              <w:tc>
                <w:tcPr>
                  <w:tcW w:w="568" w:type="pct"/>
                  <w:noWrap w:val="0"/>
                  <w:vAlign w:val="center"/>
                </w:tcPr>
                <w:p w14:paraId="7BC3426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0.33</w:t>
                  </w:r>
                </w:p>
              </w:tc>
              <w:tc>
                <w:tcPr>
                  <w:tcW w:w="572" w:type="pct"/>
                  <w:noWrap w:val="0"/>
                  <w:vAlign w:val="center"/>
                </w:tcPr>
                <w:p w14:paraId="5889688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0.054</w:t>
                  </w:r>
                </w:p>
              </w:tc>
              <w:tc>
                <w:tcPr>
                  <w:tcW w:w="571" w:type="pct"/>
                  <w:noWrap w:val="0"/>
                  <w:vAlign w:val="center"/>
                </w:tcPr>
                <w:p w14:paraId="4D3C8700">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0.27</w:t>
                  </w:r>
                </w:p>
              </w:tc>
              <w:tc>
                <w:tcPr>
                  <w:tcW w:w="587" w:type="pct"/>
                  <w:noWrap w:val="0"/>
                  <w:vAlign w:val="center"/>
                </w:tcPr>
                <w:p w14:paraId="69F2F6D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0.074</w:t>
                  </w:r>
                </w:p>
              </w:tc>
              <w:tc>
                <w:tcPr>
                  <w:tcW w:w="556" w:type="pct"/>
                  <w:noWrap w:val="0"/>
                  <w:vAlign w:val="center"/>
                </w:tcPr>
                <w:p w14:paraId="6DDB1EE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0.37</w:t>
                  </w:r>
                </w:p>
              </w:tc>
              <w:tc>
                <w:tcPr>
                  <w:tcW w:w="584" w:type="pct"/>
                  <w:noWrap w:val="0"/>
                  <w:vAlign w:val="center"/>
                </w:tcPr>
                <w:p w14:paraId="7A73037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w:t>
                  </w:r>
                </w:p>
              </w:tc>
            </w:tr>
            <w:tr w14:paraId="693958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18DD56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氯化物（以Cl-计）</w:t>
                  </w:r>
                </w:p>
              </w:tc>
              <w:tc>
                <w:tcPr>
                  <w:tcW w:w="580" w:type="pct"/>
                  <w:noWrap w:val="0"/>
                  <w:vAlign w:val="center"/>
                </w:tcPr>
                <w:p w14:paraId="677B698C">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102 </w:t>
                  </w:r>
                </w:p>
              </w:tc>
              <w:tc>
                <w:tcPr>
                  <w:tcW w:w="568" w:type="pct"/>
                  <w:noWrap w:val="0"/>
                  <w:vAlign w:val="center"/>
                </w:tcPr>
                <w:p w14:paraId="011E75AA">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0.41</w:t>
                  </w:r>
                </w:p>
              </w:tc>
              <w:tc>
                <w:tcPr>
                  <w:tcW w:w="572" w:type="pct"/>
                  <w:noWrap w:val="0"/>
                  <w:vAlign w:val="center"/>
                </w:tcPr>
                <w:p w14:paraId="17F3D5C0">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114</w:t>
                  </w:r>
                </w:p>
              </w:tc>
              <w:tc>
                <w:tcPr>
                  <w:tcW w:w="571" w:type="pct"/>
                  <w:noWrap w:val="0"/>
                  <w:vAlign w:val="center"/>
                </w:tcPr>
                <w:p w14:paraId="6F71D552">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0.46</w:t>
                  </w:r>
                </w:p>
              </w:tc>
              <w:tc>
                <w:tcPr>
                  <w:tcW w:w="587" w:type="pct"/>
                  <w:noWrap w:val="0"/>
                  <w:vAlign w:val="center"/>
                </w:tcPr>
                <w:p w14:paraId="18D92BCE">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128</w:t>
                  </w:r>
                </w:p>
              </w:tc>
              <w:tc>
                <w:tcPr>
                  <w:tcW w:w="556" w:type="pct"/>
                  <w:noWrap w:val="0"/>
                  <w:vAlign w:val="center"/>
                </w:tcPr>
                <w:p w14:paraId="42483033">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0.51</w:t>
                  </w:r>
                </w:p>
              </w:tc>
              <w:tc>
                <w:tcPr>
                  <w:tcW w:w="584" w:type="pct"/>
                  <w:noWrap w:val="0"/>
                  <w:vAlign w:val="center"/>
                </w:tcPr>
                <w:p w14:paraId="5C42246A">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≤250</w:t>
                  </w:r>
                </w:p>
              </w:tc>
            </w:tr>
            <w:tr w14:paraId="77F568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14FCC1C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硫酸盐</w:t>
                  </w:r>
                </w:p>
              </w:tc>
              <w:tc>
                <w:tcPr>
                  <w:tcW w:w="580" w:type="pct"/>
                  <w:noWrap w:val="0"/>
                  <w:vAlign w:val="center"/>
                </w:tcPr>
                <w:p w14:paraId="41596343">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 xml:space="preserve">111 </w:t>
                  </w:r>
                </w:p>
              </w:tc>
              <w:tc>
                <w:tcPr>
                  <w:tcW w:w="568" w:type="pct"/>
                  <w:noWrap w:val="0"/>
                  <w:vAlign w:val="center"/>
                </w:tcPr>
                <w:p w14:paraId="09D82202">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0.44</w:t>
                  </w:r>
                </w:p>
              </w:tc>
              <w:tc>
                <w:tcPr>
                  <w:tcW w:w="572" w:type="pct"/>
                  <w:noWrap w:val="0"/>
                  <w:vAlign w:val="center"/>
                </w:tcPr>
                <w:p w14:paraId="41134B09">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124</w:t>
                  </w:r>
                </w:p>
              </w:tc>
              <w:tc>
                <w:tcPr>
                  <w:tcW w:w="571" w:type="pct"/>
                  <w:noWrap w:val="0"/>
                  <w:vAlign w:val="center"/>
                </w:tcPr>
                <w:p w14:paraId="2902276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0.50</w:t>
                  </w:r>
                </w:p>
              </w:tc>
              <w:tc>
                <w:tcPr>
                  <w:tcW w:w="587" w:type="pct"/>
                  <w:noWrap w:val="0"/>
                  <w:vAlign w:val="center"/>
                </w:tcPr>
                <w:p w14:paraId="6489200E">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103</w:t>
                  </w:r>
                </w:p>
              </w:tc>
              <w:tc>
                <w:tcPr>
                  <w:tcW w:w="556" w:type="pct"/>
                  <w:noWrap w:val="0"/>
                  <w:vAlign w:val="center"/>
                </w:tcPr>
                <w:p w14:paraId="264C1D70">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0.41</w:t>
                  </w:r>
                </w:p>
              </w:tc>
              <w:tc>
                <w:tcPr>
                  <w:tcW w:w="584" w:type="pct"/>
                  <w:noWrap w:val="0"/>
                  <w:vAlign w:val="center"/>
                </w:tcPr>
                <w:p w14:paraId="77A572B4">
                  <w:pPr>
                    <w:keepNext w:val="0"/>
                    <w:keepLines w:val="0"/>
                    <w:widowControl/>
                    <w:suppressLineNumbers w:val="0"/>
                    <w:adjustRightInd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≤250</w:t>
                  </w:r>
                </w:p>
              </w:tc>
            </w:tr>
            <w:tr w14:paraId="2E0ABD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DD10AB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铁</w:t>
                  </w:r>
                </w:p>
              </w:tc>
              <w:tc>
                <w:tcPr>
                  <w:tcW w:w="580" w:type="pct"/>
                  <w:noWrap w:val="0"/>
                  <w:vAlign w:val="center"/>
                </w:tcPr>
                <w:p w14:paraId="2796731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68" w:type="pct"/>
                  <w:noWrap w:val="0"/>
                  <w:vAlign w:val="center"/>
                </w:tcPr>
                <w:p w14:paraId="6B055368">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0.17</w:t>
                  </w:r>
                </w:p>
              </w:tc>
              <w:tc>
                <w:tcPr>
                  <w:tcW w:w="572" w:type="pct"/>
                  <w:noWrap w:val="0"/>
                  <w:vAlign w:val="center"/>
                </w:tcPr>
                <w:p w14:paraId="6620F43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71" w:type="pct"/>
                  <w:noWrap w:val="0"/>
                  <w:vAlign w:val="center"/>
                </w:tcPr>
                <w:p w14:paraId="5CB28227">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0.17</w:t>
                  </w:r>
                </w:p>
              </w:tc>
              <w:tc>
                <w:tcPr>
                  <w:tcW w:w="587" w:type="pct"/>
                  <w:noWrap w:val="0"/>
                  <w:vAlign w:val="center"/>
                </w:tcPr>
                <w:p w14:paraId="37CC66F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56" w:type="pct"/>
                  <w:noWrap w:val="0"/>
                  <w:vAlign w:val="center"/>
                </w:tcPr>
                <w:p w14:paraId="1155EFC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0.17</w:t>
                  </w:r>
                </w:p>
              </w:tc>
              <w:tc>
                <w:tcPr>
                  <w:tcW w:w="584" w:type="pct"/>
                  <w:noWrap w:val="0"/>
                  <w:vAlign w:val="center"/>
                </w:tcPr>
                <w:p w14:paraId="5CD6E76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≤0.3</w:t>
                  </w:r>
                </w:p>
              </w:tc>
            </w:tr>
            <w:tr w14:paraId="518B43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48C3B01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锰</w:t>
                  </w:r>
                </w:p>
              </w:tc>
              <w:tc>
                <w:tcPr>
                  <w:tcW w:w="580" w:type="pct"/>
                  <w:noWrap w:val="0"/>
                  <w:vAlign w:val="center"/>
                </w:tcPr>
                <w:p w14:paraId="624543C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68" w:type="pct"/>
                  <w:noWrap w:val="0"/>
                  <w:vAlign w:val="center"/>
                </w:tcPr>
                <w:p w14:paraId="6433ACA3">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72" w:type="pct"/>
                  <w:noWrap w:val="0"/>
                  <w:vAlign w:val="center"/>
                </w:tcPr>
                <w:p w14:paraId="0002B7CE">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71" w:type="pct"/>
                  <w:noWrap w:val="0"/>
                  <w:vAlign w:val="center"/>
                </w:tcPr>
                <w:p w14:paraId="09E73A70">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87" w:type="pct"/>
                  <w:noWrap w:val="0"/>
                  <w:vAlign w:val="center"/>
                </w:tcPr>
                <w:p w14:paraId="501556D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56" w:type="pct"/>
                  <w:noWrap w:val="0"/>
                  <w:vAlign w:val="center"/>
                </w:tcPr>
                <w:p w14:paraId="587D735F">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84" w:type="pct"/>
                  <w:noWrap w:val="0"/>
                  <w:vAlign w:val="center"/>
                </w:tcPr>
                <w:p w14:paraId="14F6BC5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w:t>
                  </w:r>
                </w:p>
              </w:tc>
            </w:tr>
            <w:tr w14:paraId="4A04CA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05401FF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铅</w:t>
                  </w:r>
                </w:p>
              </w:tc>
              <w:tc>
                <w:tcPr>
                  <w:tcW w:w="580" w:type="pct"/>
                  <w:noWrap w:val="0"/>
                  <w:vAlign w:val="center"/>
                </w:tcPr>
                <w:p w14:paraId="54504C6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68" w:type="pct"/>
                  <w:noWrap w:val="0"/>
                  <w:vAlign w:val="center"/>
                </w:tcPr>
                <w:p w14:paraId="02F16629">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72" w:type="pct"/>
                  <w:noWrap w:val="0"/>
                  <w:vAlign w:val="center"/>
                </w:tcPr>
                <w:p w14:paraId="5E99187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71" w:type="pct"/>
                  <w:noWrap w:val="0"/>
                  <w:vAlign w:val="center"/>
                </w:tcPr>
                <w:p w14:paraId="32CCEB1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7" w:type="pct"/>
                  <w:noWrap w:val="0"/>
                  <w:vAlign w:val="center"/>
                </w:tcPr>
                <w:p w14:paraId="07E995E8">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0.01L</w:t>
                  </w:r>
                </w:p>
              </w:tc>
              <w:tc>
                <w:tcPr>
                  <w:tcW w:w="556" w:type="pct"/>
                  <w:noWrap w:val="0"/>
                  <w:vAlign w:val="center"/>
                </w:tcPr>
                <w:p w14:paraId="7FE2F631">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4" w:type="pct"/>
                  <w:noWrap w:val="0"/>
                  <w:vAlign w:val="center"/>
                </w:tcPr>
                <w:p w14:paraId="7CE8D88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7EA35A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1FADF13">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镉</w:t>
                  </w:r>
                </w:p>
              </w:tc>
              <w:tc>
                <w:tcPr>
                  <w:tcW w:w="580" w:type="pct"/>
                  <w:noWrap w:val="0"/>
                  <w:vAlign w:val="center"/>
                </w:tcPr>
                <w:p w14:paraId="12D0A68C">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68" w:type="pct"/>
                  <w:noWrap w:val="0"/>
                  <w:vAlign w:val="center"/>
                </w:tcPr>
                <w:p w14:paraId="5C343B5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72" w:type="pct"/>
                  <w:noWrap w:val="0"/>
                  <w:vAlign w:val="center"/>
                </w:tcPr>
                <w:p w14:paraId="3F7A5319">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71" w:type="pct"/>
                  <w:noWrap w:val="0"/>
                  <w:vAlign w:val="center"/>
                </w:tcPr>
                <w:p w14:paraId="4AD188D7">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7" w:type="pct"/>
                  <w:noWrap w:val="0"/>
                  <w:vAlign w:val="center"/>
                </w:tcPr>
                <w:p w14:paraId="4430472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0.001L</w:t>
                  </w:r>
                </w:p>
              </w:tc>
              <w:tc>
                <w:tcPr>
                  <w:tcW w:w="556" w:type="pct"/>
                  <w:noWrap w:val="0"/>
                  <w:vAlign w:val="center"/>
                </w:tcPr>
                <w:p w14:paraId="0113B2DD">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0.10</w:t>
                  </w:r>
                </w:p>
              </w:tc>
              <w:tc>
                <w:tcPr>
                  <w:tcW w:w="584" w:type="pct"/>
                  <w:noWrap w:val="0"/>
                  <w:vAlign w:val="center"/>
                </w:tcPr>
                <w:p w14:paraId="7AC19C2B">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≤0.005</w:t>
                  </w:r>
                </w:p>
              </w:tc>
            </w:tr>
            <w:tr w14:paraId="61A20C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6F64A2F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铜</w:t>
                  </w:r>
                </w:p>
              </w:tc>
              <w:tc>
                <w:tcPr>
                  <w:tcW w:w="580" w:type="pct"/>
                  <w:noWrap w:val="0"/>
                  <w:vAlign w:val="center"/>
                </w:tcPr>
                <w:p w14:paraId="19A9E75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68" w:type="pct"/>
                  <w:noWrap w:val="0"/>
                  <w:vAlign w:val="center"/>
                </w:tcPr>
                <w:p w14:paraId="24078641">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72" w:type="pct"/>
                  <w:noWrap w:val="0"/>
                  <w:vAlign w:val="center"/>
                </w:tcPr>
                <w:p w14:paraId="1A5E2EA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71" w:type="pct"/>
                  <w:noWrap w:val="0"/>
                  <w:vAlign w:val="center"/>
                </w:tcPr>
                <w:p w14:paraId="37A1E84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7" w:type="pct"/>
                  <w:noWrap w:val="0"/>
                  <w:vAlign w:val="center"/>
                </w:tcPr>
                <w:p w14:paraId="0E51367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56" w:type="pct"/>
                  <w:noWrap w:val="0"/>
                  <w:vAlign w:val="center"/>
                </w:tcPr>
                <w:p w14:paraId="0B7F0749">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4" w:type="pct"/>
                  <w:noWrap w:val="0"/>
                  <w:vAlign w:val="center"/>
                </w:tcPr>
                <w:p w14:paraId="482C536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r>
            <w:tr w14:paraId="6F77DB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51F074B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锌</w:t>
                  </w:r>
                </w:p>
              </w:tc>
              <w:tc>
                <w:tcPr>
                  <w:tcW w:w="580" w:type="pct"/>
                  <w:noWrap w:val="0"/>
                  <w:vAlign w:val="center"/>
                </w:tcPr>
                <w:p w14:paraId="5D02B93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68" w:type="pct"/>
                  <w:noWrap w:val="0"/>
                  <w:vAlign w:val="center"/>
                </w:tcPr>
                <w:p w14:paraId="34E4F6B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72" w:type="pct"/>
                  <w:noWrap w:val="0"/>
                  <w:vAlign w:val="center"/>
                </w:tcPr>
                <w:p w14:paraId="7A55DFB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71" w:type="pct"/>
                  <w:noWrap w:val="0"/>
                  <w:vAlign w:val="center"/>
                </w:tcPr>
                <w:p w14:paraId="072334E3">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7" w:type="pct"/>
                  <w:noWrap w:val="0"/>
                  <w:vAlign w:val="center"/>
                </w:tcPr>
                <w:p w14:paraId="2715B40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0.05L</w:t>
                  </w:r>
                </w:p>
              </w:tc>
              <w:tc>
                <w:tcPr>
                  <w:tcW w:w="556" w:type="pct"/>
                  <w:noWrap w:val="0"/>
                  <w:vAlign w:val="center"/>
                </w:tcPr>
                <w:p w14:paraId="798A4EAD">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0.03</w:t>
                  </w:r>
                </w:p>
              </w:tc>
              <w:tc>
                <w:tcPr>
                  <w:tcW w:w="584" w:type="pct"/>
                  <w:noWrap w:val="0"/>
                  <w:vAlign w:val="center"/>
                </w:tcPr>
                <w:p w14:paraId="381E5EF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w:t>
                  </w:r>
                </w:p>
              </w:tc>
            </w:tr>
            <w:tr w14:paraId="175ADD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2EB1E865">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砷</w:t>
                  </w:r>
                </w:p>
              </w:tc>
              <w:tc>
                <w:tcPr>
                  <w:tcW w:w="580" w:type="pct"/>
                  <w:noWrap w:val="0"/>
                  <w:vAlign w:val="center"/>
                </w:tcPr>
                <w:p w14:paraId="5FC428D7">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0.0032</w:t>
                  </w:r>
                </w:p>
              </w:tc>
              <w:tc>
                <w:tcPr>
                  <w:tcW w:w="568" w:type="pct"/>
                  <w:noWrap w:val="0"/>
                  <w:vAlign w:val="center"/>
                </w:tcPr>
                <w:p w14:paraId="3B957D55">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0.06</w:t>
                  </w:r>
                </w:p>
              </w:tc>
              <w:tc>
                <w:tcPr>
                  <w:tcW w:w="572" w:type="pct"/>
                  <w:noWrap w:val="0"/>
                  <w:vAlign w:val="center"/>
                </w:tcPr>
                <w:p w14:paraId="0685E4D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0.0063</w:t>
                  </w:r>
                </w:p>
              </w:tc>
              <w:tc>
                <w:tcPr>
                  <w:tcW w:w="571" w:type="pct"/>
                  <w:noWrap w:val="0"/>
                  <w:vAlign w:val="center"/>
                </w:tcPr>
                <w:p w14:paraId="502DBFF6">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0.13</w:t>
                  </w:r>
                </w:p>
              </w:tc>
              <w:tc>
                <w:tcPr>
                  <w:tcW w:w="587" w:type="pct"/>
                  <w:noWrap w:val="0"/>
                  <w:vAlign w:val="center"/>
                </w:tcPr>
                <w:p w14:paraId="0F38A53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0.0025</w:t>
                  </w:r>
                </w:p>
              </w:tc>
              <w:tc>
                <w:tcPr>
                  <w:tcW w:w="556" w:type="pct"/>
                  <w:noWrap w:val="0"/>
                  <w:vAlign w:val="center"/>
                </w:tcPr>
                <w:p w14:paraId="44332BCA">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c>
                <w:tcPr>
                  <w:tcW w:w="584" w:type="pct"/>
                  <w:noWrap w:val="0"/>
                  <w:vAlign w:val="center"/>
                </w:tcPr>
                <w:p w14:paraId="248C786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≤0.05</w:t>
                  </w:r>
                </w:p>
              </w:tc>
            </w:tr>
            <w:tr w14:paraId="5712D6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50D0F096">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汞（ug/L）</w:t>
                  </w:r>
                </w:p>
              </w:tc>
              <w:tc>
                <w:tcPr>
                  <w:tcW w:w="580" w:type="pct"/>
                  <w:noWrap w:val="0"/>
                  <w:vAlign w:val="center"/>
                </w:tcPr>
                <w:p w14:paraId="0674D3C1">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0.04L</w:t>
                  </w:r>
                </w:p>
              </w:tc>
              <w:tc>
                <w:tcPr>
                  <w:tcW w:w="568" w:type="pct"/>
                  <w:noWrap w:val="0"/>
                  <w:vAlign w:val="center"/>
                </w:tcPr>
                <w:p w14:paraId="5F73748E">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0.20</w:t>
                  </w:r>
                </w:p>
              </w:tc>
              <w:tc>
                <w:tcPr>
                  <w:tcW w:w="572" w:type="pct"/>
                  <w:noWrap w:val="0"/>
                  <w:vAlign w:val="center"/>
                </w:tcPr>
                <w:p w14:paraId="67332BFA">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0.04L</w:t>
                  </w:r>
                </w:p>
              </w:tc>
              <w:tc>
                <w:tcPr>
                  <w:tcW w:w="571" w:type="pct"/>
                  <w:noWrap w:val="0"/>
                  <w:vAlign w:val="center"/>
                </w:tcPr>
                <w:p w14:paraId="41A44DD3">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0.20</w:t>
                  </w:r>
                </w:p>
              </w:tc>
              <w:tc>
                <w:tcPr>
                  <w:tcW w:w="587" w:type="pct"/>
                  <w:noWrap w:val="0"/>
                  <w:vAlign w:val="center"/>
                </w:tcPr>
                <w:p w14:paraId="7B81889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0.04L</w:t>
                  </w:r>
                </w:p>
              </w:tc>
              <w:tc>
                <w:tcPr>
                  <w:tcW w:w="556" w:type="pct"/>
                  <w:noWrap w:val="0"/>
                  <w:vAlign w:val="center"/>
                </w:tcPr>
                <w:p w14:paraId="7089B1EB">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0.20</w:t>
                  </w:r>
                </w:p>
              </w:tc>
              <w:tc>
                <w:tcPr>
                  <w:tcW w:w="584" w:type="pct"/>
                  <w:noWrap w:val="0"/>
                  <w:vAlign w:val="center"/>
                </w:tcPr>
                <w:p w14:paraId="17E3D7DF">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≤0.1</w:t>
                  </w:r>
                </w:p>
              </w:tc>
            </w:tr>
            <w:tr w14:paraId="344FA4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340" w:hRule="atLeast"/>
                <w:jc w:val="center"/>
              </w:trPr>
              <w:tc>
                <w:tcPr>
                  <w:tcW w:w="981" w:type="pct"/>
                  <w:noWrap w:val="0"/>
                  <w:vAlign w:val="center"/>
                </w:tcPr>
                <w:p w14:paraId="5A8BC960">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硒（ug/L）</w:t>
                  </w:r>
                </w:p>
              </w:tc>
              <w:tc>
                <w:tcPr>
                  <w:tcW w:w="580" w:type="pct"/>
                  <w:noWrap w:val="0"/>
                  <w:vAlign w:val="center"/>
                </w:tcPr>
                <w:p w14:paraId="13976722">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0.4L</w:t>
                  </w:r>
                </w:p>
              </w:tc>
              <w:tc>
                <w:tcPr>
                  <w:tcW w:w="568" w:type="pct"/>
                  <w:noWrap w:val="0"/>
                  <w:vAlign w:val="center"/>
                </w:tcPr>
                <w:p w14:paraId="08515964">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0.02</w:t>
                  </w:r>
                </w:p>
              </w:tc>
              <w:tc>
                <w:tcPr>
                  <w:tcW w:w="572" w:type="pct"/>
                  <w:noWrap w:val="0"/>
                  <w:vAlign w:val="center"/>
                </w:tcPr>
                <w:p w14:paraId="1BD8FA5D">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0.4L</w:t>
                  </w:r>
                </w:p>
              </w:tc>
              <w:tc>
                <w:tcPr>
                  <w:tcW w:w="571" w:type="pct"/>
                  <w:noWrap w:val="0"/>
                  <w:vAlign w:val="center"/>
                </w:tcPr>
                <w:p w14:paraId="142454A8">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0.02</w:t>
                  </w:r>
                </w:p>
              </w:tc>
              <w:tc>
                <w:tcPr>
                  <w:tcW w:w="587" w:type="pct"/>
                  <w:noWrap w:val="0"/>
                  <w:vAlign w:val="center"/>
                </w:tcPr>
                <w:p w14:paraId="28455B24">
                  <w:pPr>
                    <w:keepNext w:val="0"/>
                    <w:keepLines w:val="0"/>
                    <w:widowControl/>
                    <w:suppressLineNumbers w:val="0"/>
                    <w:spacing w:before="0" w:beforeAutospacing="0" w:after="0" w:afterAutospacing="0" w:line="0" w:lineRule="atLeast"/>
                    <w:ind w:left="0" w:right="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0.4L</w:t>
                  </w:r>
                </w:p>
              </w:tc>
              <w:tc>
                <w:tcPr>
                  <w:tcW w:w="556" w:type="pct"/>
                  <w:noWrap w:val="0"/>
                  <w:vAlign w:val="center"/>
                </w:tcPr>
                <w:p w14:paraId="7787B4F8">
                  <w:pPr>
                    <w:keepNext w:val="0"/>
                    <w:keepLines w:val="0"/>
                    <w:widowControl/>
                    <w:suppressLineNumbers w:val="0"/>
                    <w:spacing w:before="0" w:beforeAutospacing="0" w:after="0" w:afterAutospacing="0" w:line="0" w:lineRule="atLeast"/>
                    <w:ind w:left="0" w:right="0" w:firstLine="0" w:firstLineChars="0"/>
                    <w:jc w:val="center"/>
                    <w:textAlignment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0.02</w:t>
                  </w:r>
                </w:p>
              </w:tc>
              <w:tc>
                <w:tcPr>
                  <w:tcW w:w="584" w:type="pct"/>
                  <w:noWrap w:val="0"/>
                  <w:vAlign w:val="center"/>
                </w:tcPr>
                <w:p w14:paraId="27C8FE89">
                  <w:pPr>
                    <w:keepNext w:val="0"/>
                    <w:keepLines w:val="0"/>
                    <w:widowControl/>
                    <w:suppressLineNumbers w:val="0"/>
                    <w:spacing w:before="0" w:beforeAutospacing="0" w:after="0" w:afterAutospacing="0" w:line="0" w:lineRule="atLeast"/>
                    <w:ind w:left="0" w:right="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rPr>
                    <w:t>≤</w:t>
                  </w:r>
                  <w:r>
                    <w:rPr>
                      <w:rFonts w:hint="eastAsia" w:cs="Times New Roman"/>
                      <w:color w:val="auto"/>
                      <w:kern w:val="0"/>
                      <w:sz w:val="21"/>
                      <w:szCs w:val="21"/>
                      <w:lang w:val="en-US" w:eastAsia="zh-CN"/>
                    </w:rPr>
                    <w:t>10</w:t>
                  </w:r>
                </w:p>
              </w:tc>
            </w:tr>
          </w:tbl>
          <w:p w14:paraId="2BB2AB80">
            <w:pPr>
              <w:keepNext w:val="0"/>
              <w:keepLines w:val="0"/>
              <w:widowControl w:val="0"/>
              <w:suppressLineNumbers w:val="0"/>
              <w:adjustRightInd w:val="0"/>
              <w:snapToGrid w:val="0"/>
              <w:spacing w:before="0" w:beforeAutospacing="0" w:after="0" w:afterAutospacing="0" w:line="360" w:lineRule="auto"/>
              <w:ind w:left="0" w:right="0" w:firstLine="454" w:firstLineChars="200"/>
              <w:jc w:val="both"/>
              <w:rPr>
                <w:rFonts w:hint="default" w:ascii="Times New Roman" w:hAnsi="Times New Roman" w:eastAsia="宋体"/>
                <w:color w:val="auto"/>
                <w:sz w:val="24"/>
                <w:lang w:val="en-US" w:eastAsia="zh-CN"/>
              </w:rPr>
            </w:pPr>
            <w:r>
              <w:rPr>
                <w:rFonts w:hint="eastAsia" w:ascii="Times New Roman" w:hAnsi="Times New Roman" w:eastAsia="宋体" w:cs="Times New Roman"/>
                <w:color w:val="auto"/>
                <w:kern w:val="2"/>
                <w:sz w:val="24"/>
                <w:szCs w:val="24"/>
                <w:lang w:val="en-US" w:eastAsia="zh-CN" w:bidi="ar-SA"/>
              </w:rPr>
              <w:t>由上表可知，照壁山水库各监测指标均符合</w:t>
            </w:r>
            <w:bookmarkStart w:id="3" w:name="_Hlk169539819"/>
            <w:r>
              <w:rPr>
                <w:rFonts w:hint="eastAsia" w:ascii="Times New Roman" w:hAnsi="Times New Roman" w:eastAsia="宋体" w:cs="Times New Roman"/>
                <w:color w:val="auto"/>
                <w:kern w:val="2"/>
                <w:sz w:val="24"/>
                <w:szCs w:val="24"/>
                <w:lang w:val="en-US" w:eastAsia="zh-CN" w:bidi="ar-SA"/>
              </w:rPr>
              <w:t>《地表水环境质量标准》（GB3838-2002）</w:t>
            </w:r>
            <w:r>
              <w:rPr>
                <w:rFonts w:hint="default" w:ascii="Times New Roman" w:hAnsi="Times New Roman" w:eastAsia="宋体" w:cs="Times New Roman"/>
                <w:color w:val="auto"/>
                <w:kern w:val="2"/>
                <w:sz w:val="24"/>
                <w:szCs w:val="24"/>
                <w:lang w:val="en-US" w:eastAsia="zh-CN" w:bidi="ar-SA"/>
              </w:rPr>
              <w:t>Ⅲ</w:t>
            </w:r>
            <w:r>
              <w:rPr>
                <w:rFonts w:hint="eastAsia" w:ascii="Times New Roman" w:hAnsi="Times New Roman" w:eastAsia="宋体" w:cs="Times New Roman"/>
                <w:color w:val="auto"/>
                <w:kern w:val="2"/>
                <w:sz w:val="24"/>
                <w:szCs w:val="24"/>
                <w:lang w:val="en-US" w:eastAsia="zh-CN" w:bidi="ar-SA"/>
              </w:rPr>
              <w:t>类标</w:t>
            </w:r>
            <w:bookmarkEnd w:id="3"/>
            <w:r>
              <w:rPr>
                <w:rFonts w:hint="eastAsia" w:ascii="Times New Roman" w:hAnsi="Times New Roman" w:eastAsia="宋体" w:cs="Times New Roman"/>
                <w:color w:val="auto"/>
                <w:kern w:val="2"/>
                <w:sz w:val="24"/>
                <w:szCs w:val="24"/>
                <w:lang w:val="en-US" w:eastAsia="zh-CN" w:bidi="ar-SA"/>
              </w:rPr>
              <w:t>准要求，水质良好。</w:t>
            </w:r>
          </w:p>
          <w:p w14:paraId="4F97794A">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4 </w:t>
            </w:r>
            <w:r>
              <w:rPr>
                <w:rFonts w:hint="eastAsia"/>
                <w:color w:val="auto"/>
              </w:rPr>
              <w:t>地下水环境质量</w:t>
            </w:r>
          </w:p>
          <w:p w14:paraId="3D3BF771">
            <w:pPr>
              <w:keepNext w:val="0"/>
              <w:keepLines w:val="0"/>
              <w:suppressLineNumbers w:val="0"/>
              <w:bidi w:val="0"/>
              <w:spacing w:before="0" w:beforeAutospacing="0" w:after="0" w:afterAutospacing="0"/>
              <w:ind w:left="0" w:right="0"/>
              <w:rPr>
                <w:rFonts w:hint="default" w:eastAsia="宋体" w:cs="Times New Roman"/>
                <w:color w:val="auto"/>
                <w:lang w:val="en-US" w:eastAsia="zh-CN"/>
              </w:rPr>
            </w:pPr>
            <w:r>
              <w:rPr>
                <w:rFonts w:hint="eastAsia"/>
                <w:color w:val="auto"/>
              </w:rPr>
              <w:t>本项目主要对</w:t>
            </w:r>
            <w:r>
              <w:rPr>
                <w:rFonts w:hint="default"/>
                <w:color w:val="auto"/>
              </w:rPr>
              <w:t>历史遗留废弃矿山</w:t>
            </w:r>
            <w:r>
              <w:rPr>
                <w:rFonts w:hint="eastAsia"/>
                <w:color w:val="auto"/>
              </w:rPr>
              <w:t>进行</w:t>
            </w:r>
            <w:r>
              <w:rPr>
                <w:rFonts w:hint="eastAsia"/>
                <w:color w:val="auto"/>
                <w:lang w:val="en-US" w:eastAsia="zh-CN"/>
              </w:rPr>
              <w:t>恢复治理</w:t>
            </w:r>
            <w:r>
              <w:rPr>
                <w:rFonts w:hint="eastAsia"/>
                <w:color w:val="auto"/>
              </w:rPr>
              <w:t>，项目主要建设内容包括边坡治理工程、地形地貌恢复工程等，施工期及运营期不存在地下水的污染途径，</w:t>
            </w:r>
            <w:r>
              <w:rPr>
                <w:rFonts w:hint="default"/>
                <w:color w:val="auto"/>
              </w:rPr>
              <w:t>根据《环境影响评价技术导则 地下水环境》（HJ610-2016）</w:t>
            </w:r>
            <w:r>
              <w:rPr>
                <w:rFonts w:hint="eastAsia"/>
                <w:color w:val="auto"/>
                <w:lang w:eastAsia="zh-CN"/>
              </w:rPr>
              <w:t>，</w:t>
            </w:r>
            <w:r>
              <w:rPr>
                <w:rFonts w:hint="eastAsia"/>
                <w:color w:val="auto"/>
                <w:lang w:val="en-US" w:eastAsia="zh-CN"/>
              </w:rPr>
              <w:t>本</w:t>
            </w:r>
            <w:r>
              <w:rPr>
                <w:rFonts w:hint="default" w:ascii="宋体" w:hAnsi="宋体" w:eastAsia="宋体" w:cs="宋体"/>
                <w:b w:val="0"/>
                <w:bCs w:val="0"/>
                <w:color w:val="auto"/>
                <w:sz w:val="24"/>
                <w:szCs w:val="24"/>
              </w:rPr>
              <w:t>项目行业类别“</w:t>
            </w:r>
            <w:r>
              <w:rPr>
                <w:rFonts w:hint="default" w:ascii="TimesNewRomanPSMT" w:hAnsi="TimesNewRomanPSMT" w:eastAsia="TimesNewRomanPSMT" w:cs="TimesNewRomanPSMT"/>
                <w:b w:val="0"/>
                <w:bCs w:val="0"/>
                <w:color w:val="auto"/>
                <w:sz w:val="24"/>
                <w:szCs w:val="24"/>
              </w:rPr>
              <w:t>54.</w:t>
            </w:r>
            <w:r>
              <w:rPr>
                <w:rFonts w:hint="default" w:ascii="宋体" w:hAnsi="宋体" w:eastAsia="宋体" w:cs="宋体"/>
                <w:b w:val="0"/>
                <w:bCs w:val="0"/>
                <w:color w:val="auto"/>
                <w:sz w:val="24"/>
                <w:szCs w:val="24"/>
              </w:rPr>
              <w:t>土砂石开采”的环评类别为</w:t>
            </w:r>
            <w:r>
              <w:rPr>
                <w:rFonts w:hint="default" w:ascii="TimesNewRomanPSMT" w:hAnsi="TimesNewRomanPSMT" w:eastAsia="TimesNewRomanPSMT" w:cs="TimesNewRomanPSMT"/>
                <w:b w:val="0"/>
                <w:bCs w:val="0"/>
                <w:color w:val="auto"/>
                <w:sz w:val="24"/>
                <w:szCs w:val="24"/>
              </w:rPr>
              <w:t>IV</w:t>
            </w:r>
            <w:r>
              <w:rPr>
                <w:rFonts w:hint="default" w:ascii="宋体" w:hAnsi="宋体" w:eastAsia="宋体" w:cs="宋体"/>
                <w:b w:val="0"/>
                <w:bCs w:val="0"/>
                <w:color w:val="auto"/>
                <w:sz w:val="24"/>
                <w:szCs w:val="24"/>
              </w:rPr>
              <w:t>类</w:t>
            </w:r>
            <w:r>
              <w:rPr>
                <w:rFonts w:hint="eastAsia" w:ascii="宋体" w:hAnsi="宋体" w:eastAsia="宋体" w:cs="宋体"/>
                <w:b w:val="0"/>
                <w:bCs w:val="0"/>
                <w:color w:val="auto"/>
                <w:sz w:val="24"/>
                <w:szCs w:val="24"/>
                <w:lang w:eastAsia="zh-CN"/>
              </w:rPr>
              <w:t>，</w:t>
            </w:r>
            <w:r>
              <w:rPr>
                <w:rFonts w:hint="default" w:ascii="宋体" w:hAnsi="宋体" w:eastAsia="宋体" w:cs="宋体"/>
                <w:b w:val="0"/>
                <w:bCs w:val="0"/>
                <w:color w:val="auto"/>
                <w:sz w:val="24"/>
                <w:szCs w:val="24"/>
              </w:rPr>
              <w:t>根据导则中</w:t>
            </w:r>
            <w:r>
              <w:rPr>
                <w:rFonts w:hint="eastAsia" w:ascii="宋体" w:hAnsi="宋体" w:eastAsia="宋体" w:cs="宋体"/>
                <w:b w:val="0"/>
                <w:bCs w:val="0"/>
                <w:color w:val="auto"/>
                <w:sz w:val="24"/>
                <w:szCs w:val="24"/>
                <w:lang w:eastAsia="zh-CN"/>
              </w:rPr>
              <w:t>“</w:t>
            </w:r>
            <w:r>
              <w:rPr>
                <w:rFonts w:hint="eastAsia"/>
                <w:color w:val="auto"/>
                <w:lang w:val="en-US" w:eastAsia="zh-CN"/>
              </w:rPr>
              <w:t xml:space="preserve">4.1 </w:t>
            </w:r>
            <w:r>
              <w:rPr>
                <w:rFonts w:hint="default" w:ascii="Times New Roman" w:hAnsi="Times New Roman" w:cs="Times New Roman"/>
                <w:color w:val="auto"/>
                <w:lang w:val="en-US" w:eastAsia="zh-CN"/>
              </w:rPr>
              <w:t>Ⅳ</w:t>
            </w:r>
            <w:r>
              <w:rPr>
                <w:rFonts w:hint="default" w:ascii="宋体" w:hAnsi="宋体" w:eastAsia="宋体" w:cs="宋体"/>
                <w:b w:val="0"/>
                <w:bCs w:val="0"/>
                <w:color w:val="auto"/>
                <w:sz w:val="24"/>
                <w:szCs w:val="24"/>
              </w:rPr>
              <w:t>一般性原则</w:t>
            </w:r>
            <w:r>
              <w:rPr>
                <w:rFonts w:hint="default" w:ascii="TimesNewRomanPSMT" w:hAnsi="TimesNewRomanPSMT" w:eastAsia="TimesNewRomanPSMT" w:cs="TimesNewRomanPSMT"/>
                <w:b w:val="0"/>
                <w:bCs w:val="0"/>
                <w:color w:val="auto"/>
                <w:sz w:val="24"/>
                <w:szCs w:val="24"/>
              </w:rPr>
              <w:t>/</w:t>
            </w:r>
            <w:r>
              <w:rPr>
                <w:rFonts w:hint="default" w:ascii="宋体" w:hAnsi="宋体" w:eastAsia="宋体" w:cs="宋体"/>
                <w:b w:val="0"/>
                <w:bCs w:val="0"/>
                <w:color w:val="auto"/>
                <w:sz w:val="24"/>
                <w:szCs w:val="24"/>
              </w:rPr>
              <w:t>……</w:t>
            </w:r>
            <w:r>
              <w:rPr>
                <w:rFonts w:hint="default" w:ascii="Times New Roman" w:hAnsi="Times New Roman" w:cs="Times New Roman"/>
                <w:color w:val="auto"/>
                <w:lang w:val="en-US" w:eastAsia="zh-CN"/>
              </w:rPr>
              <w:t>Ⅳ</w:t>
            </w:r>
            <w:r>
              <w:rPr>
                <w:rFonts w:hint="eastAsia"/>
                <w:color w:val="auto"/>
                <w:lang w:val="en-US" w:eastAsia="zh-CN"/>
              </w:rPr>
              <w:t>类建设项目不开展地下水环境影响评价</w:t>
            </w:r>
            <w:r>
              <w:rPr>
                <w:rFonts w:hint="eastAsia" w:ascii="宋体" w:hAnsi="宋体" w:eastAsia="宋体" w:cs="宋体"/>
                <w:b w:val="0"/>
                <w:bCs w:val="0"/>
                <w:color w:val="auto"/>
                <w:sz w:val="24"/>
                <w:szCs w:val="24"/>
                <w:lang w:eastAsia="zh-CN"/>
              </w:rPr>
              <w:t>”</w:t>
            </w:r>
            <w:r>
              <w:rPr>
                <w:rFonts w:hint="eastAsia" w:cs="Times New Roman"/>
                <w:color w:val="auto"/>
                <w:sz w:val="24"/>
              </w:rPr>
              <w:t>。</w:t>
            </w:r>
            <w:r>
              <w:rPr>
                <w:rFonts w:hint="eastAsia" w:cs="Times New Roman"/>
                <w:color w:val="auto"/>
                <w:lang w:val="en-US" w:eastAsia="zh-CN"/>
              </w:rPr>
              <w:t>因此，本次评价不开展地下水环境质量现状调查。</w:t>
            </w:r>
          </w:p>
          <w:p w14:paraId="6DA968D9">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5 </w:t>
            </w:r>
            <w:r>
              <w:rPr>
                <w:rFonts w:hint="default"/>
                <w:color w:val="auto"/>
              </w:rPr>
              <w:t>声环境</w:t>
            </w:r>
          </w:p>
          <w:p w14:paraId="2F66B9B4">
            <w:pPr>
              <w:keepNext w:val="0"/>
              <w:keepLines w:val="0"/>
              <w:suppressLineNumbers w:val="0"/>
              <w:spacing w:before="0" w:beforeAutospacing="0" w:after="0" w:afterAutospacing="0"/>
              <w:ind w:left="0" w:right="0" w:firstLine="454" w:firstLineChars="200"/>
              <w:rPr>
                <w:rFonts w:hint="eastAsia" w:cs="Times New Roman"/>
                <w:b/>
                <w:bCs/>
                <w:snapToGrid w:val="0"/>
                <w:color w:val="auto"/>
                <w:kern w:val="0"/>
                <w:sz w:val="24"/>
                <w:szCs w:val="22"/>
              </w:rPr>
            </w:pPr>
            <w:r>
              <w:rPr>
                <w:rFonts w:hint="default" w:cs="Times New Roman"/>
                <w:color w:val="auto"/>
                <w:kern w:val="0"/>
                <w:sz w:val="24"/>
              </w:rPr>
              <w:t>根据实地调查，</w:t>
            </w:r>
            <w:r>
              <w:rPr>
                <w:rFonts w:hint="eastAsia" w:cs="Times New Roman"/>
                <w:color w:val="auto"/>
                <w:kern w:val="0"/>
                <w:sz w:val="24"/>
              </w:rPr>
              <w:t>本项目各治理区</w:t>
            </w:r>
            <w:r>
              <w:rPr>
                <w:rFonts w:hint="default" w:cs="Times New Roman"/>
                <w:color w:val="auto"/>
                <w:kern w:val="0"/>
                <w:sz w:val="24"/>
              </w:rPr>
              <w:t>周边50</w:t>
            </w:r>
            <w:r>
              <w:rPr>
                <w:rFonts w:hint="eastAsia" w:cs="Times New Roman"/>
                <w:color w:val="auto"/>
                <w:kern w:val="0"/>
                <w:sz w:val="24"/>
              </w:rPr>
              <w:t>m</w:t>
            </w:r>
            <w:r>
              <w:rPr>
                <w:rFonts w:hint="default" w:cs="Times New Roman"/>
                <w:color w:val="auto"/>
                <w:kern w:val="0"/>
                <w:sz w:val="24"/>
              </w:rPr>
              <w:t>范围内无声环境敏感目标</w:t>
            </w:r>
            <w:r>
              <w:rPr>
                <w:rFonts w:hint="eastAsia" w:cs="Times New Roman"/>
                <w:color w:val="auto"/>
                <w:kern w:val="0"/>
                <w:sz w:val="24"/>
              </w:rPr>
              <w:t>，</w:t>
            </w:r>
            <w:r>
              <w:rPr>
                <w:rFonts w:hint="default" w:cs="Times New Roman"/>
                <w:color w:val="auto"/>
                <w:kern w:val="0"/>
                <w:sz w:val="24"/>
              </w:rPr>
              <w:t>因此，不开展声环境质量现状调查。</w:t>
            </w:r>
          </w:p>
          <w:p w14:paraId="232F1831">
            <w:pPr>
              <w:pStyle w:val="2"/>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lang w:val="en-US" w:eastAsia="zh-CN"/>
              </w:rPr>
              <w:t xml:space="preserve">6 </w:t>
            </w:r>
            <w:r>
              <w:rPr>
                <w:rFonts w:hint="eastAsia"/>
                <w:color w:val="auto"/>
                <w:highlight w:val="none"/>
              </w:rPr>
              <w:t>土壤环境质量</w:t>
            </w:r>
          </w:p>
          <w:p w14:paraId="45BB71AD">
            <w:pPr>
              <w:keepNext w:val="0"/>
              <w:keepLines w:val="0"/>
              <w:suppressLineNumbers w:val="0"/>
              <w:bidi w:val="0"/>
              <w:spacing w:before="0" w:beforeAutospacing="0" w:after="0" w:afterAutospacing="0"/>
              <w:ind w:left="0" w:right="0"/>
              <w:rPr>
                <w:rFonts w:hint="default" w:eastAsia="黑体" w:cs="Times New Roman"/>
                <w:color w:val="auto"/>
                <w:kern w:val="0"/>
                <w:sz w:val="24"/>
                <w:szCs w:val="20"/>
                <w:lang w:val="en-US"/>
              </w:rPr>
            </w:pPr>
            <w:r>
              <w:rPr>
                <w:rFonts w:hint="eastAsia"/>
                <w:color w:val="auto"/>
              </w:rPr>
              <w:t>本项目主要对</w:t>
            </w:r>
            <w:r>
              <w:rPr>
                <w:rFonts w:hint="default"/>
                <w:color w:val="auto"/>
              </w:rPr>
              <w:t>历史遗留废弃矿山</w:t>
            </w:r>
            <w:r>
              <w:rPr>
                <w:rFonts w:hint="eastAsia"/>
                <w:color w:val="auto"/>
              </w:rPr>
              <w:t>进行</w:t>
            </w:r>
            <w:r>
              <w:rPr>
                <w:rFonts w:hint="eastAsia"/>
                <w:color w:val="auto"/>
                <w:lang w:val="en-US" w:eastAsia="zh-CN"/>
              </w:rPr>
              <w:t>恢复治理</w:t>
            </w:r>
            <w:r>
              <w:rPr>
                <w:rFonts w:hint="eastAsia"/>
                <w:color w:val="auto"/>
              </w:rPr>
              <w:t>，项目主要建设内容包括培坡护坡及凹陷处回填、场地平整、采坑回填、覆土工程、植被恢复工程、宣传牌工程、围栏工程等工程措施，施工期及运营期不存在土壤的污染途径</w:t>
            </w:r>
            <w:r>
              <w:rPr>
                <w:rFonts w:hint="eastAsia"/>
                <w:color w:val="auto"/>
                <w:lang w:eastAsia="zh-CN"/>
              </w:rPr>
              <w:t>。</w:t>
            </w:r>
            <w:r>
              <w:rPr>
                <w:rFonts w:hint="eastAsia"/>
                <w:color w:val="auto"/>
              </w:rPr>
              <w:t>根据</w:t>
            </w:r>
            <w:r>
              <w:rPr>
                <w:rFonts w:hint="default"/>
                <w:color w:val="auto"/>
              </w:rPr>
              <w:t>《环境影响评价技术导则</w:t>
            </w:r>
            <w:r>
              <w:rPr>
                <w:rFonts w:hint="eastAsia"/>
                <w:color w:val="auto"/>
                <w:lang w:val="en-US" w:eastAsia="zh-CN"/>
              </w:rPr>
              <w:t xml:space="preserve"> 土壤环境（试行）</w:t>
            </w:r>
            <w:r>
              <w:rPr>
                <w:rFonts w:hint="default"/>
                <w:color w:val="auto"/>
              </w:rPr>
              <w:t>》</w:t>
            </w:r>
            <w:r>
              <w:rPr>
                <w:rFonts w:hint="eastAsia"/>
                <w:color w:val="auto"/>
                <w:lang w:eastAsia="zh-CN"/>
              </w:rPr>
              <w:t>（HJ 964—2018），</w:t>
            </w:r>
            <w:r>
              <w:rPr>
                <w:rFonts w:hint="eastAsia"/>
                <w:color w:val="auto"/>
                <w:lang w:val="en-US" w:eastAsia="zh-CN"/>
              </w:rPr>
              <w:t>本</w:t>
            </w:r>
            <w:r>
              <w:rPr>
                <w:rFonts w:hint="default"/>
                <w:color w:val="auto"/>
              </w:rPr>
              <w:t>项目行业类别</w:t>
            </w:r>
            <w:r>
              <w:rPr>
                <w:rFonts w:hint="eastAsia"/>
                <w:color w:val="auto"/>
                <w:lang w:val="en-US" w:eastAsia="zh-CN"/>
              </w:rPr>
              <w:t>属于</w:t>
            </w:r>
            <w:r>
              <w:rPr>
                <w:rFonts w:hint="default"/>
                <w:color w:val="auto"/>
              </w:rPr>
              <w:t>采矿业</w:t>
            </w:r>
            <w:r>
              <w:rPr>
                <w:rFonts w:hint="eastAsia"/>
                <w:color w:val="auto"/>
                <w:lang w:eastAsia="zh-CN"/>
              </w:rPr>
              <w:t>，</w:t>
            </w:r>
            <w:r>
              <w:rPr>
                <w:rFonts w:hint="default"/>
                <w:color w:val="auto"/>
              </w:rPr>
              <w:t>根据导则中</w:t>
            </w:r>
            <w:r>
              <w:rPr>
                <w:rFonts w:hint="eastAsia"/>
                <w:color w:val="auto"/>
                <w:lang w:eastAsia="zh-CN"/>
              </w:rPr>
              <w:t>“</w:t>
            </w:r>
            <w:r>
              <w:rPr>
                <w:rFonts w:hint="default"/>
                <w:color w:val="auto"/>
              </w:rPr>
              <w:t>4.2 评价基本任务/</w:t>
            </w:r>
            <w:r>
              <w:rPr>
                <w:rFonts w:hint="default" w:ascii="宋体" w:hAnsi="宋体" w:eastAsia="宋体" w:cs="宋体"/>
                <w:b w:val="0"/>
                <w:bCs w:val="0"/>
                <w:color w:val="auto"/>
                <w:sz w:val="24"/>
                <w:szCs w:val="24"/>
              </w:rPr>
              <w:t>……</w:t>
            </w:r>
            <w:r>
              <w:rPr>
                <w:rFonts w:hint="default"/>
                <w:color w:val="auto"/>
              </w:rPr>
              <w:t>Ⅳ类建设项目可不开展土壤环境影响评价</w:t>
            </w:r>
            <w:r>
              <w:rPr>
                <w:rFonts w:hint="eastAsia"/>
                <w:color w:val="auto"/>
                <w:lang w:eastAsia="zh-CN"/>
              </w:rPr>
              <w:t>”。</w:t>
            </w:r>
            <w:r>
              <w:rPr>
                <w:rFonts w:hint="eastAsia"/>
                <w:color w:val="auto"/>
                <w:lang w:val="en-US" w:eastAsia="zh-CN"/>
              </w:rPr>
              <w:t>因此，本次评价不开展土壤环境质量现状调查。</w:t>
            </w:r>
          </w:p>
          <w:p w14:paraId="14D79F92">
            <w:pPr>
              <w:keepNext w:val="0"/>
              <w:keepLines w:val="0"/>
              <w:suppressLineNumbers w:val="0"/>
              <w:adjustRightInd w:val="0"/>
              <w:snapToGrid w:val="0"/>
              <w:spacing w:before="0" w:beforeAutospacing="0" w:after="0" w:afterAutospacing="0" w:line="360" w:lineRule="auto"/>
              <w:ind w:left="0" w:right="0"/>
              <w:jc w:val="center"/>
              <w:rPr>
                <w:rFonts w:hint="default" w:cs="Times New Roman"/>
                <w:color w:val="auto"/>
                <w:kern w:val="0"/>
                <w:sz w:val="24"/>
              </w:rPr>
            </w:pPr>
          </w:p>
        </w:tc>
      </w:tr>
      <w:tr w14:paraId="62FED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8" w:type="dxa"/>
            <w:noWrap w:val="0"/>
            <w:vAlign w:val="center"/>
          </w:tcPr>
          <w:p w14:paraId="52FE7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cs="Times New Roman"/>
                <w:color w:val="auto"/>
                <w:kern w:val="0"/>
                <w:szCs w:val="21"/>
              </w:rPr>
            </w:pPr>
            <w:r>
              <w:rPr>
                <w:rFonts w:hint="default"/>
                <w:b/>
                <w:bCs/>
                <w:color w:val="auto"/>
              </w:rPr>
              <w:t>与项目有关的原有环境污染和生态破坏问题</w:t>
            </w:r>
          </w:p>
        </w:tc>
        <w:tc>
          <w:tcPr>
            <w:tcW w:w="8649" w:type="dxa"/>
            <w:noWrap w:val="0"/>
            <w:vAlign w:val="center"/>
          </w:tcPr>
          <w:p w14:paraId="517FBFFC">
            <w:pPr>
              <w:keepNext w:val="0"/>
              <w:keepLines w:val="0"/>
              <w:suppressLineNumbers w:val="0"/>
              <w:bidi w:val="0"/>
              <w:spacing w:before="0" w:beforeAutospacing="0" w:after="0" w:afterAutospacing="0"/>
              <w:ind w:left="0" w:right="0"/>
              <w:rPr>
                <w:rFonts w:hint="eastAsia"/>
                <w:color w:val="auto"/>
                <w:lang w:eastAsia="zh-CN"/>
              </w:rPr>
            </w:pPr>
            <w:r>
              <w:rPr>
                <w:rFonts w:hint="default"/>
                <w:color w:val="auto"/>
              </w:rPr>
              <w:t>治理区</w:t>
            </w:r>
            <w:r>
              <w:rPr>
                <w:rFonts w:hint="eastAsia"/>
                <w:color w:val="auto"/>
                <w:lang w:val="en-US" w:eastAsia="zh-CN"/>
              </w:rPr>
              <w:t>原有</w:t>
            </w:r>
            <w:r>
              <w:rPr>
                <w:rFonts w:hint="default"/>
                <w:color w:val="auto"/>
              </w:rPr>
              <w:t>环境问题主要为矿山开采引起，露天开采不但破坏了矿区内的原生地形地貌，形成强烈视觉污染，也导致一系列矿山地质环境问题发生或加剧已存在问题。目前区内主要地质环境问题为露天开采形成的高陡边坡引发潜在崩塌等地质灾害，采矿活动产生的采坑、地形地貌景观、土地资源等</w:t>
            </w:r>
            <w:r>
              <w:rPr>
                <w:rFonts w:hint="eastAsia"/>
                <w:color w:val="auto"/>
                <w:lang w:eastAsia="zh-CN"/>
              </w:rPr>
              <w:t>，</w:t>
            </w:r>
            <w:r>
              <w:rPr>
                <w:rFonts w:hint="default"/>
                <w:color w:val="auto"/>
              </w:rPr>
              <w:t>不存在原有污染情况</w:t>
            </w:r>
            <w:r>
              <w:rPr>
                <w:rFonts w:hint="eastAsia"/>
                <w:color w:val="auto"/>
                <w:lang w:eastAsia="zh-CN"/>
              </w:rPr>
              <w:t>。</w:t>
            </w:r>
          </w:p>
          <w:p w14:paraId="03F01C56">
            <w:pPr>
              <w:keepNext w:val="0"/>
              <w:keepLines w:val="0"/>
              <w:suppressLineNumbers w:val="0"/>
              <w:bidi w:val="0"/>
              <w:spacing w:before="0" w:beforeAutospacing="0" w:after="0" w:afterAutospacing="0"/>
              <w:ind w:left="0" w:right="0"/>
              <w:rPr>
                <w:rFonts w:hint="default"/>
                <w:color w:val="auto"/>
                <w:lang w:val="en-US" w:eastAsia="zh-CN"/>
              </w:rPr>
            </w:pPr>
            <w:r>
              <w:rPr>
                <w:rFonts w:hint="default" w:ascii="宋体" w:hAnsi="宋体" w:eastAsia="宋体" w:cs="宋体"/>
                <w:b w:val="0"/>
                <w:bCs w:val="0"/>
                <w:color w:val="auto"/>
                <w:sz w:val="24"/>
                <w:szCs w:val="24"/>
              </w:rPr>
              <w:t>项目区渣堆</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矿渣</w:t>
            </w:r>
            <w:r>
              <w:rPr>
                <w:rFonts w:hint="default" w:ascii="宋体" w:hAnsi="宋体" w:eastAsia="宋体" w:cs="宋体"/>
                <w:b w:val="0"/>
                <w:bCs w:val="0"/>
                <w:color w:val="auto"/>
                <w:sz w:val="24"/>
                <w:szCs w:val="24"/>
              </w:rPr>
              <w:t>以大块的岩石为主</w:t>
            </w:r>
            <w:r>
              <w:rPr>
                <w:rFonts w:hint="eastAsia" w:ascii="宋体" w:hAnsi="宋体" w:eastAsia="宋体" w:cs="宋体"/>
                <w:b w:val="0"/>
                <w:bCs w:val="0"/>
                <w:color w:val="auto"/>
                <w:sz w:val="24"/>
                <w:szCs w:val="24"/>
                <w:lang w:eastAsia="zh-CN"/>
              </w:rPr>
              <w:t>，</w:t>
            </w:r>
            <w:r>
              <w:rPr>
                <w:rFonts w:hint="eastAsia" w:ascii="宋体" w:hAnsi="宋体" w:cs="宋体"/>
                <w:b w:val="0"/>
                <w:bCs w:val="0"/>
                <w:color w:val="auto"/>
                <w:sz w:val="24"/>
                <w:szCs w:val="24"/>
                <w:lang w:val="en-US" w:eastAsia="zh-CN"/>
              </w:rPr>
              <w:t>在治理区内就地填埋，</w:t>
            </w:r>
            <w:r>
              <w:rPr>
                <w:rFonts w:hint="eastAsia"/>
                <w:color w:val="auto"/>
              </w:rPr>
              <w:t>与项目有关的生态破坏问题</w:t>
            </w:r>
            <w:r>
              <w:rPr>
                <w:rFonts w:hint="default"/>
                <w:color w:val="auto"/>
              </w:rPr>
              <w:t>见表</w:t>
            </w:r>
            <w:r>
              <w:rPr>
                <w:rFonts w:hint="eastAsia"/>
                <w:color w:val="auto"/>
                <w:lang w:val="en-US" w:eastAsia="zh-CN"/>
              </w:rPr>
              <w:t>3</w:t>
            </w:r>
            <w:r>
              <w:rPr>
                <w:rFonts w:hint="default"/>
                <w:color w:val="auto"/>
              </w:rPr>
              <w:t>-</w:t>
            </w:r>
            <w:r>
              <w:rPr>
                <w:rFonts w:hint="eastAsia"/>
                <w:color w:val="auto"/>
                <w:lang w:val="en-US" w:eastAsia="zh-CN"/>
              </w:rPr>
              <w:t>6</w:t>
            </w:r>
            <w:r>
              <w:rPr>
                <w:rFonts w:hint="eastAsia"/>
                <w:color w:val="auto"/>
              </w:rPr>
              <w:t>。</w:t>
            </w:r>
            <w:r>
              <w:rPr>
                <w:rFonts w:hint="eastAsia"/>
                <w:color w:val="auto"/>
                <w:lang w:val="en-US" w:eastAsia="zh-CN"/>
              </w:rPr>
              <w:t>主要问题现状图见图3-2。</w:t>
            </w:r>
          </w:p>
          <w:p w14:paraId="4F3935A2">
            <w:pPr>
              <w:pStyle w:val="3"/>
              <w:keepNext w:val="0"/>
              <w:keepLines w:val="0"/>
              <w:suppressLineNumbers w:val="0"/>
              <w:bidi w:val="0"/>
              <w:spacing w:before="0" w:beforeAutospacing="0" w:after="0" w:afterAutospacing="0"/>
              <w:ind w:left="0" w:right="0"/>
              <w:rPr>
                <w:rFonts w:hint="default"/>
                <w:color w:val="auto"/>
              </w:rPr>
            </w:pPr>
            <w:r>
              <w:rPr>
                <w:rFonts w:hint="default"/>
                <w:color w:val="auto"/>
              </w:rPr>
              <w:t>表</w:t>
            </w:r>
            <w:r>
              <w:rPr>
                <w:rFonts w:hint="eastAsia"/>
                <w:color w:val="auto"/>
                <w:lang w:val="en-US" w:eastAsia="zh-CN"/>
              </w:rPr>
              <w:t>3-6</w:t>
            </w:r>
            <w:r>
              <w:rPr>
                <w:rFonts w:hint="default"/>
                <w:color w:val="auto"/>
              </w:rPr>
              <w:t xml:space="preserve">  各治理区</w:t>
            </w:r>
            <w:r>
              <w:rPr>
                <w:rFonts w:hint="eastAsia"/>
                <w:color w:val="auto"/>
              </w:rPr>
              <w:t>生态破坏问题</w:t>
            </w:r>
            <w:r>
              <w:rPr>
                <w:rFonts w:hint="default"/>
                <w:color w:val="auto"/>
              </w:rPr>
              <w:t>统计表</w:t>
            </w:r>
          </w:p>
          <w:tbl>
            <w:tblPr>
              <w:tblStyle w:val="81"/>
              <w:tblW w:w="83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08"/>
              <w:gridCol w:w="1476"/>
              <w:gridCol w:w="2847"/>
              <w:gridCol w:w="2848"/>
            </w:tblGrid>
            <w:tr w14:paraId="7D1A1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8" w:type="dxa"/>
                  <w:tcBorders>
                    <w:tl2br w:val="nil"/>
                    <w:tr2bl w:val="nil"/>
                  </w:tcBorders>
                  <w:noWrap w:val="0"/>
                  <w:vAlign w:val="center"/>
                </w:tcPr>
                <w:p w14:paraId="570060DC">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片区编号</w:t>
                  </w:r>
                </w:p>
              </w:tc>
              <w:tc>
                <w:tcPr>
                  <w:tcW w:w="1476" w:type="dxa"/>
                  <w:tcBorders>
                    <w:tl2br w:val="nil"/>
                    <w:tr2bl w:val="nil"/>
                  </w:tcBorders>
                  <w:noWrap w:val="0"/>
                  <w:vAlign w:val="center"/>
                </w:tcPr>
                <w:p w14:paraId="0A338C3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面积（hm</w:t>
                  </w:r>
                  <w:r>
                    <w:rPr>
                      <w:rFonts w:ascii="Times New Roman" w:hAnsi="Times New Roman" w:eastAsia="宋体" w:cs="Times New Roman"/>
                      <w:b/>
                      <w:bCs/>
                      <w:color w:val="auto"/>
                      <w:kern w:val="0"/>
                      <w:sz w:val="21"/>
                      <w:szCs w:val="21"/>
                      <w:vertAlign w:val="superscript"/>
                      <w:lang w:val="en-US" w:eastAsia="zh-CN" w:bidi="ar-SA"/>
                    </w:rPr>
                    <w:t>2</w:t>
                  </w:r>
                  <w:r>
                    <w:rPr>
                      <w:rFonts w:ascii="Times New Roman" w:hAnsi="Times New Roman" w:eastAsia="宋体" w:cs="Times New Roman"/>
                      <w:b/>
                      <w:bCs/>
                      <w:color w:val="auto"/>
                      <w:kern w:val="0"/>
                      <w:sz w:val="21"/>
                      <w:szCs w:val="21"/>
                      <w:lang w:val="en-US" w:eastAsia="zh-CN" w:bidi="ar-SA"/>
                    </w:rPr>
                    <w:t>）</w:t>
                  </w:r>
                </w:p>
              </w:tc>
              <w:tc>
                <w:tcPr>
                  <w:tcW w:w="2847" w:type="dxa"/>
                  <w:tcBorders>
                    <w:tl2br w:val="nil"/>
                    <w:tr2bl w:val="nil"/>
                  </w:tcBorders>
                  <w:noWrap w:val="0"/>
                  <w:vAlign w:val="center"/>
                </w:tcPr>
                <w:p w14:paraId="07199ACD">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原有生态破坏问题</w:t>
                  </w:r>
                </w:p>
              </w:tc>
              <w:tc>
                <w:tcPr>
                  <w:tcW w:w="2848" w:type="dxa"/>
                  <w:tcBorders>
                    <w:tl2br w:val="nil"/>
                    <w:tr2bl w:val="nil"/>
                  </w:tcBorders>
                  <w:noWrap w:val="0"/>
                  <w:vAlign w:val="center"/>
                </w:tcPr>
                <w:p w14:paraId="14D9772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治理措施</w:t>
                  </w:r>
                </w:p>
              </w:tc>
            </w:tr>
            <w:tr w14:paraId="374EEA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1208" w:type="dxa"/>
                  <w:tcBorders>
                    <w:tl2br w:val="nil"/>
                    <w:tr2bl w:val="nil"/>
                  </w:tcBorders>
                  <w:noWrap w:val="0"/>
                  <w:vAlign w:val="center"/>
                </w:tcPr>
                <w:p w14:paraId="5D82E90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w:t>
                  </w:r>
                </w:p>
              </w:tc>
              <w:tc>
                <w:tcPr>
                  <w:tcW w:w="1476" w:type="dxa"/>
                  <w:tcBorders>
                    <w:tl2br w:val="nil"/>
                    <w:tr2bl w:val="nil"/>
                  </w:tcBorders>
                  <w:noWrap w:val="0"/>
                  <w:vAlign w:val="center"/>
                </w:tcPr>
                <w:p w14:paraId="2D79AD4F">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8.34</w:t>
                  </w:r>
                </w:p>
              </w:tc>
              <w:tc>
                <w:tcPr>
                  <w:tcW w:w="2847" w:type="dxa"/>
                  <w:tcBorders>
                    <w:tl2br w:val="nil"/>
                    <w:tr2bl w:val="nil"/>
                  </w:tcBorders>
                  <w:noWrap w:val="0"/>
                  <w:vAlign w:val="center"/>
                </w:tcPr>
                <w:p w14:paraId="26FD584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场地内有2处采坑，采坑1平面面积为880m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最大深度为2.5m，容积为2661.17m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；采坑2平面面积为402m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,最大深度为3.5m，容积为922.85m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；东侧堆放有矿渣堆，高度2-3m，南两侧为开挖形成的高陡坎，长297.8m，高5—15m</w:t>
                  </w:r>
                </w:p>
              </w:tc>
              <w:tc>
                <w:tcPr>
                  <w:tcW w:w="2848" w:type="dxa"/>
                  <w:tcBorders>
                    <w:tl2br w:val="nil"/>
                    <w:tr2bl w:val="nil"/>
                  </w:tcBorders>
                  <w:noWrap w:val="0"/>
                  <w:vAlign w:val="center"/>
                </w:tcPr>
                <w:p w14:paraId="393FEFC3">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及采坑，</w:t>
                  </w:r>
                  <w:r>
                    <w:rPr>
                      <w:rFonts w:hint="default" w:ascii="Times New Roman" w:hAnsi="Times New Roman" w:eastAsia="宋体" w:cs="Times New Roman"/>
                      <w:color w:val="auto"/>
                      <w:kern w:val="0"/>
                      <w:sz w:val="21"/>
                      <w:szCs w:val="21"/>
                      <w:lang w:val="en-US" w:eastAsia="zh-CN" w:bidi="ar-SA"/>
                    </w:rPr>
                    <w:t>回填后穴播草籽绿化</w:t>
                  </w:r>
                </w:p>
              </w:tc>
            </w:tr>
            <w:tr w14:paraId="3799FC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08" w:type="dxa"/>
                  <w:tcBorders>
                    <w:tl2br w:val="nil"/>
                    <w:tr2bl w:val="nil"/>
                  </w:tcBorders>
                  <w:noWrap w:val="0"/>
                  <w:vAlign w:val="center"/>
                </w:tcPr>
                <w:p w14:paraId="74FDC65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w:t>
                  </w:r>
                </w:p>
              </w:tc>
              <w:tc>
                <w:tcPr>
                  <w:tcW w:w="1476" w:type="dxa"/>
                  <w:tcBorders>
                    <w:tl2br w:val="nil"/>
                    <w:tr2bl w:val="nil"/>
                  </w:tcBorders>
                  <w:noWrap w:val="0"/>
                  <w:vAlign w:val="center"/>
                </w:tcPr>
                <w:p w14:paraId="280C77F4">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2.91</w:t>
                  </w:r>
                </w:p>
              </w:tc>
              <w:tc>
                <w:tcPr>
                  <w:tcW w:w="2847" w:type="dxa"/>
                  <w:tcBorders>
                    <w:tl2br w:val="nil"/>
                    <w:tr2bl w:val="nil"/>
                  </w:tcBorders>
                  <w:noWrap w:val="0"/>
                  <w:vAlign w:val="center"/>
                </w:tcPr>
                <w:p w14:paraId="2A0444AD">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场地位于耕地周边，堆放有少量生活垃圾，零星有小土堆</w:t>
                  </w:r>
                </w:p>
              </w:tc>
              <w:tc>
                <w:tcPr>
                  <w:tcW w:w="2848" w:type="dxa"/>
                  <w:tcBorders>
                    <w:tl2br w:val="nil"/>
                    <w:tr2bl w:val="nil"/>
                  </w:tcBorders>
                  <w:noWrap w:val="0"/>
                  <w:vAlign w:val="center"/>
                </w:tcPr>
                <w:p w14:paraId="5E1012A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生活垃送至邻近村庄生活垃圾收集点，由当地环卫部门统一清运处置，</w:t>
                  </w:r>
                  <w:r>
                    <w:rPr>
                      <w:rFonts w:hint="default" w:ascii="Times New Roman" w:hAnsi="Times New Roman" w:eastAsia="宋体" w:cs="Times New Roman"/>
                      <w:color w:val="auto"/>
                      <w:kern w:val="0"/>
                      <w:sz w:val="21"/>
                      <w:szCs w:val="21"/>
                      <w:lang w:val="en-US" w:eastAsia="zh-CN" w:bidi="ar-SA"/>
                    </w:rPr>
                    <w:t>零星有小土堆</w:t>
                  </w:r>
                  <w:r>
                    <w:rPr>
                      <w:rFonts w:hint="eastAsia" w:ascii="Times New Roman" w:hAnsi="Times New Roman" w:eastAsia="宋体" w:cs="Times New Roman"/>
                      <w:color w:val="auto"/>
                      <w:kern w:val="0"/>
                      <w:sz w:val="21"/>
                      <w:szCs w:val="21"/>
                      <w:lang w:val="en-US" w:eastAsia="zh-CN" w:bidi="ar-SA"/>
                    </w:rPr>
                    <w:t>用于场地平整</w:t>
                  </w:r>
                </w:p>
              </w:tc>
            </w:tr>
            <w:tr w14:paraId="1F57C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1208" w:type="dxa"/>
                  <w:tcBorders>
                    <w:tl2br w:val="nil"/>
                    <w:tr2bl w:val="nil"/>
                  </w:tcBorders>
                  <w:noWrap w:val="0"/>
                  <w:vAlign w:val="center"/>
                </w:tcPr>
                <w:p w14:paraId="5F750146">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w:t>
                  </w:r>
                </w:p>
              </w:tc>
              <w:tc>
                <w:tcPr>
                  <w:tcW w:w="1476" w:type="dxa"/>
                  <w:tcBorders>
                    <w:tl2br w:val="nil"/>
                    <w:tr2bl w:val="nil"/>
                  </w:tcBorders>
                  <w:noWrap w:val="0"/>
                  <w:vAlign w:val="center"/>
                </w:tcPr>
                <w:p w14:paraId="4E000E5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2.51</w:t>
                  </w:r>
                </w:p>
              </w:tc>
              <w:tc>
                <w:tcPr>
                  <w:tcW w:w="2847" w:type="dxa"/>
                  <w:tcBorders>
                    <w:tl2br w:val="nil"/>
                    <w:tr2bl w:val="nil"/>
                  </w:tcBorders>
                  <w:noWrap w:val="0"/>
                  <w:vAlign w:val="center"/>
                </w:tcPr>
                <w:p w14:paraId="7DABD134">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场地南北两侧依坡堆放有废渣，厚度1-2m，场地南侧开挖形成陡坎，长20m，高2-3m，废渣依坡堆放，场地内堆放有零星废渣，局部遗留有硬化地面</w:t>
                  </w:r>
                </w:p>
              </w:tc>
              <w:tc>
                <w:tcPr>
                  <w:tcW w:w="2848" w:type="dxa"/>
                  <w:tcBorders>
                    <w:tl2br w:val="nil"/>
                    <w:tr2bl w:val="nil"/>
                  </w:tcBorders>
                  <w:noWrap w:val="0"/>
                  <w:vAlign w:val="center"/>
                </w:tcPr>
                <w:p w14:paraId="64BC973F">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废渣回填与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回填之后进行</w:t>
                  </w:r>
                  <w:r>
                    <w:rPr>
                      <w:rFonts w:hint="eastAsia" w:ascii="Times New Roman" w:hAnsi="Times New Roman" w:eastAsia="宋体" w:cs="Times New Roman"/>
                      <w:color w:val="auto"/>
                      <w:kern w:val="0"/>
                      <w:sz w:val="21"/>
                      <w:szCs w:val="21"/>
                      <w:lang w:val="en-US" w:eastAsia="zh-CN" w:bidi="ar-SA"/>
                    </w:rPr>
                    <w:t>覆土、</w:t>
                  </w:r>
                  <w:r>
                    <w:rPr>
                      <w:rFonts w:hint="default" w:ascii="Times New Roman" w:hAnsi="Times New Roman" w:eastAsia="宋体" w:cs="Times New Roman"/>
                      <w:color w:val="auto"/>
                      <w:kern w:val="0"/>
                      <w:sz w:val="21"/>
                      <w:szCs w:val="21"/>
                      <w:lang w:val="en-US" w:eastAsia="zh-CN" w:bidi="ar-SA"/>
                    </w:rPr>
                    <w:t>穴播草籽绿化</w:t>
                  </w:r>
                </w:p>
              </w:tc>
            </w:tr>
            <w:tr w14:paraId="54FC64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1208" w:type="dxa"/>
                  <w:tcBorders>
                    <w:tl2br w:val="nil"/>
                    <w:tr2bl w:val="nil"/>
                  </w:tcBorders>
                  <w:noWrap w:val="0"/>
                  <w:vAlign w:val="center"/>
                </w:tcPr>
                <w:p w14:paraId="1BC60703">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A4</w:t>
                  </w:r>
                </w:p>
              </w:tc>
              <w:tc>
                <w:tcPr>
                  <w:tcW w:w="1476" w:type="dxa"/>
                  <w:tcBorders>
                    <w:tl2br w:val="nil"/>
                    <w:tr2bl w:val="nil"/>
                  </w:tcBorders>
                  <w:noWrap w:val="0"/>
                  <w:vAlign w:val="center"/>
                </w:tcPr>
                <w:p w14:paraId="7E2E2A57">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5.17</w:t>
                  </w:r>
                </w:p>
              </w:tc>
              <w:tc>
                <w:tcPr>
                  <w:tcW w:w="2847" w:type="dxa"/>
                  <w:tcBorders>
                    <w:tl2br w:val="nil"/>
                    <w:tr2bl w:val="nil"/>
                  </w:tcBorders>
                  <w:noWrap w:val="0"/>
                  <w:vAlign w:val="center"/>
                </w:tcPr>
                <w:p w14:paraId="6572E81E">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场地基本平整，在场地西北侧堆放建筑垃圾</w:t>
                  </w:r>
                </w:p>
              </w:tc>
              <w:tc>
                <w:tcPr>
                  <w:tcW w:w="2848" w:type="dxa"/>
                  <w:tcBorders>
                    <w:tl2br w:val="nil"/>
                    <w:tr2bl w:val="nil"/>
                  </w:tcBorders>
                  <w:noWrap w:val="0"/>
                  <w:vAlign w:val="center"/>
                </w:tcPr>
                <w:p w14:paraId="43D4246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建筑垃圾定期清运至指定地点处理</w:t>
                  </w:r>
                </w:p>
              </w:tc>
            </w:tr>
            <w:tr w14:paraId="24BC16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 w:hRule="atLeast"/>
                <w:jc w:val="center"/>
              </w:trPr>
              <w:tc>
                <w:tcPr>
                  <w:tcW w:w="1208" w:type="dxa"/>
                  <w:tcBorders>
                    <w:tl2br w:val="nil"/>
                    <w:tr2bl w:val="nil"/>
                  </w:tcBorders>
                  <w:noWrap w:val="0"/>
                  <w:vAlign w:val="center"/>
                </w:tcPr>
                <w:p w14:paraId="5BF35EC7">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A5</w:t>
                  </w:r>
                </w:p>
              </w:tc>
              <w:tc>
                <w:tcPr>
                  <w:tcW w:w="1476" w:type="dxa"/>
                  <w:tcBorders>
                    <w:tl2br w:val="nil"/>
                    <w:tr2bl w:val="nil"/>
                  </w:tcBorders>
                  <w:noWrap w:val="0"/>
                  <w:vAlign w:val="center"/>
                </w:tcPr>
                <w:p w14:paraId="0D63E09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62.3</w:t>
                  </w:r>
                </w:p>
              </w:tc>
              <w:tc>
                <w:tcPr>
                  <w:tcW w:w="2847" w:type="dxa"/>
                  <w:tcBorders>
                    <w:tl2br w:val="nil"/>
                    <w:tr2bl w:val="nil"/>
                  </w:tcBorders>
                  <w:noWrap w:val="0"/>
                  <w:vAlign w:val="center"/>
                </w:tcPr>
                <w:p w14:paraId="5D615C93">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场地内东侧区域堆放有矿渣，平面面积为56300m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，厚度为0.5—1.5m，采坑1平面面积为2775m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,最大深度为3.0m，容积为3809.32m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；采坑2平面面积为824.35m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,最大深度为4.5m，容积为2885.23m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；采坑3平面面积为691.53m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,最大深度为3.0m，容积为2074.59m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；场地内有6处斜坡</w:t>
                  </w:r>
                </w:p>
              </w:tc>
              <w:tc>
                <w:tcPr>
                  <w:tcW w:w="2848" w:type="dxa"/>
                  <w:tcBorders>
                    <w:tl2br w:val="nil"/>
                    <w:tr2bl w:val="nil"/>
                  </w:tcBorders>
                  <w:noWrap w:val="0"/>
                  <w:vAlign w:val="center"/>
                </w:tcPr>
                <w:p w14:paraId="49906A48">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回填之后进行场地平整</w:t>
                  </w:r>
                  <w:r>
                    <w:rPr>
                      <w:rFonts w:hint="eastAsia" w:ascii="Times New Roman" w:hAnsi="Times New Roman" w:eastAsia="宋体" w:cs="Times New Roman"/>
                      <w:color w:val="auto"/>
                      <w:kern w:val="0"/>
                      <w:sz w:val="21"/>
                      <w:szCs w:val="21"/>
                      <w:lang w:val="en-US" w:eastAsia="zh-CN" w:bidi="ar-SA"/>
                    </w:rPr>
                    <w:t>、覆土、</w:t>
                  </w:r>
                  <w:r>
                    <w:rPr>
                      <w:rFonts w:hint="default" w:ascii="Times New Roman" w:hAnsi="Times New Roman" w:eastAsia="宋体" w:cs="Times New Roman"/>
                      <w:color w:val="auto"/>
                      <w:kern w:val="0"/>
                      <w:sz w:val="21"/>
                      <w:szCs w:val="21"/>
                      <w:lang w:val="en-US" w:eastAsia="zh-CN" w:bidi="ar-SA"/>
                    </w:rPr>
                    <w:t>穴播草籽绿化</w:t>
                  </w:r>
                </w:p>
              </w:tc>
            </w:tr>
            <w:tr w14:paraId="60631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7BF07E2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A6</w:t>
                  </w:r>
                </w:p>
              </w:tc>
              <w:tc>
                <w:tcPr>
                  <w:tcW w:w="1476" w:type="dxa"/>
                  <w:tcBorders>
                    <w:tl2br w:val="nil"/>
                    <w:tr2bl w:val="nil"/>
                  </w:tcBorders>
                  <w:noWrap w:val="0"/>
                  <w:vAlign w:val="center"/>
                </w:tcPr>
                <w:p w14:paraId="23A6B6C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29.97</w:t>
                  </w:r>
                </w:p>
              </w:tc>
              <w:tc>
                <w:tcPr>
                  <w:tcW w:w="2847" w:type="dxa"/>
                  <w:tcBorders>
                    <w:tl2br w:val="nil"/>
                    <w:tr2bl w:val="nil"/>
                  </w:tcBorders>
                  <w:noWrap w:val="0"/>
                  <w:vAlign w:val="center"/>
                </w:tcPr>
                <w:p w14:paraId="16481AA0">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场地基本平整，零星堆放有矿渣，</w:t>
                  </w:r>
                </w:p>
              </w:tc>
              <w:tc>
                <w:tcPr>
                  <w:tcW w:w="2848" w:type="dxa"/>
                  <w:tcBorders>
                    <w:tl2br w:val="nil"/>
                    <w:tr2bl w:val="nil"/>
                  </w:tcBorders>
                  <w:noWrap w:val="0"/>
                  <w:vAlign w:val="center"/>
                </w:tcPr>
                <w:p w14:paraId="19020402">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少量矿渣在场地平整时回填于表层土壤下面</w:t>
                  </w:r>
                </w:p>
              </w:tc>
            </w:tr>
            <w:tr w14:paraId="5BD684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0A336AA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A7</w:t>
                  </w:r>
                </w:p>
              </w:tc>
              <w:tc>
                <w:tcPr>
                  <w:tcW w:w="1476" w:type="dxa"/>
                  <w:tcBorders>
                    <w:tl2br w:val="nil"/>
                    <w:tr2bl w:val="nil"/>
                  </w:tcBorders>
                  <w:noWrap w:val="0"/>
                  <w:vAlign w:val="center"/>
                </w:tcPr>
                <w:p w14:paraId="1DD89454">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2.52</w:t>
                  </w:r>
                </w:p>
              </w:tc>
              <w:tc>
                <w:tcPr>
                  <w:tcW w:w="2847" w:type="dxa"/>
                  <w:tcBorders>
                    <w:tl2br w:val="nil"/>
                    <w:tr2bl w:val="nil"/>
                  </w:tcBorders>
                  <w:noWrap w:val="0"/>
                  <w:vAlign w:val="center"/>
                </w:tcPr>
                <w:p w14:paraId="26CB6E44">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场地基本平整，零星堆放有生活垃圾</w:t>
                  </w:r>
                </w:p>
              </w:tc>
              <w:tc>
                <w:tcPr>
                  <w:tcW w:w="2848" w:type="dxa"/>
                  <w:tcBorders>
                    <w:tl2br w:val="nil"/>
                    <w:tr2bl w:val="nil"/>
                  </w:tcBorders>
                  <w:noWrap w:val="0"/>
                  <w:vAlign w:val="center"/>
                </w:tcPr>
                <w:p w14:paraId="68293B5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生活垃送至邻近村庄生活垃圾收集点，由当地环卫部门统一清运处置</w:t>
                  </w:r>
                </w:p>
              </w:tc>
            </w:tr>
            <w:tr w14:paraId="676CA3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053A5B9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A8</w:t>
                  </w:r>
                </w:p>
              </w:tc>
              <w:tc>
                <w:tcPr>
                  <w:tcW w:w="1476" w:type="dxa"/>
                  <w:tcBorders>
                    <w:tl2br w:val="nil"/>
                    <w:tr2bl w:val="nil"/>
                  </w:tcBorders>
                  <w:noWrap w:val="0"/>
                  <w:vAlign w:val="center"/>
                </w:tcPr>
                <w:p w14:paraId="6764D2D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1.31</w:t>
                  </w:r>
                </w:p>
              </w:tc>
              <w:tc>
                <w:tcPr>
                  <w:tcW w:w="2847" w:type="dxa"/>
                  <w:tcBorders>
                    <w:tl2br w:val="nil"/>
                    <w:tr2bl w:val="nil"/>
                  </w:tcBorders>
                  <w:noWrap w:val="0"/>
                  <w:vAlign w:val="center"/>
                </w:tcPr>
                <w:p w14:paraId="3F3751C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场地基本平整，零星堆放有矿渣</w:t>
                  </w:r>
                </w:p>
              </w:tc>
              <w:tc>
                <w:tcPr>
                  <w:tcW w:w="2848" w:type="dxa"/>
                  <w:tcBorders>
                    <w:tl2br w:val="nil"/>
                    <w:tr2bl w:val="nil"/>
                  </w:tcBorders>
                  <w:noWrap w:val="0"/>
                  <w:vAlign w:val="center"/>
                </w:tcPr>
                <w:p w14:paraId="298F3D2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少量矿渣在场地平整时回填于表层土壤下面</w:t>
                  </w:r>
                </w:p>
              </w:tc>
            </w:tr>
            <w:tr w14:paraId="1626F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162EAAD7">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A9</w:t>
                  </w:r>
                </w:p>
              </w:tc>
              <w:tc>
                <w:tcPr>
                  <w:tcW w:w="1476" w:type="dxa"/>
                  <w:tcBorders>
                    <w:tl2br w:val="nil"/>
                    <w:tr2bl w:val="nil"/>
                  </w:tcBorders>
                  <w:noWrap w:val="0"/>
                  <w:vAlign w:val="center"/>
                </w:tcPr>
                <w:p w14:paraId="749DEEA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10.62</w:t>
                  </w:r>
                </w:p>
              </w:tc>
              <w:tc>
                <w:tcPr>
                  <w:tcW w:w="2847" w:type="dxa"/>
                  <w:tcBorders>
                    <w:tl2br w:val="nil"/>
                    <w:tr2bl w:val="nil"/>
                  </w:tcBorders>
                  <w:noWrap w:val="0"/>
                  <w:vAlign w:val="center"/>
                </w:tcPr>
                <w:p w14:paraId="31F6010D">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场地分布有1处采坑，平面面积为8823.82m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最大深度为7.0m，容积为91636.67m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；堆放有大量的渣堆，面积4316.00m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，厚度0.5-1.0m，东南侧开挖有掌子面，长23.5m，高20-23m，矿山道路部分损毁</w:t>
                  </w:r>
                </w:p>
              </w:tc>
              <w:tc>
                <w:tcPr>
                  <w:tcW w:w="2848" w:type="dxa"/>
                  <w:tcBorders>
                    <w:tl2br w:val="nil"/>
                    <w:tr2bl w:val="nil"/>
                  </w:tcBorders>
                  <w:noWrap w:val="0"/>
                  <w:vAlign w:val="center"/>
                </w:tcPr>
                <w:p w14:paraId="7DB2C496">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渣堆回填于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回填之后进行场地平整</w:t>
                  </w:r>
                  <w:r>
                    <w:rPr>
                      <w:rFonts w:hint="eastAsia" w:ascii="Times New Roman" w:hAnsi="Times New Roman" w:eastAsia="宋体" w:cs="Times New Roman"/>
                      <w:color w:val="auto"/>
                      <w:kern w:val="0"/>
                      <w:sz w:val="21"/>
                      <w:szCs w:val="21"/>
                      <w:lang w:val="en-US" w:eastAsia="zh-CN" w:bidi="ar-SA"/>
                    </w:rPr>
                    <w:t>、覆土、</w:t>
                  </w:r>
                  <w:r>
                    <w:rPr>
                      <w:rFonts w:hint="default" w:ascii="Times New Roman" w:hAnsi="Times New Roman" w:eastAsia="宋体" w:cs="Times New Roman"/>
                      <w:color w:val="auto"/>
                      <w:kern w:val="0"/>
                      <w:sz w:val="21"/>
                      <w:szCs w:val="21"/>
                      <w:lang w:val="en-US" w:eastAsia="zh-CN" w:bidi="ar-SA"/>
                    </w:rPr>
                    <w:t>穴播草籽绿化</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掌子面</w:t>
                  </w:r>
                  <w:r>
                    <w:rPr>
                      <w:rFonts w:hint="eastAsia" w:ascii="Times New Roman" w:hAnsi="Times New Roman" w:eastAsia="宋体" w:cs="Times New Roman"/>
                      <w:color w:val="auto"/>
                      <w:kern w:val="0"/>
                      <w:sz w:val="21"/>
                      <w:szCs w:val="21"/>
                      <w:lang w:val="en-US" w:eastAsia="zh-CN" w:bidi="ar-SA"/>
                    </w:rPr>
                    <w:t>进行</w:t>
                  </w:r>
                  <w:r>
                    <w:rPr>
                      <w:rFonts w:hint="default" w:ascii="Times New Roman" w:hAnsi="Times New Roman" w:eastAsia="宋体" w:cs="Times New Roman"/>
                      <w:color w:val="auto"/>
                      <w:kern w:val="0"/>
                      <w:sz w:val="21"/>
                      <w:szCs w:val="21"/>
                      <w:lang w:val="en-US" w:eastAsia="zh-CN" w:bidi="ar-SA"/>
                    </w:rPr>
                    <w:t>培坡护坡</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矿山道路</w:t>
                  </w:r>
                  <w:r>
                    <w:rPr>
                      <w:rFonts w:hint="eastAsia" w:ascii="Times New Roman" w:hAnsi="Times New Roman" w:eastAsia="宋体" w:cs="Times New Roman"/>
                      <w:color w:val="auto"/>
                      <w:kern w:val="0"/>
                      <w:sz w:val="21"/>
                      <w:szCs w:val="21"/>
                      <w:lang w:val="en-US" w:eastAsia="zh-CN" w:bidi="ar-SA"/>
                    </w:rPr>
                    <w:t>进行</w:t>
                  </w:r>
                  <w:r>
                    <w:rPr>
                      <w:rFonts w:hint="default" w:ascii="Times New Roman" w:hAnsi="Times New Roman" w:eastAsia="宋体" w:cs="Times New Roman"/>
                      <w:color w:val="auto"/>
                      <w:kern w:val="0"/>
                      <w:sz w:val="21"/>
                      <w:szCs w:val="21"/>
                      <w:lang w:val="en-US" w:eastAsia="zh-CN" w:bidi="ar-SA"/>
                    </w:rPr>
                    <w:t>场地平整</w:t>
                  </w:r>
                  <w:r>
                    <w:rPr>
                      <w:rFonts w:hint="eastAsia" w:ascii="Times New Roman" w:hAnsi="Times New Roman" w:eastAsia="宋体" w:cs="Times New Roman"/>
                      <w:color w:val="auto"/>
                      <w:kern w:val="0"/>
                      <w:sz w:val="21"/>
                      <w:szCs w:val="21"/>
                      <w:lang w:val="en-US" w:eastAsia="zh-CN" w:bidi="ar-SA"/>
                    </w:rPr>
                    <w:t>、覆土</w:t>
                  </w:r>
                </w:p>
              </w:tc>
            </w:tr>
            <w:tr w14:paraId="31665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50A7E3F6">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A10</w:t>
                  </w:r>
                </w:p>
              </w:tc>
              <w:tc>
                <w:tcPr>
                  <w:tcW w:w="1476" w:type="dxa"/>
                  <w:tcBorders>
                    <w:tl2br w:val="nil"/>
                    <w:tr2bl w:val="nil"/>
                  </w:tcBorders>
                  <w:noWrap w:val="0"/>
                  <w:vAlign w:val="center"/>
                </w:tcPr>
                <w:p w14:paraId="0DEBB07F">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1.65</w:t>
                  </w:r>
                </w:p>
              </w:tc>
              <w:tc>
                <w:tcPr>
                  <w:tcW w:w="2847" w:type="dxa"/>
                  <w:tcBorders>
                    <w:tl2br w:val="nil"/>
                    <w:tr2bl w:val="nil"/>
                  </w:tcBorders>
                  <w:noWrap w:val="0"/>
                  <w:vAlign w:val="center"/>
                </w:tcPr>
                <w:p w14:paraId="1C187333">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w:t>
                  </w:r>
                </w:p>
              </w:tc>
              <w:tc>
                <w:tcPr>
                  <w:tcW w:w="2848" w:type="dxa"/>
                  <w:tcBorders>
                    <w:tl2br w:val="nil"/>
                    <w:tr2bl w:val="nil"/>
                  </w:tcBorders>
                  <w:noWrap w:val="0"/>
                  <w:vAlign w:val="center"/>
                </w:tcPr>
                <w:p w14:paraId="739AB6E9">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覆土+穴播草籽绿化</w:t>
                  </w:r>
                </w:p>
              </w:tc>
            </w:tr>
            <w:tr w14:paraId="6FB7F9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25DADB2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A11</w:t>
                  </w:r>
                </w:p>
              </w:tc>
              <w:tc>
                <w:tcPr>
                  <w:tcW w:w="1476" w:type="dxa"/>
                  <w:tcBorders>
                    <w:tl2br w:val="nil"/>
                    <w:tr2bl w:val="nil"/>
                  </w:tcBorders>
                  <w:noWrap w:val="0"/>
                  <w:vAlign w:val="center"/>
                </w:tcPr>
                <w:p w14:paraId="2F939AD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7.38</w:t>
                  </w:r>
                </w:p>
              </w:tc>
              <w:tc>
                <w:tcPr>
                  <w:tcW w:w="2847" w:type="dxa"/>
                  <w:tcBorders>
                    <w:tl2br w:val="nil"/>
                    <w:tr2bl w:val="nil"/>
                  </w:tcBorders>
                  <w:noWrap w:val="0"/>
                  <w:vAlign w:val="center"/>
                </w:tcPr>
                <w:p w14:paraId="08FBAD58">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场地堆放有矿渣，平面面积为8480m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，高度为1-3m，场地其他区域基本平整</w:t>
                  </w:r>
                </w:p>
              </w:tc>
              <w:tc>
                <w:tcPr>
                  <w:tcW w:w="2848" w:type="dxa"/>
                  <w:tcBorders>
                    <w:tl2br w:val="nil"/>
                    <w:tr2bl w:val="nil"/>
                  </w:tcBorders>
                  <w:noWrap w:val="0"/>
                  <w:vAlign w:val="center"/>
                </w:tcPr>
                <w:p w14:paraId="57EBDAD6">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平整矿渣，然后在矿渣表面覆土、</w:t>
                  </w:r>
                  <w:r>
                    <w:rPr>
                      <w:rFonts w:hint="default" w:ascii="Times New Roman" w:hAnsi="Times New Roman" w:eastAsia="宋体" w:cs="Times New Roman"/>
                      <w:color w:val="auto"/>
                      <w:kern w:val="0"/>
                      <w:sz w:val="21"/>
                      <w:szCs w:val="21"/>
                      <w:lang w:val="en-US" w:eastAsia="zh-CN" w:bidi="ar-SA"/>
                    </w:rPr>
                    <w:t>穴播草籽绿化</w:t>
                  </w:r>
                </w:p>
              </w:tc>
            </w:tr>
            <w:tr w14:paraId="107B3B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136129BF">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A12</w:t>
                  </w:r>
                </w:p>
              </w:tc>
              <w:tc>
                <w:tcPr>
                  <w:tcW w:w="1476" w:type="dxa"/>
                  <w:tcBorders>
                    <w:tl2br w:val="nil"/>
                    <w:tr2bl w:val="nil"/>
                  </w:tcBorders>
                  <w:noWrap w:val="0"/>
                  <w:vAlign w:val="center"/>
                </w:tcPr>
                <w:p w14:paraId="46CA368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9.45</w:t>
                  </w:r>
                </w:p>
              </w:tc>
              <w:tc>
                <w:tcPr>
                  <w:tcW w:w="2847" w:type="dxa"/>
                  <w:tcBorders>
                    <w:tl2br w:val="nil"/>
                    <w:tr2bl w:val="nil"/>
                  </w:tcBorders>
                  <w:noWrap w:val="0"/>
                  <w:vAlign w:val="center"/>
                </w:tcPr>
                <w:p w14:paraId="6F46718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场地基本平整，零星有小土堆，局部区域已植树绿化</w:t>
                  </w:r>
                </w:p>
              </w:tc>
              <w:tc>
                <w:tcPr>
                  <w:tcW w:w="2848" w:type="dxa"/>
                  <w:tcBorders>
                    <w:tl2br w:val="nil"/>
                    <w:tr2bl w:val="nil"/>
                  </w:tcBorders>
                  <w:noWrap w:val="0"/>
                  <w:vAlign w:val="center"/>
                </w:tcPr>
                <w:p w14:paraId="0699BEA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平整小土堆，</w:t>
                  </w:r>
                  <w:r>
                    <w:rPr>
                      <w:rFonts w:hint="default" w:ascii="Times New Roman" w:hAnsi="Times New Roman" w:eastAsia="宋体" w:cs="Times New Roman"/>
                      <w:color w:val="auto"/>
                      <w:kern w:val="0"/>
                      <w:sz w:val="21"/>
                      <w:szCs w:val="21"/>
                      <w:lang w:val="en-US" w:eastAsia="zh-CN" w:bidi="ar-SA"/>
                    </w:rPr>
                    <w:t>穴播草籽绿化</w:t>
                  </w:r>
                </w:p>
              </w:tc>
            </w:tr>
            <w:tr w14:paraId="23B955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46007156">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A13</w:t>
                  </w:r>
                </w:p>
              </w:tc>
              <w:tc>
                <w:tcPr>
                  <w:tcW w:w="1476" w:type="dxa"/>
                  <w:tcBorders>
                    <w:tl2br w:val="nil"/>
                    <w:tr2bl w:val="nil"/>
                  </w:tcBorders>
                  <w:noWrap w:val="0"/>
                  <w:vAlign w:val="center"/>
                </w:tcPr>
                <w:p w14:paraId="0F37062D">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0.7</w:t>
                  </w:r>
                </w:p>
              </w:tc>
              <w:tc>
                <w:tcPr>
                  <w:tcW w:w="2847" w:type="dxa"/>
                  <w:tcBorders>
                    <w:tl2br w:val="nil"/>
                    <w:tr2bl w:val="nil"/>
                  </w:tcBorders>
                  <w:noWrap w:val="0"/>
                  <w:vAlign w:val="center"/>
                </w:tcPr>
                <w:p w14:paraId="28BAEBDB">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场地堆放有矿渣，开采有1处采坑，平面面积为225.5m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,最大深度为2.0m，容积为669.58m</w:t>
                  </w:r>
                  <w:r>
                    <w:rPr>
                      <w:rFonts w:hint="default" w:ascii="Times New Roman" w:hAnsi="Times New Roman" w:eastAsia="宋体" w:cs="Times New Roman"/>
                      <w:color w:val="auto"/>
                      <w:kern w:val="0"/>
                      <w:sz w:val="21"/>
                      <w:szCs w:val="21"/>
                      <w:vertAlign w:val="superscript"/>
                      <w:lang w:val="en-US" w:eastAsia="zh-CN" w:bidi="ar-SA"/>
                    </w:rPr>
                    <w:t>3</w:t>
                  </w:r>
                </w:p>
              </w:tc>
              <w:tc>
                <w:tcPr>
                  <w:tcW w:w="2848" w:type="dxa"/>
                  <w:tcBorders>
                    <w:tl2br w:val="nil"/>
                    <w:tr2bl w:val="nil"/>
                  </w:tcBorders>
                  <w:noWrap w:val="0"/>
                  <w:vAlign w:val="center"/>
                </w:tcPr>
                <w:p w14:paraId="5B753B6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，然后覆土、</w:t>
                  </w:r>
                  <w:r>
                    <w:rPr>
                      <w:rFonts w:hint="default" w:ascii="Times New Roman" w:hAnsi="Times New Roman" w:eastAsia="宋体" w:cs="Times New Roman"/>
                      <w:color w:val="auto"/>
                      <w:kern w:val="0"/>
                      <w:sz w:val="21"/>
                      <w:szCs w:val="21"/>
                      <w:lang w:val="en-US" w:eastAsia="zh-CN" w:bidi="ar-SA"/>
                    </w:rPr>
                    <w:t>穴播草籽绿化</w:t>
                  </w:r>
                </w:p>
              </w:tc>
            </w:tr>
            <w:tr w14:paraId="6B3CC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605D245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A14</w:t>
                  </w:r>
                </w:p>
              </w:tc>
              <w:tc>
                <w:tcPr>
                  <w:tcW w:w="1476" w:type="dxa"/>
                  <w:tcBorders>
                    <w:tl2br w:val="nil"/>
                    <w:tr2bl w:val="nil"/>
                  </w:tcBorders>
                  <w:noWrap w:val="0"/>
                  <w:vAlign w:val="center"/>
                </w:tcPr>
                <w:p w14:paraId="579BD25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20.35</w:t>
                  </w:r>
                </w:p>
              </w:tc>
              <w:tc>
                <w:tcPr>
                  <w:tcW w:w="2847" w:type="dxa"/>
                  <w:tcBorders>
                    <w:tl2br w:val="nil"/>
                    <w:tr2bl w:val="nil"/>
                  </w:tcBorders>
                  <w:noWrap w:val="0"/>
                  <w:vAlign w:val="center"/>
                </w:tcPr>
                <w:p w14:paraId="089C1E7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场地基本平整，堆放有零星矿渣</w:t>
                  </w:r>
                </w:p>
              </w:tc>
              <w:tc>
                <w:tcPr>
                  <w:tcW w:w="2848" w:type="dxa"/>
                  <w:tcBorders>
                    <w:tl2br w:val="nil"/>
                    <w:tr2bl w:val="nil"/>
                  </w:tcBorders>
                  <w:noWrap w:val="0"/>
                  <w:vAlign w:val="center"/>
                </w:tcPr>
                <w:p w14:paraId="417FE3F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少量矿渣在场地平整时回填于表层土壤下面，然后覆土、</w:t>
                  </w:r>
                  <w:r>
                    <w:rPr>
                      <w:rFonts w:hint="default" w:ascii="Times New Roman" w:hAnsi="Times New Roman" w:eastAsia="宋体" w:cs="Times New Roman"/>
                      <w:color w:val="auto"/>
                      <w:kern w:val="0"/>
                      <w:sz w:val="21"/>
                      <w:szCs w:val="21"/>
                      <w:lang w:val="en-US" w:eastAsia="zh-CN" w:bidi="ar-SA"/>
                    </w:rPr>
                    <w:t>穴播草籽绿化</w:t>
                  </w:r>
                </w:p>
              </w:tc>
            </w:tr>
            <w:tr w14:paraId="42561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6136A67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A15</w:t>
                  </w:r>
                </w:p>
              </w:tc>
              <w:tc>
                <w:tcPr>
                  <w:tcW w:w="1476" w:type="dxa"/>
                  <w:tcBorders>
                    <w:tl2br w:val="nil"/>
                    <w:tr2bl w:val="nil"/>
                  </w:tcBorders>
                  <w:noWrap w:val="0"/>
                  <w:vAlign w:val="center"/>
                </w:tcPr>
                <w:p w14:paraId="045D599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21.91</w:t>
                  </w:r>
                </w:p>
              </w:tc>
              <w:tc>
                <w:tcPr>
                  <w:tcW w:w="2847" w:type="dxa"/>
                  <w:tcBorders>
                    <w:tl2br w:val="nil"/>
                    <w:tr2bl w:val="nil"/>
                  </w:tcBorders>
                  <w:noWrap w:val="0"/>
                  <w:vAlign w:val="center"/>
                </w:tcPr>
                <w:p w14:paraId="134ACAF3">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场地基本平整，堆放有矿渣，平面面积2800m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，高度1-2m，零星分布有小采坑，深度0.5m</w:t>
                  </w:r>
                </w:p>
              </w:tc>
              <w:tc>
                <w:tcPr>
                  <w:tcW w:w="2848" w:type="dxa"/>
                  <w:tcBorders>
                    <w:tl2br w:val="nil"/>
                    <w:tr2bl w:val="nil"/>
                  </w:tcBorders>
                  <w:noWrap w:val="0"/>
                  <w:vAlign w:val="center"/>
                </w:tcPr>
                <w:p w14:paraId="012A062B">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335F7B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6C47C17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A16</w:t>
                  </w:r>
                </w:p>
              </w:tc>
              <w:tc>
                <w:tcPr>
                  <w:tcW w:w="1476" w:type="dxa"/>
                  <w:tcBorders>
                    <w:tl2br w:val="nil"/>
                    <w:tr2bl w:val="nil"/>
                  </w:tcBorders>
                  <w:noWrap w:val="0"/>
                  <w:vAlign w:val="center"/>
                </w:tcPr>
                <w:p w14:paraId="73CE5D3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5.14</w:t>
                  </w:r>
                </w:p>
              </w:tc>
              <w:tc>
                <w:tcPr>
                  <w:tcW w:w="2847" w:type="dxa"/>
                  <w:tcBorders>
                    <w:tl2br w:val="nil"/>
                    <w:tr2bl w:val="nil"/>
                  </w:tcBorders>
                  <w:noWrap w:val="0"/>
                  <w:vAlign w:val="center"/>
                </w:tcPr>
                <w:p w14:paraId="584F3FFA">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场地内堆放有大量矿渣，平面面积1600m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高度0.5-1.0m，开挖形成陡坎，高2-3m</w:t>
                  </w:r>
                </w:p>
              </w:tc>
              <w:tc>
                <w:tcPr>
                  <w:tcW w:w="2848" w:type="dxa"/>
                  <w:tcBorders>
                    <w:tl2br w:val="nil"/>
                    <w:tr2bl w:val="nil"/>
                  </w:tcBorders>
                  <w:noWrap w:val="0"/>
                  <w:vAlign w:val="center"/>
                </w:tcPr>
                <w:p w14:paraId="52D86CE9">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2BEE6C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0B75AB61">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A17</w:t>
                  </w:r>
                </w:p>
              </w:tc>
              <w:tc>
                <w:tcPr>
                  <w:tcW w:w="1476" w:type="dxa"/>
                  <w:tcBorders>
                    <w:tl2br w:val="nil"/>
                    <w:tr2bl w:val="nil"/>
                  </w:tcBorders>
                  <w:noWrap w:val="0"/>
                  <w:vAlign w:val="center"/>
                </w:tcPr>
                <w:p w14:paraId="7FC2FEDD">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3.44</w:t>
                  </w:r>
                </w:p>
              </w:tc>
              <w:tc>
                <w:tcPr>
                  <w:tcW w:w="2847" w:type="dxa"/>
                  <w:tcBorders>
                    <w:tl2br w:val="nil"/>
                    <w:tr2bl w:val="nil"/>
                  </w:tcBorders>
                  <w:noWrap w:val="0"/>
                  <w:vAlign w:val="center"/>
                </w:tcPr>
                <w:p w14:paraId="7AF5F88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场地内大量渣堆，分两个渣堆，渣堆1平面面积27848m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，高5-8m；渣堆2平面面积2085m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，高3-5m</w:t>
                  </w:r>
                </w:p>
              </w:tc>
              <w:tc>
                <w:tcPr>
                  <w:tcW w:w="2848" w:type="dxa"/>
                  <w:tcBorders>
                    <w:tl2br w:val="nil"/>
                    <w:tr2bl w:val="nil"/>
                  </w:tcBorders>
                  <w:noWrap w:val="0"/>
                  <w:vAlign w:val="center"/>
                </w:tcPr>
                <w:p w14:paraId="354111B1">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在渣堆表面覆土，然后</w:t>
                  </w:r>
                  <w:r>
                    <w:rPr>
                      <w:rFonts w:hint="default" w:ascii="Times New Roman" w:hAnsi="Times New Roman" w:eastAsia="宋体" w:cs="Times New Roman"/>
                      <w:color w:val="auto"/>
                      <w:kern w:val="0"/>
                      <w:sz w:val="21"/>
                      <w:szCs w:val="21"/>
                      <w:lang w:val="en-US" w:eastAsia="zh-CN" w:bidi="ar-SA"/>
                    </w:rPr>
                    <w:t>穴播草籽绿化</w:t>
                  </w:r>
                </w:p>
              </w:tc>
            </w:tr>
            <w:tr w14:paraId="1F64A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6BDAF74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A18</w:t>
                  </w:r>
                </w:p>
              </w:tc>
              <w:tc>
                <w:tcPr>
                  <w:tcW w:w="1476" w:type="dxa"/>
                  <w:tcBorders>
                    <w:tl2br w:val="nil"/>
                    <w:tr2bl w:val="nil"/>
                  </w:tcBorders>
                  <w:noWrap w:val="0"/>
                  <w:vAlign w:val="center"/>
                </w:tcPr>
                <w:p w14:paraId="0C05B64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5.2</w:t>
                  </w:r>
                </w:p>
              </w:tc>
              <w:tc>
                <w:tcPr>
                  <w:tcW w:w="2847" w:type="dxa"/>
                  <w:tcBorders>
                    <w:tl2br w:val="nil"/>
                    <w:tr2bl w:val="nil"/>
                  </w:tcBorders>
                  <w:noWrap w:val="0"/>
                  <w:vAlign w:val="center"/>
                </w:tcPr>
                <w:p w14:paraId="7858F965">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场地内有小采坑，深度0.5-1.0m，堆放有矿渣，平面面积为2980m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，高度为1-3m，该点位于山脊处，基岩裸露</w:t>
                  </w:r>
                </w:p>
              </w:tc>
              <w:tc>
                <w:tcPr>
                  <w:tcW w:w="2848" w:type="dxa"/>
                  <w:tcBorders>
                    <w:tl2br w:val="nil"/>
                    <w:tr2bl w:val="nil"/>
                  </w:tcBorders>
                  <w:noWrap w:val="0"/>
                  <w:vAlign w:val="center"/>
                </w:tcPr>
                <w:p w14:paraId="31B0CE47">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6BFFB4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1208" w:type="dxa"/>
                  <w:tcBorders>
                    <w:tl2br w:val="nil"/>
                    <w:tr2bl w:val="nil"/>
                  </w:tcBorders>
                  <w:noWrap w:val="0"/>
                  <w:vAlign w:val="center"/>
                </w:tcPr>
                <w:p w14:paraId="3CD292D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A19</w:t>
                  </w:r>
                </w:p>
              </w:tc>
              <w:tc>
                <w:tcPr>
                  <w:tcW w:w="1476" w:type="dxa"/>
                  <w:tcBorders>
                    <w:tl2br w:val="nil"/>
                    <w:tr2bl w:val="nil"/>
                  </w:tcBorders>
                  <w:noWrap w:val="0"/>
                  <w:vAlign w:val="center"/>
                </w:tcPr>
                <w:p w14:paraId="5E951D7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1.07</w:t>
                  </w:r>
                </w:p>
              </w:tc>
              <w:tc>
                <w:tcPr>
                  <w:tcW w:w="2847" w:type="dxa"/>
                  <w:tcBorders>
                    <w:tl2br w:val="nil"/>
                    <w:tr2bl w:val="nil"/>
                  </w:tcBorders>
                  <w:noWrap w:val="0"/>
                  <w:vAlign w:val="center"/>
                </w:tcPr>
                <w:p w14:paraId="3DF20B5E">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场地内由于开挖采矿，形成长89.5m，高15-20m的高陡坎，其余区域场地平整</w:t>
                  </w:r>
                </w:p>
              </w:tc>
              <w:tc>
                <w:tcPr>
                  <w:tcW w:w="2848" w:type="dxa"/>
                  <w:tcBorders>
                    <w:tl2br w:val="nil"/>
                    <w:tr2bl w:val="nil"/>
                  </w:tcBorders>
                  <w:noWrap w:val="0"/>
                  <w:vAlign w:val="center"/>
                </w:tcPr>
                <w:p w14:paraId="5262E14C">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覆土，然后</w:t>
                  </w:r>
                  <w:r>
                    <w:rPr>
                      <w:rFonts w:hint="default" w:ascii="Times New Roman" w:hAnsi="Times New Roman" w:eastAsia="宋体" w:cs="Times New Roman"/>
                      <w:color w:val="auto"/>
                      <w:kern w:val="0"/>
                      <w:sz w:val="21"/>
                      <w:szCs w:val="21"/>
                      <w:lang w:val="en-US" w:eastAsia="zh-CN" w:bidi="ar-SA"/>
                    </w:rPr>
                    <w:t>穴播草籽绿化</w:t>
                  </w:r>
                </w:p>
              </w:tc>
            </w:tr>
            <w:tr w14:paraId="60332F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0CBCBDED">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A20</w:t>
                  </w:r>
                </w:p>
              </w:tc>
              <w:tc>
                <w:tcPr>
                  <w:tcW w:w="1476" w:type="dxa"/>
                  <w:tcBorders>
                    <w:tl2br w:val="nil"/>
                    <w:tr2bl w:val="nil"/>
                  </w:tcBorders>
                  <w:noWrap w:val="0"/>
                  <w:vAlign w:val="center"/>
                </w:tcPr>
                <w:p w14:paraId="75FCC3B3">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21.03</w:t>
                  </w:r>
                </w:p>
              </w:tc>
              <w:tc>
                <w:tcPr>
                  <w:tcW w:w="2847" w:type="dxa"/>
                  <w:tcBorders>
                    <w:tl2br w:val="nil"/>
                    <w:tr2bl w:val="nil"/>
                  </w:tcBorders>
                  <w:noWrap w:val="0"/>
                  <w:vAlign w:val="center"/>
                </w:tcPr>
                <w:p w14:paraId="0357A0F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场地开挖有5处采坑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4处斜坡，堆放有零星矿渣</w:t>
                  </w:r>
                </w:p>
              </w:tc>
              <w:tc>
                <w:tcPr>
                  <w:tcW w:w="2848" w:type="dxa"/>
                  <w:tcBorders>
                    <w:tl2br w:val="nil"/>
                    <w:tr2bl w:val="nil"/>
                  </w:tcBorders>
                  <w:noWrap w:val="0"/>
                  <w:vAlign w:val="center"/>
                </w:tcPr>
                <w:p w14:paraId="61E90453">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矿渣回填于采坑，然后进行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3ED4BC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26C05AB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A21</w:t>
                  </w:r>
                </w:p>
              </w:tc>
              <w:tc>
                <w:tcPr>
                  <w:tcW w:w="1476" w:type="dxa"/>
                  <w:tcBorders>
                    <w:tl2br w:val="nil"/>
                    <w:tr2bl w:val="nil"/>
                  </w:tcBorders>
                  <w:noWrap w:val="0"/>
                  <w:vAlign w:val="center"/>
                </w:tcPr>
                <w:p w14:paraId="3F0BEE7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1.15</w:t>
                  </w:r>
                </w:p>
              </w:tc>
              <w:tc>
                <w:tcPr>
                  <w:tcW w:w="2847" w:type="dxa"/>
                  <w:tcBorders>
                    <w:tl2br w:val="nil"/>
                    <w:tr2bl w:val="nil"/>
                  </w:tcBorders>
                  <w:noWrap w:val="0"/>
                  <w:vAlign w:val="center"/>
                </w:tcPr>
                <w:p w14:paraId="703150A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场地内开挖形成高陡坎，长115.8m，高8-10m，坡面堆放有碎石，坡脚为养殖场</w:t>
                  </w:r>
                </w:p>
              </w:tc>
              <w:tc>
                <w:tcPr>
                  <w:tcW w:w="2848" w:type="dxa"/>
                  <w:tcBorders>
                    <w:tl2br w:val="nil"/>
                    <w:tr2bl w:val="nil"/>
                  </w:tcBorders>
                  <w:noWrap w:val="0"/>
                  <w:vAlign w:val="center"/>
                </w:tcPr>
                <w:p w14:paraId="7BB96FE3">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碎石回填于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17D90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755D8682">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A22</w:t>
                  </w:r>
                </w:p>
              </w:tc>
              <w:tc>
                <w:tcPr>
                  <w:tcW w:w="1476" w:type="dxa"/>
                  <w:tcBorders>
                    <w:tl2br w:val="nil"/>
                    <w:tr2bl w:val="nil"/>
                  </w:tcBorders>
                  <w:noWrap w:val="0"/>
                  <w:vAlign w:val="center"/>
                </w:tcPr>
                <w:p w14:paraId="3E171842">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8.38</w:t>
                  </w:r>
                </w:p>
              </w:tc>
              <w:tc>
                <w:tcPr>
                  <w:tcW w:w="2847" w:type="dxa"/>
                  <w:tcBorders>
                    <w:tl2br w:val="nil"/>
                    <w:tr2bl w:val="nil"/>
                  </w:tcBorders>
                  <w:noWrap w:val="0"/>
                  <w:vAlign w:val="center"/>
                </w:tcPr>
                <w:p w14:paraId="3D9525AB">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场地基本平整，零星堆放有矿渣，东北侧因开挖形成长36.7m，高5—8m的陡坎。场地堆放有矿渣，西北侧因采矿开挖形成长52.7m，高20-30m的陡坎，基岩裸露。场地堆放有</w:t>
                  </w:r>
                  <w:r>
                    <w:rPr>
                      <w:rFonts w:hint="default" w:ascii="Times New Roman" w:hAnsi="Times New Roman" w:eastAsia="宋体" w:cs="Times New Roman"/>
                      <w:color w:val="auto"/>
                      <w:kern w:val="0"/>
                      <w:sz w:val="21"/>
                      <w:szCs w:val="21"/>
                      <w:highlight w:val="none"/>
                      <w:lang w:val="en-US" w:eastAsia="zh-CN" w:bidi="ar-SA"/>
                    </w:rPr>
                    <w:t>矿渣</w:t>
                  </w:r>
                  <w:r>
                    <w:rPr>
                      <w:rFonts w:hint="default" w:ascii="Times New Roman" w:hAnsi="Times New Roman" w:eastAsia="宋体" w:cs="Times New Roman"/>
                      <w:color w:val="auto"/>
                      <w:kern w:val="0"/>
                      <w:sz w:val="21"/>
                      <w:szCs w:val="21"/>
                      <w:lang w:val="en-US" w:eastAsia="zh-CN" w:bidi="ar-SA"/>
                    </w:rPr>
                    <w:t>，开挖有小坑道，深4-5m</w:t>
                  </w:r>
                </w:p>
              </w:tc>
              <w:tc>
                <w:tcPr>
                  <w:tcW w:w="2848" w:type="dxa"/>
                  <w:tcBorders>
                    <w:tl2br w:val="nil"/>
                    <w:tr2bl w:val="nil"/>
                  </w:tcBorders>
                  <w:noWrap w:val="0"/>
                  <w:vAlign w:val="center"/>
                </w:tcPr>
                <w:p w14:paraId="344C1860">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30BD85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0ABC02F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A23</w:t>
                  </w:r>
                </w:p>
              </w:tc>
              <w:tc>
                <w:tcPr>
                  <w:tcW w:w="1476" w:type="dxa"/>
                  <w:tcBorders>
                    <w:tl2br w:val="nil"/>
                    <w:tr2bl w:val="nil"/>
                  </w:tcBorders>
                  <w:noWrap w:val="0"/>
                  <w:vAlign w:val="center"/>
                </w:tcPr>
                <w:p w14:paraId="53501394">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14.04</w:t>
                  </w:r>
                </w:p>
              </w:tc>
              <w:tc>
                <w:tcPr>
                  <w:tcW w:w="2847" w:type="dxa"/>
                  <w:tcBorders>
                    <w:tl2br w:val="nil"/>
                    <w:tr2bl w:val="nil"/>
                  </w:tcBorders>
                  <w:noWrap w:val="0"/>
                  <w:vAlign w:val="center"/>
                </w:tcPr>
                <w:p w14:paraId="7C235753">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场地堆放有矿渣，南侧因采矿开挖形成高10—15m的陡坎，基岩裸露，场地北侧已治理，恢复效果不错</w:t>
                  </w:r>
                </w:p>
              </w:tc>
              <w:tc>
                <w:tcPr>
                  <w:tcW w:w="2848" w:type="dxa"/>
                  <w:tcBorders>
                    <w:tl2br w:val="nil"/>
                    <w:tr2bl w:val="nil"/>
                  </w:tcBorders>
                  <w:noWrap w:val="0"/>
                  <w:vAlign w:val="center"/>
                </w:tcPr>
                <w:p w14:paraId="387729C0">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49D758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6186E15F">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A24</w:t>
                  </w:r>
                </w:p>
              </w:tc>
              <w:tc>
                <w:tcPr>
                  <w:tcW w:w="1476" w:type="dxa"/>
                  <w:tcBorders>
                    <w:tl2br w:val="nil"/>
                    <w:tr2bl w:val="nil"/>
                  </w:tcBorders>
                  <w:noWrap w:val="0"/>
                  <w:vAlign w:val="center"/>
                </w:tcPr>
                <w:p w14:paraId="5DD71292">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1.21</w:t>
                  </w:r>
                </w:p>
              </w:tc>
              <w:tc>
                <w:tcPr>
                  <w:tcW w:w="2847" w:type="dxa"/>
                  <w:tcBorders>
                    <w:tl2br w:val="nil"/>
                    <w:tr2bl w:val="nil"/>
                  </w:tcBorders>
                  <w:noWrap w:val="0"/>
                  <w:vAlign w:val="center"/>
                </w:tcPr>
                <w:p w14:paraId="0FBF589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场地基本平整，堆放有零星渣堆，开挖有0.5m深采坑</w:t>
                  </w:r>
                </w:p>
              </w:tc>
              <w:tc>
                <w:tcPr>
                  <w:tcW w:w="2848" w:type="dxa"/>
                  <w:tcBorders>
                    <w:tl2br w:val="nil"/>
                    <w:tr2bl w:val="nil"/>
                  </w:tcBorders>
                  <w:noWrap w:val="0"/>
                  <w:vAlign w:val="center"/>
                </w:tcPr>
                <w:p w14:paraId="3E18694B">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渣堆回填于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206082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3CB45047">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A25</w:t>
                  </w:r>
                </w:p>
              </w:tc>
              <w:tc>
                <w:tcPr>
                  <w:tcW w:w="1476" w:type="dxa"/>
                  <w:tcBorders>
                    <w:tl2br w:val="nil"/>
                    <w:tr2bl w:val="nil"/>
                  </w:tcBorders>
                  <w:noWrap w:val="0"/>
                  <w:vAlign w:val="center"/>
                </w:tcPr>
                <w:p w14:paraId="1890A6F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10.85</w:t>
                  </w:r>
                </w:p>
              </w:tc>
              <w:tc>
                <w:tcPr>
                  <w:tcW w:w="2847" w:type="dxa"/>
                  <w:tcBorders>
                    <w:tl2br w:val="nil"/>
                    <w:tr2bl w:val="nil"/>
                  </w:tcBorders>
                  <w:noWrap w:val="0"/>
                  <w:vAlign w:val="center"/>
                </w:tcPr>
                <w:p w14:paraId="4A299F2B">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w:t>
                  </w:r>
                </w:p>
              </w:tc>
              <w:tc>
                <w:tcPr>
                  <w:tcW w:w="2848" w:type="dxa"/>
                  <w:tcBorders>
                    <w:tl2br w:val="nil"/>
                    <w:tr2bl w:val="nil"/>
                  </w:tcBorders>
                  <w:noWrap w:val="0"/>
                  <w:vAlign w:val="center"/>
                </w:tcPr>
                <w:p w14:paraId="204BAA0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场地平整+覆土+穴播草籽绿化</w:t>
                  </w:r>
                </w:p>
              </w:tc>
            </w:tr>
            <w:tr w14:paraId="1A9F82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02CC9D6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A26</w:t>
                  </w:r>
                </w:p>
              </w:tc>
              <w:tc>
                <w:tcPr>
                  <w:tcW w:w="1476" w:type="dxa"/>
                  <w:tcBorders>
                    <w:tl2br w:val="nil"/>
                    <w:tr2bl w:val="nil"/>
                  </w:tcBorders>
                  <w:noWrap w:val="0"/>
                  <w:vAlign w:val="center"/>
                </w:tcPr>
                <w:p w14:paraId="254C9D9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4.24</w:t>
                  </w:r>
                </w:p>
              </w:tc>
              <w:tc>
                <w:tcPr>
                  <w:tcW w:w="2847" w:type="dxa"/>
                  <w:tcBorders>
                    <w:tl2br w:val="nil"/>
                    <w:tr2bl w:val="nil"/>
                  </w:tcBorders>
                  <w:noWrap w:val="0"/>
                  <w:vAlign w:val="center"/>
                </w:tcPr>
                <w:p w14:paraId="735FC759">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场地堆放有矿渣，场地平整。场地外围有砂土，能够满足部分覆土量要求</w:t>
                  </w:r>
                </w:p>
              </w:tc>
              <w:tc>
                <w:tcPr>
                  <w:tcW w:w="2848" w:type="dxa"/>
                  <w:tcBorders>
                    <w:tl2br w:val="nil"/>
                    <w:tr2bl w:val="nil"/>
                  </w:tcBorders>
                  <w:noWrap w:val="0"/>
                  <w:vAlign w:val="center"/>
                </w:tcPr>
                <w:p w14:paraId="15795244">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少量矿渣在场地平整时回填于表层土壤下面，然后覆土、</w:t>
                  </w:r>
                  <w:r>
                    <w:rPr>
                      <w:rFonts w:hint="default" w:ascii="Times New Roman" w:hAnsi="Times New Roman" w:eastAsia="宋体" w:cs="Times New Roman"/>
                      <w:color w:val="auto"/>
                      <w:kern w:val="0"/>
                      <w:sz w:val="21"/>
                      <w:szCs w:val="21"/>
                      <w:lang w:val="en-US" w:eastAsia="zh-CN" w:bidi="ar-SA"/>
                    </w:rPr>
                    <w:t>穴播草籽绿化</w:t>
                  </w:r>
                </w:p>
              </w:tc>
            </w:tr>
            <w:tr w14:paraId="01ED48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7B22AC03">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A27</w:t>
                  </w:r>
                </w:p>
              </w:tc>
              <w:tc>
                <w:tcPr>
                  <w:tcW w:w="1476" w:type="dxa"/>
                  <w:tcBorders>
                    <w:tl2br w:val="nil"/>
                    <w:tr2bl w:val="nil"/>
                  </w:tcBorders>
                  <w:noWrap w:val="0"/>
                  <w:vAlign w:val="center"/>
                </w:tcPr>
                <w:p w14:paraId="7D80B57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21.03</w:t>
                  </w:r>
                </w:p>
              </w:tc>
              <w:tc>
                <w:tcPr>
                  <w:tcW w:w="2847" w:type="dxa"/>
                  <w:tcBorders>
                    <w:tl2br w:val="nil"/>
                    <w:tr2bl w:val="nil"/>
                  </w:tcBorders>
                  <w:noWrap w:val="0"/>
                  <w:vAlign w:val="center"/>
                </w:tcPr>
                <w:p w14:paraId="5D440DC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场地基本平整，在场地东南侧由于开挖场地不平整</w:t>
                  </w:r>
                </w:p>
              </w:tc>
              <w:tc>
                <w:tcPr>
                  <w:tcW w:w="2848" w:type="dxa"/>
                  <w:tcBorders>
                    <w:tl2br w:val="nil"/>
                    <w:tr2bl w:val="nil"/>
                  </w:tcBorders>
                  <w:noWrap w:val="0"/>
                  <w:vAlign w:val="center"/>
                </w:tcPr>
                <w:p w14:paraId="289E504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场地平整+覆土+穴播草籽绿化</w:t>
                  </w:r>
                </w:p>
              </w:tc>
            </w:tr>
            <w:tr w14:paraId="1F8EA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1502B3F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A28</w:t>
                  </w:r>
                </w:p>
              </w:tc>
              <w:tc>
                <w:tcPr>
                  <w:tcW w:w="1476" w:type="dxa"/>
                  <w:tcBorders>
                    <w:tl2br w:val="nil"/>
                    <w:tr2bl w:val="nil"/>
                  </w:tcBorders>
                  <w:noWrap w:val="0"/>
                  <w:vAlign w:val="center"/>
                </w:tcPr>
                <w:p w14:paraId="511F5FE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5.49</w:t>
                  </w:r>
                </w:p>
              </w:tc>
              <w:tc>
                <w:tcPr>
                  <w:tcW w:w="2847" w:type="dxa"/>
                  <w:tcBorders>
                    <w:tl2br w:val="nil"/>
                    <w:tr2bl w:val="nil"/>
                  </w:tcBorders>
                  <w:noWrap w:val="0"/>
                  <w:vAlign w:val="center"/>
                </w:tcPr>
                <w:p w14:paraId="1D5C5B52">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场地基本平整，零星分布有小土堆，治理区内大部分区域开垦为耕地</w:t>
                  </w:r>
                </w:p>
              </w:tc>
              <w:tc>
                <w:tcPr>
                  <w:tcW w:w="2848" w:type="dxa"/>
                  <w:tcBorders>
                    <w:tl2br w:val="nil"/>
                    <w:tr2bl w:val="nil"/>
                  </w:tcBorders>
                  <w:noWrap w:val="0"/>
                  <w:vAlign w:val="center"/>
                </w:tcPr>
                <w:p w14:paraId="2DC914DE">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平整小土堆，</w:t>
                  </w:r>
                  <w:r>
                    <w:rPr>
                      <w:rFonts w:hint="default" w:ascii="Times New Roman" w:hAnsi="Times New Roman" w:eastAsia="宋体" w:cs="Times New Roman"/>
                      <w:color w:val="auto"/>
                      <w:kern w:val="0"/>
                      <w:sz w:val="21"/>
                      <w:szCs w:val="21"/>
                      <w:lang w:val="en-US" w:eastAsia="zh-CN" w:bidi="ar-SA"/>
                    </w:rPr>
                    <w:t>穴播草籽绿化</w:t>
                  </w:r>
                </w:p>
              </w:tc>
            </w:tr>
            <w:tr w14:paraId="21AD20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287ACF09">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A29</w:t>
                  </w:r>
                </w:p>
              </w:tc>
              <w:tc>
                <w:tcPr>
                  <w:tcW w:w="1476" w:type="dxa"/>
                  <w:tcBorders>
                    <w:tl2br w:val="nil"/>
                    <w:tr2bl w:val="nil"/>
                  </w:tcBorders>
                  <w:noWrap w:val="0"/>
                  <w:vAlign w:val="center"/>
                </w:tcPr>
                <w:p w14:paraId="655AA46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1.75</w:t>
                  </w:r>
                </w:p>
              </w:tc>
              <w:tc>
                <w:tcPr>
                  <w:tcW w:w="2847" w:type="dxa"/>
                  <w:tcBorders>
                    <w:tl2br w:val="nil"/>
                    <w:tr2bl w:val="nil"/>
                  </w:tcBorders>
                  <w:noWrap w:val="0"/>
                  <w:vAlign w:val="center"/>
                </w:tcPr>
                <w:p w14:paraId="41D453F7">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场地内堆放有矿渣，开挖有2个采坑，采坑1平面面积为1185m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,最大深度为3.0m，容积为2440.61m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；采坑2平面面积为366m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,最大深度为2.5m，容积为664.68m</w:t>
                  </w:r>
                  <w:r>
                    <w:rPr>
                      <w:rFonts w:hint="default" w:ascii="Times New Roman" w:hAnsi="Times New Roman" w:eastAsia="宋体" w:cs="Times New Roman"/>
                      <w:color w:val="auto"/>
                      <w:kern w:val="0"/>
                      <w:sz w:val="21"/>
                      <w:szCs w:val="21"/>
                      <w:vertAlign w:val="superscript"/>
                      <w:lang w:val="en-US" w:eastAsia="zh-CN" w:bidi="ar-SA"/>
                    </w:rPr>
                    <w:t>3</w:t>
                  </w:r>
                </w:p>
              </w:tc>
              <w:tc>
                <w:tcPr>
                  <w:tcW w:w="2848" w:type="dxa"/>
                  <w:tcBorders>
                    <w:tl2br w:val="nil"/>
                    <w:tr2bl w:val="nil"/>
                  </w:tcBorders>
                  <w:noWrap w:val="0"/>
                  <w:vAlign w:val="center"/>
                </w:tcPr>
                <w:p w14:paraId="2CE6C6E9">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回填之后进行穴播草籽绿化</w:t>
                  </w:r>
                </w:p>
              </w:tc>
            </w:tr>
            <w:tr w14:paraId="2B064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1BC1044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A30</w:t>
                  </w:r>
                </w:p>
              </w:tc>
              <w:tc>
                <w:tcPr>
                  <w:tcW w:w="1476" w:type="dxa"/>
                  <w:tcBorders>
                    <w:tl2br w:val="nil"/>
                    <w:tr2bl w:val="nil"/>
                  </w:tcBorders>
                  <w:noWrap w:val="0"/>
                  <w:vAlign w:val="center"/>
                </w:tcPr>
                <w:p w14:paraId="306E345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2.56</w:t>
                  </w:r>
                </w:p>
              </w:tc>
              <w:tc>
                <w:tcPr>
                  <w:tcW w:w="2847" w:type="dxa"/>
                  <w:tcBorders>
                    <w:tl2br w:val="nil"/>
                    <w:tr2bl w:val="nil"/>
                  </w:tcBorders>
                  <w:noWrap w:val="0"/>
                  <w:vAlign w:val="center"/>
                </w:tcPr>
                <w:p w14:paraId="75E3E6A4">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场地基本平整，南侧开垦为耕地，治理区北侧堆放有渣堆</w:t>
                  </w:r>
                </w:p>
              </w:tc>
              <w:tc>
                <w:tcPr>
                  <w:tcW w:w="2848" w:type="dxa"/>
                  <w:tcBorders>
                    <w:tl2br w:val="nil"/>
                    <w:tr2bl w:val="nil"/>
                  </w:tcBorders>
                  <w:noWrap w:val="0"/>
                  <w:vAlign w:val="center"/>
                </w:tcPr>
                <w:p w14:paraId="624BD165">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p>
              </w:tc>
            </w:tr>
            <w:tr w14:paraId="6D1434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04FEAAD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A31</w:t>
                  </w:r>
                </w:p>
              </w:tc>
              <w:tc>
                <w:tcPr>
                  <w:tcW w:w="1476" w:type="dxa"/>
                  <w:tcBorders>
                    <w:tl2br w:val="nil"/>
                    <w:tr2bl w:val="nil"/>
                  </w:tcBorders>
                  <w:noWrap w:val="0"/>
                  <w:vAlign w:val="center"/>
                </w:tcPr>
                <w:p w14:paraId="4B51DF11">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3.42</w:t>
                  </w:r>
                </w:p>
              </w:tc>
              <w:tc>
                <w:tcPr>
                  <w:tcW w:w="2847" w:type="dxa"/>
                  <w:tcBorders>
                    <w:tl2br w:val="nil"/>
                    <w:tr2bl w:val="nil"/>
                  </w:tcBorders>
                  <w:noWrap w:val="0"/>
                  <w:vAlign w:val="center"/>
                </w:tcPr>
                <w:p w14:paraId="4618DD74">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场地西侧坡面因开挖形成高3-5m的陡坎，堆放有矿渣，有1处采坑，平面面积为1293m</w:t>
                  </w:r>
                  <w:r>
                    <w:rPr>
                      <w:rFonts w:hint="default" w:ascii="Times New Roman" w:hAnsi="Times New Roman"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zh-CN" w:bidi="ar-SA"/>
                    </w:rPr>
                    <w:t>,最大深度为5.0m，容积为3472.35m</w:t>
                  </w:r>
                  <w:r>
                    <w:rPr>
                      <w:rFonts w:hint="default" w:ascii="Times New Roman" w:hAnsi="Times New Roman" w:eastAsia="宋体" w:cs="Times New Roman"/>
                      <w:color w:val="auto"/>
                      <w:kern w:val="0"/>
                      <w:sz w:val="21"/>
                      <w:szCs w:val="21"/>
                      <w:vertAlign w:val="superscript"/>
                      <w:lang w:val="en-US" w:eastAsia="zh-CN" w:bidi="ar-SA"/>
                    </w:rPr>
                    <w:t>3</w:t>
                  </w:r>
                </w:p>
              </w:tc>
              <w:tc>
                <w:tcPr>
                  <w:tcW w:w="2848" w:type="dxa"/>
                  <w:tcBorders>
                    <w:tl2br w:val="nil"/>
                    <w:tr2bl w:val="nil"/>
                  </w:tcBorders>
                  <w:noWrap w:val="0"/>
                  <w:vAlign w:val="center"/>
                </w:tcPr>
                <w:p w14:paraId="20056E2D">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及</w:t>
                  </w:r>
                  <w:r>
                    <w:rPr>
                      <w:rFonts w:hint="default" w:ascii="Times New Roman" w:hAnsi="Times New Roman" w:eastAsia="宋体" w:cs="Times New Roman"/>
                      <w:color w:val="auto"/>
                      <w:kern w:val="0"/>
                      <w:sz w:val="21"/>
                      <w:szCs w:val="21"/>
                      <w:lang w:val="en-US" w:eastAsia="zh-CN" w:bidi="ar-SA"/>
                    </w:rPr>
                    <w:t>采坑</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7CC95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72075BCA">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A32</w:t>
                  </w:r>
                </w:p>
              </w:tc>
              <w:tc>
                <w:tcPr>
                  <w:tcW w:w="1476" w:type="dxa"/>
                  <w:tcBorders>
                    <w:tl2br w:val="nil"/>
                    <w:tr2bl w:val="nil"/>
                  </w:tcBorders>
                  <w:noWrap w:val="0"/>
                  <w:vAlign w:val="center"/>
                </w:tcPr>
                <w:p w14:paraId="39708243">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1.85</w:t>
                  </w:r>
                </w:p>
              </w:tc>
              <w:tc>
                <w:tcPr>
                  <w:tcW w:w="2847" w:type="dxa"/>
                  <w:tcBorders>
                    <w:tl2br w:val="nil"/>
                    <w:tr2bl w:val="nil"/>
                  </w:tcBorders>
                  <w:noWrap w:val="0"/>
                  <w:vAlign w:val="center"/>
                </w:tcPr>
                <w:p w14:paraId="03BDE04E">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场地开挖有陡坎，高3-5m，堆放有矿渣，高1-2m</w:t>
                  </w:r>
                </w:p>
              </w:tc>
              <w:tc>
                <w:tcPr>
                  <w:tcW w:w="2848" w:type="dxa"/>
                  <w:tcBorders>
                    <w:tl2br w:val="nil"/>
                    <w:tr2bl w:val="nil"/>
                  </w:tcBorders>
                  <w:noWrap w:val="0"/>
                  <w:vAlign w:val="center"/>
                </w:tcPr>
                <w:p w14:paraId="1E8AEF02">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w:t>
                  </w:r>
                  <w:r>
                    <w:rPr>
                      <w:rFonts w:hint="default" w:ascii="Times New Roman" w:hAnsi="Times New Roman" w:eastAsia="宋体" w:cs="Times New Roman"/>
                      <w:color w:val="auto"/>
                      <w:kern w:val="0"/>
                      <w:sz w:val="21"/>
                      <w:szCs w:val="21"/>
                      <w:lang w:val="en-US" w:eastAsia="zh-CN" w:bidi="ar-SA"/>
                    </w:rPr>
                    <w:t>陡坎</w:t>
                  </w:r>
                  <w:r>
                    <w:rPr>
                      <w:rFonts w:hint="eastAsia" w:ascii="Times New Roman" w:hAnsi="Times New Roman" w:eastAsia="宋体" w:cs="Times New Roman"/>
                      <w:color w:val="auto"/>
                      <w:kern w:val="0"/>
                      <w:sz w:val="21"/>
                      <w:szCs w:val="21"/>
                      <w:lang w:val="en-US" w:eastAsia="zh-CN" w:bidi="ar-SA"/>
                    </w:rPr>
                    <w:t>，然后进行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0F9200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 w:hRule="atLeast"/>
                <w:jc w:val="center"/>
              </w:trPr>
              <w:tc>
                <w:tcPr>
                  <w:tcW w:w="1208" w:type="dxa"/>
                  <w:tcBorders>
                    <w:tl2br w:val="nil"/>
                    <w:tr2bl w:val="nil"/>
                  </w:tcBorders>
                  <w:noWrap w:val="0"/>
                  <w:vAlign w:val="center"/>
                </w:tcPr>
                <w:p w14:paraId="3D32B6F7">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A33</w:t>
                  </w:r>
                </w:p>
              </w:tc>
              <w:tc>
                <w:tcPr>
                  <w:tcW w:w="1476" w:type="dxa"/>
                  <w:tcBorders>
                    <w:tl2br w:val="nil"/>
                    <w:tr2bl w:val="nil"/>
                  </w:tcBorders>
                  <w:noWrap w:val="0"/>
                  <w:vAlign w:val="center"/>
                </w:tcPr>
                <w:p w14:paraId="174C3A21">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18.49</w:t>
                  </w:r>
                </w:p>
              </w:tc>
              <w:tc>
                <w:tcPr>
                  <w:tcW w:w="2847" w:type="dxa"/>
                  <w:tcBorders>
                    <w:tl2br w:val="nil"/>
                    <w:tr2bl w:val="nil"/>
                  </w:tcBorders>
                  <w:noWrap w:val="0"/>
                  <w:vAlign w:val="center"/>
                </w:tcPr>
                <w:p w14:paraId="7C3ED3AB">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场地堆放有矿渣，场地开挖一处斜坡，长35.2m，高5-8m</w:t>
                  </w:r>
                </w:p>
              </w:tc>
              <w:tc>
                <w:tcPr>
                  <w:tcW w:w="2848" w:type="dxa"/>
                  <w:tcBorders>
                    <w:tl2br w:val="nil"/>
                    <w:tr2bl w:val="nil"/>
                  </w:tcBorders>
                  <w:noWrap w:val="0"/>
                  <w:vAlign w:val="center"/>
                </w:tcPr>
                <w:p w14:paraId="0DC00C1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矿渣回填于开挖斜坡，然后进行</w:t>
                  </w:r>
                  <w:r>
                    <w:rPr>
                      <w:rFonts w:hint="default" w:ascii="Times New Roman" w:hAnsi="Times New Roman" w:eastAsia="宋体" w:cs="Times New Roman"/>
                      <w:color w:val="auto"/>
                      <w:kern w:val="0"/>
                      <w:sz w:val="21"/>
                      <w:szCs w:val="21"/>
                      <w:lang w:val="zh-CN" w:eastAsia="zh-CN" w:bidi="ar-SA"/>
                    </w:rPr>
                    <w:t>场地平整</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覆土</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zh-CN" w:eastAsia="zh-CN" w:bidi="ar-SA"/>
                    </w:rPr>
                    <w:t>穴播草籽绿化</w:t>
                  </w:r>
                </w:p>
              </w:tc>
            </w:tr>
            <w:tr w14:paraId="27DBF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08" w:type="dxa"/>
                  <w:tcBorders>
                    <w:tl2br w:val="nil"/>
                    <w:tr2bl w:val="nil"/>
                  </w:tcBorders>
                  <w:noWrap w:val="0"/>
                  <w:vAlign w:val="center"/>
                </w:tcPr>
                <w:p w14:paraId="613F6B4F">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A34</w:t>
                  </w:r>
                </w:p>
              </w:tc>
              <w:tc>
                <w:tcPr>
                  <w:tcW w:w="1476" w:type="dxa"/>
                  <w:tcBorders>
                    <w:tl2br w:val="nil"/>
                    <w:tr2bl w:val="nil"/>
                  </w:tcBorders>
                  <w:noWrap w:val="0"/>
                  <w:vAlign w:val="center"/>
                </w:tcPr>
                <w:p w14:paraId="0270452C">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20.12</w:t>
                  </w:r>
                </w:p>
              </w:tc>
              <w:tc>
                <w:tcPr>
                  <w:tcW w:w="2847" w:type="dxa"/>
                  <w:tcBorders>
                    <w:tl2br w:val="nil"/>
                    <w:tr2bl w:val="nil"/>
                  </w:tcBorders>
                  <w:noWrap w:val="0"/>
                  <w:vAlign w:val="center"/>
                </w:tcPr>
                <w:p w14:paraId="70E24ACE">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场地基本平整，有</w:t>
                  </w: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处水塘</w:t>
                  </w:r>
                </w:p>
              </w:tc>
              <w:tc>
                <w:tcPr>
                  <w:tcW w:w="2848" w:type="dxa"/>
                  <w:tcBorders>
                    <w:tl2br w:val="nil"/>
                    <w:tr2bl w:val="nil"/>
                  </w:tcBorders>
                  <w:noWrap w:val="0"/>
                  <w:vAlign w:val="center"/>
                </w:tcPr>
                <w:p w14:paraId="4D4E8388">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zh-CN"/>
                    </w:rPr>
                    <w:t>场地平整</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zh-CN"/>
                    </w:rPr>
                    <w:t>覆土</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zh-CN"/>
                    </w:rPr>
                    <w:t>穴播草籽绿化</w:t>
                  </w:r>
                </w:p>
              </w:tc>
            </w:tr>
            <w:tr w14:paraId="7DA52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51925FDD">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A35</w:t>
                  </w:r>
                </w:p>
              </w:tc>
              <w:tc>
                <w:tcPr>
                  <w:tcW w:w="0" w:type="auto"/>
                  <w:tcBorders>
                    <w:tl2br w:val="nil"/>
                    <w:tr2bl w:val="nil"/>
                  </w:tcBorders>
                  <w:noWrap w:val="0"/>
                  <w:vAlign w:val="center"/>
                </w:tcPr>
                <w:p w14:paraId="744BF3D6">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1.04</w:t>
                  </w:r>
                </w:p>
              </w:tc>
              <w:tc>
                <w:tcPr>
                  <w:tcW w:w="2847" w:type="dxa"/>
                  <w:tcBorders>
                    <w:tl2br w:val="nil"/>
                    <w:tr2bl w:val="nil"/>
                  </w:tcBorders>
                  <w:noWrap w:val="0"/>
                  <w:vAlign w:val="top"/>
                </w:tcPr>
                <w:p w14:paraId="4DBC1B83">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场地基本平整</w:t>
                  </w:r>
                </w:p>
              </w:tc>
              <w:tc>
                <w:tcPr>
                  <w:tcW w:w="2848" w:type="dxa"/>
                  <w:tcBorders>
                    <w:tl2br w:val="nil"/>
                    <w:tr2bl w:val="nil"/>
                  </w:tcBorders>
                  <w:noWrap w:val="0"/>
                  <w:vAlign w:val="top"/>
                </w:tcPr>
                <w:p w14:paraId="4B1F2C0B">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zh-CN"/>
                    </w:rPr>
                    <w:t>场地平整</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zh-CN"/>
                    </w:rPr>
                    <w:t>覆土</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zh-CN"/>
                    </w:rPr>
                    <w:t>穴播草籽绿化</w:t>
                  </w:r>
                </w:p>
              </w:tc>
            </w:tr>
            <w:tr w14:paraId="696A2E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0" w:type="auto"/>
                  <w:tcBorders>
                    <w:tl2br w:val="nil"/>
                    <w:tr2bl w:val="nil"/>
                  </w:tcBorders>
                  <w:noWrap w:val="0"/>
                  <w:vAlign w:val="center"/>
                </w:tcPr>
                <w:p w14:paraId="506B0890">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合计</w:t>
                  </w:r>
                </w:p>
              </w:tc>
              <w:tc>
                <w:tcPr>
                  <w:tcW w:w="0" w:type="auto"/>
                  <w:tcBorders>
                    <w:tl2br w:val="nil"/>
                    <w:tr2bl w:val="nil"/>
                  </w:tcBorders>
                  <w:noWrap w:val="0"/>
                  <w:vAlign w:val="top"/>
                </w:tcPr>
                <w:p w14:paraId="4DC2E936">
                  <w:pPr>
                    <w:widowControl w:val="0"/>
                    <w:bidi w:val="0"/>
                    <w:adjustRightInd w:val="0"/>
                    <w:snapToGrid w:val="0"/>
                    <w:spacing w:before="10" w:beforeLines="10" w:after="10"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338.59</w:t>
                  </w:r>
                </w:p>
              </w:tc>
              <w:tc>
                <w:tcPr>
                  <w:tcW w:w="2847" w:type="dxa"/>
                  <w:tcBorders>
                    <w:tl2br w:val="nil"/>
                    <w:tr2bl w:val="nil"/>
                  </w:tcBorders>
                  <w:noWrap w:val="0"/>
                  <w:vAlign w:val="top"/>
                </w:tcPr>
                <w:p w14:paraId="27F68498">
                  <w:pPr>
                    <w:widowControl w:val="0"/>
                    <w:bidi w:val="0"/>
                    <w:adjustRightInd w:val="0"/>
                    <w:snapToGrid w:val="0"/>
                    <w:spacing w:before="10" w:beforeLines="10" w:after="10" w:afterLines="1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2848" w:type="dxa"/>
                  <w:tcBorders>
                    <w:tl2br w:val="nil"/>
                    <w:tr2bl w:val="nil"/>
                  </w:tcBorders>
                  <w:noWrap w:val="0"/>
                  <w:vAlign w:val="top"/>
                </w:tcPr>
                <w:p w14:paraId="14026DD4">
                  <w:pPr>
                    <w:widowControl w:val="0"/>
                    <w:bidi w:val="0"/>
                    <w:adjustRightInd w:val="0"/>
                    <w:snapToGrid w:val="0"/>
                    <w:spacing w:before="10" w:beforeLines="10" w:after="10" w:afterLines="10" w:line="240" w:lineRule="auto"/>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bl>
          <w:p w14:paraId="5A6A2D68">
            <w:pPr>
              <w:pStyle w:val="3"/>
              <w:keepNext w:val="0"/>
              <w:keepLines w:val="0"/>
              <w:suppressLineNumbers w:val="0"/>
              <w:bidi w:val="0"/>
              <w:spacing w:before="0" w:beforeAutospacing="0" w:after="0" w:afterAutospacing="0"/>
              <w:ind w:left="0" w:right="0"/>
              <w:rPr>
                <w:rFonts w:hint="eastAsia"/>
                <w:color w:val="auto"/>
                <w:lang w:val="en-US" w:eastAsia="zh-CN"/>
              </w:rPr>
            </w:pPr>
          </w:p>
          <w:tbl>
            <w:tblPr>
              <w:tblStyle w:val="27"/>
              <w:tblW w:w="843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4220"/>
            </w:tblGrid>
            <w:tr w14:paraId="6A826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508D0BB9">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20975" cy="2040890"/>
                        <wp:effectExtent l="0" t="0" r="3175" b="16510"/>
                        <wp:docPr id="2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a:picLocks noChangeAspect="1"/>
                                </pic:cNvPicPr>
                              </pic:nvPicPr>
                              <pic:blipFill>
                                <a:blip r:embed="rId15" cstate="print"/>
                                <a:stretch>
                                  <a:fillRect/>
                                </a:stretch>
                              </pic:blipFill>
                              <pic:spPr>
                                <a:xfrm>
                                  <a:off x="0" y="0"/>
                                  <a:ext cx="2721441" cy="2041017"/>
                                </a:xfrm>
                                <a:prstGeom prst="rect">
                                  <a:avLst/>
                                </a:prstGeom>
                              </pic:spPr>
                            </pic:pic>
                          </a:graphicData>
                        </a:graphic>
                      </wp:inline>
                    </w:drawing>
                  </w:r>
                </w:p>
              </w:tc>
              <w:tc>
                <w:tcPr>
                  <w:tcW w:w="4220" w:type="dxa"/>
                  <w:tcBorders>
                    <w:tl2br w:val="nil"/>
                    <w:tr2bl w:val="nil"/>
                  </w:tcBorders>
                  <w:vAlign w:val="top"/>
                </w:tcPr>
                <w:p w14:paraId="6DDA5F1D">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15260" cy="2040890"/>
                        <wp:effectExtent l="0" t="0" r="8890" b="1651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6" cstate="print"/>
                                <a:stretch>
                                  <a:fillRect/>
                                </a:stretch>
                              </pic:blipFill>
                              <pic:spPr>
                                <a:xfrm>
                                  <a:off x="0" y="0"/>
                                  <a:ext cx="2715263" cy="2041398"/>
                                </a:xfrm>
                                <a:prstGeom prst="rect">
                                  <a:avLst/>
                                </a:prstGeom>
                              </pic:spPr>
                            </pic:pic>
                          </a:graphicData>
                        </a:graphic>
                      </wp:inline>
                    </w:drawing>
                  </w:r>
                </w:p>
              </w:tc>
            </w:tr>
            <w:tr w14:paraId="2C1C9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70FEBB1E">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A5治理区开挖形成掌子面</w:t>
                  </w:r>
                </w:p>
              </w:tc>
              <w:tc>
                <w:tcPr>
                  <w:tcW w:w="4220" w:type="dxa"/>
                  <w:tcBorders>
                    <w:tl2br w:val="nil"/>
                    <w:tr2bl w:val="nil"/>
                  </w:tcBorders>
                  <w:vAlign w:val="top"/>
                </w:tcPr>
                <w:p w14:paraId="5D25829A">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A18治理区开挖形成陡坎</w:t>
                  </w:r>
                </w:p>
              </w:tc>
            </w:tr>
            <w:tr w14:paraId="6F86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08EC953F">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07005" cy="2032000"/>
                        <wp:effectExtent l="0" t="0" r="17145" b="6350"/>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13" cstate="print"/>
                                <a:stretch>
                                  <a:fillRect/>
                                </a:stretch>
                              </pic:blipFill>
                              <pic:spPr>
                                <a:xfrm>
                                  <a:off x="0" y="0"/>
                                  <a:ext cx="2707251" cy="2032444"/>
                                </a:xfrm>
                                <a:prstGeom prst="rect">
                                  <a:avLst/>
                                </a:prstGeom>
                              </pic:spPr>
                            </pic:pic>
                          </a:graphicData>
                        </a:graphic>
                      </wp:inline>
                    </w:drawing>
                  </w:r>
                </w:p>
              </w:tc>
              <w:tc>
                <w:tcPr>
                  <w:tcW w:w="4220" w:type="dxa"/>
                  <w:tcBorders>
                    <w:tl2br w:val="nil"/>
                    <w:tr2bl w:val="nil"/>
                  </w:tcBorders>
                  <w:vAlign w:val="top"/>
                </w:tcPr>
                <w:p w14:paraId="5BA96883">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15260" cy="2040890"/>
                        <wp:effectExtent l="0" t="0" r="8890" b="1651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eg"/>
                                <pic:cNvPicPr>
                                  <a:picLocks noChangeAspect="1"/>
                                </pic:cNvPicPr>
                              </pic:nvPicPr>
                              <pic:blipFill>
                                <a:blip r:embed="rId17" cstate="print"/>
                                <a:stretch>
                                  <a:fillRect/>
                                </a:stretch>
                              </pic:blipFill>
                              <pic:spPr>
                                <a:xfrm>
                                  <a:off x="0" y="0"/>
                                  <a:ext cx="2715263" cy="2041398"/>
                                </a:xfrm>
                                <a:prstGeom prst="rect">
                                  <a:avLst/>
                                </a:prstGeom>
                              </pic:spPr>
                            </pic:pic>
                          </a:graphicData>
                        </a:graphic>
                      </wp:inline>
                    </w:drawing>
                  </w:r>
                </w:p>
              </w:tc>
            </w:tr>
            <w:tr w14:paraId="0D77E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163DFE3A">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A5治理区采坑</w:t>
                  </w:r>
                </w:p>
              </w:tc>
              <w:tc>
                <w:tcPr>
                  <w:tcW w:w="4220" w:type="dxa"/>
                  <w:tcBorders>
                    <w:tl2br w:val="nil"/>
                    <w:tr2bl w:val="nil"/>
                  </w:tcBorders>
                  <w:vAlign w:val="top"/>
                </w:tcPr>
                <w:p w14:paraId="28B19D6F">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A31治理区采坑</w:t>
                  </w:r>
                </w:p>
              </w:tc>
            </w:tr>
            <w:tr w14:paraId="27AD9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009DF27C">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15260" cy="2040890"/>
                        <wp:effectExtent l="0" t="0" r="8890" b="16510"/>
                        <wp:docPr id="2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a:picLocks noChangeAspect="1"/>
                                </pic:cNvPicPr>
                              </pic:nvPicPr>
                              <pic:blipFill>
                                <a:blip r:embed="rId18" cstate="print"/>
                                <a:stretch>
                                  <a:fillRect/>
                                </a:stretch>
                              </pic:blipFill>
                              <pic:spPr>
                                <a:xfrm>
                                  <a:off x="0" y="0"/>
                                  <a:ext cx="2715263" cy="2041398"/>
                                </a:xfrm>
                                <a:prstGeom prst="rect">
                                  <a:avLst/>
                                </a:prstGeom>
                              </pic:spPr>
                            </pic:pic>
                          </a:graphicData>
                        </a:graphic>
                      </wp:inline>
                    </w:drawing>
                  </w:r>
                </w:p>
              </w:tc>
              <w:tc>
                <w:tcPr>
                  <w:tcW w:w="4220" w:type="dxa"/>
                  <w:tcBorders>
                    <w:tl2br w:val="nil"/>
                    <w:tr2bl w:val="nil"/>
                  </w:tcBorders>
                  <w:vAlign w:val="top"/>
                </w:tcPr>
                <w:p w14:paraId="55D12804">
                  <w:pPr>
                    <w:pStyle w:val="33"/>
                    <w:keepNext w:val="0"/>
                    <w:keepLines w:val="0"/>
                    <w:suppressLineNumbers w:val="0"/>
                    <w:bidi w:val="0"/>
                    <w:spacing w:beforeAutospacing="0" w:afterAutospacing="0"/>
                    <w:ind w:left="0" w:right="0"/>
                    <w:rPr>
                      <w:rFonts w:hint="eastAsia"/>
                      <w:color w:val="auto"/>
                      <w:lang w:val="en-US" w:eastAsia="zh-CN"/>
                    </w:rPr>
                  </w:pPr>
                  <w:r>
                    <w:rPr>
                      <w:rFonts w:hint="default"/>
                      <w:color w:val="auto"/>
                    </w:rPr>
                    <w:drawing>
                      <wp:inline distT="0" distB="0" distL="0" distR="0">
                        <wp:extent cx="2715895" cy="2032000"/>
                        <wp:effectExtent l="0" t="0" r="8255" b="635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jpeg"/>
                                <pic:cNvPicPr>
                                  <a:picLocks noChangeAspect="1"/>
                                </pic:cNvPicPr>
                              </pic:nvPicPr>
                              <pic:blipFill>
                                <a:blip r:embed="rId19" cstate="print"/>
                                <a:stretch>
                                  <a:fillRect/>
                                </a:stretch>
                              </pic:blipFill>
                              <pic:spPr>
                                <a:xfrm>
                                  <a:off x="0" y="0"/>
                                  <a:ext cx="2716102" cy="2032444"/>
                                </a:xfrm>
                                <a:prstGeom prst="rect">
                                  <a:avLst/>
                                </a:prstGeom>
                              </pic:spPr>
                            </pic:pic>
                          </a:graphicData>
                        </a:graphic>
                      </wp:inline>
                    </w:drawing>
                  </w:r>
                </w:p>
              </w:tc>
            </w:tr>
            <w:tr w14:paraId="56FB2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9" w:type="dxa"/>
                  <w:tcBorders>
                    <w:tl2br w:val="nil"/>
                    <w:tr2bl w:val="nil"/>
                  </w:tcBorders>
                  <w:vAlign w:val="top"/>
                </w:tcPr>
                <w:p w14:paraId="1E0DA344">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A2治理区场地堆放垃圾</w:t>
                  </w:r>
                </w:p>
              </w:tc>
              <w:tc>
                <w:tcPr>
                  <w:tcW w:w="4220" w:type="dxa"/>
                  <w:tcBorders>
                    <w:tl2br w:val="nil"/>
                    <w:tr2bl w:val="nil"/>
                  </w:tcBorders>
                  <w:vAlign w:val="top"/>
                </w:tcPr>
                <w:p w14:paraId="1B5D4623">
                  <w:pPr>
                    <w:pStyle w:val="33"/>
                    <w:keepNext w:val="0"/>
                    <w:keepLines w:val="0"/>
                    <w:suppressLineNumbers w:val="0"/>
                    <w:bidi w:val="0"/>
                    <w:spacing w:beforeAutospacing="0" w:afterAutospacing="0"/>
                    <w:ind w:left="0" w:right="0"/>
                    <w:rPr>
                      <w:rFonts w:hint="eastAsia"/>
                      <w:color w:val="auto"/>
                      <w:sz w:val="24"/>
                      <w:szCs w:val="24"/>
                      <w:lang w:val="en-US" w:eastAsia="zh-CN"/>
                    </w:rPr>
                  </w:pPr>
                  <w:r>
                    <w:rPr>
                      <w:rFonts w:hint="default"/>
                      <w:color w:val="auto"/>
                      <w:sz w:val="24"/>
                      <w:szCs w:val="24"/>
                    </w:rPr>
                    <w:t>A5治理区矿渣依坡堆放</w:t>
                  </w:r>
                </w:p>
              </w:tc>
            </w:tr>
            <w:tr w14:paraId="352B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9" w:type="dxa"/>
                  <w:gridSpan w:val="2"/>
                  <w:tcBorders>
                    <w:tl2br w:val="nil"/>
                    <w:tr2bl w:val="nil"/>
                  </w:tcBorders>
                  <w:vAlign w:val="top"/>
                </w:tcPr>
                <w:p w14:paraId="3B223D2C">
                  <w:pPr>
                    <w:pStyle w:val="3"/>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图3-2  项目区现状图</w:t>
                  </w:r>
                </w:p>
              </w:tc>
            </w:tr>
          </w:tbl>
          <w:p w14:paraId="0A00DACB">
            <w:pPr>
              <w:keepNext w:val="0"/>
              <w:keepLines w:val="0"/>
              <w:widowControl/>
              <w:suppressLineNumbers w:val="0"/>
              <w:spacing w:before="0" w:beforeAutospacing="0" w:after="0" w:afterAutospacing="0"/>
              <w:ind w:left="0" w:leftChars="0" w:right="0" w:firstLine="0" w:firstLineChars="0"/>
              <w:jc w:val="both"/>
              <w:rPr>
                <w:rFonts w:hint="eastAsia" w:eastAsia="宋体" w:cs="Times New Roman"/>
                <w:color w:val="auto"/>
                <w:kern w:val="0"/>
                <w:szCs w:val="21"/>
                <w:lang w:eastAsia="zh-CN"/>
              </w:rPr>
            </w:pPr>
          </w:p>
        </w:tc>
      </w:tr>
      <w:tr w14:paraId="18A9A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8" w:type="dxa"/>
            <w:noWrap w:val="0"/>
            <w:vAlign w:val="center"/>
          </w:tcPr>
          <w:p w14:paraId="7CF21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auto"/>
                <w:kern w:val="0"/>
                <w:szCs w:val="21"/>
              </w:rPr>
            </w:pPr>
            <w:r>
              <w:rPr>
                <w:rFonts w:hint="default" w:cs="Times New Roman"/>
                <w:b/>
                <w:bCs/>
                <w:color w:val="auto"/>
                <w:kern w:val="0"/>
                <w:sz w:val="24"/>
              </w:rPr>
              <w:t>生态环境保护目标</w:t>
            </w:r>
          </w:p>
        </w:tc>
        <w:tc>
          <w:tcPr>
            <w:tcW w:w="8649" w:type="dxa"/>
            <w:noWrap w:val="0"/>
            <w:vAlign w:val="center"/>
          </w:tcPr>
          <w:p w14:paraId="094A5392">
            <w:pPr>
              <w:keepNext w:val="0"/>
              <w:keepLines w:val="0"/>
              <w:widowControl/>
              <w:suppressLineNumbers w:val="0"/>
              <w:spacing w:before="0" w:beforeAutospacing="0" w:after="0" w:afterAutospacing="0"/>
              <w:ind w:left="0" w:right="0"/>
              <w:jc w:val="both"/>
              <w:rPr>
                <w:rFonts w:hint="eastAsia" w:cs="Times New Roman"/>
                <w:color w:val="auto"/>
                <w:lang w:val="en-US" w:eastAsia="zh-CN"/>
              </w:rPr>
            </w:pPr>
            <w:r>
              <w:rPr>
                <w:rFonts w:hint="eastAsia" w:ascii="宋体" w:hAnsi="宋体" w:eastAsia="宋体" w:cs="宋体"/>
                <w:color w:val="auto"/>
                <w:kern w:val="0"/>
                <w:sz w:val="24"/>
                <w:szCs w:val="24"/>
                <w:lang w:val="en-US" w:eastAsia="zh-CN" w:bidi="ar"/>
              </w:rPr>
              <w:t>根据《建设项目环境影响报告表编制技术指南（生态影响类）》（试行），生态环境保护目标按照环境影响评价相关技术导则要求确定评价范围并识别环境保护目标。</w:t>
            </w:r>
          </w:p>
          <w:p w14:paraId="298E92B7">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1 </w:t>
            </w:r>
            <w:r>
              <w:rPr>
                <w:rFonts w:hint="default"/>
                <w:color w:val="auto"/>
                <w:lang w:val="en-US" w:eastAsia="zh-CN"/>
              </w:rPr>
              <w:t>大气环境</w:t>
            </w:r>
          </w:p>
          <w:p w14:paraId="21268BB1">
            <w:pPr>
              <w:pStyle w:val="2"/>
              <w:keepLines w:val="0"/>
              <w:numPr>
                <w:ilvl w:val="1"/>
                <w:numId w:val="1"/>
              </w:numPr>
              <w:suppressLineNumbers w:val="0"/>
              <w:bidi w:val="0"/>
              <w:spacing w:before="0" w:beforeAutospacing="0" w:after="0" w:afterAutospacing="0"/>
              <w:ind w:right="0"/>
              <w:rPr>
                <w:rFonts w:hint="eastAsia"/>
                <w:color w:val="auto"/>
                <w:lang w:val="en-US" w:eastAsia="zh-CN"/>
              </w:rPr>
            </w:pPr>
            <w:r>
              <w:rPr>
                <w:rFonts w:hint="eastAsia"/>
                <w:color w:val="auto"/>
                <w:lang w:val="en-US" w:eastAsia="zh-CN"/>
              </w:rPr>
              <w:t>评价范围</w:t>
            </w:r>
          </w:p>
          <w:p w14:paraId="1660FC95">
            <w:pPr>
              <w:pStyle w:val="33"/>
              <w:keepNext w:val="0"/>
              <w:keepLines w:val="0"/>
              <w:suppressLineNumbers w:val="0"/>
              <w:adjustRightInd/>
              <w:snapToGrid/>
              <w:spacing w:beforeLines="0" w:beforeAutospacing="0" w:afterLines="0" w:afterAutospacing="0" w:line="240" w:lineRule="auto"/>
              <w:ind w:left="0" w:right="0" w:firstLine="454" w:firstLineChars="200"/>
              <w:jc w:val="both"/>
              <w:rPr>
                <w:rFonts w:hint="default" w:ascii="Times New Roman" w:hAnsi="Times New Roman" w:eastAsia="宋体" w:cs="Times New Roman"/>
                <w:color w:val="auto"/>
                <w:sz w:val="24"/>
                <w:lang w:val="en-US" w:eastAsia="zh-CN"/>
              </w:rPr>
            </w:pPr>
            <w:r>
              <w:rPr>
                <w:rFonts w:hint="eastAsia" w:ascii="宋体" w:hAnsi="宋体" w:eastAsia="宋体" w:cs="宋体"/>
                <w:color w:val="auto"/>
                <w:kern w:val="0"/>
                <w:sz w:val="24"/>
                <w:szCs w:val="24"/>
                <w:lang w:val="en-US" w:eastAsia="zh-CN" w:bidi="ar"/>
              </w:rPr>
              <w:t>本项目运营期无废气排放，废气影响主要在施工期，且随着施工期的结束而消失。根据《环境影响评价技术导则 大气环境》</w:t>
            </w:r>
            <w:r>
              <w:rPr>
                <w:rFonts w:hint="default" w:ascii="Times New Roman" w:hAnsi="Times New Roman" w:eastAsia="宋体" w:cs="Times New Roman"/>
                <w:color w:val="auto"/>
                <w:kern w:val="0"/>
                <w:sz w:val="24"/>
                <w:szCs w:val="24"/>
                <w:lang w:val="en-US" w:eastAsia="zh-CN" w:bidi="ar"/>
              </w:rPr>
              <w:t>(HJ 2.2-2018)</w:t>
            </w:r>
            <w:r>
              <w:rPr>
                <w:rFonts w:hint="eastAsia" w:ascii="宋体" w:hAnsi="宋体" w:eastAsia="宋体" w:cs="宋体"/>
                <w:color w:val="auto"/>
                <w:kern w:val="0"/>
                <w:sz w:val="24"/>
                <w:szCs w:val="24"/>
                <w:lang w:val="en-US" w:eastAsia="zh-CN" w:bidi="ar"/>
              </w:rPr>
              <w:t>，营运期无废气排放</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大气环境可以不用确定评价等级，</w:t>
            </w:r>
            <w:r>
              <w:rPr>
                <w:rFonts w:hint="eastAsia" w:ascii="宋体" w:hAnsi="宋体" w:cs="宋体"/>
                <w:color w:val="auto"/>
                <w:kern w:val="0"/>
                <w:sz w:val="24"/>
                <w:szCs w:val="24"/>
                <w:lang w:val="en-US" w:eastAsia="zh-CN" w:bidi="ar"/>
              </w:rPr>
              <w:t>因此本</w:t>
            </w:r>
            <w:r>
              <w:rPr>
                <w:rFonts w:hint="eastAsia" w:ascii="宋体" w:hAnsi="宋体" w:eastAsia="宋体" w:cs="宋体"/>
                <w:color w:val="auto"/>
                <w:kern w:val="0"/>
                <w:sz w:val="24"/>
                <w:szCs w:val="24"/>
                <w:lang w:val="en-US" w:eastAsia="zh-CN" w:bidi="ar"/>
              </w:rPr>
              <w:t>项目不需设置大气环境影响评价范围。</w:t>
            </w:r>
          </w:p>
          <w:p w14:paraId="057410D6">
            <w:pPr>
              <w:pStyle w:val="2"/>
              <w:keepLines w:val="0"/>
              <w:suppressLineNumbers w:val="0"/>
              <w:bidi w:val="0"/>
              <w:spacing w:before="0" w:beforeAutospacing="0" w:after="0" w:afterAutospacing="0"/>
              <w:ind w:left="0" w:right="0"/>
              <w:rPr>
                <w:rFonts w:hint="default"/>
                <w:color w:val="auto"/>
              </w:rPr>
            </w:pPr>
            <w:r>
              <w:rPr>
                <w:rFonts w:hint="eastAsia"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.2 </w:t>
            </w:r>
            <w:r>
              <w:rPr>
                <w:rFonts w:hint="default" w:ascii="黑体" w:hAnsi="宋体" w:eastAsia="黑体" w:cs="黑体"/>
                <w:color w:val="auto"/>
                <w:kern w:val="0"/>
                <w:sz w:val="24"/>
                <w:szCs w:val="24"/>
                <w:lang w:val="en-US" w:eastAsia="zh-CN" w:bidi="ar"/>
              </w:rPr>
              <w:t>环境保护目标</w:t>
            </w:r>
          </w:p>
          <w:p w14:paraId="51BFE4F4">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本项目不设置大气环境影响评价范围，因此本次评价不开展环境空气保护目标调查。</w:t>
            </w:r>
          </w:p>
          <w:p w14:paraId="182DEA8C">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2 </w:t>
            </w:r>
            <w:r>
              <w:rPr>
                <w:rFonts w:hint="default"/>
                <w:color w:val="auto"/>
                <w:lang w:val="en-US" w:eastAsia="zh-CN"/>
              </w:rPr>
              <w:t>声环境</w:t>
            </w:r>
          </w:p>
          <w:p w14:paraId="453D05EF">
            <w:pPr>
              <w:pStyle w:val="2"/>
              <w:keepLines w:val="0"/>
              <w:numPr>
                <w:ilvl w:val="0"/>
                <w:numId w:val="0"/>
              </w:numPr>
              <w:suppressLineNumbers w:val="0"/>
              <w:bidi w:val="0"/>
              <w:spacing w:before="0" w:beforeAutospacing="0" w:after="0" w:afterAutospacing="0"/>
              <w:ind w:left="0" w:leftChars="0" w:right="0"/>
              <w:rPr>
                <w:rFonts w:hint="default"/>
                <w:color w:val="auto"/>
                <w:lang w:val="en-US" w:eastAsia="zh-CN"/>
              </w:rPr>
            </w:pPr>
            <w:r>
              <w:rPr>
                <w:rFonts w:hint="eastAsia"/>
                <w:color w:val="auto"/>
                <w:lang w:val="en-US" w:eastAsia="zh-CN"/>
              </w:rPr>
              <w:t>2.1 评价范围</w:t>
            </w:r>
          </w:p>
          <w:p w14:paraId="350F2B10">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根据《环境影响评价技术导则 声环境》</w:t>
            </w:r>
            <w:r>
              <w:rPr>
                <w:rFonts w:hint="default" w:ascii="Times New Roman" w:hAnsi="Times New Roman" w:eastAsia="宋体" w:cs="Times New Roman"/>
                <w:color w:val="auto"/>
                <w:kern w:val="0"/>
                <w:sz w:val="24"/>
                <w:szCs w:val="24"/>
                <w:lang w:val="en-US" w:eastAsia="zh-CN" w:bidi="ar"/>
              </w:rPr>
              <w:t>(HJ 2.4-2021)</w:t>
            </w:r>
            <w:r>
              <w:rPr>
                <w:rFonts w:hint="eastAsia" w:ascii="宋体" w:hAnsi="宋体" w:eastAsia="宋体" w:cs="宋体"/>
                <w:color w:val="auto"/>
                <w:kern w:val="0"/>
                <w:sz w:val="24"/>
                <w:szCs w:val="24"/>
                <w:lang w:val="en-US" w:eastAsia="zh-CN" w:bidi="ar"/>
              </w:rPr>
              <w:t>，声环境评价范围为</w:t>
            </w:r>
            <w:r>
              <w:rPr>
                <w:rFonts w:hint="eastAsia" w:ascii="宋体" w:hAnsi="宋体" w:cs="宋体"/>
                <w:color w:val="auto"/>
                <w:kern w:val="0"/>
                <w:sz w:val="24"/>
                <w:szCs w:val="24"/>
                <w:lang w:val="en-US" w:eastAsia="zh-CN" w:bidi="ar"/>
              </w:rPr>
              <w:t>项目区边界向外</w:t>
            </w:r>
            <w:r>
              <w:rPr>
                <w:rFonts w:hint="default" w:ascii="Times New Roman" w:hAnsi="Times New Roman" w:eastAsia="宋体" w:cs="Times New Roman"/>
                <w:color w:val="auto"/>
                <w:kern w:val="0"/>
                <w:sz w:val="24"/>
                <w:szCs w:val="24"/>
                <w:lang w:val="en-US" w:eastAsia="zh-CN" w:bidi="ar"/>
              </w:rPr>
              <w:t>200m</w:t>
            </w:r>
            <w:r>
              <w:rPr>
                <w:rFonts w:hint="eastAsia" w:cs="Times New Roman"/>
                <w:color w:val="auto"/>
                <w:kern w:val="0"/>
                <w:sz w:val="24"/>
                <w:szCs w:val="24"/>
                <w:lang w:val="en-US" w:eastAsia="zh-CN" w:bidi="ar"/>
              </w:rPr>
              <w:t>范围</w:t>
            </w:r>
            <w:r>
              <w:rPr>
                <w:rFonts w:hint="eastAsia" w:ascii="宋体" w:hAnsi="宋体" w:eastAsia="宋体" w:cs="宋体"/>
                <w:color w:val="auto"/>
                <w:kern w:val="0"/>
                <w:sz w:val="24"/>
                <w:szCs w:val="24"/>
                <w:lang w:val="en-US" w:eastAsia="zh-CN" w:bidi="ar"/>
              </w:rPr>
              <w:t>。</w:t>
            </w:r>
          </w:p>
          <w:p w14:paraId="151E8693">
            <w:pPr>
              <w:pStyle w:val="2"/>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r>
              <w:rPr>
                <w:rFonts w:hint="eastAsia"/>
                <w:color w:val="auto"/>
                <w:lang w:val="en-US" w:eastAsia="zh-CN"/>
              </w:rPr>
              <w:t xml:space="preserve">2.2 </w:t>
            </w:r>
            <w:r>
              <w:rPr>
                <w:rFonts w:hint="default" w:ascii="黑体" w:hAnsi="宋体" w:eastAsia="黑体" w:cs="黑体"/>
                <w:color w:val="auto"/>
                <w:kern w:val="0"/>
                <w:sz w:val="24"/>
                <w:szCs w:val="24"/>
                <w:lang w:val="en-US" w:eastAsia="zh-CN" w:bidi="ar"/>
              </w:rPr>
              <w:t>环境保护目标</w:t>
            </w:r>
          </w:p>
          <w:p w14:paraId="4B0B5F65">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0"/>
                <w:sz w:val="24"/>
                <w:szCs w:val="24"/>
                <w:lang w:val="en-US" w:eastAsia="zh-CN" w:bidi="ar"/>
              </w:rPr>
            </w:pPr>
            <w:r>
              <w:rPr>
                <w:rFonts w:hint="eastAsia" w:ascii="宋体" w:hAnsi="宋体" w:cs="宋体"/>
                <w:color w:val="auto"/>
                <w:kern w:val="0"/>
                <w:sz w:val="24"/>
                <w:szCs w:val="24"/>
                <w:lang w:val="en-US" w:eastAsia="zh-CN" w:bidi="ar"/>
              </w:rPr>
              <w:t>项目区边界向外</w:t>
            </w:r>
            <w:r>
              <w:rPr>
                <w:rFonts w:hint="default" w:ascii="Times New Roman" w:hAnsi="Times New Roman" w:eastAsia="宋体" w:cs="Times New Roman"/>
                <w:color w:val="auto"/>
                <w:kern w:val="0"/>
                <w:sz w:val="24"/>
                <w:szCs w:val="24"/>
                <w:lang w:val="en-US" w:eastAsia="zh-CN" w:bidi="ar"/>
              </w:rPr>
              <w:t>200m</w:t>
            </w:r>
            <w:r>
              <w:rPr>
                <w:rFonts w:hint="eastAsia" w:ascii="Times New Roman" w:hAnsi="Times New Roman" w:eastAsia="宋体" w:cs="Times New Roman"/>
                <w:color w:val="auto"/>
                <w:kern w:val="0"/>
                <w:sz w:val="24"/>
                <w:szCs w:val="24"/>
                <w:lang w:val="en-US" w:eastAsia="zh-CN" w:bidi="ar"/>
              </w:rPr>
              <w:t>范围内声环境保护目标为</w:t>
            </w:r>
            <w:r>
              <w:rPr>
                <w:rFonts w:hint="eastAsia" w:cs="Times New Roman"/>
                <w:color w:val="auto"/>
                <w:kern w:val="0"/>
                <w:sz w:val="24"/>
                <w:szCs w:val="24"/>
                <w:lang w:val="en-US" w:eastAsia="zh-CN" w:bidi="ar"/>
              </w:rPr>
              <w:t>治理区A6西侧</w:t>
            </w:r>
            <w:r>
              <w:rPr>
                <w:rFonts w:hint="eastAsia" w:ascii="Times New Roman" w:hAnsi="Times New Roman" w:eastAsia="宋体" w:cs="Times New Roman"/>
                <w:color w:val="auto"/>
                <w:kern w:val="0"/>
                <w:sz w:val="24"/>
                <w:szCs w:val="24"/>
                <w:lang w:val="en-US" w:eastAsia="zh-CN" w:bidi="ar"/>
              </w:rPr>
              <w:t>四方堆住户，详见表3-</w:t>
            </w:r>
            <w:r>
              <w:rPr>
                <w:rFonts w:hint="eastAsia" w:cs="Times New Roman"/>
                <w:color w:val="auto"/>
                <w:kern w:val="0"/>
                <w:sz w:val="24"/>
                <w:szCs w:val="24"/>
                <w:lang w:val="en-US" w:eastAsia="zh-CN" w:bidi="ar"/>
              </w:rPr>
              <w:t>7</w:t>
            </w:r>
            <w:r>
              <w:rPr>
                <w:rFonts w:hint="eastAsia" w:ascii="Times New Roman" w:hAnsi="Times New Roman" w:eastAsia="宋体" w:cs="Times New Roman"/>
                <w:color w:val="auto"/>
                <w:kern w:val="0"/>
                <w:sz w:val="24"/>
                <w:szCs w:val="24"/>
                <w:lang w:val="en-US" w:eastAsia="zh-CN" w:bidi="ar"/>
              </w:rPr>
              <w:t>及附图3-</w:t>
            </w:r>
            <w:r>
              <w:rPr>
                <w:rFonts w:hint="eastAsia"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lang w:val="en-US" w:eastAsia="zh-CN" w:bidi="ar"/>
              </w:rPr>
              <w:t>。</w:t>
            </w:r>
          </w:p>
          <w:p w14:paraId="556156BB">
            <w:pPr>
              <w:pStyle w:val="3"/>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表3-7  声环境保护目标一览表。</w:t>
            </w:r>
          </w:p>
          <w:tbl>
            <w:tblPr>
              <w:tblStyle w:val="26"/>
              <w:tblW w:w="84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958"/>
              <w:gridCol w:w="1345"/>
              <w:gridCol w:w="916"/>
              <w:gridCol w:w="849"/>
              <w:gridCol w:w="993"/>
              <w:gridCol w:w="2582"/>
            </w:tblGrid>
            <w:tr w14:paraId="069C5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4" w:type="dxa"/>
                  <w:tcBorders>
                    <w:tl2br w:val="nil"/>
                    <w:tr2bl w:val="nil"/>
                  </w:tcBorders>
                  <w:noWrap/>
                  <w:vAlign w:val="center"/>
                </w:tcPr>
                <w:p w14:paraId="17689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958" w:type="dxa"/>
                  <w:tcBorders>
                    <w:tl2br w:val="nil"/>
                    <w:tr2bl w:val="nil"/>
                  </w:tcBorders>
                  <w:noWrap/>
                  <w:vAlign w:val="center"/>
                </w:tcPr>
                <w:p w14:paraId="257F5F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345" w:type="dxa"/>
                  <w:tcBorders>
                    <w:tl2br w:val="nil"/>
                    <w:tr2bl w:val="nil"/>
                  </w:tcBorders>
                  <w:noWrap/>
                  <w:vAlign w:val="center"/>
                </w:tcPr>
                <w:p w14:paraId="3C737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w:t>
                  </w:r>
                </w:p>
              </w:tc>
              <w:tc>
                <w:tcPr>
                  <w:tcW w:w="916" w:type="dxa"/>
                  <w:tcBorders>
                    <w:tl2br w:val="nil"/>
                    <w:tr2bl w:val="nil"/>
                  </w:tcBorders>
                  <w:noWrap/>
                  <w:vAlign w:val="center"/>
                </w:tcPr>
                <w:p w14:paraId="562ED6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功能</w:t>
                  </w:r>
                </w:p>
              </w:tc>
              <w:tc>
                <w:tcPr>
                  <w:tcW w:w="849" w:type="dxa"/>
                  <w:tcBorders>
                    <w:tl2br w:val="nil"/>
                    <w:tr2bl w:val="nil"/>
                  </w:tcBorders>
                  <w:noWrap/>
                  <w:vAlign w:val="center"/>
                </w:tcPr>
                <w:p w14:paraId="5FA5D5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w:t>
                  </w:r>
                </w:p>
                <w:p w14:paraId="688DFA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方位</w:t>
                  </w:r>
                </w:p>
              </w:tc>
              <w:tc>
                <w:tcPr>
                  <w:tcW w:w="993" w:type="dxa"/>
                  <w:tcBorders>
                    <w:tl2br w:val="nil"/>
                    <w:tr2bl w:val="nil"/>
                  </w:tcBorders>
                  <w:noWrap/>
                  <w:vAlign w:val="center"/>
                </w:tcPr>
                <w:p w14:paraId="7870A1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相对距离(m)</w:t>
                  </w:r>
                </w:p>
              </w:tc>
              <w:tc>
                <w:tcPr>
                  <w:tcW w:w="2582" w:type="dxa"/>
                  <w:tcBorders>
                    <w:tl2br w:val="nil"/>
                    <w:tr2bl w:val="nil"/>
                  </w:tcBorders>
                  <w:noWrap/>
                  <w:vAlign w:val="center"/>
                </w:tcPr>
                <w:p w14:paraId="1A4E47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功能要求及保护级别</w:t>
                  </w:r>
                </w:p>
              </w:tc>
            </w:tr>
            <w:tr w14:paraId="0AB62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4" w:type="dxa"/>
                  <w:tcBorders>
                    <w:tl2br w:val="nil"/>
                    <w:tr2bl w:val="nil"/>
                  </w:tcBorders>
                  <w:noWrap/>
                  <w:vAlign w:val="center"/>
                </w:tcPr>
                <w:p w14:paraId="51B95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声</w:t>
                  </w:r>
                </w:p>
              </w:tc>
              <w:tc>
                <w:tcPr>
                  <w:tcW w:w="958" w:type="dxa"/>
                  <w:tcBorders>
                    <w:tl2br w:val="nil"/>
                    <w:tr2bl w:val="nil"/>
                  </w:tcBorders>
                  <w:noWrap/>
                  <w:vAlign w:val="center"/>
                </w:tcPr>
                <w:p w14:paraId="32584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四方堆（A6）</w:t>
                  </w:r>
                </w:p>
              </w:tc>
              <w:tc>
                <w:tcPr>
                  <w:tcW w:w="1345" w:type="dxa"/>
                  <w:tcBorders>
                    <w:tl2br w:val="nil"/>
                    <w:tr2bl w:val="nil"/>
                  </w:tcBorders>
                  <w:noWrap/>
                  <w:vAlign w:val="center"/>
                </w:tcPr>
                <w:p w14:paraId="0DC6FB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居民15户，60人</w:t>
                  </w:r>
                </w:p>
              </w:tc>
              <w:tc>
                <w:tcPr>
                  <w:tcW w:w="916" w:type="dxa"/>
                  <w:tcBorders>
                    <w:tl2br w:val="nil"/>
                    <w:tr2bl w:val="nil"/>
                  </w:tcBorders>
                  <w:noWrap/>
                  <w:vAlign w:val="center"/>
                </w:tcPr>
                <w:p w14:paraId="7F6EA9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居住</w:t>
                  </w:r>
                </w:p>
              </w:tc>
              <w:tc>
                <w:tcPr>
                  <w:tcW w:w="849" w:type="dxa"/>
                  <w:tcBorders>
                    <w:tl2br w:val="nil"/>
                    <w:tr2bl w:val="nil"/>
                  </w:tcBorders>
                  <w:noWrap/>
                  <w:vAlign w:val="center"/>
                </w:tcPr>
                <w:p w14:paraId="54A74C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w:t>
                  </w:r>
                  <w:r>
                    <w:rPr>
                      <w:rFonts w:hint="eastAsia" w:ascii="Times New Roman" w:hAnsi="Times New Roman" w:cs="Times New Roman"/>
                      <w:color w:val="auto"/>
                      <w:kern w:val="2"/>
                      <w:sz w:val="21"/>
                      <w:szCs w:val="21"/>
                      <w:lang w:val="en-US" w:eastAsia="zh-CN" w:bidi="ar-SA"/>
                    </w:rPr>
                    <w:t>（相对A6</w:t>
                  </w:r>
                  <w:r>
                    <w:rPr>
                      <w:rFonts w:hint="eastAsia" w:cs="Times New Roman"/>
                      <w:color w:val="auto"/>
                      <w:kern w:val="2"/>
                      <w:sz w:val="21"/>
                      <w:szCs w:val="21"/>
                      <w:lang w:val="en-US" w:eastAsia="zh-CN" w:bidi="ar-SA"/>
                    </w:rPr>
                    <w:t>治理区</w:t>
                  </w:r>
                  <w:r>
                    <w:rPr>
                      <w:rFonts w:hint="eastAsia" w:ascii="Times New Roman" w:hAnsi="Times New Roman" w:cs="Times New Roman"/>
                      <w:color w:val="auto"/>
                      <w:kern w:val="2"/>
                      <w:sz w:val="21"/>
                      <w:szCs w:val="21"/>
                      <w:lang w:val="en-US" w:eastAsia="zh-CN" w:bidi="ar-SA"/>
                    </w:rPr>
                    <w:t>）</w:t>
                  </w:r>
                </w:p>
              </w:tc>
              <w:tc>
                <w:tcPr>
                  <w:tcW w:w="993" w:type="dxa"/>
                  <w:tcBorders>
                    <w:tl2br w:val="nil"/>
                    <w:tr2bl w:val="nil"/>
                  </w:tcBorders>
                  <w:noWrap/>
                  <w:vAlign w:val="center"/>
                </w:tcPr>
                <w:p w14:paraId="32569A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r>
                    <w:rPr>
                      <w:rFonts w:hint="eastAsia" w:ascii="Times New Roman" w:hAnsi="Times New Roman" w:cs="Times New Roman"/>
                      <w:color w:val="auto"/>
                      <w:kern w:val="2"/>
                      <w:sz w:val="21"/>
                      <w:szCs w:val="21"/>
                      <w:lang w:val="en-US" w:eastAsia="zh-CN" w:bidi="ar-SA"/>
                    </w:rPr>
                    <w:t>（相对A6</w:t>
                  </w:r>
                  <w:r>
                    <w:rPr>
                      <w:rFonts w:hint="eastAsia" w:cs="Times New Roman"/>
                      <w:color w:val="auto"/>
                      <w:kern w:val="2"/>
                      <w:sz w:val="21"/>
                      <w:szCs w:val="21"/>
                      <w:lang w:val="en-US" w:eastAsia="zh-CN" w:bidi="ar-SA"/>
                    </w:rPr>
                    <w:t>治理区</w:t>
                  </w:r>
                  <w:r>
                    <w:rPr>
                      <w:rFonts w:hint="eastAsia" w:ascii="Times New Roman" w:hAnsi="Times New Roman" w:cs="Times New Roman"/>
                      <w:color w:val="auto"/>
                      <w:kern w:val="2"/>
                      <w:sz w:val="21"/>
                      <w:szCs w:val="21"/>
                      <w:lang w:val="en-US" w:eastAsia="zh-CN" w:bidi="ar-SA"/>
                    </w:rPr>
                    <w:t>）</w:t>
                  </w:r>
                </w:p>
              </w:tc>
              <w:tc>
                <w:tcPr>
                  <w:tcW w:w="2582" w:type="dxa"/>
                  <w:tcBorders>
                    <w:tl2br w:val="nil"/>
                    <w:tr2bl w:val="nil"/>
                  </w:tcBorders>
                  <w:noWrap/>
                  <w:vAlign w:val="center"/>
                </w:tcPr>
                <w:p w14:paraId="623CD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《声环境质量标准》</w:t>
                  </w:r>
                  <w:r>
                    <w:rPr>
                      <w:rFonts w:hint="default" w:ascii="Times New Roman" w:hAnsi="Times New Roman" w:eastAsia="TimesNewRomanPSMT" w:cs="Times New Roman"/>
                      <w:b w:val="0"/>
                      <w:bCs w:val="0"/>
                      <w:color w:val="auto"/>
                      <w:sz w:val="21"/>
                      <w:szCs w:val="21"/>
                    </w:rPr>
                    <w:t>(GB3096-2008)</w:t>
                  </w:r>
                  <w:r>
                    <w:rPr>
                      <w:rFonts w:hint="eastAsia" w:ascii="Times New Roman" w:hAnsi="Times New Roman"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p>
              </w:tc>
            </w:tr>
          </w:tbl>
          <w:p w14:paraId="4F0CD403">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 地表水</w:t>
            </w:r>
          </w:p>
          <w:p w14:paraId="7ACA9964">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3.1 评价范围</w:t>
            </w:r>
          </w:p>
          <w:p w14:paraId="64F28D62">
            <w:pPr>
              <w:keepNext w:val="0"/>
              <w:keepLines w:val="0"/>
              <w:widowControl/>
              <w:suppressLineNumbers w:val="0"/>
              <w:spacing w:before="0" w:beforeAutospacing="0" w:after="0" w:afterAutospacing="0"/>
              <w:ind w:left="0" w:right="0"/>
              <w:jc w:val="left"/>
              <w:rPr>
                <w:rFonts w:hint="eastAsia" w:cs="Times New Roman"/>
                <w:color w:val="auto"/>
                <w:lang w:val="en-US" w:eastAsia="zh-CN"/>
              </w:rPr>
            </w:pPr>
            <w:r>
              <w:rPr>
                <w:rFonts w:hint="eastAsia" w:ascii="宋体" w:hAnsi="宋体" w:cs="宋体"/>
                <w:color w:val="auto"/>
                <w:kern w:val="0"/>
                <w:sz w:val="24"/>
                <w:szCs w:val="24"/>
                <w:lang w:val="en-US" w:eastAsia="zh-CN" w:bidi="ar"/>
              </w:rPr>
              <w:t>本项目运营期无废水排放，废水影响主要在施工期，</w:t>
            </w:r>
            <w:r>
              <w:rPr>
                <w:rFonts w:hint="eastAsia" w:ascii="宋体" w:hAnsi="宋体" w:eastAsia="宋体" w:cs="宋体"/>
                <w:color w:val="auto"/>
                <w:kern w:val="0"/>
                <w:sz w:val="24"/>
                <w:szCs w:val="24"/>
                <w:lang w:val="en-US" w:eastAsia="zh-CN" w:bidi="ar"/>
              </w:rPr>
              <w:t>且随着施工期的结束而消失。根据《环境影响评价技术导则 地表水环境》</w:t>
            </w:r>
            <w:r>
              <w:rPr>
                <w:rFonts w:hint="default" w:ascii="Times New Roman" w:hAnsi="Times New Roman" w:eastAsia="宋体" w:cs="Times New Roman"/>
                <w:color w:val="auto"/>
                <w:kern w:val="0"/>
                <w:sz w:val="24"/>
                <w:szCs w:val="24"/>
                <w:lang w:val="en-US" w:eastAsia="zh-CN" w:bidi="ar"/>
              </w:rPr>
              <w:t>(HJ 2.3—2018)</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本项目不需要设置地表水</w:t>
            </w:r>
            <w:r>
              <w:rPr>
                <w:rFonts w:hint="eastAsia" w:ascii="宋体" w:hAnsi="宋体" w:eastAsia="宋体" w:cs="宋体"/>
                <w:color w:val="auto"/>
                <w:kern w:val="0"/>
                <w:sz w:val="24"/>
                <w:szCs w:val="24"/>
                <w:lang w:val="en-US" w:eastAsia="zh-CN" w:bidi="ar"/>
              </w:rPr>
              <w:t>环境影响评价范围。</w:t>
            </w:r>
          </w:p>
          <w:p w14:paraId="5C12DD00">
            <w:pPr>
              <w:pStyle w:val="2"/>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r>
              <w:rPr>
                <w:rFonts w:hint="eastAsia"/>
                <w:color w:val="auto"/>
                <w:lang w:val="en-US" w:eastAsia="zh-CN"/>
              </w:rPr>
              <w:t xml:space="preserve">3.2 </w:t>
            </w:r>
            <w:r>
              <w:rPr>
                <w:rFonts w:hint="default" w:ascii="黑体" w:hAnsi="宋体" w:eastAsia="黑体" w:cs="黑体"/>
                <w:color w:val="auto"/>
                <w:kern w:val="0"/>
                <w:sz w:val="24"/>
                <w:szCs w:val="24"/>
                <w:lang w:val="en-US" w:eastAsia="zh-CN" w:bidi="ar"/>
              </w:rPr>
              <w:t>环境保护目标</w:t>
            </w:r>
          </w:p>
          <w:p w14:paraId="09EB4390">
            <w:pPr>
              <w:keepNext w:val="0"/>
              <w:keepLines w:val="0"/>
              <w:widowControl/>
              <w:suppressLineNumbers w:val="0"/>
              <w:spacing w:before="0" w:beforeAutospacing="0" w:after="0" w:afterAutospacing="0"/>
              <w:ind w:left="0" w:right="0"/>
              <w:jc w:val="left"/>
              <w:rPr>
                <w:rFonts w:hint="default" w:cs="Times New Roman"/>
                <w:color w:val="auto"/>
                <w:lang w:val="en-US" w:eastAsia="zh-CN"/>
              </w:rPr>
            </w:pPr>
            <w:r>
              <w:rPr>
                <w:rFonts w:hint="eastAsia" w:ascii="宋体" w:hAnsi="宋体" w:eastAsia="宋体" w:cs="宋体"/>
                <w:color w:val="auto"/>
                <w:kern w:val="0"/>
                <w:sz w:val="24"/>
                <w:szCs w:val="24"/>
                <w:lang w:val="en-US" w:eastAsia="zh-CN" w:bidi="ar"/>
              </w:rPr>
              <w:t>本项目不设置</w:t>
            </w:r>
            <w:r>
              <w:rPr>
                <w:rFonts w:hint="eastAsia" w:ascii="宋体" w:hAnsi="宋体" w:cs="宋体"/>
                <w:color w:val="auto"/>
                <w:kern w:val="0"/>
                <w:sz w:val="24"/>
                <w:szCs w:val="24"/>
                <w:lang w:val="en-US" w:eastAsia="zh-CN" w:bidi="ar"/>
              </w:rPr>
              <w:t>地表水</w:t>
            </w:r>
            <w:r>
              <w:rPr>
                <w:rFonts w:hint="eastAsia" w:ascii="宋体" w:hAnsi="宋体" w:eastAsia="宋体" w:cs="宋体"/>
                <w:color w:val="auto"/>
                <w:kern w:val="0"/>
                <w:sz w:val="24"/>
                <w:szCs w:val="24"/>
                <w:lang w:val="en-US" w:eastAsia="zh-CN" w:bidi="ar"/>
              </w:rPr>
              <w:t>环境影响评价范围，因此本次评价不开展</w:t>
            </w:r>
            <w:r>
              <w:rPr>
                <w:rFonts w:hint="eastAsia" w:ascii="宋体" w:hAnsi="宋体" w:cs="宋体"/>
                <w:color w:val="auto"/>
                <w:kern w:val="0"/>
                <w:sz w:val="24"/>
                <w:szCs w:val="24"/>
                <w:lang w:val="en-US" w:eastAsia="zh-CN" w:bidi="ar"/>
              </w:rPr>
              <w:t>地表水</w:t>
            </w:r>
            <w:r>
              <w:rPr>
                <w:rFonts w:hint="eastAsia" w:ascii="宋体" w:hAnsi="宋体" w:eastAsia="宋体" w:cs="宋体"/>
                <w:color w:val="auto"/>
                <w:kern w:val="0"/>
                <w:sz w:val="24"/>
                <w:szCs w:val="24"/>
                <w:lang w:val="en-US" w:eastAsia="zh-CN" w:bidi="ar"/>
              </w:rPr>
              <w:t>环境保护目标调查。</w:t>
            </w:r>
          </w:p>
          <w:p w14:paraId="7A0C2823">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 地下水</w:t>
            </w:r>
          </w:p>
          <w:p w14:paraId="264C81C9">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4.1 评价范围</w:t>
            </w:r>
          </w:p>
          <w:p w14:paraId="5C4E55A9">
            <w:pPr>
              <w:keepNext w:val="0"/>
              <w:keepLines w:val="0"/>
              <w:suppressLineNumbers w:val="0"/>
              <w:spacing w:before="0" w:beforeAutospacing="0" w:after="0" w:afterAutospacing="0"/>
              <w:ind w:left="0" w:right="0"/>
              <w:rPr>
                <w:rFonts w:hint="eastAsia"/>
                <w:color w:val="auto"/>
                <w:lang w:val="en-US" w:eastAsia="zh-CN"/>
              </w:rPr>
            </w:pPr>
            <w:r>
              <w:rPr>
                <w:rFonts w:hint="default"/>
                <w:color w:val="auto"/>
              </w:rPr>
              <w:t>根据《环境影响评价技术导则 地下水环境》（HJ610-2016）</w:t>
            </w:r>
            <w:r>
              <w:rPr>
                <w:rFonts w:hint="eastAsia"/>
                <w:color w:val="auto"/>
                <w:lang w:eastAsia="zh-CN"/>
              </w:rPr>
              <w:t>，</w:t>
            </w:r>
            <w:r>
              <w:rPr>
                <w:rFonts w:hint="eastAsia"/>
                <w:color w:val="auto"/>
                <w:lang w:val="en-US" w:eastAsia="zh-CN"/>
              </w:rPr>
              <w:t>本</w:t>
            </w:r>
            <w:r>
              <w:rPr>
                <w:rFonts w:hint="default" w:ascii="宋体" w:hAnsi="宋体" w:eastAsia="宋体" w:cs="宋体"/>
                <w:b w:val="0"/>
                <w:bCs w:val="0"/>
                <w:color w:val="auto"/>
                <w:sz w:val="24"/>
                <w:szCs w:val="24"/>
              </w:rPr>
              <w:t>项目行业类别“</w:t>
            </w:r>
            <w:r>
              <w:rPr>
                <w:rFonts w:hint="default" w:ascii="TimesNewRomanPSMT" w:hAnsi="TimesNewRomanPSMT" w:eastAsia="TimesNewRomanPSMT" w:cs="TimesNewRomanPSMT"/>
                <w:b w:val="0"/>
                <w:bCs w:val="0"/>
                <w:color w:val="auto"/>
                <w:sz w:val="24"/>
                <w:szCs w:val="24"/>
              </w:rPr>
              <w:t>54.</w:t>
            </w:r>
            <w:r>
              <w:rPr>
                <w:rFonts w:hint="default" w:ascii="宋体" w:hAnsi="宋体" w:eastAsia="宋体" w:cs="宋体"/>
                <w:b w:val="0"/>
                <w:bCs w:val="0"/>
                <w:color w:val="auto"/>
                <w:sz w:val="24"/>
                <w:szCs w:val="24"/>
              </w:rPr>
              <w:t>土砂石开采”的环评类别为</w:t>
            </w:r>
            <w:r>
              <w:rPr>
                <w:rFonts w:hint="default" w:ascii="TimesNewRomanPSMT" w:hAnsi="TimesNewRomanPSMT" w:eastAsia="TimesNewRomanPSMT" w:cs="TimesNewRomanPSMT"/>
                <w:b w:val="0"/>
                <w:bCs w:val="0"/>
                <w:color w:val="auto"/>
                <w:sz w:val="24"/>
                <w:szCs w:val="24"/>
              </w:rPr>
              <w:t>IV</w:t>
            </w:r>
            <w:r>
              <w:rPr>
                <w:rFonts w:hint="default" w:ascii="宋体" w:hAnsi="宋体" w:eastAsia="宋体" w:cs="宋体"/>
                <w:b w:val="0"/>
                <w:bCs w:val="0"/>
                <w:color w:val="auto"/>
                <w:sz w:val="24"/>
                <w:szCs w:val="24"/>
              </w:rPr>
              <w:t>类</w:t>
            </w:r>
            <w:r>
              <w:rPr>
                <w:rFonts w:hint="eastAsia" w:ascii="宋体" w:hAnsi="宋体" w:eastAsia="宋体" w:cs="宋体"/>
                <w:b w:val="0"/>
                <w:bCs w:val="0"/>
                <w:color w:val="auto"/>
                <w:sz w:val="24"/>
                <w:szCs w:val="24"/>
                <w:lang w:eastAsia="zh-CN"/>
              </w:rPr>
              <w:t>，</w:t>
            </w:r>
            <w:r>
              <w:rPr>
                <w:rFonts w:hint="default" w:ascii="宋体" w:hAnsi="宋体" w:eastAsia="宋体" w:cs="宋体"/>
                <w:b w:val="0"/>
                <w:bCs w:val="0"/>
                <w:color w:val="auto"/>
                <w:sz w:val="24"/>
                <w:szCs w:val="24"/>
              </w:rPr>
              <w:t>根据导则中</w:t>
            </w:r>
            <w:r>
              <w:rPr>
                <w:rFonts w:hint="eastAsia" w:ascii="宋体" w:hAnsi="宋体" w:eastAsia="宋体" w:cs="宋体"/>
                <w:b w:val="0"/>
                <w:bCs w:val="0"/>
                <w:color w:val="auto"/>
                <w:sz w:val="24"/>
                <w:szCs w:val="24"/>
                <w:lang w:eastAsia="zh-CN"/>
              </w:rPr>
              <w:t>“</w:t>
            </w:r>
            <w:r>
              <w:rPr>
                <w:rFonts w:hint="eastAsia"/>
                <w:color w:val="auto"/>
                <w:lang w:val="en-US" w:eastAsia="zh-CN"/>
              </w:rPr>
              <w:t xml:space="preserve">4.1 </w:t>
            </w:r>
            <w:r>
              <w:rPr>
                <w:rFonts w:hint="default" w:ascii="Times New Roman" w:hAnsi="Times New Roman" w:cs="Times New Roman"/>
                <w:color w:val="auto"/>
                <w:lang w:val="en-US" w:eastAsia="zh-CN"/>
              </w:rPr>
              <w:t>Ⅳ</w:t>
            </w:r>
            <w:r>
              <w:rPr>
                <w:rFonts w:hint="default" w:ascii="宋体" w:hAnsi="宋体" w:eastAsia="宋体" w:cs="宋体"/>
                <w:b w:val="0"/>
                <w:bCs w:val="0"/>
                <w:color w:val="auto"/>
                <w:sz w:val="24"/>
                <w:szCs w:val="24"/>
              </w:rPr>
              <w:t>一般性原则</w:t>
            </w:r>
            <w:r>
              <w:rPr>
                <w:rFonts w:hint="default" w:ascii="TimesNewRomanPSMT" w:hAnsi="TimesNewRomanPSMT" w:eastAsia="TimesNewRomanPSMT" w:cs="TimesNewRomanPSMT"/>
                <w:b w:val="0"/>
                <w:bCs w:val="0"/>
                <w:color w:val="auto"/>
                <w:sz w:val="24"/>
                <w:szCs w:val="24"/>
              </w:rPr>
              <w:t>/</w:t>
            </w:r>
            <w:r>
              <w:rPr>
                <w:rFonts w:hint="default" w:ascii="宋体" w:hAnsi="宋体" w:eastAsia="宋体" w:cs="宋体"/>
                <w:b w:val="0"/>
                <w:bCs w:val="0"/>
                <w:color w:val="auto"/>
                <w:sz w:val="24"/>
                <w:szCs w:val="24"/>
              </w:rPr>
              <w:t>……</w:t>
            </w:r>
            <w:r>
              <w:rPr>
                <w:rFonts w:hint="default" w:ascii="Times New Roman" w:hAnsi="Times New Roman" w:cs="Times New Roman"/>
                <w:color w:val="auto"/>
                <w:lang w:val="en-US" w:eastAsia="zh-CN"/>
              </w:rPr>
              <w:t>Ⅳ</w:t>
            </w:r>
            <w:r>
              <w:rPr>
                <w:rFonts w:hint="eastAsia"/>
                <w:color w:val="auto"/>
                <w:lang w:val="en-US" w:eastAsia="zh-CN"/>
              </w:rPr>
              <w:t>类建设项目不开展地下水环境影响评价</w:t>
            </w:r>
            <w:r>
              <w:rPr>
                <w:rFonts w:hint="eastAsia" w:ascii="宋体" w:hAnsi="宋体" w:eastAsia="宋体" w:cs="宋体"/>
                <w:b w:val="0"/>
                <w:bCs w:val="0"/>
                <w:color w:val="auto"/>
                <w:sz w:val="24"/>
                <w:szCs w:val="24"/>
                <w:lang w:eastAsia="zh-CN"/>
              </w:rPr>
              <w:t>”</w:t>
            </w:r>
            <w:r>
              <w:rPr>
                <w:rFonts w:hint="eastAsia" w:cs="Times New Roman"/>
                <w:color w:val="auto"/>
                <w:sz w:val="24"/>
              </w:rPr>
              <w:t>。</w:t>
            </w:r>
            <w:r>
              <w:rPr>
                <w:rFonts w:hint="eastAsia" w:cs="Times New Roman"/>
                <w:color w:val="auto"/>
                <w:sz w:val="24"/>
                <w:lang w:val="en-US" w:eastAsia="zh-CN"/>
              </w:rPr>
              <w:t>因此本项目</w:t>
            </w:r>
            <w:r>
              <w:rPr>
                <w:rFonts w:hint="eastAsia" w:ascii="宋体" w:hAnsi="宋体" w:eastAsia="宋体" w:cs="宋体"/>
                <w:color w:val="auto"/>
                <w:kern w:val="0"/>
                <w:sz w:val="24"/>
                <w:szCs w:val="24"/>
                <w:lang w:val="en-US" w:eastAsia="zh-CN" w:bidi="ar"/>
              </w:rPr>
              <w:t>不需设置</w:t>
            </w:r>
            <w:r>
              <w:rPr>
                <w:rFonts w:hint="eastAsia"/>
                <w:color w:val="auto"/>
                <w:lang w:val="en-US" w:eastAsia="zh-CN"/>
              </w:rPr>
              <w:t>地下水</w:t>
            </w:r>
            <w:r>
              <w:rPr>
                <w:rFonts w:hint="eastAsia" w:ascii="宋体" w:hAnsi="宋体" w:eastAsia="宋体" w:cs="宋体"/>
                <w:color w:val="auto"/>
                <w:kern w:val="0"/>
                <w:sz w:val="24"/>
                <w:szCs w:val="24"/>
                <w:lang w:val="en-US" w:eastAsia="zh-CN" w:bidi="ar"/>
              </w:rPr>
              <w:t>环境影响评价范围</w:t>
            </w:r>
            <w:r>
              <w:rPr>
                <w:rFonts w:hint="eastAsia" w:ascii="宋体" w:hAnsi="宋体" w:cs="宋体"/>
                <w:color w:val="auto"/>
                <w:kern w:val="0"/>
                <w:sz w:val="24"/>
                <w:szCs w:val="24"/>
                <w:lang w:val="en-US" w:eastAsia="zh-CN" w:bidi="ar"/>
              </w:rPr>
              <w:t>。</w:t>
            </w:r>
          </w:p>
          <w:p w14:paraId="300956E8">
            <w:pPr>
              <w:pStyle w:val="2"/>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r>
              <w:rPr>
                <w:rFonts w:hint="eastAsia"/>
                <w:color w:val="auto"/>
                <w:lang w:val="en-US" w:eastAsia="zh-CN"/>
              </w:rPr>
              <w:t xml:space="preserve">4.2 </w:t>
            </w:r>
            <w:r>
              <w:rPr>
                <w:rFonts w:hint="default" w:ascii="黑体" w:hAnsi="宋体" w:eastAsia="黑体" w:cs="黑体"/>
                <w:color w:val="auto"/>
                <w:kern w:val="0"/>
                <w:sz w:val="24"/>
                <w:szCs w:val="24"/>
                <w:lang w:val="en-US" w:eastAsia="zh-CN" w:bidi="ar"/>
              </w:rPr>
              <w:t>环境保护目标</w:t>
            </w:r>
          </w:p>
          <w:p w14:paraId="35773E15">
            <w:pPr>
              <w:keepNext w:val="0"/>
              <w:keepLines w:val="0"/>
              <w:suppressLineNumbers w:val="0"/>
              <w:spacing w:before="0" w:beforeAutospacing="0" w:after="0" w:afterAutospacing="0"/>
              <w:ind w:left="0" w:right="0"/>
              <w:rPr>
                <w:rFonts w:hint="eastAsia" w:eastAsia="宋体"/>
                <w:color w:val="auto"/>
                <w:lang w:val="en-US" w:eastAsia="zh-CN"/>
              </w:rPr>
            </w:pPr>
            <w:r>
              <w:rPr>
                <w:rFonts w:hint="eastAsia" w:ascii="宋体" w:hAnsi="宋体" w:eastAsia="宋体" w:cs="宋体"/>
                <w:color w:val="auto"/>
                <w:kern w:val="0"/>
                <w:sz w:val="24"/>
                <w:szCs w:val="24"/>
                <w:lang w:val="en-US" w:eastAsia="zh-CN" w:bidi="ar"/>
              </w:rPr>
              <w:t>本项目不设置</w:t>
            </w:r>
            <w:r>
              <w:rPr>
                <w:rFonts w:hint="eastAsia"/>
                <w:color w:val="auto"/>
                <w:lang w:val="en-US" w:eastAsia="zh-CN"/>
              </w:rPr>
              <w:t>地下水</w:t>
            </w:r>
            <w:r>
              <w:rPr>
                <w:rFonts w:hint="eastAsia" w:ascii="宋体" w:hAnsi="宋体" w:eastAsia="宋体" w:cs="宋体"/>
                <w:color w:val="auto"/>
                <w:kern w:val="0"/>
                <w:sz w:val="24"/>
                <w:szCs w:val="24"/>
                <w:lang w:val="en-US" w:eastAsia="zh-CN" w:bidi="ar"/>
              </w:rPr>
              <w:t>环境影响评价范围，因此本次评价不开展</w:t>
            </w:r>
            <w:r>
              <w:rPr>
                <w:rFonts w:hint="eastAsia"/>
                <w:color w:val="auto"/>
                <w:lang w:val="en-US" w:eastAsia="zh-CN"/>
              </w:rPr>
              <w:t>地下水</w:t>
            </w:r>
            <w:r>
              <w:rPr>
                <w:rFonts w:hint="eastAsia" w:ascii="宋体" w:hAnsi="宋体" w:eastAsia="宋体" w:cs="宋体"/>
                <w:color w:val="auto"/>
                <w:kern w:val="0"/>
                <w:sz w:val="24"/>
                <w:szCs w:val="24"/>
                <w:lang w:val="en-US" w:eastAsia="zh-CN" w:bidi="ar"/>
              </w:rPr>
              <w:t>保护目标调查</w:t>
            </w:r>
            <w:r>
              <w:rPr>
                <w:rFonts w:hint="eastAsia" w:cs="Times New Roman"/>
                <w:color w:val="auto"/>
                <w:lang w:eastAsia="zh-CN"/>
              </w:rPr>
              <w:t>。</w:t>
            </w:r>
          </w:p>
          <w:p w14:paraId="111A3B30">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5 土壤</w:t>
            </w:r>
          </w:p>
          <w:p w14:paraId="2125994A">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5.1 评价范围</w:t>
            </w:r>
          </w:p>
          <w:p w14:paraId="7E8E61F2">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rPr>
              <w:t>根据</w:t>
            </w:r>
            <w:r>
              <w:rPr>
                <w:rFonts w:hint="default"/>
                <w:color w:val="auto"/>
              </w:rPr>
              <w:t>《环境影响评价技术导则</w:t>
            </w:r>
            <w:r>
              <w:rPr>
                <w:rFonts w:hint="eastAsia"/>
                <w:color w:val="auto"/>
                <w:lang w:val="en-US" w:eastAsia="zh-CN"/>
              </w:rPr>
              <w:t xml:space="preserve"> 土壤环境（试行）</w:t>
            </w:r>
            <w:r>
              <w:rPr>
                <w:rFonts w:hint="default"/>
                <w:color w:val="auto"/>
              </w:rPr>
              <w:t>》</w:t>
            </w:r>
            <w:r>
              <w:rPr>
                <w:rFonts w:hint="eastAsia"/>
                <w:color w:val="auto"/>
                <w:lang w:eastAsia="zh-CN"/>
              </w:rPr>
              <w:t>（HJ 964—2018），</w:t>
            </w:r>
            <w:r>
              <w:rPr>
                <w:rFonts w:hint="eastAsia"/>
                <w:color w:val="auto"/>
                <w:lang w:val="en-US" w:eastAsia="zh-CN"/>
              </w:rPr>
              <w:t>本</w:t>
            </w:r>
            <w:r>
              <w:rPr>
                <w:rFonts w:hint="default"/>
                <w:color w:val="auto"/>
              </w:rPr>
              <w:t>项目行业类别</w:t>
            </w:r>
            <w:r>
              <w:rPr>
                <w:rFonts w:hint="eastAsia"/>
                <w:color w:val="auto"/>
                <w:lang w:val="en-US" w:eastAsia="zh-CN"/>
              </w:rPr>
              <w:t>属于</w:t>
            </w:r>
            <w:r>
              <w:rPr>
                <w:rFonts w:hint="default"/>
                <w:color w:val="auto"/>
              </w:rPr>
              <w:t>采矿业</w:t>
            </w:r>
            <w:r>
              <w:rPr>
                <w:rFonts w:hint="eastAsia"/>
                <w:color w:val="auto"/>
                <w:lang w:eastAsia="zh-CN"/>
              </w:rPr>
              <w:t>，</w:t>
            </w:r>
            <w:r>
              <w:rPr>
                <w:rFonts w:hint="default"/>
                <w:color w:val="auto"/>
              </w:rPr>
              <w:t>根据导则中</w:t>
            </w:r>
            <w:r>
              <w:rPr>
                <w:rFonts w:hint="eastAsia"/>
                <w:color w:val="auto"/>
                <w:lang w:eastAsia="zh-CN"/>
              </w:rPr>
              <w:t>“</w:t>
            </w:r>
            <w:r>
              <w:rPr>
                <w:rFonts w:hint="default"/>
                <w:color w:val="auto"/>
              </w:rPr>
              <w:t>4.2 评价基本任务/</w:t>
            </w:r>
            <w:r>
              <w:rPr>
                <w:rFonts w:hint="default" w:ascii="宋体" w:hAnsi="宋体" w:eastAsia="宋体" w:cs="宋体"/>
                <w:b w:val="0"/>
                <w:bCs w:val="0"/>
                <w:color w:val="auto"/>
                <w:sz w:val="24"/>
                <w:szCs w:val="24"/>
              </w:rPr>
              <w:t>……</w:t>
            </w:r>
            <w:r>
              <w:rPr>
                <w:rFonts w:hint="default"/>
                <w:color w:val="auto"/>
              </w:rPr>
              <w:t>Ⅳ类建设项目可不开展土壤环境影响评价</w:t>
            </w:r>
            <w:r>
              <w:rPr>
                <w:rFonts w:hint="eastAsia"/>
                <w:color w:val="auto"/>
                <w:lang w:eastAsia="zh-CN"/>
              </w:rPr>
              <w:t>”。</w:t>
            </w:r>
            <w:r>
              <w:rPr>
                <w:rFonts w:hint="eastAsia" w:cs="Times New Roman"/>
                <w:color w:val="auto"/>
                <w:sz w:val="24"/>
                <w:lang w:val="en-US" w:eastAsia="zh-CN"/>
              </w:rPr>
              <w:t>因此本项目</w:t>
            </w:r>
            <w:r>
              <w:rPr>
                <w:rFonts w:hint="eastAsia" w:ascii="宋体" w:hAnsi="宋体" w:eastAsia="宋体" w:cs="宋体"/>
                <w:color w:val="auto"/>
                <w:kern w:val="0"/>
                <w:sz w:val="24"/>
                <w:szCs w:val="24"/>
                <w:lang w:val="en-US" w:eastAsia="zh-CN" w:bidi="ar"/>
              </w:rPr>
              <w:t>不需设置</w:t>
            </w:r>
            <w:r>
              <w:rPr>
                <w:rFonts w:hint="default"/>
                <w:color w:val="auto"/>
              </w:rPr>
              <w:t>土壤</w:t>
            </w:r>
            <w:r>
              <w:rPr>
                <w:rFonts w:hint="eastAsia" w:ascii="宋体" w:hAnsi="宋体" w:eastAsia="宋体" w:cs="宋体"/>
                <w:color w:val="auto"/>
                <w:kern w:val="0"/>
                <w:sz w:val="24"/>
                <w:szCs w:val="24"/>
                <w:lang w:val="en-US" w:eastAsia="zh-CN" w:bidi="ar"/>
              </w:rPr>
              <w:t>环境影响评价范围</w:t>
            </w:r>
            <w:r>
              <w:rPr>
                <w:rFonts w:hint="eastAsia" w:ascii="宋体" w:hAnsi="宋体" w:cs="宋体"/>
                <w:color w:val="auto"/>
                <w:kern w:val="0"/>
                <w:sz w:val="24"/>
                <w:szCs w:val="24"/>
                <w:lang w:val="en-US" w:eastAsia="zh-CN" w:bidi="ar"/>
              </w:rPr>
              <w:t>。</w:t>
            </w:r>
          </w:p>
          <w:p w14:paraId="699AD52A">
            <w:pPr>
              <w:pStyle w:val="2"/>
              <w:keepLines w:val="0"/>
              <w:suppressLineNumbers w:val="0"/>
              <w:bidi w:val="0"/>
              <w:spacing w:before="0" w:beforeAutospacing="0" w:after="0" w:afterAutospacing="0"/>
              <w:ind w:left="0" w:right="0"/>
              <w:rPr>
                <w:rFonts w:hint="default" w:ascii="黑体" w:hAnsi="宋体" w:eastAsia="黑体" w:cs="黑体"/>
                <w:color w:val="auto"/>
                <w:kern w:val="0"/>
                <w:sz w:val="24"/>
                <w:szCs w:val="24"/>
                <w:lang w:val="en-US" w:eastAsia="zh-CN" w:bidi="ar"/>
              </w:rPr>
            </w:pPr>
            <w:r>
              <w:rPr>
                <w:rFonts w:hint="eastAsia"/>
                <w:color w:val="auto"/>
                <w:lang w:val="en-US" w:eastAsia="zh-CN"/>
              </w:rPr>
              <w:t xml:space="preserve">5.2 </w:t>
            </w:r>
            <w:r>
              <w:rPr>
                <w:rFonts w:hint="default" w:ascii="黑体" w:hAnsi="宋体" w:eastAsia="黑体" w:cs="黑体"/>
                <w:color w:val="auto"/>
                <w:kern w:val="0"/>
                <w:sz w:val="24"/>
                <w:szCs w:val="24"/>
                <w:lang w:val="en-US" w:eastAsia="zh-CN" w:bidi="ar"/>
              </w:rPr>
              <w:t>环境保护目标</w:t>
            </w:r>
          </w:p>
          <w:p w14:paraId="0DF173A3">
            <w:pPr>
              <w:keepNext w:val="0"/>
              <w:keepLines w:val="0"/>
              <w:suppressLineNumbers w:val="0"/>
              <w:spacing w:before="0" w:beforeAutospacing="0" w:after="0" w:afterAutospacing="0"/>
              <w:ind w:left="0" w:right="0"/>
              <w:rPr>
                <w:rFonts w:hint="default"/>
                <w:color w:val="auto"/>
                <w:lang w:val="en-US" w:eastAsia="zh-CN"/>
              </w:rPr>
            </w:pPr>
            <w:r>
              <w:rPr>
                <w:rFonts w:hint="eastAsia" w:ascii="宋体" w:hAnsi="宋体" w:eastAsia="宋体" w:cs="宋体"/>
                <w:color w:val="auto"/>
                <w:kern w:val="0"/>
                <w:sz w:val="24"/>
                <w:szCs w:val="24"/>
                <w:lang w:val="en-US" w:eastAsia="zh-CN" w:bidi="ar"/>
              </w:rPr>
              <w:t>本项目不设置</w:t>
            </w:r>
            <w:r>
              <w:rPr>
                <w:rFonts w:hint="default"/>
                <w:color w:val="auto"/>
              </w:rPr>
              <w:t>土壤</w:t>
            </w:r>
            <w:r>
              <w:rPr>
                <w:rFonts w:hint="eastAsia" w:ascii="宋体" w:hAnsi="宋体" w:eastAsia="宋体" w:cs="宋体"/>
                <w:color w:val="auto"/>
                <w:kern w:val="0"/>
                <w:sz w:val="24"/>
                <w:szCs w:val="24"/>
                <w:lang w:val="en-US" w:eastAsia="zh-CN" w:bidi="ar"/>
              </w:rPr>
              <w:t>环境影响评价范围，因此本次评价不开展</w:t>
            </w:r>
            <w:r>
              <w:rPr>
                <w:rFonts w:hint="default"/>
                <w:color w:val="auto"/>
              </w:rPr>
              <w:t>土壤</w:t>
            </w:r>
            <w:r>
              <w:rPr>
                <w:rFonts w:hint="eastAsia" w:ascii="宋体" w:hAnsi="宋体" w:eastAsia="宋体" w:cs="宋体"/>
                <w:color w:val="auto"/>
                <w:kern w:val="0"/>
                <w:sz w:val="24"/>
                <w:szCs w:val="24"/>
                <w:lang w:val="en-US" w:eastAsia="zh-CN" w:bidi="ar"/>
              </w:rPr>
              <w:t>保护目标调查</w:t>
            </w:r>
            <w:r>
              <w:rPr>
                <w:rFonts w:hint="eastAsia" w:cs="Times New Roman"/>
                <w:color w:val="auto"/>
                <w:lang w:eastAsia="zh-CN"/>
              </w:rPr>
              <w:t>。</w:t>
            </w:r>
          </w:p>
          <w:p w14:paraId="0D2D60DA">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 生态环境</w:t>
            </w:r>
          </w:p>
          <w:p w14:paraId="45CD0271">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6.1 评价范围</w:t>
            </w:r>
          </w:p>
          <w:p w14:paraId="3B84C65C">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根据《环境影响评价技术导则 生态影响》</w:t>
            </w:r>
            <w:r>
              <w:rPr>
                <w:rFonts w:hint="default"/>
                <w:color w:val="auto"/>
                <w:lang w:val="en-US" w:eastAsia="zh-CN"/>
              </w:rPr>
              <w:t>(HJ 19—2022)</w:t>
            </w:r>
            <w:r>
              <w:rPr>
                <w:rFonts w:hint="eastAsia"/>
                <w:color w:val="auto"/>
                <w:lang w:val="en-US" w:eastAsia="zh-CN"/>
              </w:rPr>
              <w:t>，</w:t>
            </w:r>
            <w:r>
              <w:rPr>
                <w:rFonts w:hint="eastAsia" w:ascii="宋体" w:hAnsi="宋体" w:eastAsia="宋体" w:cs="宋体"/>
                <w:color w:val="auto"/>
                <w:kern w:val="0"/>
                <w:sz w:val="24"/>
                <w:szCs w:val="24"/>
                <w:lang w:val="en-US" w:eastAsia="zh-CN" w:bidi="ar"/>
              </w:rPr>
              <w:t>本次</w:t>
            </w:r>
            <w:r>
              <w:rPr>
                <w:rFonts w:hint="eastAsia" w:ascii="宋体" w:hAnsi="宋体" w:cs="宋体"/>
                <w:color w:val="auto"/>
                <w:kern w:val="0"/>
                <w:sz w:val="24"/>
                <w:szCs w:val="24"/>
                <w:lang w:val="en-US" w:eastAsia="zh-CN" w:bidi="ar"/>
              </w:rPr>
              <w:t>生态</w:t>
            </w:r>
            <w:r>
              <w:rPr>
                <w:rFonts w:hint="eastAsia" w:ascii="宋体" w:hAnsi="宋体" w:eastAsia="宋体" w:cs="宋体"/>
                <w:color w:val="auto"/>
                <w:kern w:val="0"/>
                <w:sz w:val="24"/>
                <w:szCs w:val="24"/>
                <w:lang w:val="en-US" w:eastAsia="zh-CN" w:bidi="ar"/>
              </w:rPr>
              <w:t>环境影响评价等级定为三级</w:t>
            </w:r>
            <w:r>
              <w:rPr>
                <w:rFonts w:hint="eastAsia" w:ascii="宋体" w:hAnsi="宋体" w:cs="宋体"/>
                <w:color w:val="auto"/>
                <w:kern w:val="0"/>
                <w:sz w:val="24"/>
                <w:szCs w:val="24"/>
                <w:lang w:val="en-US" w:eastAsia="zh-CN" w:bidi="ar"/>
              </w:rPr>
              <w:t>，根据</w:t>
            </w:r>
            <w:r>
              <w:rPr>
                <w:rFonts w:hint="eastAsia"/>
                <w:color w:val="auto"/>
                <w:lang w:val="en-US" w:eastAsia="zh-CN"/>
              </w:rPr>
              <w:t>“</w:t>
            </w:r>
            <w:r>
              <w:rPr>
                <w:rFonts w:hint="default"/>
                <w:color w:val="auto"/>
                <w:lang w:val="en-US" w:eastAsia="zh-CN"/>
              </w:rPr>
              <w:t>6.2</w:t>
            </w:r>
            <w:r>
              <w:rPr>
                <w:rFonts w:hint="eastAsia"/>
                <w:color w:val="auto"/>
                <w:lang w:val="en-US" w:eastAsia="zh-CN"/>
              </w:rPr>
              <w:t>评价范围确定”，</w:t>
            </w:r>
            <w:r>
              <w:rPr>
                <w:rFonts w:hint="eastAsia"/>
                <w:color w:val="auto"/>
              </w:rPr>
              <w:t>生态影响评价应能够充分体现生态完整性和生物多样性保护要求，涵盖评价项目全部活动的直接影响区域和间接影响区域</w:t>
            </w:r>
            <w:r>
              <w:rPr>
                <w:rFonts w:hint="eastAsia"/>
                <w:color w:val="auto"/>
                <w:lang w:val="en-US" w:eastAsia="zh-CN"/>
              </w:rPr>
              <w:t>。本项目直接影响及间接影响均在本项目占地范围内，因此确定本项目评价范围为本项目占地范围。</w:t>
            </w:r>
          </w:p>
          <w:p w14:paraId="17E02D34">
            <w:pPr>
              <w:pStyle w:val="2"/>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 xml:space="preserve">6.2 </w:t>
            </w:r>
            <w:r>
              <w:rPr>
                <w:rFonts w:hint="default" w:ascii="黑体" w:hAnsi="宋体" w:eastAsia="黑体" w:cs="黑体"/>
                <w:color w:val="auto"/>
                <w:kern w:val="0"/>
                <w:sz w:val="24"/>
                <w:szCs w:val="24"/>
                <w:lang w:val="en-US" w:eastAsia="zh-CN" w:bidi="ar"/>
              </w:rPr>
              <w:t>环境保护目标</w:t>
            </w:r>
          </w:p>
          <w:p w14:paraId="73ADCCF6">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经现场踏勘，本项目生态环境影响评价范围内生态环境保护目标为A32治理区范围内的长城遗址（A32-4），经相关资料查询，项目区长城遗址不属于自然保护区。详见表3-8及附图3-4。</w:t>
            </w:r>
          </w:p>
          <w:p w14:paraId="6597B7BF">
            <w:pPr>
              <w:pStyle w:val="3"/>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表3-8  生态环境保护目标一览表。</w:t>
            </w:r>
          </w:p>
          <w:tbl>
            <w:tblPr>
              <w:tblStyle w:val="26"/>
              <w:tblW w:w="84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1104"/>
              <w:gridCol w:w="1041"/>
              <w:gridCol w:w="916"/>
              <w:gridCol w:w="1198"/>
              <w:gridCol w:w="1118"/>
              <w:gridCol w:w="2108"/>
            </w:tblGrid>
            <w:tr w14:paraId="1B041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2" w:type="dxa"/>
                  <w:tcBorders>
                    <w:tl2br w:val="nil"/>
                    <w:tr2bl w:val="nil"/>
                  </w:tcBorders>
                  <w:noWrap/>
                  <w:vAlign w:val="center"/>
                </w:tcPr>
                <w:p w14:paraId="278DF2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环境要素</w:t>
                  </w:r>
                </w:p>
              </w:tc>
              <w:tc>
                <w:tcPr>
                  <w:tcW w:w="1104" w:type="dxa"/>
                  <w:tcBorders>
                    <w:tl2br w:val="nil"/>
                    <w:tr2bl w:val="nil"/>
                  </w:tcBorders>
                  <w:noWrap/>
                  <w:vAlign w:val="center"/>
                </w:tcPr>
                <w:p w14:paraId="61C5C8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1041" w:type="dxa"/>
                  <w:tcBorders>
                    <w:tl2br w:val="nil"/>
                    <w:tr2bl w:val="nil"/>
                  </w:tcBorders>
                  <w:noWrap/>
                  <w:vAlign w:val="center"/>
                </w:tcPr>
                <w:p w14:paraId="540D3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保护对象</w:t>
                  </w:r>
                </w:p>
              </w:tc>
              <w:tc>
                <w:tcPr>
                  <w:tcW w:w="916" w:type="dxa"/>
                  <w:tcBorders>
                    <w:tl2br w:val="nil"/>
                    <w:tr2bl w:val="nil"/>
                  </w:tcBorders>
                  <w:noWrap/>
                  <w:vAlign w:val="center"/>
                </w:tcPr>
                <w:p w14:paraId="7D8503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功能</w:t>
                  </w:r>
                </w:p>
              </w:tc>
              <w:tc>
                <w:tcPr>
                  <w:tcW w:w="1198" w:type="dxa"/>
                  <w:tcBorders>
                    <w:tl2br w:val="nil"/>
                    <w:tr2bl w:val="nil"/>
                  </w:tcBorders>
                  <w:noWrap/>
                  <w:vAlign w:val="center"/>
                </w:tcPr>
                <w:p w14:paraId="23D2D6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w:t>
                  </w:r>
                </w:p>
                <w:p w14:paraId="501DE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方位</w:t>
                  </w:r>
                </w:p>
              </w:tc>
              <w:tc>
                <w:tcPr>
                  <w:tcW w:w="1118" w:type="dxa"/>
                  <w:tcBorders>
                    <w:tl2br w:val="nil"/>
                    <w:tr2bl w:val="nil"/>
                  </w:tcBorders>
                  <w:noWrap/>
                  <w:vAlign w:val="center"/>
                </w:tcPr>
                <w:p w14:paraId="2833D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相对距离(m)</w:t>
                  </w:r>
                </w:p>
              </w:tc>
              <w:tc>
                <w:tcPr>
                  <w:tcW w:w="2108" w:type="dxa"/>
                  <w:tcBorders>
                    <w:tl2br w:val="nil"/>
                    <w:tr2bl w:val="nil"/>
                  </w:tcBorders>
                  <w:noWrap/>
                  <w:vAlign w:val="center"/>
                </w:tcPr>
                <w:p w14:paraId="1D4D63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功能要求及保护级别</w:t>
                  </w:r>
                </w:p>
              </w:tc>
            </w:tr>
            <w:tr w14:paraId="4D734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12" w:type="dxa"/>
                  <w:tcBorders>
                    <w:tl2br w:val="nil"/>
                    <w:tr2bl w:val="nil"/>
                  </w:tcBorders>
                  <w:noWrap/>
                  <w:vAlign w:val="center"/>
                </w:tcPr>
                <w:p w14:paraId="60DAA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生态</w:t>
                  </w:r>
                </w:p>
              </w:tc>
              <w:tc>
                <w:tcPr>
                  <w:tcW w:w="1104" w:type="dxa"/>
                  <w:tcBorders>
                    <w:tl2br w:val="nil"/>
                    <w:tr2bl w:val="nil"/>
                  </w:tcBorders>
                  <w:noWrap/>
                  <w:vAlign w:val="center"/>
                </w:tcPr>
                <w:p w14:paraId="641BB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长城遗址</w:t>
                  </w:r>
                </w:p>
              </w:tc>
              <w:tc>
                <w:tcPr>
                  <w:tcW w:w="1041" w:type="dxa"/>
                  <w:tcBorders>
                    <w:tl2br w:val="nil"/>
                    <w:tr2bl w:val="nil"/>
                  </w:tcBorders>
                  <w:noWrap/>
                  <w:vAlign w:val="center"/>
                </w:tcPr>
                <w:p w14:paraId="45A0DE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长城遗址</w:t>
                  </w:r>
                </w:p>
              </w:tc>
              <w:tc>
                <w:tcPr>
                  <w:tcW w:w="916" w:type="dxa"/>
                  <w:tcBorders>
                    <w:tl2br w:val="nil"/>
                    <w:tr2bl w:val="nil"/>
                  </w:tcBorders>
                  <w:noWrap/>
                  <w:vAlign w:val="center"/>
                </w:tcPr>
                <w:p w14:paraId="7BB63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文化</w:t>
                  </w:r>
                </w:p>
              </w:tc>
              <w:tc>
                <w:tcPr>
                  <w:tcW w:w="1198" w:type="dxa"/>
                  <w:tcBorders>
                    <w:tl2br w:val="nil"/>
                    <w:tr2bl w:val="nil"/>
                  </w:tcBorders>
                  <w:noWrap/>
                  <w:vAlign w:val="center"/>
                </w:tcPr>
                <w:p w14:paraId="088BFE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A32治理区范围内</w:t>
                  </w:r>
                </w:p>
              </w:tc>
              <w:tc>
                <w:tcPr>
                  <w:tcW w:w="1118" w:type="dxa"/>
                  <w:tcBorders>
                    <w:tl2br w:val="nil"/>
                    <w:tr2bl w:val="nil"/>
                  </w:tcBorders>
                  <w:noWrap/>
                  <w:vAlign w:val="center"/>
                </w:tcPr>
                <w:p w14:paraId="79D1BC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2108" w:type="dxa"/>
                  <w:tcBorders>
                    <w:tl2br w:val="nil"/>
                    <w:tr2bl w:val="nil"/>
                  </w:tcBorders>
                  <w:noWrap/>
                  <w:vAlign w:val="center"/>
                </w:tcPr>
                <w:p w14:paraId="7647DB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w:t>
                  </w:r>
                </w:p>
              </w:tc>
            </w:tr>
          </w:tbl>
          <w:p w14:paraId="2F409BCA">
            <w:pPr>
              <w:keepNext w:val="0"/>
              <w:keepLines w:val="0"/>
              <w:widowControl/>
              <w:suppressLineNumbers w:val="0"/>
              <w:spacing w:before="0" w:beforeAutospacing="0" w:after="0" w:afterAutospacing="0"/>
              <w:ind w:left="0" w:right="0"/>
              <w:jc w:val="left"/>
              <w:rPr>
                <w:rFonts w:hint="default" w:cs="Times New Roman"/>
                <w:color w:val="auto"/>
              </w:rPr>
            </w:pPr>
          </w:p>
        </w:tc>
      </w:tr>
      <w:tr w14:paraId="0A586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5" w:hRule="atLeast"/>
          <w:jc w:val="center"/>
        </w:trPr>
        <w:tc>
          <w:tcPr>
            <w:tcW w:w="508" w:type="dxa"/>
            <w:noWrap w:val="0"/>
            <w:vAlign w:val="center"/>
          </w:tcPr>
          <w:p w14:paraId="57597D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b/>
                <w:bCs/>
                <w:color w:val="auto"/>
                <w:kern w:val="0"/>
                <w:sz w:val="24"/>
              </w:rPr>
            </w:pPr>
            <w:r>
              <w:rPr>
                <w:rFonts w:hint="default" w:cs="Times New Roman"/>
                <w:b/>
                <w:bCs/>
                <w:color w:val="auto"/>
                <w:kern w:val="0"/>
                <w:sz w:val="24"/>
              </w:rPr>
              <w:t>评价</w:t>
            </w:r>
          </w:p>
          <w:p w14:paraId="71957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s="Times New Roman"/>
                <w:color w:val="auto"/>
                <w:kern w:val="0"/>
                <w:szCs w:val="21"/>
              </w:rPr>
            </w:pPr>
            <w:r>
              <w:rPr>
                <w:rFonts w:hint="default" w:cs="Times New Roman"/>
                <w:b/>
                <w:bCs/>
                <w:color w:val="auto"/>
                <w:kern w:val="0"/>
                <w:sz w:val="24"/>
              </w:rPr>
              <w:t>标准</w:t>
            </w:r>
          </w:p>
        </w:tc>
        <w:tc>
          <w:tcPr>
            <w:tcW w:w="8649" w:type="dxa"/>
            <w:noWrap w:val="0"/>
            <w:vAlign w:val="center"/>
          </w:tcPr>
          <w:p w14:paraId="08F39F28">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1 </w:t>
            </w:r>
            <w:r>
              <w:rPr>
                <w:rFonts w:hint="eastAsia"/>
                <w:color w:val="auto"/>
              </w:rPr>
              <w:t>环境质量标准</w:t>
            </w:r>
          </w:p>
          <w:p w14:paraId="6A1FEA95">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 环境空气质量标准</w:t>
            </w:r>
          </w:p>
          <w:p w14:paraId="1982359D">
            <w:pPr>
              <w:keepNext w:val="0"/>
              <w:keepLines w:val="0"/>
              <w:suppressLineNumbers w:val="0"/>
              <w:bidi w:val="0"/>
              <w:spacing w:before="0" w:beforeAutospacing="0" w:after="0" w:afterAutospacing="0"/>
              <w:ind w:left="0" w:right="0"/>
              <w:rPr>
                <w:rFonts w:hint="default" w:cs="Times New Roman"/>
                <w:color w:val="auto"/>
              </w:rPr>
            </w:pPr>
            <w:r>
              <w:rPr>
                <w:rFonts w:hint="eastAsia" w:ascii="宋体" w:hAnsi="宋体" w:cs="宋体"/>
                <w:color w:val="auto"/>
                <w:kern w:val="0"/>
                <w:sz w:val="24"/>
                <w:lang w:val="en-US" w:eastAsia="zh-CN" w:bidi="ar"/>
              </w:rPr>
              <w:t>项目所在区域</w:t>
            </w:r>
            <w:r>
              <w:rPr>
                <w:rFonts w:hint="eastAsia" w:ascii="宋体" w:hAnsi="宋体" w:cs="宋体"/>
                <w:color w:val="auto"/>
                <w:kern w:val="0"/>
                <w:sz w:val="24"/>
                <w:lang w:bidi="ar"/>
              </w:rPr>
              <w:t>属于环境空气质量功能二类区</w:t>
            </w:r>
            <w:r>
              <w:rPr>
                <w:rFonts w:hint="eastAsia" w:ascii="宋体" w:hAnsi="宋体" w:cs="宋体"/>
                <w:color w:val="auto"/>
                <w:kern w:val="0"/>
                <w:sz w:val="24"/>
                <w:lang w:eastAsia="zh-CN" w:bidi="ar"/>
              </w:rPr>
              <w:t>，</w:t>
            </w:r>
            <w:r>
              <w:rPr>
                <w:rFonts w:hint="eastAsia" w:ascii="宋体" w:hAnsi="宋体" w:eastAsia="宋体" w:cs="宋体"/>
                <w:color w:val="auto"/>
                <w:kern w:val="0"/>
                <w:sz w:val="24"/>
                <w:szCs w:val="24"/>
                <w:lang w:val="en-US" w:eastAsia="zh-CN" w:bidi="ar"/>
              </w:rPr>
              <w:t>环境空气质量执行《环境空气质量标准》</w:t>
            </w:r>
            <w:r>
              <w:rPr>
                <w:rFonts w:hint="default" w:ascii="Times New Roman" w:hAnsi="Times New Roman" w:eastAsia="宋体" w:cs="Times New Roman"/>
                <w:color w:val="auto"/>
                <w:kern w:val="0"/>
                <w:sz w:val="24"/>
                <w:szCs w:val="24"/>
                <w:lang w:val="en-US" w:eastAsia="zh-CN" w:bidi="ar"/>
              </w:rPr>
              <w:t>(GB3095-2012)</w:t>
            </w:r>
            <w:r>
              <w:rPr>
                <w:rFonts w:hint="eastAsia" w:ascii="宋体" w:hAnsi="宋体" w:eastAsia="宋体" w:cs="宋体"/>
                <w:color w:val="auto"/>
                <w:kern w:val="0"/>
                <w:sz w:val="24"/>
                <w:szCs w:val="24"/>
                <w:lang w:val="en-US" w:eastAsia="zh-CN" w:bidi="ar"/>
              </w:rPr>
              <w:t>及修改单二级标准。</w:t>
            </w:r>
          </w:p>
          <w:p w14:paraId="58CBEF12">
            <w:pPr>
              <w:pStyle w:val="3"/>
              <w:keepNext w:val="0"/>
              <w:keepLines w:val="0"/>
              <w:suppressLineNumbers w:val="0"/>
              <w:bidi w:val="0"/>
              <w:spacing w:before="0" w:beforeAutospacing="0" w:after="0" w:afterAutospacing="0"/>
              <w:ind w:left="0" w:right="0"/>
              <w:rPr>
                <w:rFonts w:hint="default"/>
                <w:color w:val="auto"/>
              </w:rPr>
            </w:pPr>
            <w:r>
              <w:rPr>
                <w:rFonts w:hint="default" w:ascii="黑体" w:hAnsi="宋体" w:eastAsia="黑体" w:cs="黑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3-</w:t>
            </w:r>
            <w:r>
              <w:rPr>
                <w:rFonts w:hint="eastAsia" w:eastAsia="宋体" w:cs="Times New Roman"/>
                <w:color w:val="auto"/>
                <w:kern w:val="0"/>
                <w:sz w:val="24"/>
                <w:szCs w:val="24"/>
                <w:lang w:val="en-US" w:eastAsia="zh-CN" w:bidi="ar"/>
              </w:rPr>
              <w:t>9</w:t>
            </w:r>
            <w:r>
              <w:rPr>
                <w:rFonts w:hint="eastAsia"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 xml:space="preserve"> </w:t>
            </w:r>
            <w:r>
              <w:rPr>
                <w:rFonts w:hint="eastAsia" w:ascii="黑体" w:hAnsi="宋体" w:eastAsia="黑体" w:cs="黑体"/>
                <w:color w:val="auto"/>
                <w:kern w:val="0"/>
                <w:sz w:val="24"/>
                <w:szCs w:val="24"/>
                <w:lang w:val="en-US" w:eastAsia="zh-CN" w:bidi="ar"/>
              </w:rPr>
              <w:t>环境空气质量标准</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074"/>
              <w:gridCol w:w="1435"/>
              <w:gridCol w:w="1425"/>
              <w:gridCol w:w="946"/>
              <w:gridCol w:w="2361"/>
            </w:tblGrid>
            <w:tr w14:paraId="35CA8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957" w:type="dxa"/>
                  <w:vMerge w:val="restart"/>
                  <w:tcBorders>
                    <w:tl2br w:val="nil"/>
                    <w:tr2bl w:val="nil"/>
                  </w:tcBorders>
                  <w:noWrap w:val="0"/>
                  <w:vAlign w:val="center"/>
                </w:tcPr>
                <w:p w14:paraId="25D064D2">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污染物名称</w:t>
                  </w:r>
                </w:p>
              </w:tc>
              <w:tc>
                <w:tcPr>
                  <w:tcW w:w="4880" w:type="dxa"/>
                  <w:gridSpan w:val="4"/>
                  <w:tcBorders>
                    <w:tl2br w:val="nil"/>
                    <w:tr2bl w:val="nil"/>
                  </w:tcBorders>
                  <w:noWrap w:val="0"/>
                  <w:vAlign w:val="center"/>
                </w:tcPr>
                <w:p w14:paraId="354E8AF3">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标准值</w:t>
                  </w:r>
                </w:p>
              </w:tc>
              <w:tc>
                <w:tcPr>
                  <w:tcW w:w="2361" w:type="dxa"/>
                  <w:vMerge w:val="restart"/>
                  <w:tcBorders>
                    <w:tl2br w:val="nil"/>
                    <w:tr2bl w:val="nil"/>
                  </w:tcBorders>
                  <w:noWrap w:val="0"/>
                  <w:vAlign w:val="center"/>
                </w:tcPr>
                <w:p w14:paraId="7F6028A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eastAsia="zh-CN"/>
                    </w:rPr>
                  </w:pPr>
                  <w:r>
                    <w:rPr>
                      <w:rFonts w:hint="default" w:ascii="Times New Roman" w:hAnsi="Times New Roman" w:eastAsia="宋体" w:cs="Times New Roman"/>
                      <w:b/>
                      <w:bCs/>
                      <w:color w:val="auto"/>
                      <w:kern w:val="2"/>
                      <w:sz w:val="21"/>
                      <w:szCs w:val="21"/>
                      <w:highlight w:val="none"/>
                      <w:lang w:eastAsia="zh-CN"/>
                    </w:rPr>
                    <w:t>依据</w:t>
                  </w:r>
                </w:p>
              </w:tc>
            </w:tr>
            <w:tr w14:paraId="29759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vMerge w:val="continue"/>
                  <w:tcBorders>
                    <w:tl2br w:val="nil"/>
                    <w:tr2bl w:val="nil"/>
                  </w:tcBorders>
                  <w:noWrap w:val="0"/>
                  <w:vAlign w:val="center"/>
                </w:tcPr>
                <w:p w14:paraId="32EFAAB4">
                  <w:pPr>
                    <w:pStyle w:val="33"/>
                    <w:keepNext w:val="0"/>
                    <w:keepLines w:val="0"/>
                    <w:suppressLineNumbers w:val="0"/>
                    <w:bidi w:val="0"/>
                    <w:spacing w:beforeAutospacing="0" w:afterAutospacing="0"/>
                    <w:ind w:left="0" w:right="0"/>
                    <w:rPr>
                      <w:rFonts w:hint="default" w:cs="Times New Roman"/>
                      <w:b/>
                      <w:bCs/>
                      <w:color w:val="auto"/>
                      <w:lang w:eastAsia="zh-CN"/>
                    </w:rPr>
                  </w:pPr>
                </w:p>
              </w:tc>
              <w:tc>
                <w:tcPr>
                  <w:tcW w:w="1074" w:type="dxa"/>
                  <w:tcBorders>
                    <w:tl2br w:val="nil"/>
                    <w:tr2bl w:val="nil"/>
                  </w:tcBorders>
                  <w:noWrap w:val="0"/>
                  <w:vAlign w:val="center"/>
                </w:tcPr>
                <w:p w14:paraId="169EE7EC">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年平均</w:t>
                  </w:r>
                </w:p>
              </w:tc>
              <w:tc>
                <w:tcPr>
                  <w:tcW w:w="1435" w:type="dxa"/>
                  <w:tcBorders>
                    <w:tl2br w:val="nil"/>
                    <w:tr2bl w:val="nil"/>
                  </w:tcBorders>
                  <w:noWrap w:val="0"/>
                  <w:vAlign w:val="center"/>
                </w:tcPr>
                <w:p w14:paraId="1232FFC7">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24小时平均</w:t>
                  </w:r>
                </w:p>
              </w:tc>
              <w:tc>
                <w:tcPr>
                  <w:tcW w:w="1425" w:type="dxa"/>
                  <w:tcBorders>
                    <w:tl2br w:val="nil"/>
                    <w:tr2bl w:val="nil"/>
                  </w:tcBorders>
                  <w:noWrap w:val="0"/>
                  <w:vAlign w:val="center"/>
                </w:tcPr>
                <w:p w14:paraId="2028DDF1">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1小时平均</w:t>
                  </w:r>
                </w:p>
              </w:tc>
              <w:tc>
                <w:tcPr>
                  <w:tcW w:w="946" w:type="dxa"/>
                  <w:tcBorders>
                    <w:tl2br w:val="nil"/>
                    <w:tr2bl w:val="nil"/>
                  </w:tcBorders>
                  <w:noWrap w:val="0"/>
                  <w:vAlign w:val="center"/>
                </w:tcPr>
                <w:p w14:paraId="4BFDEF47">
                  <w:pPr>
                    <w:pStyle w:val="33"/>
                    <w:keepNext w:val="0"/>
                    <w:keepLines w:val="0"/>
                    <w:suppressLineNumbers w:val="0"/>
                    <w:bidi w:val="0"/>
                    <w:spacing w:beforeAutospacing="0" w:afterAutospacing="0"/>
                    <w:ind w:left="0" w:right="0"/>
                    <w:rPr>
                      <w:rFonts w:hint="default" w:cs="Times New Roman"/>
                      <w:b/>
                      <w:bCs/>
                      <w:color w:val="auto"/>
                      <w:lang w:eastAsia="zh-CN"/>
                    </w:rPr>
                  </w:pPr>
                  <w:r>
                    <w:rPr>
                      <w:rFonts w:hint="default" w:cs="Times New Roman"/>
                      <w:b/>
                      <w:bCs/>
                      <w:color w:val="auto"/>
                      <w:lang w:eastAsia="zh-CN"/>
                    </w:rPr>
                    <w:t>单位</w:t>
                  </w:r>
                </w:p>
              </w:tc>
              <w:tc>
                <w:tcPr>
                  <w:tcW w:w="2361" w:type="dxa"/>
                  <w:vMerge w:val="continue"/>
                  <w:tcBorders>
                    <w:tl2br w:val="nil"/>
                    <w:tr2bl w:val="nil"/>
                  </w:tcBorders>
                  <w:noWrap w:val="0"/>
                  <w:vAlign w:val="center"/>
                </w:tcPr>
                <w:p w14:paraId="43CBD263">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kern w:val="2"/>
                      <w:sz w:val="21"/>
                      <w:szCs w:val="21"/>
                      <w:highlight w:val="none"/>
                      <w:lang w:eastAsia="zh-CN"/>
                    </w:rPr>
                  </w:pPr>
                </w:p>
              </w:tc>
            </w:tr>
            <w:tr w14:paraId="2A673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tcBorders>
                    <w:tl2br w:val="nil"/>
                    <w:tr2bl w:val="nil"/>
                  </w:tcBorders>
                  <w:noWrap w:val="0"/>
                  <w:vAlign w:val="center"/>
                </w:tcPr>
                <w:p w14:paraId="3998DA44">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SO</w:t>
                  </w:r>
                  <w:r>
                    <w:rPr>
                      <w:rFonts w:hint="default" w:cs="Times New Roman"/>
                      <w:color w:val="auto"/>
                      <w:vertAlign w:val="subscript"/>
                      <w:lang w:eastAsia="zh-CN"/>
                    </w:rPr>
                    <w:t>2</w:t>
                  </w:r>
                </w:p>
              </w:tc>
              <w:tc>
                <w:tcPr>
                  <w:tcW w:w="1074" w:type="dxa"/>
                  <w:tcBorders>
                    <w:tl2br w:val="nil"/>
                    <w:tr2bl w:val="nil"/>
                  </w:tcBorders>
                  <w:noWrap w:val="0"/>
                  <w:vAlign w:val="center"/>
                </w:tcPr>
                <w:p w14:paraId="4E480080">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60</w:t>
                  </w:r>
                </w:p>
              </w:tc>
              <w:tc>
                <w:tcPr>
                  <w:tcW w:w="1435" w:type="dxa"/>
                  <w:tcBorders>
                    <w:tl2br w:val="nil"/>
                    <w:tr2bl w:val="nil"/>
                  </w:tcBorders>
                  <w:noWrap w:val="0"/>
                  <w:vAlign w:val="center"/>
                </w:tcPr>
                <w:p w14:paraId="460B87F1">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150</w:t>
                  </w:r>
                </w:p>
              </w:tc>
              <w:tc>
                <w:tcPr>
                  <w:tcW w:w="1425" w:type="dxa"/>
                  <w:tcBorders>
                    <w:tl2br w:val="nil"/>
                    <w:tr2bl w:val="nil"/>
                  </w:tcBorders>
                  <w:noWrap w:val="0"/>
                  <w:vAlign w:val="center"/>
                </w:tcPr>
                <w:p w14:paraId="235752B8">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500</w:t>
                  </w:r>
                </w:p>
              </w:tc>
              <w:tc>
                <w:tcPr>
                  <w:tcW w:w="946" w:type="dxa"/>
                  <w:vMerge w:val="restart"/>
                  <w:tcBorders>
                    <w:tl2br w:val="nil"/>
                    <w:tr2bl w:val="nil"/>
                  </w:tcBorders>
                  <w:noWrap w:val="0"/>
                  <w:vAlign w:val="center"/>
                </w:tcPr>
                <w:p w14:paraId="64CBD210">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μg/m³</w:t>
                  </w:r>
                </w:p>
              </w:tc>
              <w:tc>
                <w:tcPr>
                  <w:tcW w:w="2361" w:type="dxa"/>
                  <w:vMerge w:val="restart"/>
                  <w:tcBorders>
                    <w:tl2br w:val="nil"/>
                    <w:tr2bl w:val="nil"/>
                  </w:tcBorders>
                  <w:noWrap w:val="0"/>
                  <w:vAlign w:val="center"/>
                </w:tcPr>
                <w:p w14:paraId="7AA837CC">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《环境空气质量标准》</w:t>
                  </w:r>
                  <w:r>
                    <w:rPr>
                      <w:rFonts w:hint="eastAsia" w:cs="Times New Roman"/>
                      <w:color w:val="auto"/>
                      <w:lang w:eastAsia="zh-CN"/>
                    </w:rPr>
                    <w:t>（</w:t>
                  </w:r>
                  <w:r>
                    <w:rPr>
                      <w:rFonts w:hint="default" w:cs="Times New Roman"/>
                      <w:color w:val="auto"/>
                      <w:lang w:eastAsia="zh-CN"/>
                    </w:rPr>
                    <w:t>GB3095-2012）二级标准及修改单</w:t>
                  </w:r>
                </w:p>
              </w:tc>
            </w:tr>
            <w:tr w14:paraId="054C1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tcBorders>
                    <w:tl2br w:val="nil"/>
                    <w:tr2bl w:val="nil"/>
                  </w:tcBorders>
                  <w:noWrap w:val="0"/>
                  <w:vAlign w:val="center"/>
                </w:tcPr>
                <w:p w14:paraId="07859F57">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NO</w:t>
                  </w:r>
                  <w:r>
                    <w:rPr>
                      <w:rFonts w:hint="default" w:cs="Times New Roman"/>
                      <w:color w:val="auto"/>
                      <w:vertAlign w:val="subscript"/>
                      <w:lang w:eastAsia="zh-CN"/>
                    </w:rPr>
                    <w:t>2</w:t>
                  </w:r>
                </w:p>
              </w:tc>
              <w:tc>
                <w:tcPr>
                  <w:tcW w:w="1074" w:type="dxa"/>
                  <w:tcBorders>
                    <w:tl2br w:val="nil"/>
                    <w:tr2bl w:val="nil"/>
                  </w:tcBorders>
                  <w:noWrap w:val="0"/>
                  <w:vAlign w:val="center"/>
                </w:tcPr>
                <w:p w14:paraId="71C96ED9">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40</w:t>
                  </w:r>
                </w:p>
              </w:tc>
              <w:tc>
                <w:tcPr>
                  <w:tcW w:w="1435" w:type="dxa"/>
                  <w:tcBorders>
                    <w:tl2br w:val="nil"/>
                    <w:tr2bl w:val="nil"/>
                  </w:tcBorders>
                  <w:noWrap w:val="0"/>
                  <w:vAlign w:val="center"/>
                </w:tcPr>
                <w:p w14:paraId="604353AA">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80</w:t>
                  </w:r>
                </w:p>
              </w:tc>
              <w:tc>
                <w:tcPr>
                  <w:tcW w:w="1425" w:type="dxa"/>
                  <w:tcBorders>
                    <w:tl2br w:val="nil"/>
                    <w:tr2bl w:val="nil"/>
                  </w:tcBorders>
                  <w:noWrap w:val="0"/>
                  <w:vAlign w:val="center"/>
                </w:tcPr>
                <w:p w14:paraId="175C2643">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200</w:t>
                  </w:r>
                </w:p>
              </w:tc>
              <w:tc>
                <w:tcPr>
                  <w:tcW w:w="946" w:type="dxa"/>
                  <w:vMerge w:val="continue"/>
                  <w:tcBorders>
                    <w:tl2br w:val="nil"/>
                    <w:tr2bl w:val="nil"/>
                  </w:tcBorders>
                  <w:noWrap w:val="0"/>
                  <w:vAlign w:val="center"/>
                </w:tcPr>
                <w:p w14:paraId="6747439A">
                  <w:pPr>
                    <w:pStyle w:val="33"/>
                    <w:keepNext w:val="0"/>
                    <w:keepLines w:val="0"/>
                    <w:suppressLineNumbers w:val="0"/>
                    <w:bidi w:val="0"/>
                    <w:spacing w:beforeAutospacing="0" w:afterAutospacing="0"/>
                    <w:ind w:left="0" w:right="0"/>
                    <w:rPr>
                      <w:rFonts w:hint="default" w:cs="Times New Roman"/>
                      <w:color w:val="auto"/>
                      <w:lang w:eastAsia="zh-CN"/>
                    </w:rPr>
                  </w:pPr>
                </w:p>
              </w:tc>
              <w:tc>
                <w:tcPr>
                  <w:tcW w:w="2361" w:type="dxa"/>
                  <w:vMerge w:val="continue"/>
                  <w:tcBorders>
                    <w:tl2br w:val="nil"/>
                    <w:tr2bl w:val="nil"/>
                  </w:tcBorders>
                  <w:noWrap w:val="0"/>
                  <w:vAlign w:val="center"/>
                </w:tcPr>
                <w:p w14:paraId="7EC2F4E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r w14:paraId="528EA6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tcBorders>
                    <w:tl2br w:val="nil"/>
                    <w:tr2bl w:val="nil"/>
                  </w:tcBorders>
                  <w:noWrap w:val="0"/>
                  <w:vAlign w:val="center"/>
                </w:tcPr>
                <w:p w14:paraId="63CBCD12">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PM</w:t>
                  </w:r>
                  <w:r>
                    <w:rPr>
                      <w:rFonts w:hint="default" w:cs="Times New Roman"/>
                      <w:color w:val="auto"/>
                      <w:vertAlign w:val="subscript"/>
                      <w:lang w:eastAsia="zh-CN"/>
                    </w:rPr>
                    <w:t>10</w:t>
                  </w:r>
                </w:p>
              </w:tc>
              <w:tc>
                <w:tcPr>
                  <w:tcW w:w="1074" w:type="dxa"/>
                  <w:tcBorders>
                    <w:tl2br w:val="nil"/>
                    <w:tr2bl w:val="nil"/>
                  </w:tcBorders>
                  <w:noWrap w:val="0"/>
                  <w:vAlign w:val="center"/>
                </w:tcPr>
                <w:p w14:paraId="48F821D6">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70</w:t>
                  </w:r>
                </w:p>
              </w:tc>
              <w:tc>
                <w:tcPr>
                  <w:tcW w:w="1435" w:type="dxa"/>
                  <w:tcBorders>
                    <w:tl2br w:val="nil"/>
                    <w:tr2bl w:val="nil"/>
                  </w:tcBorders>
                  <w:noWrap w:val="0"/>
                  <w:vAlign w:val="center"/>
                </w:tcPr>
                <w:p w14:paraId="2734C2A2">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150</w:t>
                  </w:r>
                </w:p>
              </w:tc>
              <w:tc>
                <w:tcPr>
                  <w:tcW w:w="1425" w:type="dxa"/>
                  <w:tcBorders>
                    <w:tl2br w:val="nil"/>
                    <w:tr2bl w:val="nil"/>
                  </w:tcBorders>
                  <w:noWrap w:val="0"/>
                  <w:vAlign w:val="center"/>
                </w:tcPr>
                <w:p w14:paraId="1C154E2F">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w:t>
                  </w:r>
                </w:p>
              </w:tc>
              <w:tc>
                <w:tcPr>
                  <w:tcW w:w="946" w:type="dxa"/>
                  <w:vMerge w:val="continue"/>
                  <w:tcBorders>
                    <w:tl2br w:val="nil"/>
                    <w:tr2bl w:val="nil"/>
                  </w:tcBorders>
                  <w:noWrap w:val="0"/>
                  <w:vAlign w:val="center"/>
                </w:tcPr>
                <w:p w14:paraId="098C2B5E">
                  <w:pPr>
                    <w:pStyle w:val="33"/>
                    <w:keepNext w:val="0"/>
                    <w:keepLines w:val="0"/>
                    <w:suppressLineNumbers w:val="0"/>
                    <w:bidi w:val="0"/>
                    <w:spacing w:beforeAutospacing="0" w:afterAutospacing="0"/>
                    <w:ind w:left="0" w:right="0"/>
                    <w:rPr>
                      <w:rFonts w:hint="default" w:cs="Times New Roman"/>
                      <w:color w:val="auto"/>
                      <w:lang w:eastAsia="zh-CN"/>
                    </w:rPr>
                  </w:pPr>
                </w:p>
              </w:tc>
              <w:tc>
                <w:tcPr>
                  <w:tcW w:w="2361" w:type="dxa"/>
                  <w:vMerge w:val="continue"/>
                  <w:tcBorders>
                    <w:tl2br w:val="nil"/>
                    <w:tr2bl w:val="nil"/>
                  </w:tcBorders>
                  <w:noWrap w:val="0"/>
                  <w:vAlign w:val="center"/>
                </w:tcPr>
                <w:p w14:paraId="2685E7DD">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r w14:paraId="353D0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tcBorders>
                    <w:tl2br w:val="nil"/>
                    <w:tr2bl w:val="nil"/>
                  </w:tcBorders>
                  <w:noWrap w:val="0"/>
                  <w:vAlign w:val="center"/>
                </w:tcPr>
                <w:p w14:paraId="3D97C965">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PM</w:t>
                  </w:r>
                  <w:r>
                    <w:rPr>
                      <w:rFonts w:hint="default" w:cs="Times New Roman"/>
                      <w:color w:val="auto"/>
                      <w:vertAlign w:val="subscript"/>
                      <w:lang w:eastAsia="zh-CN"/>
                    </w:rPr>
                    <w:t>2.5</w:t>
                  </w:r>
                </w:p>
              </w:tc>
              <w:tc>
                <w:tcPr>
                  <w:tcW w:w="1074" w:type="dxa"/>
                  <w:tcBorders>
                    <w:tl2br w:val="nil"/>
                    <w:tr2bl w:val="nil"/>
                  </w:tcBorders>
                  <w:noWrap w:val="0"/>
                  <w:vAlign w:val="center"/>
                </w:tcPr>
                <w:p w14:paraId="442A79F3">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35</w:t>
                  </w:r>
                </w:p>
              </w:tc>
              <w:tc>
                <w:tcPr>
                  <w:tcW w:w="1435" w:type="dxa"/>
                  <w:tcBorders>
                    <w:tl2br w:val="nil"/>
                    <w:tr2bl w:val="nil"/>
                  </w:tcBorders>
                  <w:noWrap w:val="0"/>
                  <w:vAlign w:val="center"/>
                </w:tcPr>
                <w:p w14:paraId="1AA66ACC">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75</w:t>
                  </w:r>
                </w:p>
              </w:tc>
              <w:tc>
                <w:tcPr>
                  <w:tcW w:w="1425" w:type="dxa"/>
                  <w:tcBorders>
                    <w:tl2br w:val="nil"/>
                    <w:tr2bl w:val="nil"/>
                  </w:tcBorders>
                  <w:noWrap w:val="0"/>
                  <w:vAlign w:val="center"/>
                </w:tcPr>
                <w:p w14:paraId="334AE48B">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w:t>
                  </w:r>
                </w:p>
              </w:tc>
              <w:tc>
                <w:tcPr>
                  <w:tcW w:w="946" w:type="dxa"/>
                  <w:vMerge w:val="continue"/>
                  <w:tcBorders>
                    <w:tl2br w:val="nil"/>
                    <w:tr2bl w:val="nil"/>
                  </w:tcBorders>
                  <w:noWrap w:val="0"/>
                  <w:vAlign w:val="center"/>
                </w:tcPr>
                <w:p w14:paraId="45B86CCD">
                  <w:pPr>
                    <w:pStyle w:val="33"/>
                    <w:keepNext w:val="0"/>
                    <w:keepLines w:val="0"/>
                    <w:suppressLineNumbers w:val="0"/>
                    <w:bidi w:val="0"/>
                    <w:spacing w:beforeAutospacing="0" w:afterAutospacing="0"/>
                    <w:ind w:left="0" w:right="0"/>
                    <w:rPr>
                      <w:rFonts w:hint="default" w:cs="Times New Roman"/>
                      <w:color w:val="auto"/>
                      <w:lang w:eastAsia="zh-CN"/>
                    </w:rPr>
                  </w:pPr>
                </w:p>
              </w:tc>
              <w:tc>
                <w:tcPr>
                  <w:tcW w:w="2361" w:type="dxa"/>
                  <w:vMerge w:val="continue"/>
                  <w:tcBorders>
                    <w:tl2br w:val="nil"/>
                    <w:tr2bl w:val="nil"/>
                  </w:tcBorders>
                  <w:noWrap w:val="0"/>
                  <w:vAlign w:val="center"/>
                </w:tcPr>
                <w:p w14:paraId="382E365C">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r w14:paraId="69C05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57" w:type="dxa"/>
                  <w:tcBorders>
                    <w:tl2br w:val="nil"/>
                    <w:tr2bl w:val="nil"/>
                  </w:tcBorders>
                  <w:noWrap w:val="0"/>
                  <w:vAlign w:val="center"/>
                </w:tcPr>
                <w:p w14:paraId="44638F10">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O</w:t>
                  </w:r>
                  <w:r>
                    <w:rPr>
                      <w:rFonts w:hint="default" w:cs="Times New Roman"/>
                      <w:color w:val="auto"/>
                      <w:vertAlign w:val="subscript"/>
                      <w:lang w:eastAsia="zh-CN"/>
                    </w:rPr>
                    <w:t>3</w:t>
                  </w:r>
                </w:p>
              </w:tc>
              <w:tc>
                <w:tcPr>
                  <w:tcW w:w="1074" w:type="dxa"/>
                  <w:tcBorders>
                    <w:tl2br w:val="nil"/>
                    <w:tr2bl w:val="nil"/>
                  </w:tcBorders>
                  <w:noWrap w:val="0"/>
                  <w:vAlign w:val="center"/>
                </w:tcPr>
                <w:p w14:paraId="6ACAB1EA">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w:t>
                  </w:r>
                </w:p>
              </w:tc>
              <w:tc>
                <w:tcPr>
                  <w:tcW w:w="1435" w:type="dxa"/>
                  <w:tcBorders>
                    <w:tl2br w:val="nil"/>
                    <w:tr2bl w:val="nil"/>
                  </w:tcBorders>
                  <w:noWrap w:val="0"/>
                  <w:vAlign w:val="center"/>
                </w:tcPr>
                <w:p w14:paraId="7AF6BB09">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160（日最大8小时平均）</w:t>
                  </w:r>
                </w:p>
              </w:tc>
              <w:tc>
                <w:tcPr>
                  <w:tcW w:w="1425" w:type="dxa"/>
                  <w:tcBorders>
                    <w:tl2br w:val="nil"/>
                    <w:tr2bl w:val="nil"/>
                  </w:tcBorders>
                  <w:noWrap w:val="0"/>
                  <w:vAlign w:val="center"/>
                </w:tcPr>
                <w:p w14:paraId="07A26964">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200</w:t>
                  </w:r>
                </w:p>
              </w:tc>
              <w:tc>
                <w:tcPr>
                  <w:tcW w:w="946" w:type="dxa"/>
                  <w:vMerge w:val="continue"/>
                  <w:tcBorders>
                    <w:tl2br w:val="nil"/>
                    <w:tr2bl w:val="nil"/>
                  </w:tcBorders>
                  <w:noWrap w:val="0"/>
                  <w:vAlign w:val="center"/>
                </w:tcPr>
                <w:p w14:paraId="6C72430F">
                  <w:pPr>
                    <w:pStyle w:val="33"/>
                    <w:keepNext w:val="0"/>
                    <w:keepLines w:val="0"/>
                    <w:suppressLineNumbers w:val="0"/>
                    <w:bidi w:val="0"/>
                    <w:spacing w:beforeAutospacing="0" w:afterAutospacing="0"/>
                    <w:ind w:left="0" w:right="0"/>
                    <w:rPr>
                      <w:rFonts w:hint="default" w:cs="Times New Roman"/>
                      <w:color w:val="auto"/>
                      <w:lang w:eastAsia="zh-CN"/>
                    </w:rPr>
                  </w:pPr>
                </w:p>
              </w:tc>
              <w:tc>
                <w:tcPr>
                  <w:tcW w:w="2361" w:type="dxa"/>
                  <w:vMerge w:val="continue"/>
                  <w:tcBorders>
                    <w:tl2br w:val="nil"/>
                    <w:tr2bl w:val="nil"/>
                  </w:tcBorders>
                  <w:noWrap w:val="0"/>
                  <w:vAlign w:val="center"/>
                </w:tcPr>
                <w:p w14:paraId="43AF93F0">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r w14:paraId="01063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957" w:type="dxa"/>
                  <w:tcBorders>
                    <w:tl2br w:val="nil"/>
                    <w:tr2bl w:val="nil"/>
                  </w:tcBorders>
                  <w:noWrap w:val="0"/>
                  <w:vAlign w:val="center"/>
                </w:tcPr>
                <w:p w14:paraId="0CCE793D">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CO</w:t>
                  </w:r>
                </w:p>
              </w:tc>
              <w:tc>
                <w:tcPr>
                  <w:tcW w:w="1074" w:type="dxa"/>
                  <w:tcBorders>
                    <w:tl2br w:val="nil"/>
                    <w:tr2bl w:val="nil"/>
                  </w:tcBorders>
                  <w:noWrap w:val="0"/>
                  <w:vAlign w:val="center"/>
                </w:tcPr>
                <w:p w14:paraId="34EA38EE">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w:t>
                  </w:r>
                </w:p>
              </w:tc>
              <w:tc>
                <w:tcPr>
                  <w:tcW w:w="1435" w:type="dxa"/>
                  <w:tcBorders>
                    <w:tl2br w:val="nil"/>
                    <w:tr2bl w:val="nil"/>
                  </w:tcBorders>
                  <w:noWrap w:val="0"/>
                  <w:vAlign w:val="center"/>
                </w:tcPr>
                <w:p w14:paraId="7C5A2F1C">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4</w:t>
                  </w:r>
                </w:p>
              </w:tc>
              <w:tc>
                <w:tcPr>
                  <w:tcW w:w="1425" w:type="dxa"/>
                  <w:tcBorders>
                    <w:tl2br w:val="nil"/>
                    <w:tr2bl w:val="nil"/>
                  </w:tcBorders>
                  <w:noWrap w:val="0"/>
                  <w:vAlign w:val="center"/>
                </w:tcPr>
                <w:p w14:paraId="6784FE2F">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10</w:t>
                  </w:r>
                </w:p>
              </w:tc>
              <w:tc>
                <w:tcPr>
                  <w:tcW w:w="946" w:type="dxa"/>
                  <w:tcBorders>
                    <w:tl2br w:val="nil"/>
                    <w:tr2bl w:val="nil"/>
                  </w:tcBorders>
                  <w:noWrap w:val="0"/>
                  <w:vAlign w:val="center"/>
                </w:tcPr>
                <w:p w14:paraId="3A27DA48">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mg/m³</w:t>
                  </w:r>
                </w:p>
              </w:tc>
              <w:tc>
                <w:tcPr>
                  <w:tcW w:w="2361" w:type="dxa"/>
                  <w:vMerge w:val="continue"/>
                  <w:tcBorders>
                    <w:tl2br w:val="nil"/>
                    <w:tr2bl w:val="nil"/>
                  </w:tcBorders>
                  <w:noWrap w:val="0"/>
                  <w:vAlign w:val="center"/>
                </w:tcPr>
                <w:p w14:paraId="6A7FAC64">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r w14:paraId="2D558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957" w:type="dxa"/>
                  <w:tcBorders>
                    <w:tl2br w:val="nil"/>
                    <w:tr2bl w:val="nil"/>
                  </w:tcBorders>
                  <w:noWrap w:val="0"/>
                  <w:vAlign w:val="center"/>
                </w:tcPr>
                <w:p w14:paraId="07CEAEE6">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TSP</w:t>
                  </w:r>
                </w:p>
              </w:tc>
              <w:tc>
                <w:tcPr>
                  <w:tcW w:w="1074" w:type="dxa"/>
                  <w:tcBorders>
                    <w:tl2br w:val="nil"/>
                    <w:tr2bl w:val="nil"/>
                  </w:tcBorders>
                  <w:noWrap w:val="0"/>
                  <w:vAlign w:val="center"/>
                </w:tcPr>
                <w:p w14:paraId="29CEFE7A">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200</w:t>
                  </w:r>
                </w:p>
              </w:tc>
              <w:tc>
                <w:tcPr>
                  <w:tcW w:w="1435" w:type="dxa"/>
                  <w:tcBorders>
                    <w:tl2br w:val="nil"/>
                    <w:tr2bl w:val="nil"/>
                  </w:tcBorders>
                  <w:noWrap w:val="0"/>
                  <w:vAlign w:val="center"/>
                </w:tcPr>
                <w:p w14:paraId="77644902">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300</w:t>
                  </w:r>
                </w:p>
              </w:tc>
              <w:tc>
                <w:tcPr>
                  <w:tcW w:w="1425" w:type="dxa"/>
                  <w:tcBorders>
                    <w:tl2br w:val="nil"/>
                    <w:tr2bl w:val="nil"/>
                  </w:tcBorders>
                  <w:noWrap w:val="0"/>
                  <w:vAlign w:val="center"/>
                </w:tcPr>
                <w:p w14:paraId="67D0582C">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w:t>
                  </w:r>
                </w:p>
              </w:tc>
              <w:tc>
                <w:tcPr>
                  <w:tcW w:w="946" w:type="dxa"/>
                  <w:tcBorders>
                    <w:tl2br w:val="nil"/>
                    <w:tr2bl w:val="nil"/>
                  </w:tcBorders>
                  <w:noWrap w:val="0"/>
                  <w:vAlign w:val="center"/>
                </w:tcPr>
                <w:p w14:paraId="476EDB0E">
                  <w:pPr>
                    <w:pStyle w:val="33"/>
                    <w:keepNext w:val="0"/>
                    <w:keepLines w:val="0"/>
                    <w:suppressLineNumbers w:val="0"/>
                    <w:bidi w:val="0"/>
                    <w:spacing w:beforeAutospacing="0" w:afterAutospacing="0"/>
                    <w:ind w:left="0" w:right="0"/>
                    <w:rPr>
                      <w:rFonts w:hint="default" w:cs="Times New Roman"/>
                      <w:color w:val="auto"/>
                      <w:lang w:eastAsia="zh-CN"/>
                    </w:rPr>
                  </w:pPr>
                  <w:r>
                    <w:rPr>
                      <w:rFonts w:hint="default" w:cs="Times New Roman"/>
                      <w:color w:val="auto"/>
                      <w:lang w:eastAsia="zh-CN"/>
                    </w:rPr>
                    <w:t>μg/m³</w:t>
                  </w:r>
                </w:p>
              </w:tc>
              <w:tc>
                <w:tcPr>
                  <w:tcW w:w="2361" w:type="dxa"/>
                  <w:vMerge w:val="continue"/>
                  <w:tcBorders>
                    <w:tl2br w:val="nil"/>
                    <w:tr2bl w:val="nil"/>
                  </w:tcBorders>
                  <w:noWrap w:val="0"/>
                  <w:vAlign w:val="center"/>
                </w:tcPr>
                <w:p w14:paraId="5150B38F">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eastAsia="zh-CN"/>
                    </w:rPr>
                  </w:pPr>
                </w:p>
              </w:tc>
            </w:tr>
          </w:tbl>
          <w:p w14:paraId="53C9BD2A">
            <w:pPr>
              <w:pStyle w:val="2"/>
              <w:keepLines w:val="0"/>
              <w:suppressLineNumbers w:val="0"/>
              <w:bidi w:val="0"/>
              <w:spacing w:before="0" w:beforeAutospacing="0" w:after="0" w:afterAutospacing="0"/>
              <w:ind w:left="0" w:right="0"/>
              <w:rPr>
                <w:rFonts w:hint="eastAsia"/>
                <w:color w:val="auto"/>
              </w:rPr>
            </w:pPr>
            <w:r>
              <w:rPr>
                <w:rFonts w:hint="eastAsia"/>
                <w:color w:val="auto"/>
                <w:lang w:val="en-US" w:eastAsia="zh-CN"/>
              </w:rPr>
              <w:t xml:space="preserve">1.2 </w:t>
            </w:r>
            <w:r>
              <w:rPr>
                <w:rFonts w:hint="eastAsia"/>
                <w:color w:val="auto"/>
              </w:rPr>
              <w:t>地表水环境质量标准</w:t>
            </w:r>
          </w:p>
          <w:p w14:paraId="369871F8">
            <w:pPr>
              <w:pStyle w:val="33"/>
              <w:keepNext w:val="0"/>
              <w:keepLines w:val="0"/>
              <w:suppressLineNumbers w:val="0"/>
              <w:adjustRightInd/>
              <w:snapToGrid/>
              <w:spacing w:beforeLines="0" w:beforeAutospacing="0" w:afterLines="0" w:afterAutospacing="0" w:line="240" w:lineRule="auto"/>
              <w:ind w:left="0" w:right="0" w:firstLine="454" w:firstLineChars="200"/>
              <w:jc w:val="both"/>
              <w:rPr>
                <w:rFonts w:hint="eastAsia" w:ascii="Times New Roman" w:cs="Times New Roman"/>
                <w:color w:val="auto"/>
                <w:sz w:val="24"/>
                <w:szCs w:val="24"/>
              </w:rPr>
            </w:pPr>
            <w:r>
              <w:rPr>
                <w:rFonts w:hint="default" w:ascii="Times New Roman" w:cs="Times New Roman"/>
                <w:color w:val="auto"/>
                <w:kern w:val="2"/>
                <w:sz w:val="24"/>
                <w:szCs w:val="24"/>
              </w:rPr>
              <w:t>本项目所在地最近的地表水体为黄河</w:t>
            </w:r>
            <w:r>
              <w:rPr>
                <w:rFonts w:hint="eastAsia" w:cs="Times New Roman"/>
                <w:color w:val="auto"/>
                <w:kern w:val="2"/>
                <w:sz w:val="24"/>
                <w:szCs w:val="24"/>
                <w:lang w:val="en-US" w:eastAsia="zh-CN"/>
              </w:rPr>
              <w:t>及</w:t>
            </w:r>
            <w:r>
              <w:rPr>
                <w:rFonts w:hint="eastAsia" w:ascii="Times New Roman" w:hAnsi="Times New Roman" w:eastAsia="宋体"/>
                <w:color w:val="auto"/>
                <w:sz w:val="24"/>
                <w:lang w:val="en-US" w:eastAsia="zh-CN"/>
              </w:rPr>
              <w:t>照壁山水库</w:t>
            </w:r>
            <w:r>
              <w:rPr>
                <w:rFonts w:hint="eastAsia" w:ascii="Times New Roman" w:cs="Times New Roman"/>
                <w:color w:val="auto"/>
                <w:kern w:val="2"/>
                <w:sz w:val="24"/>
                <w:szCs w:val="24"/>
              </w:rPr>
              <w:t>，</w:t>
            </w:r>
            <w:r>
              <w:rPr>
                <w:rFonts w:hint="default" w:ascii="Times New Roman" w:cs="Times New Roman"/>
                <w:color w:val="auto"/>
                <w:kern w:val="2"/>
                <w:sz w:val="24"/>
                <w:szCs w:val="24"/>
              </w:rPr>
              <w:t>黄河</w:t>
            </w:r>
            <w:r>
              <w:rPr>
                <w:rFonts w:hint="eastAsia" w:ascii="Times New Roman" w:cs="Times New Roman"/>
                <w:color w:val="auto"/>
                <w:sz w:val="24"/>
                <w:szCs w:val="24"/>
                <w:lang w:bidi="ar"/>
              </w:rPr>
              <w:t>水质执行《地表水环境质量标准》（</w:t>
            </w:r>
            <w:r>
              <w:rPr>
                <w:rFonts w:hint="default" w:ascii="Times New Roman" w:cs="Times New Roman"/>
                <w:color w:val="auto"/>
                <w:sz w:val="24"/>
                <w:szCs w:val="24"/>
                <w:lang w:bidi="ar"/>
              </w:rPr>
              <w:t>GB3838-2002</w:t>
            </w:r>
            <w:r>
              <w:rPr>
                <w:rFonts w:hint="eastAsia" w:ascii="Times New Roman" w:cs="Times New Roman"/>
                <w:color w:val="auto"/>
                <w:sz w:val="24"/>
                <w:szCs w:val="24"/>
                <w:lang w:bidi="ar"/>
              </w:rPr>
              <w:t>）中的</w:t>
            </w:r>
            <w:r>
              <w:rPr>
                <w:rFonts w:hint="default" w:ascii="Times New Roman" w:cs="Times New Roman"/>
                <w:color w:val="auto"/>
                <w:sz w:val="24"/>
                <w:szCs w:val="24"/>
                <w:lang w:bidi="ar"/>
              </w:rPr>
              <w:t>Ⅱ</w:t>
            </w:r>
            <w:r>
              <w:rPr>
                <w:rFonts w:hint="eastAsia" w:ascii="Times New Roman" w:cs="Times New Roman"/>
                <w:color w:val="auto"/>
                <w:sz w:val="24"/>
                <w:szCs w:val="24"/>
                <w:lang w:bidi="ar"/>
              </w:rPr>
              <w:t>类水质标准</w:t>
            </w:r>
            <w:r>
              <w:rPr>
                <w:rFonts w:hint="eastAsia" w:cs="Times New Roman"/>
                <w:color w:val="auto"/>
                <w:sz w:val="24"/>
                <w:szCs w:val="24"/>
                <w:lang w:eastAsia="zh-CN" w:bidi="ar"/>
              </w:rPr>
              <w:t>，</w:t>
            </w:r>
            <w:r>
              <w:rPr>
                <w:rFonts w:hint="eastAsia" w:ascii="Times New Roman" w:hAnsi="Times New Roman" w:eastAsia="宋体"/>
                <w:color w:val="auto"/>
                <w:sz w:val="24"/>
                <w:lang w:val="en-US" w:eastAsia="zh-CN"/>
              </w:rPr>
              <w:t>照壁山水库</w:t>
            </w:r>
            <w:r>
              <w:rPr>
                <w:rFonts w:hint="eastAsia" w:ascii="Times New Roman" w:cs="Times New Roman"/>
                <w:color w:val="auto"/>
                <w:sz w:val="24"/>
                <w:szCs w:val="24"/>
                <w:lang w:bidi="ar"/>
              </w:rPr>
              <w:t>水质执行《地表水环境质量标准》（</w:t>
            </w:r>
            <w:r>
              <w:rPr>
                <w:rFonts w:hint="default" w:ascii="Times New Roman" w:cs="Times New Roman"/>
                <w:color w:val="auto"/>
                <w:sz w:val="24"/>
                <w:szCs w:val="24"/>
                <w:lang w:bidi="ar"/>
              </w:rPr>
              <w:t>GB3838-2002</w:t>
            </w:r>
            <w:r>
              <w:rPr>
                <w:rFonts w:hint="eastAsia" w:ascii="Times New Roman" w:cs="Times New Roman"/>
                <w:color w:val="auto"/>
                <w:sz w:val="24"/>
                <w:szCs w:val="24"/>
                <w:lang w:bidi="ar"/>
              </w:rPr>
              <w:t>）中的</w:t>
            </w:r>
            <w:r>
              <w:rPr>
                <w:rFonts w:hint="default" w:ascii="Times New Roman" w:hAnsi="Times New Roman" w:eastAsia="宋体" w:cs="Times New Roman"/>
                <w:color w:val="auto"/>
                <w:sz w:val="24"/>
                <w:lang w:val="en-US" w:eastAsia="zh-CN"/>
              </w:rPr>
              <w:t>Ⅲ</w:t>
            </w:r>
            <w:r>
              <w:rPr>
                <w:rFonts w:hint="eastAsia" w:ascii="Times New Roman" w:cs="Times New Roman"/>
                <w:color w:val="auto"/>
                <w:sz w:val="24"/>
                <w:szCs w:val="24"/>
                <w:lang w:bidi="ar"/>
              </w:rPr>
              <w:t>类水质标准。</w:t>
            </w:r>
          </w:p>
          <w:p w14:paraId="0652BC23">
            <w:pPr>
              <w:pStyle w:val="3"/>
              <w:keepNext w:val="0"/>
              <w:keepLines w:val="0"/>
              <w:suppressLineNumbers w:val="0"/>
              <w:bidi w:val="0"/>
              <w:spacing w:before="0" w:beforeAutospacing="0" w:after="0" w:afterAutospacing="0"/>
              <w:ind w:left="0" w:right="0"/>
              <w:rPr>
                <w:rFonts w:hint="default"/>
                <w:color w:val="auto"/>
              </w:rPr>
            </w:pPr>
            <w:r>
              <w:rPr>
                <w:rFonts w:hint="default"/>
                <w:color w:val="auto"/>
              </w:rPr>
              <w:t>表3-</w:t>
            </w:r>
            <w:r>
              <w:rPr>
                <w:rFonts w:hint="eastAsia"/>
                <w:color w:val="auto"/>
                <w:lang w:val="en-US" w:eastAsia="zh-CN"/>
              </w:rPr>
              <w:t>10</w:t>
            </w:r>
            <w:r>
              <w:rPr>
                <w:rFonts w:hint="default"/>
                <w:color w:val="auto"/>
              </w:rPr>
              <w:t xml:space="preserve"> </w:t>
            </w:r>
            <w:r>
              <w:rPr>
                <w:rFonts w:hint="eastAsia"/>
                <w:color w:val="auto"/>
              </w:rPr>
              <w:t xml:space="preserve"> </w:t>
            </w:r>
            <w:r>
              <w:rPr>
                <w:rFonts w:hint="default"/>
                <w:color w:val="auto"/>
              </w:rPr>
              <w:t>《地表水环境质量标准》</w:t>
            </w:r>
            <w:r>
              <w:rPr>
                <w:rFonts w:hint="eastAsia"/>
                <w:color w:val="auto"/>
                <w:lang w:val="en-US" w:eastAsia="zh-CN"/>
              </w:rPr>
              <w:t xml:space="preserve">  </w:t>
            </w:r>
            <w:r>
              <w:rPr>
                <w:rFonts w:hint="default"/>
                <w:color w:val="auto"/>
              </w:rPr>
              <w:t>单位：mg/L（pH无量纲）</w:t>
            </w:r>
          </w:p>
          <w:tbl>
            <w:tblPr>
              <w:tblStyle w:val="2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051"/>
              <w:gridCol w:w="2447"/>
              <w:gridCol w:w="2452"/>
              <w:gridCol w:w="2453"/>
            </w:tblGrid>
            <w:tr w14:paraId="70F97D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40E2A7E">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序号</w:t>
                  </w:r>
                </w:p>
              </w:tc>
              <w:tc>
                <w:tcPr>
                  <w:tcW w:w="1456" w:type="pct"/>
                  <w:noWrap w:val="0"/>
                  <w:vAlign w:val="center"/>
                </w:tcPr>
                <w:p w14:paraId="1218D2D2">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污染物名称</w:t>
                  </w:r>
                </w:p>
              </w:tc>
              <w:tc>
                <w:tcPr>
                  <w:tcW w:w="1459" w:type="pct"/>
                  <w:noWrap w:val="0"/>
                  <w:vAlign w:val="center"/>
                </w:tcPr>
                <w:p w14:paraId="132C1215">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标准值Ⅱ类</w:t>
                  </w:r>
                </w:p>
              </w:tc>
              <w:tc>
                <w:tcPr>
                  <w:tcW w:w="1459" w:type="pct"/>
                  <w:noWrap w:val="0"/>
                  <w:vAlign w:val="center"/>
                </w:tcPr>
                <w:p w14:paraId="043C3455">
                  <w:pPr>
                    <w:pStyle w:val="33"/>
                    <w:keepNext w:val="0"/>
                    <w:keepLines w:val="0"/>
                    <w:suppressLineNumbers w:val="0"/>
                    <w:bidi w:val="0"/>
                    <w:spacing w:beforeAutospacing="0" w:afterAutospacing="0"/>
                    <w:ind w:left="0" w:right="0"/>
                    <w:rPr>
                      <w:rFonts w:hint="default" w:cs="Times New Roman"/>
                      <w:b/>
                      <w:bCs/>
                      <w:color w:val="auto"/>
                    </w:rPr>
                  </w:pPr>
                  <w:r>
                    <w:rPr>
                      <w:rFonts w:hint="default" w:cs="Times New Roman"/>
                      <w:b/>
                      <w:bCs/>
                      <w:color w:val="auto"/>
                    </w:rPr>
                    <w:t>标准值</w:t>
                  </w:r>
                  <w:r>
                    <w:rPr>
                      <w:rFonts w:hint="default" w:ascii="Times New Roman" w:hAnsi="Times New Roman" w:eastAsia="宋体" w:cs="Times New Roman"/>
                      <w:color w:val="auto"/>
                      <w:sz w:val="24"/>
                      <w:lang w:val="en-US" w:eastAsia="zh-CN"/>
                    </w:rPr>
                    <w:t>Ⅲ</w:t>
                  </w:r>
                  <w:r>
                    <w:rPr>
                      <w:rFonts w:hint="default" w:cs="Times New Roman"/>
                      <w:b/>
                      <w:bCs/>
                      <w:color w:val="auto"/>
                    </w:rPr>
                    <w:t>类</w:t>
                  </w:r>
                </w:p>
              </w:tc>
            </w:tr>
            <w:tr w14:paraId="78554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365FE79">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w:t>
                  </w:r>
                </w:p>
              </w:tc>
              <w:tc>
                <w:tcPr>
                  <w:tcW w:w="1456" w:type="pct"/>
                  <w:noWrap w:val="0"/>
                  <w:vAlign w:val="center"/>
                </w:tcPr>
                <w:p w14:paraId="74372C9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水温</w:t>
                  </w:r>
                </w:p>
              </w:tc>
              <w:tc>
                <w:tcPr>
                  <w:tcW w:w="2918" w:type="pct"/>
                  <w:gridSpan w:val="2"/>
                  <w:noWrap w:val="0"/>
                  <w:vAlign w:val="center"/>
                </w:tcPr>
                <w:p w14:paraId="065B22D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周平均温升≤1，周平均温降≤2</w:t>
                  </w:r>
                </w:p>
              </w:tc>
            </w:tr>
            <w:tr w14:paraId="6E83F0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758EB98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2</w:t>
                  </w:r>
                </w:p>
              </w:tc>
              <w:tc>
                <w:tcPr>
                  <w:tcW w:w="1456" w:type="pct"/>
                  <w:noWrap w:val="0"/>
                  <w:vAlign w:val="center"/>
                </w:tcPr>
                <w:p w14:paraId="64AA740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pH值</w:t>
                  </w:r>
                </w:p>
              </w:tc>
              <w:tc>
                <w:tcPr>
                  <w:tcW w:w="1459" w:type="pct"/>
                  <w:noWrap w:val="0"/>
                  <w:vAlign w:val="center"/>
                </w:tcPr>
                <w:p w14:paraId="64193BB5">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6～9</w:t>
                  </w:r>
                </w:p>
              </w:tc>
              <w:tc>
                <w:tcPr>
                  <w:tcW w:w="1459" w:type="pct"/>
                  <w:noWrap w:val="0"/>
                  <w:vAlign w:val="center"/>
                </w:tcPr>
                <w:p w14:paraId="6B29A6E7">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6～9</w:t>
                  </w:r>
                </w:p>
              </w:tc>
            </w:tr>
            <w:tr w14:paraId="64176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9E81CB4">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3</w:t>
                  </w:r>
                </w:p>
              </w:tc>
              <w:tc>
                <w:tcPr>
                  <w:tcW w:w="1456" w:type="pct"/>
                  <w:noWrap w:val="0"/>
                  <w:vAlign w:val="center"/>
                </w:tcPr>
                <w:p w14:paraId="2787D422">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溶解氧</w:t>
                  </w:r>
                </w:p>
              </w:tc>
              <w:tc>
                <w:tcPr>
                  <w:tcW w:w="1459" w:type="pct"/>
                  <w:noWrap w:val="0"/>
                  <w:vAlign w:val="center"/>
                </w:tcPr>
                <w:p w14:paraId="4D9F9005">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w:t>
                  </w:r>
                  <w:r>
                    <w:rPr>
                      <w:rFonts w:hint="eastAsia" w:cs="Times New Roman"/>
                      <w:color w:val="auto"/>
                    </w:rPr>
                    <w:t>6</w:t>
                  </w:r>
                </w:p>
              </w:tc>
              <w:tc>
                <w:tcPr>
                  <w:tcW w:w="1459" w:type="pct"/>
                  <w:noWrap w:val="0"/>
                  <w:vAlign w:val="center"/>
                </w:tcPr>
                <w:p w14:paraId="37D1F2D1">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≥5</w:t>
                  </w:r>
                </w:p>
              </w:tc>
            </w:tr>
            <w:tr w14:paraId="4AAA00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C663546">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4</w:t>
                  </w:r>
                </w:p>
              </w:tc>
              <w:tc>
                <w:tcPr>
                  <w:tcW w:w="1456" w:type="pct"/>
                  <w:noWrap w:val="0"/>
                  <w:vAlign w:val="center"/>
                </w:tcPr>
                <w:p w14:paraId="61C037A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高锰酸盐指数</w:t>
                  </w:r>
                </w:p>
              </w:tc>
              <w:tc>
                <w:tcPr>
                  <w:tcW w:w="1459" w:type="pct"/>
                  <w:noWrap w:val="0"/>
                  <w:vAlign w:val="center"/>
                </w:tcPr>
                <w:p w14:paraId="49505AE6">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w:t>
                  </w:r>
                  <w:r>
                    <w:rPr>
                      <w:rFonts w:hint="eastAsia" w:cs="Times New Roman"/>
                      <w:color w:val="auto"/>
                    </w:rPr>
                    <w:t>4</w:t>
                  </w:r>
                </w:p>
              </w:tc>
              <w:tc>
                <w:tcPr>
                  <w:tcW w:w="1459" w:type="pct"/>
                  <w:noWrap w:val="0"/>
                  <w:vAlign w:val="center"/>
                </w:tcPr>
                <w:p w14:paraId="7C2C4795">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≤6</w:t>
                  </w:r>
                </w:p>
              </w:tc>
            </w:tr>
            <w:tr w14:paraId="3412B1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169750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5</w:t>
                  </w:r>
                </w:p>
              </w:tc>
              <w:tc>
                <w:tcPr>
                  <w:tcW w:w="1456" w:type="pct"/>
                  <w:noWrap w:val="0"/>
                  <w:vAlign w:val="center"/>
                </w:tcPr>
                <w:p w14:paraId="26B7B6D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COD</w:t>
                  </w:r>
                </w:p>
              </w:tc>
              <w:tc>
                <w:tcPr>
                  <w:tcW w:w="1459" w:type="pct"/>
                  <w:noWrap w:val="0"/>
                  <w:vAlign w:val="center"/>
                </w:tcPr>
                <w:p w14:paraId="712FB1D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w:t>
                  </w:r>
                  <w:r>
                    <w:rPr>
                      <w:rFonts w:hint="eastAsia" w:cs="Times New Roman"/>
                      <w:color w:val="auto"/>
                    </w:rPr>
                    <w:t>15</w:t>
                  </w:r>
                </w:p>
              </w:tc>
              <w:tc>
                <w:tcPr>
                  <w:tcW w:w="1459" w:type="pct"/>
                  <w:noWrap w:val="0"/>
                  <w:vAlign w:val="center"/>
                </w:tcPr>
                <w:p w14:paraId="43B89B20">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≤20</w:t>
                  </w:r>
                </w:p>
              </w:tc>
            </w:tr>
            <w:tr w14:paraId="6D5F7A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70E8F7B">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6</w:t>
                  </w:r>
                </w:p>
              </w:tc>
              <w:tc>
                <w:tcPr>
                  <w:tcW w:w="1456" w:type="pct"/>
                  <w:noWrap w:val="0"/>
                  <w:vAlign w:val="center"/>
                </w:tcPr>
                <w:p w14:paraId="555A4EB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BOD</w:t>
                  </w:r>
                  <w:r>
                    <w:rPr>
                      <w:rFonts w:hint="default" w:cs="Times New Roman"/>
                      <w:color w:val="auto"/>
                      <w:vertAlign w:val="subscript"/>
                    </w:rPr>
                    <w:t>5</w:t>
                  </w:r>
                </w:p>
              </w:tc>
              <w:tc>
                <w:tcPr>
                  <w:tcW w:w="1459" w:type="pct"/>
                  <w:noWrap w:val="0"/>
                  <w:vAlign w:val="center"/>
                </w:tcPr>
                <w:p w14:paraId="352FA78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w:t>
                  </w:r>
                  <w:r>
                    <w:rPr>
                      <w:rFonts w:hint="eastAsia" w:cs="Times New Roman"/>
                      <w:color w:val="auto"/>
                    </w:rPr>
                    <w:t>3</w:t>
                  </w:r>
                </w:p>
              </w:tc>
              <w:tc>
                <w:tcPr>
                  <w:tcW w:w="1459" w:type="pct"/>
                  <w:noWrap w:val="0"/>
                  <w:vAlign w:val="center"/>
                </w:tcPr>
                <w:p w14:paraId="1D7D4756">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r>
            <w:tr w14:paraId="73211A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45B9882">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7</w:t>
                  </w:r>
                </w:p>
              </w:tc>
              <w:tc>
                <w:tcPr>
                  <w:tcW w:w="1456" w:type="pct"/>
                  <w:noWrap w:val="0"/>
                  <w:vAlign w:val="center"/>
                </w:tcPr>
                <w:p w14:paraId="2F2ED35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氨氮</w:t>
                  </w:r>
                </w:p>
              </w:tc>
              <w:tc>
                <w:tcPr>
                  <w:tcW w:w="1459" w:type="pct"/>
                  <w:noWrap w:val="0"/>
                  <w:vAlign w:val="center"/>
                </w:tcPr>
                <w:p w14:paraId="6DAD5674">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w:t>
                  </w:r>
                  <w:r>
                    <w:rPr>
                      <w:rFonts w:hint="eastAsia" w:cs="Times New Roman"/>
                      <w:color w:val="auto"/>
                    </w:rPr>
                    <w:t>0.5</w:t>
                  </w:r>
                </w:p>
              </w:tc>
              <w:tc>
                <w:tcPr>
                  <w:tcW w:w="1459" w:type="pct"/>
                  <w:noWrap w:val="0"/>
                  <w:vAlign w:val="center"/>
                </w:tcPr>
                <w:p w14:paraId="1A89107B">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r>
            <w:tr w14:paraId="554F8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0AE7A889">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8</w:t>
                  </w:r>
                </w:p>
              </w:tc>
              <w:tc>
                <w:tcPr>
                  <w:tcW w:w="1456" w:type="pct"/>
                  <w:noWrap w:val="0"/>
                  <w:vAlign w:val="center"/>
                </w:tcPr>
                <w:p w14:paraId="523E914E">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石油类</w:t>
                  </w:r>
                </w:p>
              </w:tc>
              <w:tc>
                <w:tcPr>
                  <w:tcW w:w="1459" w:type="pct"/>
                  <w:noWrap w:val="0"/>
                  <w:vAlign w:val="center"/>
                </w:tcPr>
                <w:p w14:paraId="6A8AF5C1">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≤0.05</w:t>
                  </w:r>
                </w:p>
              </w:tc>
              <w:tc>
                <w:tcPr>
                  <w:tcW w:w="1459" w:type="pct"/>
                  <w:noWrap w:val="0"/>
                  <w:vAlign w:val="center"/>
                </w:tcPr>
                <w:p w14:paraId="693BDC76">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14:paraId="64D0D0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2EFBC86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9</w:t>
                  </w:r>
                </w:p>
              </w:tc>
              <w:tc>
                <w:tcPr>
                  <w:tcW w:w="1456" w:type="pct"/>
                  <w:noWrap w:val="0"/>
                  <w:vAlign w:val="center"/>
                </w:tcPr>
                <w:p w14:paraId="53C8CD5F">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硫化物</w:t>
                  </w:r>
                </w:p>
              </w:tc>
              <w:tc>
                <w:tcPr>
                  <w:tcW w:w="1459" w:type="pct"/>
                  <w:noWrap w:val="0"/>
                  <w:vAlign w:val="center"/>
                </w:tcPr>
                <w:p w14:paraId="3D8B2C1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w:t>
                  </w:r>
                  <w:r>
                    <w:rPr>
                      <w:rFonts w:hint="eastAsia" w:cs="Times New Roman"/>
                      <w:color w:val="auto"/>
                    </w:rPr>
                    <w:t>1</w:t>
                  </w:r>
                </w:p>
              </w:tc>
              <w:tc>
                <w:tcPr>
                  <w:tcW w:w="1459" w:type="pct"/>
                  <w:noWrap w:val="0"/>
                  <w:vAlign w:val="center"/>
                </w:tcPr>
                <w:p w14:paraId="4CBC6399">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r>
            <w:tr w14:paraId="41DAB9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6D91B57B">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10</w:t>
                  </w:r>
                </w:p>
              </w:tc>
              <w:tc>
                <w:tcPr>
                  <w:tcW w:w="1456" w:type="pct"/>
                  <w:noWrap w:val="0"/>
                  <w:vAlign w:val="center"/>
                </w:tcPr>
                <w:p w14:paraId="02487234">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氟化物</w:t>
                  </w:r>
                </w:p>
              </w:tc>
              <w:tc>
                <w:tcPr>
                  <w:tcW w:w="1459" w:type="pct"/>
                  <w:noWrap w:val="0"/>
                  <w:vAlign w:val="center"/>
                </w:tcPr>
                <w:p w14:paraId="6F2B210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≤1.0</w:t>
                  </w:r>
                </w:p>
              </w:tc>
              <w:tc>
                <w:tcPr>
                  <w:tcW w:w="1459" w:type="pct"/>
                  <w:noWrap w:val="0"/>
                  <w:vAlign w:val="center"/>
                </w:tcPr>
                <w:p w14:paraId="2669AC2C">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r>
            <w:tr w14:paraId="0206C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7A2BB9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11</w:t>
                  </w:r>
                </w:p>
              </w:tc>
              <w:tc>
                <w:tcPr>
                  <w:tcW w:w="1456" w:type="pct"/>
                  <w:noWrap w:val="0"/>
                  <w:vAlign w:val="center"/>
                </w:tcPr>
                <w:p w14:paraId="45C17E9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挥发酚</w:t>
                  </w:r>
                </w:p>
              </w:tc>
              <w:tc>
                <w:tcPr>
                  <w:tcW w:w="1459" w:type="pct"/>
                  <w:noWrap w:val="0"/>
                  <w:vAlign w:val="center"/>
                </w:tcPr>
                <w:p w14:paraId="65E5F72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≤0.00</w:t>
                  </w:r>
                  <w:r>
                    <w:rPr>
                      <w:rFonts w:hint="eastAsia" w:cs="Times New Roman"/>
                      <w:color w:val="auto"/>
                    </w:rPr>
                    <w:t>2</w:t>
                  </w:r>
                </w:p>
              </w:tc>
              <w:tc>
                <w:tcPr>
                  <w:tcW w:w="1459" w:type="pct"/>
                  <w:noWrap w:val="0"/>
                  <w:vAlign w:val="center"/>
                </w:tcPr>
                <w:p w14:paraId="3A754DBD">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r>
            <w:tr w14:paraId="27DF2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07E2CB87">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12</w:t>
                  </w:r>
                </w:p>
              </w:tc>
              <w:tc>
                <w:tcPr>
                  <w:tcW w:w="1456" w:type="pct"/>
                  <w:noWrap w:val="0"/>
                  <w:vAlign w:val="center"/>
                </w:tcPr>
                <w:p w14:paraId="64EFE0E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氰化物</w:t>
                  </w:r>
                </w:p>
              </w:tc>
              <w:tc>
                <w:tcPr>
                  <w:tcW w:w="1459" w:type="pct"/>
                  <w:noWrap w:val="0"/>
                  <w:vAlign w:val="center"/>
                </w:tcPr>
                <w:p w14:paraId="0EABF73E">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default" w:cs="Times New Roman"/>
                      <w:color w:val="auto"/>
                    </w:rPr>
                    <w:t>≤0.</w:t>
                  </w:r>
                  <w:r>
                    <w:rPr>
                      <w:rFonts w:hint="eastAsia" w:cs="Times New Roman"/>
                      <w:color w:val="auto"/>
                      <w:lang w:val="en-US" w:eastAsia="zh-CN"/>
                    </w:rPr>
                    <w:t>05</w:t>
                  </w:r>
                </w:p>
              </w:tc>
              <w:tc>
                <w:tcPr>
                  <w:tcW w:w="1459" w:type="pct"/>
                  <w:noWrap w:val="0"/>
                  <w:vAlign w:val="center"/>
                </w:tcPr>
                <w:p w14:paraId="09130EAE">
                  <w:pPr>
                    <w:pStyle w:val="33"/>
                    <w:keepNext w:val="0"/>
                    <w:keepLines w:val="0"/>
                    <w:suppressLineNumbers w:val="0"/>
                    <w:bidi w:val="0"/>
                    <w:spacing w:beforeAutospacing="0" w:afterAutospacing="0"/>
                    <w:ind w:left="0" w:right="0"/>
                    <w:rPr>
                      <w:rFonts w:hint="default" w:ascii="Times New Roman" w:hAnsi="Times New Roman" w:eastAsia="宋体" w:cs="Times New Roman"/>
                      <w:color w:val="auto"/>
                      <w:lang w:val="en-US" w:eastAsia="zh-CN"/>
                    </w:rPr>
                  </w:pPr>
                  <w:r>
                    <w:rPr>
                      <w:rFonts w:hint="default" w:ascii="Times New Roman" w:hAnsi="Times New Roman" w:cs="Times New Roman"/>
                      <w:color w:val="auto"/>
                    </w:rPr>
                    <w:t>≤</w:t>
                  </w:r>
                  <w:r>
                    <w:rPr>
                      <w:rFonts w:hint="eastAsia" w:cs="Times New Roman"/>
                      <w:color w:val="auto"/>
                      <w:lang w:val="en-US" w:eastAsia="zh-CN"/>
                    </w:rPr>
                    <w:t>0.2</w:t>
                  </w:r>
                </w:p>
              </w:tc>
            </w:tr>
            <w:tr w14:paraId="344F48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624D4749">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13</w:t>
                  </w:r>
                </w:p>
              </w:tc>
              <w:tc>
                <w:tcPr>
                  <w:tcW w:w="1456" w:type="pct"/>
                  <w:noWrap w:val="0"/>
                  <w:vAlign w:val="center"/>
                </w:tcPr>
                <w:p w14:paraId="6D9E94A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六价铬</w:t>
                  </w:r>
                </w:p>
              </w:tc>
              <w:tc>
                <w:tcPr>
                  <w:tcW w:w="1459" w:type="pct"/>
                  <w:noWrap w:val="0"/>
                  <w:vAlign w:val="center"/>
                </w:tcPr>
                <w:p w14:paraId="114DE79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≤0.05</w:t>
                  </w:r>
                </w:p>
              </w:tc>
              <w:tc>
                <w:tcPr>
                  <w:tcW w:w="1459" w:type="pct"/>
                  <w:noWrap w:val="0"/>
                  <w:vAlign w:val="center"/>
                </w:tcPr>
                <w:p w14:paraId="23DBE2CC">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14:paraId="155622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60A36492">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14</w:t>
                  </w:r>
                </w:p>
              </w:tc>
              <w:tc>
                <w:tcPr>
                  <w:tcW w:w="1456" w:type="pct"/>
                  <w:noWrap w:val="0"/>
                  <w:vAlign w:val="center"/>
                </w:tcPr>
                <w:p w14:paraId="5B07B97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砷</w:t>
                  </w:r>
                </w:p>
              </w:tc>
              <w:tc>
                <w:tcPr>
                  <w:tcW w:w="1459" w:type="pct"/>
                  <w:noWrap w:val="0"/>
                  <w:vAlign w:val="center"/>
                </w:tcPr>
                <w:p w14:paraId="503FC879">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≤0.05</w:t>
                  </w:r>
                </w:p>
              </w:tc>
              <w:tc>
                <w:tcPr>
                  <w:tcW w:w="1459" w:type="pct"/>
                  <w:noWrap w:val="0"/>
                  <w:vAlign w:val="center"/>
                </w:tcPr>
                <w:p w14:paraId="3A6D227E">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14:paraId="7CEB57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71B0448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15</w:t>
                  </w:r>
                </w:p>
              </w:tc>
              <w:tc>
                <w:tcPr>
                  <w:tcW w:w="1456" w:type="pct"/>
                  <w:noWrap w:val="0"/>
                  <w:vAlign w:val="center"/>
                </w:tcPr>
                <w:p w14:paraId="41946A81">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汞</w:t>
                  </w:r>
                </w:p>
              </w:tc>
              <w:tc>
                <w:tcPr>
                  <w:tcW w:w="1459" w:type="pct"/>
                  <w:noWrap w:val="0"/>
                  <w:vAlign w:val="center"/>
                </w:tcPr>
                <w:p w14:paraId="0091F03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≤0.000</w:t>
                  </w:r>
                  <w:r>
                    <w:rPr>
                      <w:rFonts w:hint="eastAsia" w:cs="Times New Roman"/>
                      <w:color w:val="auto"/>
                    </w:rPr>
                    <w:t>05</w:t>
                  </w:r>
                </w:p>
              </w:tc>
              <w:tc>
                <w:tcPr>
                  <w:tcW w:w="1459" w:type="pct"/>
                  <w:noWrap w:val="0"/>
                  <w:vAlign w:val="center"/>
                </w:tcPr>
                <w:p w14:paraId="68EF4BA0">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≤0.0001</w:t>
                  </w:r>
                </w:p>
              </w:tc>
            </w:tr>
            <w:tr w14:paraId="45DBAE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BB448D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16</w:t>
                  </w:r>
                </w:p>
              </w:tc>
              <w:tc>
                <w:tcPr>
                  <w:tcW w:w="1456" w:type="pct"/>
                  <w:noWrap w:val="0"/>
                  <w:vAlign w:val="center"/>
                </w:tcPr>
                <w:p w14:paraId="2720E8AE">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铜</w:t>
                  </w:r>
                </w:p>
              </w:tc>
              <w:tc>
                <w:tcPr>
                  <w:tcW w:w="1459" w:type="pct"/>
                  <w:noWrap w:val="0"/>
                  <w:vAlign w:val="center"/>
                </w:tcPr>
                <w:p w14:paraId="5AE98860">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≤1.0</w:t>
                  </w:r>
                </w:p>
              </w:tc>
              <w:tc>
                <w:tcPr>
                  <w:tcW w:w="1459" w:type="pct"/>
                  <w:noWrap w:val="0"/>
                  <w:vAlign w:val="center"/>
                </w:tcPr>
                <w:p w14:paraId="0C62B715">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r>
            <w:tr w14:paraId="772AD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162CA64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17</w:t>
                  </w:r>
                </w:p>
              </w:tc>
              <w:tc>
                <w:tcPr>
                  <w:tcW w:w="1456" w:type="pct"/>
                  <w:noWrap w:val="0"/>
                  <w:vAlign w:val="center"/>
                </w:tcPr>
                <w:p w14:paraId="4816FD71">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铅</w:t>
                  </w:r>
                </w:p>
              </w:tc>
              <w:tc>
                <w:tcPr>
                  <w:tcW w:w="1459" w:type="pct"/>
                  <w:noWrap w:val="0"/>
                  <w:vAlign w:val="center"/>
                </w:tcPr>
                <w:p w14:paraId="4A3151C3">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w:t>
                  </w:r>
                  <w:r>
                    <w:rPr>
                      <w:rFonts w:hint="eastAsia" w:cs="Times New Roman"/>
                      <w:color w:val="auto"/>
                    </w:rPr>
                    <w:t>1</w:t>
                  </w:r>
                </w:p>
              </w:tc>
              <w:tc>
                <w:tcPr>
                  <w:tcW w:w="1459" w:type="pct"/>
                  <w:noWrap w:val="0"/>
                  <w:vAlign w:val="center"/>
                </w:tcPr>
                <w:p w14:paraId="60B65E96">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≤0.05</w:t>
                  </w:r>
                </w:p>
              </w:tc>
            </w:tr>
            <w:tr w14:paraId="7A589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5EB8810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18</w:t>
                  </w:r>
                </w:p>
              </w:tc>
              <w:tc>
                <w:tcPr>
                  <w:tcW w:w="1456" w:type="pct"/>
                  <w:noWrap w:val="0"/>
                  <w:vAlign w:val="center"/>
                </w:tcPr>
                <w:p w14:paraId="03AF91F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锌</w:t>
                  </w:r>
                </w:p>
              </w:tc>
              <w:tc>
                <w:tcPr>
                  <w:tcW w:w="1459" w:type="pct"/>
                  <w:noWrap w:val="0"/>
                  <w:vAlign w:val="center"/>
                </w:tcPr>
                <w:p w14:paraId="68DC3332">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≤1.0</w:t>
                  </w:r>
                </w:p>
              </w:tc>
              <w:tc>
                <w:tcPr>
                  <w:tcW w:w="1459" w:type="pct"/>
                  <w:noWrap w:val="0"/>
                  <w:vAlign w:val="center"/>
                </w:tcPr>
                <w:p w14:paraId="3C4E93E4">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≤1.0</w:t>
                  </w:r>
                </w:p>
              </w:tc>
            </w:tr>
            <w:tr w14:paraId="1BDC37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E7FC31B">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19</w:t>
                  </w:r>
                </w:p>
              </w:tc>
              <w:tc>
                <w:tcPr>
                  <w:tcW w:w="1456" w:type="pct"/>
                  <w:noWrap w:val="0"/>
                  <w:vAlign w:val="center"/>
                </w:tcPr>
                <w:p w14:paraId="6A211CD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镉</w:t>
                  </w:r>
                </w:p>
              </w:tc>
              <w:tc>
                <w:tcPr>
                  <w:tcW w:w="1459" w:type="pct"/>
                  <w:noWrap w:val="0"/>
                  <w:vAlign w:val="center"/>
                </w:tcPr>
                <w:p w14:paraId="499B2D4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≤0.005</w:t>
                  </w:r>
                </w:p>
              </w:tc>
              <w:tc>
                <w:tcPr>
                  <w:tcW w:w="1459" w:type="pct"/>
                  <w:noWrap w:val="0"/>
                  <w:vAlign w:val="center"/>
                </w:tcPr>
                <w:p w14:paraId="7C5D1502">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≤0.005</w:t>
                  </w:r>
                </w:p>
              </w:tc>
            </w:tr>
            <w:tr w14:paraId="51363D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537CF72D">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20</w:t>
                  </w:r>
                </w:p>
              </w:tc>
              <w:tc>
                <w:tcPr>
                  <w:tcW w:w="1456" w:type="pct"/>
                  <w:noWrap w:val="0"/>
                  <w:vAlign w:val="center"/>
                </w:tcPr>
                <w:p w14:paraId="3536625C">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总磷</w:t>
                  </w:r>
                </w:p>
              </w:tc>
              <w:tc>
                <w:tcPr>
                  <w:tcW w:w="1459" w:type="pct"/>
                  <w:noWrap w:val="0"/>
                  <w:vAlign w:val="center"/>
                </w:tcPr>
                <w:p w14:paraId="5FEB145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≤0.</w:t>
                  </w:r>
                  <w:r>
                    <w:rPr>
                      <w:rFonts w:hint="eastAsia" w:cs="Times New Roman"/>
                      <w:color w:val="auto"/>
                    </w:rPr>
                    <w:t>1</w:t>
                  </w:r>
                </w:p>
              </w:tc>
              <w:tc>
                <w:tcPr>
                  <w:tcW w:w="1459" w:type="pct"/>
                  <w:noWrap w:val="0"/>
                  <w:vAlign w:val="center"/>
                </w:tcPr>
                <w:p w14:paraId="0FA11056">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ascii="Times New Roman" w:hAnsi="Times New Roman" w:cs="Times New Roman"/>
                      <w:color w:val="auto"/>
                    </w:rPr>
                    <w:t>≤0.2</w:t>
                  </w:r>
                </w:p>
              </w:tc>
            </w:tr>
            <w:tr w14:paraId="6F607C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0DEC1284">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21</w:t>
                  </w:r>
                </w:p>
              </w:tc>
              <w:tc>
                <w:tcPr>
                  <w:tcW w:w="1456" w:type="pct"/>
                  <w:noWrap w:val="0"/>
                  <w:vAlign w:val="center"/>
                </w:tcPr>
                <w:p w14:paraId="30EA4156">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阴离子表面活性剂</w:t>
                  </w:r>
                </w:p>
              </w:tc>
              <w:tc>
                <w:tcPr>
                  <w:tcW w:w="1459" w:type="pct"/>
                  <w:noWrap w:val="0"/>
                  <w:vAlign w:val="center"/>
                </w:tcPr>
                <w:p w14:paraId="314AC766">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default" w:cs="Times New Roman"/>
                      <w:color w:val="auto"/>
                    </w:rPr>
                    <w:t>≤</w:t>
                  </w:r>
                  <w:r>
                    <w:rPr>
                      <w:rFonts w:hint="eastAsia" w:cs="Times New Roman"/>
                      <w:color w:val="auto"/>
                      <w:lang w:val="en-US" w:eastAsia="zh-CN"/>
                    </w:rPr>
                    <w:t>0.2</w:t>
                  </w:r>
                </w:p>
              </w:tc>
              <w:tc>
                <w:tcPr>
                  <w:tcW w:w="1459" w:type="pct"/>
                  <w:noWrap w:val="0"/>
                  <w:vAlign w:val="center"/>
                </w:tcPr>
                <w:p w14:paraId="2E1CF7F4">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default" w:cs="Times New Roman"/>
                      <w:color w:val="auto"/>
                    </w:rPr>
                    <w:t>≤</w:t>
                  </w:r>
                  <w:r>
                    <w:rPr>
                      <w:rFonts w:hint="eastAsia" w:cs="Times New Roman"/>
                      <w:color w:val="auto"/>
                      <w:lang w:val="en-US" w:eastAsia="zh-CN"/>
                    </w:rPr>
                    <w:t>0.2</w:t>
                  </w:r>
                </w:p>
              </w:tc>
            </w:tr>
            <w:tr w14:paraId="412D5D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334F2E2C">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22</w:t>
                  </w:r>
                </w:p>
              </w:tc>
              <w:tc>
                <w:tcPr>
                  <w:tcW w:w="1456" w:type="pct"/>
                  <w:noWrap w:val="0"/>
                  <w:vAlign w:val="center"/>
                </w:tcPr>
                <w:p w14:paraId="35E4D404">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氯化物（以Cl-计）</w:t>
                  </w:r>
                </w:p>
              </w:tc>
              <w:tc>
                <w:tcPr>
                  <w:tcW w:w="1459" w:type="pct"/>
                  <w:noWrap w:val="0"/>
                  <w:vAlign w:val="center"/>
                </w:tcPr>
                <w:p w14:paraId="254B5D3D">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250</w:t>
                  </w:r>
                </w:p>
              </w:tc>
              <w:tc>
                <w:tcPr>
                  <w:tcW w:w="1459" w:type="pct"/>
                  <w:noWrap w:val="0"/>
                  <w:vAlign w:val="center"/>
                </w:tcPr>
                <w:p w14:paraId="3E3DE0CF">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eastAsia" w:cs="Times New Roman"/>
                      <w:color w:val="auto"/>
                      <w:lang w:val="en-US" w:eastAsia="zh-CN"/>
                    </w:rPr>
                    <w:t>250</w:t>
                  </w:r>
                </w:p>
              </w:tc>
            </w:tr>
            <w:tr w14:paraId="6D5BC2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51435D0F">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23</w:t>
                  </w:r>
                </w:p>
              </w:tc>
              <w:tc>
                <w:tcPr>
                  <w:tcW w:w="1456" w:type="pct"/>
                  <w:noWrap w:val="0"/>
                  <w:vAlign w:val="center"/>
                </w:tcPr>
                <w:p w14:paraId="1D9A8A0A">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硫酸盐</w:t>
                  </w:r>
                </w:p>
              </w:tc>
              <w:tc>
                <w:tcPr>
                  <w:tcW w:w="1459" w:type="pct"/>
                  <w:noWrap w:val="0"/>
                  <w:vAlign w:val="center"/>
                </w:tcPr>
                <w:p w14:paraId="37A75BD1">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250</w:t>
                  </w:r>
                </w:p>
              </w:tc>
              <w:tc>
                <w:tcPr>
                  <w:tcW w:w="1459" w:type="pct"/>
                  <w:noWrap w:val="0"/>
                  <w:vAlign w:val="center"/>
                </w:tcPr>
                <w:p w14:paraId="6AA8FA8E">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eastAsia" w:cs="Times New Roman"/>
                      <w:color w:val="auto"/>
                      <w:lang w:val="en-US" w:eastAsia="zh-CN"/>
                    </w:rPr>
                    <w:t>250</w:t>
                  </w:r>
                </w:p>
              </w:tc>
            </w:tr>
            <w:tr w14:paraId="6D9324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69F9902A">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24</w:t>
                  </w:r>
                </w:p>
              </w:tc>
              <w:tc>
                <w:tcPr>
                  <w:tcW w:w="1456" w:type="pct"/>
                  <w:noWrap w:val="0"/>
                  <w:vAlign w:val="center"/>
                </w:tcPr>
                <w:p w14:paraId="13CCA232">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铁</w:t>
                  </w:r>
                </w:p>
              </w:tc>
              <w:tc>
                <w:tcPr>
                  <w:tcW w:w="1459" w:type="pct"/>
                  <w:noWrap w:val="0"/>
                  <w:vAlign w:val="center"/>
                </w:tcPr>
                <w:p w14:paraId="4B29519E">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0.3</w:t>
                  </w:r>
                </w:p>
              </w:tc>
              <w:tc>
                <w:tcPr>
                  <w:tcW w:w="1459" w:type="pct"/>
                  <w:noWrap w:val="0"/>
                  <w:vAlign w:val="center"/>
                </w:tcPr>
                <w:p w14:paraId="54C35E99">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eastAsia" w:cs="Times New Roman"/>
                      <w:color w:val="auto"/>
                      <w:lang w:val="en-US" w:eastAsia="zh-CN"/>
                    </w:rPr>
                    <w:t>0.3</w:t>
                  </w:r>
                </w:p>
              </w:tc>
            </w:tr>
            <w:tr w14:paraId="4D72F3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09D68688">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25</w:t>
                  </w:r>
                </w:p>
              </w:tc>
              <w:tc>
                <w:tcPr>
                  <w:tcW w:w="1456" w:type="pct"/>
                  <w:noWrap w:val="0"/>
                  <w:vAlign w:val="center"/>
                </w:tcPr>
                <w:p w14:paraId="211ECC38">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锰</w:t>
                  </w:r>
                </w:p>
              </w:tc>
              <w:tc>
                <w:tcPr>
                  <w:tcW w:w="1459" w:type="pct"/>
                  <w:noWrap w:val="0"/>
                  <w:vAlign w:val="center"/>
                </w:tcPr>
                <w:p w14:paraId="25F5F2A1">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0.1</w:t>
                  </w:r>
                </w:p>
              </w:tc>
              <w:tc>
                <w:tcPr>
                  <w:tcW w:w="1459" w:type="pct"/>
                  <w:noWrap w:val="0"/>
                  <w:vAlign w:val="center"/>
                </w:tcPr>
                <w:p w14:paraId="3E15A187">
                  <w:pPr>
                    <w:pStyle w:val="33"/>
                    <w:keepNext w:val="0"/>
                    <w:keepLines w:val="0"/>
                    <w:suppressLineNumbers w:val="0"/>
                    <w:bidi w:val="0"/>
                    <w:spacing w:beforeAutospacing="0" w:afterAutospacing="0"/>
                    <w:ind w:left="0" w:right="0"/>
                    <w:rPr>
                      <w:rFonts w:hint="default" w:ascii="Times New Roman" w:hAnsi="Times New Roman" w:cs="Times New Roman"/>
                      <w:color w:val="auto"/>
                    </w:rPr>
                  </w:pPr>
                  <w:r>
                    <w:rPr>
                      <w:rFonts w:hint="eastAsia" w:cs="Times New Roman"/>
                      <w:color w:val="auto"/>
                      <w:lang w:val="en-US" w:eastAsia="zh-CN"/>
                    </w:rPr>
                    <w:t>0.1</w:t>
                  </w:r>
                </w:p>
              </w:tc>
            </w:tr>
            <w:tr w14:paraId="5C19DC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jc w:val="center"/>
              </w:trPr>
              <w:tc>
                <w:tcPr>
                  <w:tcW w:w="625" w:type="pct"/>
                  <w:noWrap w:val="0"/>
                  <w:vAlign w:val="center"/>
                </w:tcPr>
                <w:p w14:paraId="59B8EA6D">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26</w:t>
                  </w:r>
                </w:p>
              </w:tc>
              <w:tc>
                <w:tcPr>
                  <w:tcW w:w="1456" w:type="pct"/>
                  <w:noWrap w:val="0"/>
                  <w:vAlign w:val="center"/>
                </w:tcPr>
                <w:p w14:paraId="0006239E">
                  <w:pPr>
                    <w:pStyle w:val="33"/>
                    <w:keepNext w:val="0"/>
                    <w:keepLines w:val="0"/>
                    <w:suppressLineNumbers w:val="0"/>
                    <w:bidi w:val="0"/>
                    <w:spacing w:beforeAutospacing="0" w:afterAutospacing="0"/>
                    <w:ind w:left="0" w:right="0"/>
                    <w:rPr>
                      <w:rFonts w:hint="default" w:cs="Times New Roman"/>
                      <w:color w:val="auto"/>
                    </w:rPr>
                  </w:pPr>
                  <w:r>
                    <w:rPr>
                      <w:rFonts w:hint="default" w:cs="Times New Roman"/>
                      <w:color w:val="auto"/>
                    </w:rPr>
                    <w:t>硒</w:t>
                  </w:r>
                </w:p>
              </w:tc>
              <w:tc>
                <w:tcPr>
                  <w:tcW w:w="1459" w:type="pct"/>
                  <w:noWrap w:val="0"/>
                  <w:vAlign w:val="center"/>
                </w:tcPr>
                <w:p w14:paraId="6E20513E">
                  <w:pPr>
                    <w:pStyle w:val="33"/>
                    <w:keepNext w:val="0"/>
                    <w:keepLines w:val="0"/>
                    <w:suppressLineNumbers w:val="0"/>
                    <w:bidi w:val="0"/>
                    <w:spacing w:beforeAutospacing="0" w:afterAutospacing="0"/>
                    <w:ind w:left="0" w:right="0"/>
                    <w:rPr>
                      <w:rFonts w:hint="default" w:eastAsia="宋体" w:cs="Times New Roman"/>
                      <w:color w:val="auto"/>
                      <w:lang w:val="en-US" w:eastAsia="zh-CN"/>
                    </w:rPr>
                  </w:pPr>
                  <w:r>
                    <w:rPr>
                      <w:rFonts w:hint="eastAsia" w:cs="Times New Roman"/>
                      <w:color w:val="auto"/>
                      <w:lang w:val="en-US" w:eastAsia="zh-CN"/>
                    </w:rPr>
                    <w:t>0.01</w:t>
                  </w:r>
                </w:p>
              </w:tc>
              <w:tc>
                <w:tcPr>
                  <w:tcW w:w="1459" w:type="pct"/>
                  <w:noWrap w:val="0"/>
                  <w:vAlign w:val="center"/>
                </w:tcPr>
                <w:p w14:paraId="02EBA433">
                  <w:pPr>
                    <w:pStyle w:val="33"/>
                    <w:keepNext w:val="0"/>
                    <w:keepLines w:val="0"/>
                    <w:suppressLineNumbers w:val="0"/>
                    <w:bidi w:val="0"/>
                    <w:spacing w:beforeAutospacing="0" w:afterAutospacing="0"/>
                    <w:ind w:left="0" w:right="0"/>
                    <w:rPr>
                      <w:rFonts w:hint="default" w:ascii="Times New Roman" w:hAnsi="Times New Roman" w:eastAsia="宋体" w:cs="Times New Roman"/>
                      <w:color w:val="auto"/>
                      <w:lang w:val="en-US" w:eastAsia="zh-CN"/>
                    </w:rPr>
                  </w:pPr>
                  <w:r>
                    <w:rPr>
                      <w:rFonts w:hint="eastAsia" w:cs="Times New Roman"/>
                      <w:color w:val="auto"/>
                      <w:lang w:val="en-US" w:eastAsia="zh-CN"/>
                    </w:rPr>
                    <w:t>0.01</w:t>
                  </w:r>
                </w:p>
              </w:tc>
            </w:tr>
          </w:tbl>
          <w:p w14:paraId="397A9175">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1.3 </w:t>
            </w:r>
            <w:r>
              <w:rPr>
                <w:rFonts w:hint="eastAsia"/>
                <w:color w:val="auto"/>
              </w:rPr>
              <w:t>声环境质量标准</w:t>
            </w:r>
          </w:p>
          <w:p w14:paraId="08CC0E10">
            <w:pPr>
              <w:keepNext w:val="0"/>
              <w:keepLines w:val="0"/>
              <w:suppressLineNumbers w:val="0"/>
              <w:bidi w:val="0"/>
              <w:spacing w:before="0" w:beforeAutospacing="0" w:after="0" w:afterAutospacing="0"/>
              <w:ind w:left="0" w:right="0"/>
              <w:rPr>
                <w:rFonts w:hint="default" w:cs="Times New Roman"/>
                <w:color w:val="auto"/>
                <w:kern w:val="0"/>
                <w:sz w:val="24"/>
              </w:rPr>
            </w:pPr>
            <w:r>
              <w:rPr>
                <w:rFonts w:hint="eastAsia"/>
                <w:color w:val="auto"/>
                <w:lang w:val="en-US" w:eastAsia="zh-CN"/>
              </w:rPr>
              <w:t>根据</w:t>
            </w:r>
            <w:r>
              <w:rPr>
                <w:rFonts w:hint="default"/>
                <w:color w:val="auto"/>
              </w:rPr>
              <w:t>《中卫市沙坡头区城区声环境功能区调整划分方案》</w:t>
            </w:r>
            <w:r>
              <w:rPr>
                <w:rFonts w:hint="eastAsia"/>
                <w:color w:val="auto"/>
                <w:lang w:eastAsia="zh-CN"/>
              </w:rPr>
              <w:t>（</w:t>
            </w:r>
            <w:r>
              <w:rPr>
                <w:rFonts w:hint="eastAsia"/>
                <w:color w:val="auto"/>
                <w:lang w:val="en-US" w:eastAsia="zh-CN"/>
              </w:rPr>
              <w:t>2021.4.7</w:t>
            </w:r>
            <w:r>
              <w:rPr>
                <w:rFonts w:hint="eastAsia"/>
                <w:color w:val="auto"/>
                <w:lang w:eastAsia="zh-CN"/>
              </w:rPr>
              <w:t>）</w:t>
            </w:r>
            <w:r>
              <w:rPr>
                <w:rFonts w:hint="eastAsia"/>
                <w:color w:val="auto"/>
                <w:lang w:val="en-US" w:eastAsia="zh-CN"/>
              </w:rPr>
              <w:t>项目所在区域划分为乡村，未给出声环境功能区划。经现场踏勘及周边环境综合考虑，A2、A7、A28、A29、A30、A31、A32治理区位在农村地区，执行</w:t>
            </w:r>
            <w:r>
              <w:rPr>
                <w:rFonts w:hint="eastAsia" w:ascii="宋体" w:hAnsi="宋体" w:eastAsia="宋体" w:cs="宋体"/>
                <w:color w:val="auto"/>
                <w:kern w:val="0"/>
                <w:sz w:val="24"/>
                <w:szCs w:val="24"/>
                <w:lang w:val="en-US" w:eastAsia="zh-CN" w:bidi="ar"/>
              </w:rPr>
              <w:t>《声环境质量标准》</w:t>
            </w:r>
            <w:r>
              <w:rPr>
                <w:rFonts w:hint="default" w:ascii="Times New Roman" w:hAnsi="Times New Roman" w:eastAsia="宋体" w:cs="Times New Roman"/>
                <w:color w:val="auto"/>
                <w:kern w:val="0"/>
                <w:sz w:val="24"/>
                <w:szCs w:val="24"/>
                <w:lang w:val="en-US" w:eastAsia="zh-CN" w:bidi="ar"/>
              </w:rPr>
              <w:t>(GB3096-2008)</w:t>
            </w:r>
            <w:r>
              <w:rPr>
                <w:rFonts w:hint="eastAsia" w:ascii="Times New Roman" w:hAnsi="Times New Roman"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类标准</w:t>
            </w:r>
            <w:r>
              <w:rPr>
                <w:rFonts w:hint="eastAsia" w:ascii="宋体" w:hAnsi="宋体" w:cs="宋体"/>
                <w:color w:val="auto"/>
                <w:kern w:val="0"/>
                <w:sz w:val="24"/>
                <w:szCs w:val="24"/>
                <w:lang w:val="en-US" w:eastAsia="zh-CN" w:bidi="ar"/>
              </w:rPr>
              <w:t>，其余</w:t>
            </w:r>
            <w:r>
              <w:rPr>
                <w:rFonts w:hint="eastAsia"/>
                <w:color w:val="auto"/>
                <w:lang w:val="en-US" w:eastAsia="zh-CN"/>
              </w:rPr>
              <w:t>治理区位工业园区附近，</w:t>
            </w:r>
            <w:r>
              <w:rPr>
                <w:rFonts w:hint="eastAsia" w:ascii="宋体" w:hAnsi="宋体" w:eastAsia="宋体" w:cs="宋体"/>
                <w:color w:val="auto"/>
                <w:kern w:val="0"/>
                <w:sz w:val="24"/>
                <w:szCs w:val="24"/>
                <w:lang w:val="en-US" w:eastAsia="zh-CN" w:bidi="ar"/>
              </w:rPr>
              <w:t>声环境执行《声环境质量标准》</w:t>
            </w:r>
            <w:r>
              <w:rPr>
                <w:rFonts w:hint="default" w:ascii="Times New Roman" w:hAnsi="Times New Roman" w:eastAsia="宋体" w:cs="Times New Roman"/>
                <w:color w:val="auto"/>
                <w:kern w:val="0"/>
                <w:sz w:val="24"/>
                <w:szCs w:val="24"/>
                <w:lang w:val="en-US" w:eastAsia="zh-CN" w:bidi="ar"/>
              </w:rPr>
              <w:t>(GB3096-2008)2</w:t>
            </w:r>
            <w:r>
              <w:rPr>
                <w:rFonts w:hint="eastAsia" w:ascii="宋体" w:hAnsi="宋体" w:eastAsia="宋体" w:cs="宋体"/>
                <w:color w:val="auto"/>
                <w:kern w:val="0"/>
                <w:sz w:val="24"/>
                <w:szCs w:val="24"/>
                <w:lang w:val="en-US" w:eastAsia="zh-CN" w:bidi="ar"/>
              </w:rPr>
              <w:t>类标准。</w:t>
            </w:r>
          </w:p>
          <w:p w14:paraId="6F3661AF">
            <w:pPr>
              <w:keepNext w:val="0"/>
              <w:keepLines w:val="0"/>
              <w:suppressLineNumbers w:val="0"/>
              <w:kinsoku w:val="0"/>
              <w:adjustRightInd w:val="0"/>
              <w:snapToGrid w:val="0"/>
              <w:spacing w:before="0" w:beforeAutospacing="0" w:after="0" w:afterAutospacing="0"/>
              <w:ind w:left="0" w:right="0"/>
              <w:jc w:val="center"/>
              <w:rPr>
                <w:rFonts w:hint="default" w:eastAsia="黑体" w:cs="Times New Roman"/>
                <w:color w:val="auto"/>
                <w:kern w:val="0"/>
                <w:sz w:val="24"/>
                <w:lang w:bidi="ar"/>
              </w:rPr>
            </w:pPr>
            <w:r>
              <w:rPr>
                <w:rFonts w:hint="default" w:eastAsia="黑体" w:cs="Times New Roman"/>
                <w:color w:val="auto"/>
                <w:kern w:val="0"/>
                <w:sz w:val="24"/>
                <w:lang w:bidi="ar"/>
              </w:rPr>
              <w:t>表</w:t>
            </w:r>
            <w:r>
              <w:rPr>
                <w:rFonts w:hint="eastAsia" w:eastAsia="黑体" w:cs="Times New Roman"/>
                <w:color w:val="auto"/>
                <w:kern w:val="0"/>
                <w:sz w:val="24"/>
                <w:lang w:bidi="ar"/>
              </w:rPr>
              <w:t>3-</w:t>
            </w:r>
            <w:r>
              <w:rPr>
                <w:rFonts w:hint="eastAsia" w:eastAsia="黑体" w:cs="Times New Roman"/>
                <w:color w:val="auto"/>
                <w:kern w:val="0"/>
                <w:sz w:val="24"/>
                <w:lang w:val="en-US" w:eastAsia="zh-CN" w:bidi="ar"/>
              </w:rPr>
              <w:t>11</w:t>
            </w:r>
            <w:r>
              <w:rPr>
                <w:rFonts w:hint="default" w:eastAsia="黑体" w:cs="Times New Roman"/>
                <w:color w:val="auto"/>
                <w:kern w:val="0"/>
                <w:sz w:val="24"/>
                <w:lang w:bidi="ar"/>
              </w:rPr>
              <w:t xml:space="preserve">  项目声环境质量标准  单位：dB(A)</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3330"/>
              <w:gridCol w:w="2864"/>
            </w:tblGrid>
            <w:tr w14:paraId="034B5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pct"/>
                  <w:noWrap w:val="0"/>
                  <w:vAlign w:val="center"/>
                </w:tcPr>
                <w:p w14:paraId="502FAD1B">
                  <w:pPr>
                    <w:keepNext w:val="0"/>
                    <w:keepLines w:val="0"/>
                    <w:suppressLineNumbers w:val="0"/>
                    <w:adjustRightInd w:val="0"/>
                    <w:snapToGrid w:val="0"/>
                    <w:spacing w:before="0" w:beforeAutospacing="0" w:after="0" w:afterAutospacing="0"/>
                    <w:ind w:left="0" w:right="0" w:firstLine="0" w:firstLineChars="0"/>
                    <w:jc w:val="center"/>
                    <w:rPr>
                      <w:rFonts w:hint="default"/>
                      <w:b/>
                      <w:color w:val="auto"/>
                      <w:sz w:val="21"/>
                      <w:szCs w:val="21"/>
                    </w:rPr>
                  </w:pPr>
                  <w:r>
                    <w:rPr>
                      <w:rFonts w:hint="default"/>
                      <w:b/>
                      <w:color w:val="auto"/>
                      <w:sz w:val="21"/>
                      <w:szCs w:val="21"/>
                    </w:rPr>
                    <w:t>类别</w:t>
                  </w:r>
                </w:p>
              </w:tc>
              <w:tc>
                <w:tcPr>
                  <w:tcW w:w="1981" w:type="pct"/>
                  <w:noWrap w:val="0"/>
                  <w:vAlign w:val="center"/>
                </w:tcPr>
                <w:p w14:paraId="264DD0B2">
                  <w:pPr>
                    <w:keepNext w:val="0"/>
                    <w:keepLines w:val="0"/>
                    <w:suppressLineNumbers w:val="0"/>
                    <w:adjustRightInd w:val="0"/>
                    <w:snapToGrid w:val="0"/>
                    <w:spacing w:before="0" w:beforeAutospacing="0" w:after="0" w:afterAutospacing="0"/>
                    <w:ind w:left="0" w:right="0" w:firstLine="0" w:firstLineChars="0"/>
                    <w:jc w:val="center"/>
                    <w:rPr>
                      <w:rFonts w:hint="default"/>
                      <w:b/>
                      <w:color w:val="auto"/>
                      <w:sz w:val="21"/>
                      <w:szCs w:val="21"/>
                    </w:rPr>
                  </w:pPr>
                  <w:r>
                    <w:rPr>
                      <w:rFonts w:hint="default"/>
                      <w:b/>
                      <w:color w:val="auto"/>
                      <w:sz w:val="21"/>
                      <w:szCs w:val="21"/>
                    </w:rPr>
                    <w:t>昼间</w:t>
                  </w:r>
                </w:p>
              </w:tc>
              <w:tc>
                <w:tcPr>
                  <w:tcW w:w="1704" w:type="pct"/>
                  <w:noWrap w:val="0"/>
                  <w:vAlign w:val="center"/>
                </w:tcPr>
                <w:p w14:paraId="01E549F7">
                  <w:pPr>
                    <w:keepNext w:val="0"/>
                    <w:keepLines w:val="0"/>
                    <w:suppressLineNumbers w:val="0"/>
                    <w:adjustRightInd w:val="0"/>
                    <w:snapToGrid w:val="0"/>
                    <w:spacing w:before="0" w:beforeAutospacing="0" w:after="0" w:afterAutospacing="0"/>
                    <w:ind w:left="0" w:right="0" w:firstLine="0" w:firstLineChars="0"/>
                    <w:jc w:val="center"/>
                    <w:rPr>
                      <w:rFonts w:hint="default"/>
                      <w:b/>
                      <w:color w:val="auto"/>
                      <w:sz w:val="21"/>
                      <w:szCs w:val="21"/>
                    </w:rPr>
                  </w:pPr>
                  <w:r>
                    <w:rPr>
                      <w:rFonts w:hint="default"/>
                      <w:b/>
                      <w:color w:val="auto"/>
                      <w:sz w:val="21"/>
                      <w:szCs w:val="21"/>
                    </w:rPr>
                    <w:t>夜间</w:t>
                  </w:r>
                </w:p>
              </w:tc>
            </w:tr>
            <w:tr w14:paraId="086BA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pct"/>
                  <w:noWrap w:val="0"/>
                  <w:vAlign w:val="center"/>
                </w:tcPr>
                <w:p w14:paraId="29E6B5E0">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auto"/>
                      <w:sz w:val="21"/>
                      <w:szCs w:val="21"/>
                      <w:lang w:eastAsia="zh-CN"/>
                    </w:rPr>
                  </w:pPr>
                  <w:r>
                    <w:rPr>
                      <w:rFonts w:hint="default" w:ascii="宋体" w:hAnsi="宋体" w:eastAsia="宋体" w:cs="宋体"/>
                      <w:b w:val="0"/>
                      <w:bCs w:val="0"/>
                      <w:color w:val="auto"/>
                      <w:sz w:val="20"/>
                      <w:szCs w:val="20"/>
                    </w:rPr>
                    <w:t>《声环境质量标准》（</w:t>
                  </w:r>
                  <w:r>
                    <w:rPr>
                      <w:rFonts w:hint="default" w:ascii="TimesNewRomanPSMT" w:hAnsi="TimesNewRomanPSMT" w:eastAsia="TimesNewRomanPSMT" w:cs="TimesNewRomanPSMT"/>
                      <w:b w:val="0"/>
                      <w:bCs w:val="0"/>
                      <w:color w:val="auto"/>
                      <w:sz w:val="20"/>
                      <w:szCs w:val="20"/>
                    </w:rPr>
                    <w:t>GB3096-2008</w:t>
                  </w:r>
                  <w:r>
                    <w:rPr>
                      <w:rFonts w:hint="default" w:ascii="宋体" w:hAnsi="宋体" w:eastAsia="宋体" w:cs="宋体"/>
                      <w:b w:val="0"/>
                      <w:bCs w:val="0"/>
                      <w:color w:val="auto"/>
                      <w:sz w:val="20"/>
                      <w:szCs w:val="20"/>
                    </w:rPr>
                    <w:t>）</w:t>
                  </w:r>
                  <w:r>
                    <w:rPr>
                      <w:rFonts w:hint="default" w:ascii="TimesNewRomanPSMT" w:hAnsi="TimesNewRomanPSMT" w:eastAsia="TimesNewRomanPSMT" w:cs="TimesNewRomanPSMT"/>
                      <w:b w:val="0"/>
                      <w:bCs w:val="0"/>
                      <w:color w:val="auto"/>
                      <w:sz w:val="20"/>
                      <w:szCs w:val="20"/>
                    </w:rPr>
                    <w:t>1</w:t>
                  </w:r>
                  <w:r>
                    <w:rPr>
                      <w:rFonts w:hint="default" w:ascii="宋体" w:hAnsi="宋体" w:eastAsia="宋体" w:cs="宋体"/>
                      <w:b w:val="0"/>
                      <w:bCs w:val="0"/>
                      <w:color w:val="auto"/>
                      <w:sz w:val="20"/>
                      <w:szCs w:val="20"/>
                    </w:rPr>
                    <w:t>类</w:t>
                  </w:r>
                </w:p>
              </w:tc>
              <w:tc>
                <w:tcPr>
                  <w:tcW w:w="1981" w:type="pct"/>
                  <w:noWrap w:val="0"/>
                  <w:vAlign w:val="center"/>
                </w:tcPr>
                <w:p w14:paraId="4A73BBCA">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55</w:t>
                  </w:r>
                </w:p>
              </w:tc>
              <w:tc>
                <w:tcPr>
                  <w:tcW w:w="1704" w:type="pct"/>
                  <w:noWrap w:val="0"/>
                  <w:vAlign w:val="center"/>
                </w:tcPr>
                <w:p w14:paraId="4CC97E0E">
                  <w:pPr>
                    <w:keepNext w:val="0"/>
                    <w:keepLines w:val="0"/>
                    <w:suppressLineNumbers w:val="0"/>
                    <w:adjustRightInd w:val="0"/>
                    <w:snapToGrid w:val="0"/>
                    <w:spacing w:before="0" w:beforeAutospacing="0" w:after="0" w:afterAutospacing="0"/>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45</w:t>
                  </w:r>
                </w:p>
              </w:tc>
            </w:tr>
            <w:tr w14:paraId="67E56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pct"/>
                  <w:noWrap w:val="0"/>
                  <w:vAlign w:val="center"/>
                </w:tcPr>
                <w:p w14:paraId="78A1B144">
                  <w:pPr>
                    <w:keepNext w:val="0"/>
                    <w:keepLines w:val="0"/>
                    <w:suppressLineNumbers w:val="0"/>
                    <w:adjustRightInd w:val="0"/>
                    <w:snapToGrid w:val="0"/>
                    <w:spacing w:before="0" w:beforeAutospacing="0" w:after="0" w:afterAutospacing="0"/>
                    <w:ind w:left="0" w:right="0" w:firstLine="0" w:firstLineChars="0"/>
                    <w:jc w:val="center"/>
                    <w:rPr>
                      <w:rFonts w:hint="eastAsia"/>
                      <w:color w:val="auto"/>
                      <w:sz w:val="21"/>
                      <w:szCs w:val="21"/>
                      <w:lang w:val="en-US" w:eastAsia="zh-CN"/>
                    </w:rPr>
                  </w:pPr>
                  <w:r>
                    <w:rPr>
                      <w:rFonts w:hint="default" w:ascii="宋体" w:hAnsi="宋体" w:eastAsia="宋体" w:cs="宋体"/>
                      <w:b w:val="0"/>
                      <w:bCs w:val="0"/>
                      <w:color w:val="auto"/>
                      <w:sz w:val="20"/>
                      <w:szCs w:val="20"/>
                    </w:rPr>
                    <w:t>《声环境质量标准》（</w:t>
                  </w:r>
                  <w:r>
                    <w:rPr>
                      <w:rFonts w:hint="default" w:ascii="TimesNewRomanPSMT" w:hAnsi="TimesNewRomanPSMT" w:eastAsia="TimesNewRomanPSMT" w:cs="TimesNewRomanPSMT"/>
                      <w:b w:val="0"/>
                      <w:bCs w:val="0"/>
                      <w:color w:val="auto"/>
                      <w:sz w:val="20"/>
                      <w:szCs w:val="20"/>
                    </w:rPr>
                    <w:t>GB3096-2008</w:t>
                  </w:r>
                  <w:r>
                    <w:rPr>
                      <w:rFonts w:hint="default" w:ascii="宋体" w:hAnsi="宋体" w:eastAsia="宋体" w:cs="宋体"/>
                      <w:b w:val="0"/>
                      <w:bCs w:val="0"/>
                      <w:color w:val="auto"/>
                      <w:sz w:val="20"/>
                      <w:szCs w:val="20"/>
                    </w:rPr>
                    <w:t>）</w:t>
                  </w:r>
                  <w:r>
                    <w:rPr>
                      <w:rFonts w:hint="eastAsia" w:ascii="TimesNewRomanPSMT" w:hAnsi="TimesNewRomanPSMT" w:eastAsia="宋体" w:cs="TimesNewRomanPSMT"/>
                      <w:b w:val="0"/>
                      <w:bCs w:val="0"/>
                      <w:color w:val="auto"/>
                      <w:sz w:val="20"/>
                      <w:szCs w:val="20"/>
                      <w:lang w:val="en-US" w:eastAsia="zh-CN"/>
                    </w:rPr>
                    <w:t>2</w:t>
                  </w:r>
                  <w:r>
                    <w:rPr>
                      <w:rFonts w:hint="default" w:ascii="宋体" w:hAnsi="宋体" w:eastAsia="宋体" w:cs="宋体"/>
                      <w:b w:val="0"/>
                      <w:bCs w:val="0"/>
                      <w:color w:val="auto"/>
                      <w:sz w:val="20"/>
                      <w:szCs w:val="20"/>
                    </w:rPr>
                    <w:t>类</w:t>
                  </w:r>
                </w:p>
              </w:tc>
              <w:tc>
                <w:tcPr>
                  <w:tcW w:w="1981" w:type="pct"/>
                  <w:shd w:val="clear" w:color="auto" w:fill="auto"/>
                  <w:noWrap w:val="0"/>
                  <w:vAlign w:val="center"/>
                </w:tcPr>
                <w:p w14:paraId="795990AD">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60</w:t>
                  </w:r>
                </w:p>
              </w:tc>
              <w:tc>
                <w:tcPr>
                  <w:tcW w:w="1704" w:type="pct"/>
                  <w:shd w:val="clear" w:color="auto" w:fill="auto"/>
                  <w:noWrap w:val="0"/>
                  <w:vAlign w:val="center"/>
                </w:tcPr>
                <w:p w14:paraId="38244FBC">
                  <w:pPr>
                    <w:keepNext w:val="0"/>
                    <w:keepLines w:val="0"/>
                    <w:suppressLineNumbers w:val="0"/>
                    <w:adjustRightInd w:val="0"/>
                    <w:snapToGrid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50</w:t>
                  </w:r>
                </w:p>
              </w:tc>
            </w:tr>
          </w:tbl>
          <w:p w14:paraId="4251BF82">
            <w:pPr>
              <w:pStyle w:val="2"/>
              <w:keepLines w:val="0"/>
              <w:suppressLineNumbers w:val="0"/>
              <w:bidi w:val="0"/>
              <w:spacing w:before="0" w:beforeAutospacing="0" w:after="0" w:afterAutospacing="0"/>
              <w:ind w:left="0" w:right="0"/>
              <w:rPr>
                <w:rFonts w:hint="default"/>
                <w:color w:val="auto"/>
              </w:rPr>
            </w:pPr>
            <w:r>
              <w:rPr>
                <w:rFonts w:hint="default" w:ascii="Times New Roman" w:hAnsi="Times New Roman" w:eastAsia="宋体" w:cs="Times New Roman"/>
                <w:color w:val="auto"/>
                <w:kern w:val="0"/>
                <w:sz w:val="28"/>
                <w:szCs w:val="28"/>
                <w:lang w:val="en-US" w:eastAsia="zh-CN" w:bidi="ar"/>
              </w:rPr>
              <w:t>2</w:t>
            </w:r>
            <w:r>
              <w:rPr>
                <w:rFonts w:hint="eastAsia" w:ascii="黑体" w:hAnsi="宋体" w:eastAsia="黑体" w:cs="黑体"/>
                <w:color w:val="auto"/>
                <w:kern w:val="0"/>
                <w:sz w:val="28"/>
                <w:szCs w:val="28"/>
                <w:lang w:val="en-US" w:eastAsia="zh-CN" w:bidi="ar"/>
              </w:rPr>
              <w:t xml:space="preserve"> </w:t>
            </w:r>
            <w:r>
              <w:rPr>
                <w:rFonts w:hint="default" w:ascii="黑体" w:hAnsi="宋体" w:eastAsia="黑体" w:cs="黑体"/>
                <w:color w:val="auto"/>
                <w:kern w:val="0"/>
                <w:sz w:val="28"/>
                <w:szCs w:val="28"/>
                <w:lang w:val="en-US" w:eastAsia="zh-CN" w:bidi="ar"/>
              </w:rPr>
              <w:t>污染物排放标准</w:t>
            </w:r>
          </w:p>
          <w:p w14:paraId="2913E0DF">
            <w:pPr>
              <w:pStyle w:val="2"/>
              <w:keepLines w:val="0"/>
              <w:suppressLineNumbers w:val="0"/>
              <w:bidi w:val="0"/>
              <w:spacing w:before="0" w:beforeAutospacing="0" w:after="0" w:afterAutospacing="0"/>
              <w:ind w:left="0" w:right="0"/>
              <w:rPr>
                <w:rFonts w:hint="eastAsia" w:ascii="Times New Roman" w:hAnsi="Times New Roman" w:eastAsia="宋体" w:cs="Times New Roman"/>
                <w:color w:val="auto"/>
                <w:kern w:val="0"/>
                <w:sz w:val="24"/>
                <w:lang w:val="en-US" w:eastAsia="zh-CN"/>
              </w:rPr>
            </w:pPr>
            <w:r>
              <w:rPr>
                <w:rFonts w:hint="eastAsia" w:ascii="Times New Roman" w:hAnsi="Times New Roman" w:cs="Times New Roman"/>
                <w:color w:val="auto"/>
                <w:kern w:val="0"/>
                <w:sz w:val="24"/>
                <w:lang w:val="en-US" w:eastAsia="zh-CN"/>
              </w:rPr>
              <w:t xml:space="preserve">2.1 </w:t>
            </w:r>
            <w:r>
              <w:rPr>
                <w:rFonts w:hint="eastAsia" w:ascii="Times New Roman" w:hAnsi="Times New Roman" w:cs="Times New Roman"/>
                <w:color w:val="auto"/>
                <w:kern w:val="0"/>
                <w:sz w:val="24"/>
              </w:rPr>
              <w:t>噪声排放</w:t>
            </w:r>
            <w:r>
              <w:rPr>
                <w:rFonts w:hint="eastAsia" w:ascii="Times New Roman" w:hAnsi="Times New Roman" w:cs="Times New Roman"/>
                <w:color w:val="auto"/>
                <w:kern w:val="0"/>
                <w:sz w:val="24"/>
                <w:lang w:val="en-US" w:eastAsia="zh-CN"/>
              </w:rPr>
              <w:t>标准</w:t>
            </w:r>
          </w:p>
          <w:p w14:paraId="5D5F42E3">
            <w:pPr>
              <w:keepNext w:val="0"/>
              <w:keepLines w:val="0"/>
              <w:suppressLineNumbers w:val="0"/>
              <w:spacing w:before="0" w:beforeAutospacing="0" w:after="0" w:afterAutospacing="0"/>
              <w:ind w:left="0" w:right="0" w:firstLine="454"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rPr>
              <w:t>项目区噪声排放执行《建筑施工场界环境噪声排放标准》（GB12523-2011），具体见表3-</w:t>
            </w:r>
            <w:r>
              <w:rPr>
                <w:rFonts w:hint="eastAsia" w:cs="Times New Roman"/>
                <w:color w:val="auto"/>
                <w:kern w:val="0"/>
                <w:sz w:val="24"/>
                <w:lang w:val="en-US" w:eastAsia="zh-CN"/>
              </w:rPr>
              <w:t>12</w:t>
            </w:r>
            <w:r>
              <w:rPr>
                <w:rFonts w:hint="eastAsia" w:ascii="Times New Roman" w:hAnsi="Times New Roman" w:cs="Times New Roman"/>
                <w:color w:val="auto"/>
                <w:kern w:val="0"/>
                <w:sz w:val="24"/>
              </w:rPr>
              <w:t>。</w:t>
            </w:r>
          </w:p>
          <w:p w14:paraId="15709A60">
            <w:pPr>
              <w:pStyle w:val="3"/>
              <w:keepNext w:val="0"/>
              <w:keepLines w:val="0"/>
              <w:suppressLineNumbers w:val="0"/>
              <w:bidi w:val="0"/>
              <w:spacing w:before="0" w:beforeAutospacing="0" w:after="0" w:afterAutospacing="0"/>
              <w:ind w:left="0" w:right="0"/>
              <w:rPr>
                <w:rFonts w:hint="default"/>
                <w:color w:val="auto"/>
              </w:rPr>
            </w:pPr>
            <w:r>
              <w:rPr>
                <w:rFonts w:hint="default"/>
                <w:color w:val="auto"/>
              </w:rPr>
              <w:t>表3-</w:t>
            </w:r>
            <w:r>
              <w:rPr>
                <w:rFonts w:hint="eastAsia"/>
                <w:color w:val="auto"/>
                <w:lang w:val="en-US" w:eastAsia="zh-CN"/>
              </w:rPr>
              <w:t>12</w:t>
            </w:r>
            <w:r>
              <w:rPr>
                <w:rFonts w:hint="default"/>
                <w:color w:val="auto"/>
              </w:rPr>
              <w:t xml:space="preserve">  建筑施工场界环境噪声排放标准  单位</w:t>
            </w:r>
            <w:r>
              <w:rPr>
                <w:rFonts w:hint="eastAsia"/>
                <w:color w:val="auto"/>
              </w:rPr>
              <w:t>：</w:t>
            </w:r>
            <w:r>
              <w:rPr>
                <w:rFonts w:hint="default"/>
                <w:color w:val="auto"/>
              </w:rPr>
              <w:t>dB(A)</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3092"/>
              <w:gridCol w:w="3378"/>
            </w:tblGrid>
            <w:tr w14:paraId="2AEBF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0" w:type="pct"/>
                  <w:vMerge w:val="restart"/>
                  <w:tcBorders>
                    <w:top w:val="single" w:color="auto" w:sz="12" w:space="0"/>
                    <w:left w:val="single" w:color="auto" w:sz="12" w:space="0"/>
                    <w:bottom w:val="single" w:color="auto" w:sz="12" w:space="0"/>
                    <w:right w:val="single" w:color="auto" w:sz="4" w:space="0"/>
                  </w:tcBorders>
                  <w:noWrap w:val="0"/>
                  <w:vAlign w:val="center"/>
                </w:tcPr>
                <w:p w14:paraId="77F1742A">
                  <w:pPr>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施工阶段</w:t>
                  </w:r>
                </w:p>
              </w:tc>
              <w:tc>
                <w:tcPr>
                  <w:tcW w:w="3850" w:type="pct"/>
                  <w:gridSpan w:val="2"/>
                  <w:tcBorders>
                    <w:top w:val="single" w:color="auto" w:sz="12" w:space="0"/>
                    <w:left w:val="single" w:color="auto" w:sz="4" w:space="0"/>
                    <w:bottom w:val="single" w:color="auto" w:sz="4" w:space="0"/>
                    <w:right w:val="single" w:color="auto" w:sz="12" w:space="0"/>
                  </w:tcBorders>
                  <w:noWrap w:val="0"/>
                  <w:vAlign w:val="center"/>
                </w:tcPr>
                <w:p w14:paraId="61C82DF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噪声限值〔</w:t>
                  </w:r>
                  <w:r>
                    <w:rPr>
                      <w:rFonts w:hint="default" w:ascii="Times New Roman" w:hAnsi="Times New Roman" w:cs="Times New Roman"/>
                      <w:b/>
                      <w:color w:val="auto"/>
                      <w:sz w:val="21"/>
                      <w:szCs w:val="21"/>
                    </w:rPr>
                    <w:t>dB(A)</w:t>
                  </w:r>
                  <w:r>
                    <w:rPr>
                      <w:rFonts w:hint="eastAsia" w:ascii="Times New Roman" w:hAnsi="Times New Roman" w:cs="Times New Roman"/>
                      <w:b/>
                      <w:color w:val="auto"/>
                      <w:sz w:val="21"/>
                      <w:szCs w:val="21"/>
                    </w:rPr>
                    <w:t>〕</w:t>
                  </w:r>
                </w:p>
              </w:tc>
            </w:tr>
            <w:tr w14:paraId="010F6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0" w:type="pct"/>
                  <w:vMerge w:val="continue"/>
                  <w:tcBorders>
                    <w:top w:val="single" w:color="auto" w:sz="12" w:space="0"/>
                    <w:left w:val="single" w:color="auto" w:sz="12" w:space="0"/>
                    <w:bottom w:val="single" w:color="auto" w:sz="12" w:space="0"/>
                    <w:right w:val="single" w:color="auto" w:sz="4" w:space="0"/>
                  </w:tcBorders>
                  <w:noWrap w:val="0"/>
                  <w:vAlign w:val="center"/>
                </w:tcPr>
                <w:p w14:paraId="592904F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sz w:val="21"/>
                      <w:szCs w:val="21"/>
                    </w:rPr>
                  </w:pPr>
                </w:p>
              </w:tc>
              <w:tc>
                <w:tcPr>
                  <w:tcW w:w="1840" w:type="pct"/>
                  <w:tcBorders>
                    <w:top w:val="single" w:color="auto" w:sz="4" w:space="0"/>
                    <w:left w:val="single" w:color="auto" w:sz="4" w:space="0"/>
                    <w:bottom w:val="single" w:color="auto" w:sz="12" w:space="0"/>
                    <w:right w:val="single" w:color="auto" w:sz="4" w:space="0"/>
                  </w:tcBorders>
                  <w:noWrap w:val="0"/>
                  <w:vAlign w:val="center"/>
                </w:tcPr>
                <w:p w14:paraId="5CD15E32">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昼间</w:t>
                  </w:r>
                  <w:r>
                    <w:rPr>
                      <w:rFonts w:hint="default" w:ascii="Times New Roman" w:hAnsi="Times New Roman" w:cs="Times New Roman"/>
                      <w:color w:val="auto"/>
                      <w:sz w:val="21"/>
                      <w:szCs w:val="21"/>
                    </w:rPr>
                    <w:t>7</w:t>
                  </w:r>
                  <w:r>
                    <w:rPr>
                      <w:rFonts w:hint="eastAsia" w:ascii="Times New Roman" w:hAnsi="Times New Roman" w:cs="Times New Roman"/>
                      <w:color w:val="auto"/>
                      <w:sz w:val="21"/>
                      <w:szCs w:val="21"/>
                    </w:rPr>
                    <w:t>0</w:t>
                  </w:r>
                </w:p>
              </w:tc>
              <w:tc>
                <w:tcPr>
                  <w:tcW w:w="2011" w:type="pct"/>
                  <w:tcBorders>
                    <w:top w:val="single" w:color="auto" w:sz="4" w:space="0"/>
                    <w:left w:val="single" w:color="auto" w:sz="4" w:space="0"/>
                    <w:bottom w:val="single" w:color="auto" w:sz="12" w:space="0"/>
                    <w:right w:val="single" w:color="auto" w:sz="12" w:space="0"/>
                  </w:tcBorders>
                  <w:noWrap w:val="0"/>
                  <w:vAlign w:val="center"/>
                </w:tcPr>
                <w:p w14:paraId="7ED79E4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夜间</w:t>
                  </w:r>
                  <w:r>
                    <w:rPr>
                      <w:rFonts w:hint="default" w:ascii="Times New Roman" w:hAnsi="Times New Roman" w:cs="Times New Roman"/>
                      <w:color w:val="auto"/>
                      <w:sz w:val="21"/>
                      <w:szCs w:val="21"/>
                    </w:rPr>
                    <w:t>55</w:t>
                  </w:r>
                </w:p>
              </w:tc>
            </w:tr>
          </w:tbl>
          <w:p w14:paraId="6B467EE2">
            <w:pPr>
              <w:pStyle w:val="2"/>
              <w:keepLines w:val="0"/>
              <w:suppressLineNumbers w:val="0"/>
              <w:bidi w:val="0"/>
              <w:spacing w:before="0" w:beforeAutospacing="0" w:after="0" w:afterAutospacing="0"/>
              <w:ind w:left="0" w:right="0"/>
              <w:rPr>
                <w:rFonts w:hint="default" w:cs="Times New Roman"/>
                <w:color w:val="auto"/>
                <w:sz w:val="24"/>
                <w:szCs w:val="24"/>
                <w:lang w:val="en-US" w:eastAsia="zh-CN"/>
              </w:rPr>
            </w:pPr>
            <w:r>
              <w:rPr>
                <w:rFonts w:hint="eastAsia" w:cs="Times New Roman"/>
                <w:color w:val="auto"/>
                <w:sz w:val="24"/>
                <w:szCs w:val="24"/>
                <w:lang w:val="en-US" w:eastAsia="zh-CN"/>
              </w:rPr>
              <w:t>2.2 大气</w:t>
            </w:r>
            <w:r>
              <w:rPr>
                <w:rFonts w:hint="eastAsia" w:ascii="Times New Roman" w:hAnsi="Times New Roman" w:cs="Times New Roman"/>
                <w:color w:val="auto"/>
                <w:kern w:val="0"/>
                <w:sz w:val="24"/>
              </w:rPr>
              <w:t>排放</w:t>
            </w:r>
            <w:r>
              <w:rPr>
                <w:rFonts w:hint="eastAsia" w:ascii="Times New Roman" w:hAnsi="Times New Roman" w:cs="Times New Roman"/>
                <w:color w:val="auto"/>
                <w:kern w:val="0"/>
                <w:sz w:val="24"/>
                <w:lang w:val="en-US" w:eastAsia="zh-CN"/>
              </w:rPr>
              <w:t>标准</w:t>
            </w:r>
          </w:p>
          <w:p w14:paraId="177F61C6">
            <w:pPr>
              <w:keepNext w:val="0"/>
              <w:keepLines w:val="0"/>
              <w:suppressLineNumbers w:val="0"/>
              <w:spacing w:before="226" w:beforeLines="50" w:beforeAutospacing="0" w:after="0" w:afterAutospacing="0"/>
              <w:ind w:left="0" w:right="0" w:firstLine="454" w:firstLineChars="200"/>
              <w:rPr>
                <w:rFonts w:hint="default" w:ascii="Times New Roman" w:hAnsi="Times New Roman" w:cs="Times New Roman"/>
                <w:bCs/>
                <w:color w:val="auto"/>
                <w:sz w:val="24"/>
                <w:lang w:bidi="ar"/>
              </w:rPr>
            </w:pPr>
            <w:r>
              <w:rPr>
                <w:rFonts w:hint="eastAsia" w:cs="Times New Roman"/>
                <w:color w:val="auto"/>
                <w:sz w:val="24"/>
                <w:szCs w:val="24"/>
                <w:lang w:val="en-US" w:eastAsia="zh-CN"/>
              </w:rPr>
              <w:t>施工期</w:t>
            </w:r>
            <w:r>
              <w:rPr>
                <w:rFonts w:hint="eastAsia" w:ascii="Times New Roman" w:hAnsi="Times New Roman" w:cs="Times New Roman"/>
                <w:color w:val="auto"/>
                <w:kern w:val="0"/>
                <w:sz w:val="24"/>
              </w:rPr>
              <w:t>项目区大气污染物排放执行《大气污染物综合排放标准》（GB16297-1996）表2二级标准限值，具体见表3-</w:t>
            </w:r>
            <w:r>
              <w:rPr>
                <w:rFonts w:hint="eastAsia" w:cs="Times New Roman"/>
                <w:color w:val="auto"/>
                <w:kern w:val="0"/>
                <w:sz w:val="24"/>
                <w:lang w:val="en-US" w:eastAsia="zh-CN"/>
              </w:rPr>
              <w:t>13</w:t>
            </w:r>
            <w:r>
              <w:rPr>
                <w:rFonts w:hint="eastAsia" w:ascii="Times New Roman" w:hAnsi="Times New Roman" w:cs="Times New Roman"/>
                <w:color w:val="auto"/>
                <w:kern w:val="0"/>
                <w:sz w:val="24"/>
              </w:rPr>
              <w:t>。</w:t>
            </w:r>
          </w:p>
          <w:p w14:paraId="2C4C6A90">
            <w:pPr>
              <w:keepNext w:val="0"/>
              <w:keepLines w:val="0"/>
              <w:suppressLineNumbers w:val="0"/>
              <w:kinsoku w:val="0"/>
              <w:spacing w:before="0" w:beforeAutospacing="0" w:after="0" w:afterAutospacing="0"/>
              <w:ind w:left="0" w:right="0"/>
              <w:jc w:val="center"/>
              <w:rPr>
                <w:rFonts w:hint="eastAsia" w:ascii="Times New Roman" w:hAnsi="Times New Roman" w:cs="Times New Roman"/>
                <w:color w:val="auto"/>
              </w:rPr>
            </w:pPr>
            <w:r>
              <w:rPr>
                <w:rFonts w:hint="default" w:ascii="Times New Roman" w:hAnsi="Times New Roman" w:eastAsia="黑体" w:cs="Times New Roman"/>
                <w:bCs/>
                <w:color w:val="auto"/>
                <w:sz w:val="24"/>
                <w:lang w:bidi="ar"/>
              </w:rPr>
              <w:t>表3-</w:t>
            </w:r>
            <w:r>
              <w:rPr>
                <w:rFonts w:hint="eastAsia" w:eastAsia="黑体" w:cs="Times New Roman"/>
                <w:bCs/>
                <w:color w:val="auto"/>
                <w:sz w:val="24"/>
                <w:lang w:val="en-US" w:eastAsia="zh-CN" w:bidi="ar"/>
              </w:rPr>
              <w:t>13</w:t>
            </w:r>
            <w:r>
              <w:rPr>
                <w:rFonts w:hint="default" w:ascii="Times New Roman" w:hAnsi="Times New Roman" w:eastAsia="黑体" w:cs="Times New Roman"/>
                <w:bCs/>
                <w:color w:val="auto"/>
                <w:sz w:val="24"/>
                <w:lang w:bidi="ar"/>
              </w:rPr>
              <w:t xml:space="preserve">  大气污染物综合排放标准  单位</w:t>
            </w:r>
            <w:r>
              <w:rPr>
                <w:rFonts w:hint="eastAsia" w:ascii="Times New Roman" w:hAnsi="Times New Roman" w:eastAsia="黑体" w:cs="Times New Roman"/>
                <w:bCs/>
                <w:color w:val="auto"/>
                <w:sz w:val="24"/>
                <w:lang w:bidi="ar"/>
              </w:rPr>
              <w:t>：</w:t>
            </w:r>
            <w:r>
              <w:rPr>
                <w:rFonts w:hint="default" w:ascii="Times New Roman" w:hAnsi="Times New Roman" w:eastAsia="黑体" w:cs="Times New Roman"/>
                <w:bCs/>
                <w:color w:val="auto"/>
                <w:sz w:val="24"/>
                <w:lang w:bidi="ar"/>
              </w:rPr>
              <w:t>dB(A)</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Layout w:type="fixed"/>
              <w:tblCellMar>
                <w:top w:w="0" w:type="dxa"/>
                <w:left w:w="108" w:type="dxa"/>
                <w:bottom w:w="0" w:type="dxa"/>
                <w:right w:w="108" w:type="dxa"/>
              </w:tblCellMar>
            </w:tblPr>
            <w:tblGrid>
              <w:gridCol w:w="1884"/>
              <w:gridCol w:w="3370"/>
              <w:gridCol w:w="3149"/>
            </w:tblGrid>
            <w:tr w14:paraId="734D66CA">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restart"/>
                  <w:noWrap w:val="0"/>
                  <w:vAlign w:val="center"/>
                </w:tcPr>
                <w:p w14:paraId="15283B0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b/>
                      <w:color w:val="auto"/>
                      <w:sz w:val="21"/>
                      <w:szCs w:val="21"/>
                    </w:rPr>
                  </w:pPr>
                  <w:r>
                    <w:rPr>
                      <w:rFonts w:hint="eastAsia" w:ascii="Times New Roman" w:hAnsi="宋体" w:cs="Times New Roman"/>
                      <w:b/>
                      <w:color w:val="auto"/>
                      <w:sz w:val="21"/>
                      <w:szCs w:val="21"/>
                    </w:rPr>
                    <w:t>污染物</w:t>
                  </w:r>
                </w:p>
              </w:tc>
              <w:tc>
                <w:tcPr>
                  <w:tcW w:w="3879" w:type="pct"/>
                  <w:gridSpan w:val="2"/>
                  <w:noWrap w:val="0"/>
                  <w:vAlign w:val="center"/>
                </w:tcPr>
                <w:p w14:paraId="005415C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b/>
                      <w:color w:val="auto"/>
                      <w:sz w:val="21"/>
                      <w:szCs w:val="21"/>
                    </w:rPr>
                  </w:pPr>
                  <w:r>
                    <w:rPr>
                      <w:rFonts w:hint="eastAsia" w:ascii="Times New Roman" w:hAnsi="宋体" w:cs="Times New Roman"/>
                      <w:b/>
                      <w:color w:val="auto"/>
                      <w:sz w:val="21"/>
                      <w:szCs w:val="21"/>
                    </w:rPr>
                    <w:t>无组织排放监控浓度限值</w:t>
                  </w:r>
                </w:p>
              </w:tc>
            </w:tr>
            <w:tr w14:paraId="39BA2982">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vMerge w:val="continue"/>
                  <w:noWrap w:val="0"/>
                  <w:vAlign w:val="center"/>
                </w:tcPr>
                <w:p w14:paraId="3C9DD1EB">
                  <w:pPr>
                    <w:keepNext w:val="0"/>
                    <w:keepLines w:val="0"/>
                    <w:widowControl/>
                    <w:suppressLineNumbers w:val="0"/>
                    <w:adjustRightInd w:val="0"/>
                    <w:snapToGrid w:val="0"/>
                    <w:spacing w:before="0" w:beforeAutospacing="0" w:after="0" w:afterAutospacing="0"/>
                    <w:ind w:left="0" w:right="0" w:firstLine="0" w:firstLineChars="0"/>
                    <w:jc w:val="left"/>
                    <w:rPr>
                      <w:rFonts w:hint="default" w:ascii="Times New Roman" w:hAnsi="宋体" w:cs="Times New Roman"/>
                      <w:b/>
                      <w:color w:val="auto"/>
                      <w:sz w:val="21"/>
                      <w:szCs w:val="21"/>
                    </w:rPr>
                  </w:pPr>
                </w:p>
              </w:tc>
              <w:tc>
                <w:tcPr>
                  <w:tcW w:w="2005" w:type="pct"/>
                  <w:noWrap w:val="0"/>
                  <w:vAlign w:val="center"/>
                </w:tcPr>
                <w:p w14:paraId="437976B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b/>
                      <w:color w:val="auto"/>
                      <w:sz w:val="21"/>
                      <w:szCs w:val="21"/>
                    </w:rPr>
                  </w:pPr>
                  <w:r>
                    <w:rPr>
                      <w:rFonts w:hint="eastAsia" w:ascii="Times New Roman" w:hAnsi="宋体" w:cs="Times New Roman"/>
                      <w:b/>
                      <w:color w:val="auto"/>
                      <w:sz w:val="21"/>
                      <w:szCs w:val="21"/>
                    </w:rPr>
                    <w:t>监控点</w:t>
                  </w:r>
                </w:p>
              </w:tc>
              <w:tc>
                <w:tcPr>
                  <w:tcW w:w="1873" w:type="pct"/>
                  <w:noWrap w:val="0"/>
                  <w:vAlign w:val="center"/>
                </w:tcPr>
                <w:p w14:paraId="2276F83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b/>
                      <w:color w:val="auto"/>
                      <w:sz w:val="21"/>
                      <w:szCs w:val="21"/>
                    </w:rPr>
                  </w:pPr>
                  <w:r>
                    <w:rPr>
                      <w:rFonts w:hint="eastAsia" w:ascii="Times New Roman" w:hAnsi="宋体" w:cs="Times New Roman"/>
                      <w:b/>
                      <w:color w:val="auto"/>
                      <w:sz w:val="21"/>
                      <w:szCs w:val="21"/>
                    </w:rPr>
                    <w:t>浓度（</w:t>
                  </w:r>
                  <w:r>
                    <w:rPr>
                      <w:rFonts w:hint="default" w:ascii="Times New Roman" w:hAnsi="宋体" w:cs="Times New Roman"/>
                      <w:b/>
                      <w:color w:val="auto"/>
                      <w:sz w:val="21"/>
                      <w:szCs w:val="21"/>
                    </w:rPr>
                    <w:t>mg/m</w:t>
                  </w:r>
                  <w:r>
                    <w:rPr>
                      <w:rFonts w:hint="default" w:ascii="Times New Roman" w:hAnsi="宋体" w:cs="Times New Roman"/>
                      <w:b/>
                      <w:color w:val="auto"/>
                      <w:sz w:val="21"/>
                      <w:szCs w:val="21"/>
                      <w:vertAlign w:val="superscript"/>
                    </w:rPr>
                    <w:t>3</w:t>
                  </w:r>
                  <w:r>
                    <w:rPr>
                      <w:rFonts w:hint="eastAsia" w:ascii="Times New Roman" w:hAnsi="宋体" w:cs="Times New Roman"/>
                      <w:b/>
                      <w:color w:val="auto"/>
                      <w:sz w:val="21"/>
                      <w:szCs w:val="21"/>
                    </w:rPr>
                    <w:t>）</w:t>
                  </w:r>
                </w:p>
              </w:tc>
            </w:tr>
            <w:tr w14:paraId="10A84F06">
              <w:tblPrEx>
                <w:tblBorders>
                  <w:top w:val="single" w:color="auto" w:sz="12" w:space="0"/>
                  <w:left w:val="single" w:color="auto" w:sz="12" w:space="0"/>
                  <w:bottom w:val="single" w:color="auto" w:sz="12" w:space="0"/>
                  <w:right w:val="single" w:color="auto" w:sz="12" w:space="0"/>
                  <w:insideH w:val="single" w:color="auto" w:sz="4" w:space="0"/>
                  <w:insideV w:val="single" w:color="auto" w:sz="6" w:space="0"/>
                </w:tblBorders>
                <w:tblCellMar>
                  <w:top w:w="0" w:type="dxa"/>
                  <w:left w:w="108" w:type="dxa"/>
                  <w:bottom w:w="0" w:type="dxa"/>
                  <w:right w:w="108" w:type="dxa"/>
                </w:tblCellMar>
              </w:tblPrEx>
              <w:trPr>
                <w:trHeight w:val="340" w:hRule="atLeast"/>
                <w:jc w:val="center"/>
              </w:trPr>
              <w:tc>
                <w:tcPr>
                  <w:tcW w:w="1120" w:type="pct"/>
                  <w:noWrap w:val="0"/>
                  <w:vAlign w:val="center"/>
                </w:tcPr>
                <w:p w14:paraId="600720B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color w:val="auto"/>
                      <w:sz w:val="21"/>
                      <w:szCs w:val="21"/>
                    </w:rPr>
                  </w:pPr>
                  <w:r>
                    <w:rPr>
                      <w:rFonts w:hint="eastAsia" w:ascii="Times New Roman" w:hAnsi="宋体" w:cs="Times New Roman"/>
                      <w:color w:val="auto"/>
                      <w:sz w:val="21"/>
                      <w:szCs w:val="21"/>
                    </w:rPr>
                    <w:t>颗粒物</w:t>
                  </w:r>
                </w:p>
              </w:tc>
              <w:tc>
                <w:tcPr>
                  <w:tcW w:w="2005" w:type="pct"/>
                  <w:noWrap w:val="0"/>
                  <w:vAlign w:val="center"/>
                </w:tcPr>
                <w:p w14:paraId="6745DB9A">
                  <w:pPr>
                    <w:keepNext w:val="0"/>
                    <w:keepLines w:val="0"/>
                    <w:widowControl/>
                    <w:suppressLineNumbers w:val="0"/>
                    <w:adjustRightInd w:val="0"/>
                    <w:snapToGrid w:val="0"/>
                    <w:spacing w:before="0" w:beforeAutospacing="0" w:after="0" w:afterAutospacing="0"/>
                    <w:ind w:left="0" w:right="0" w:firstLine="0" w:firstLineChars="0"/>
                    <w:jc w:val="center"/>
                    <w:rPr>
                      <w:rFonts w:hint="default" w:ascii="Times New Roman" w:hAnsi="宋体" w:cs="Times New Roman"/>
                      <w:color w:val="auto"/>
                      <w:sz w:val="21"/>
                      <w:szCs w:val="21"/>
                    </w:rPr>
                  </w:pPr>
                  <w:r>
                    <w:rPr>
                      <w:rFonts w:hint="eastAsia" w:ascii="Times New Roman" w:hAnsi="宋体" w:cs="Times New Roman"/>
                      <w:color w:val="auto"/>
                      <w:sz w:val="21"/>
                      <w:szCs w:val="21"/>
                    </w:rPr>
                    <w:t>周界外浓度最高点</w:t>
                  </w:r>
                </w:p>
              </w:tc>
              <w:tc>
                <w:tcPr>
                  <w:tcW w:w="1873" w:type="pct"/>
                  <w:noWrap w:val="0"/>
                  <w:vAlign w:val="center"/>
                </w:tcPr>
                <w:p w14:paraId="30A457D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宋体" w:cs="Times New Roman"/>
                      <w:color w:val="auto"/>
                      <w:sz w:val="21"/>
                      <w:szCs w:val="21"/>
                    </w:rPr>
                  </w:pPr>
                  <w:r>
                    <w:rPr>
                      <w:rFonts w:hint="default" w:ascii="Times New Roman" w:hAnsi="宋体" w:cs="Times New Roman"/>
                      <w:color w:val="auto"/>
                      <w:sz w:val="21"/>
                      <w:szCs w:val="21"/>
                    </w:rPr>
                    <w:t>1.0</w:t>
                  </w:r>
                </w:p>
              </w:tc>
            </w:tr>
          </w:tbl>
          <w:p w14:paraId="1E6FD5BF">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2.3 </w:t>
            </w:r>
            <w:r>
              <w:rPr>
                <w:rFonts w:hint="eastAsia"/>
                <w:color w:val="auto"/>
              </w:rPr>
              <w:t>固体废物</w:t>
            </w:r>
            <w:r>
              <w:rPr>
                <w:rFonts w:hint="eastAsia"/>
                <w:color w:val="auto"/>
                <w:lang w:val="en-US" w:eastAsia="zh-CN"/>
              </w:rPr>
              <w:t>排放标准</w:t>
            </w:r>
          </w:p>
          <w:p w14:paraId="204016F7">
            <w:pPr>
              <w:keepNext w:val="0"/>
              <w:keepLines w:val="0"/>
              <w:suppressLineNumbers w:val="0"/>
              <w:adjustRightInd w:val="0"/>
              <w:snapToGrid w:val="0"/>
              <w:spacing w:before="0" w:beforeAutospacing="0" w:after="0" w:afterAutospacing="0" w:line="360" w:lineRule="auto"/>
              <w:ind w:left="0" w:right="0" w:firstLine="454" w:firstLineChars="200"/>
              <w:rPr>
                <w:rFonts w:hint="eastAsia" w:cs="Times New Roman"/>
                <w:color w:val="auto"/>
                <w:kern w:val="0"/>
                <w:sz w:val="24"/>
              </w:rPr>
            </w:pPr>
            <w:r>
              <w:rPr>
                <w:rFonts w:hint="eastAsia"/>
                <w:color w:val="auto"/>
                <w:lang w:val="en-US" w:eastAsia="zh-CN"/>
              </w:rPr>
              <w:t>本项目不在厂区内对机械设备维修，不产生危废，</w:t>
            </w:r>
            <w:r>
              <w:rPr>
                <w:rFonts w:hint="default" w:ascii="Times New Roman" w:hAnsi="Times New Roman" w:cs="Times New Roman"/>
                <w:color w:val="auto"/>
                <w:kern w:val="0"/>
                <w:sz w:val="24"/>
                <w:lang w:bidi="ar"/>
              </w:rPr>
              <w:t>一般工业固体废物暂存做好防雨、防渗、防扬尘等遮挡措施，存贮参照《中华人民共和国固体废物污染环境防治法》执行。</w:t>
            </w:r>
          </w:p>
        </w:tc>
      </w:tr>
      <w:tr w14:paraId="613665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82" w:hRule="atLeast"/>
          <w:jc w:val="center"/>
        </w:trPr>
        <w:tc>
          <w:tcPr>
            <w:tcW w:w="508" w:type="dxa"/>
            <w:noWrap w:val="0"/>
            <w:vAlign w:val="center"/>
          </w:tcPr>
          <w:p w14:paraId="145BC7C7">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r>
              <w:rPr>
                <w:rFonts w:hint="eastAsia" w:cs="Times New Roman"/>
                <w:b/>
                <w:bCs/>
                <w:color w:val="auto"/>
                <w:lang w:val="en-US" w:eastAsia="zh-CN"/>
              </w:rPr>
              <w:t>其他</w:t>
            </w:r>
          </w:p>
          <w:p w14:paraId="2A2786E2">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45F32AE8">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0EE0874E">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4D97B615">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559F6D14">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5E230989">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401CA7A6">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0BB10D6D">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5B1666EA">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47C6C345">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3A88A452">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5326A7D1">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598F0879">
            <w:pPr>
              <w:keepNext w:val="0"/>
              <w:keepLines w:val="0"/>
              <w:suppressLineNumbers w:val="0"/>
              <w:bidi w:val="0"/>
              <w:spacing w:before="0" w:beforeAutospacing="0" w:after="0" w:afterAutospacing="0"/>
              <w:ind w:left="0" w:leftChars="0" w:right="0" w:firstLine="0" w:firstLineChars="0"/>
              <w:rPr>
                <w:rFonts w:hint="eastAsia" w:cs="Times New Roman"/>
                <w:b/>
                <w:bCs/>
                <w:color w:val="auto"/>
                <w:lang w:val="en-US" w:eastAsia="zh-CN"/>
              </w:rPr>
            </w:pPr>
          </w:p>
          <w:p w14:paraId="185792D4">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54621BB2">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1B256859">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40312BC8">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2A6BA31B">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56E596C0">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p w14:paraId="2836576E">
            <w:pPr>
              <w:keepNext w:val="0"/>
              <w:keepLines w:val="0"/>
              <w:suppressLineNumbers w:val="0"/>
              <w:bidi w:val="0"/>
              <w:spacing w:before="0" w:beforeAutospacing="0" w:after="0" w:afterAutospacing="0"/>
              <w:ind w:left="0" w:leftChars="0" w:right="0" w:firstLine="0" w:firstLineChars="0"/>
              <w:rPr>
                <w:rFonts w:hint="default" w:cs="Times New Roman"/>
                <w:b/>
                <w:bCs/>
                <w:color w:val="auto"/>
                <w:lang w:val="en-US" w:eastAsia="zh-CN"/>
              </w:rPr>
            </w:pPr>
          </w:p>
        </w:tc>
        <w:tc>
          <w:tcPr>
            <w:tcW w:w="8649" w:type="dxa"/>
            <w:noWrap w:val="0"/>
            <w:vAlign w:val="center"/>
          </w:tcPr>
          <w:p w14:paraId="086B134D">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sz w:val="24"/>
                <w:szCs w:val="32"/>
              </w:rPr>
            </w:pPr>
          </w:p>
          <w:p w14:paraId="17A45942">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r>
              <w:rPr>
                <w:rFonts w:hint="default" w:cs="Times New Roman"/>
                <w:color w:val="auto"/>
                <w:sz w:val="24"/>
                <w:szCs w:val="32"/>
              </w:rPr>
              <w:t>无</w:t>
            </w:r>
          </w:p>
          <w:p w14:paraId="23DDD04D">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709A8E46">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1A38B4BA">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5A12A4E2">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25FFCBB6">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2FDC25F2">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5BF48AA7">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38CFB23A">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3BC52DC7">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10FD97A8">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57497DB2">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7C8AB591">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4F5075AB">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6EC875E3">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0400B4E1">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5E60CB00">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3F57FAF8">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7A475D0E">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68DFD22A">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63700D6C">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28A620DC">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cs="Times New Roman"/>
                <w:color w:val="auto"/>
              </w:rPr>
            </w:pPr>
          </w:p>
          <w:p w14:paraId="39AA3D6B">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p w14:paraId="6C3DEF0E">
            <w:pPr>
              <w:keepNext w:val="0"/>
              <w:keepLines w:val="0"/>
              <w:suppressLineNumbers w:val="0"/>
              <w:adjustRightInd w:val="0"/>
              <w:snapToGrid w:val="0"/>
              <w:spacing w:before="0" w:beforeAutospacing="0" w:after="0" w:afterAutospacing="0" w:line="360" w:lineRule="auto"/>
              <w:ind w:left="0" w:leftChars="0" w:right="0" w:firstLine="0" w:firstLineChars="0"/>
              <w:jc w:val="both"/>
              <w:rPr>
                <w:rFonts w:hint="default" w:cs="Times New Roman"/>
                <w:color w:val="auto"/>
              </w:rPr>
            </w:pPr>
          </w:p>
        </w:tc>
      </w:tr>
    </w:tbl>
    <w:p w14:paraId="3A7017A8">
      <w:pPr>
        <w:pStyle w:val="4"/>
        <w:bidi w:val="0"/>
        <w:rPr>
          <w:rFonts w:ascii="Times New Roman" w:hAnsi="Times New Roman" w:eastAsia="黑体"/>
          <w:snapToGrid w:val="0"/>
          <w:color w:val="auto"/>
          <w:sz w:val="30"/>
          <w:szCs w:val="30"/>
        </w:rPr>
      </w:pPr>
      <w:r>
        <w:rPr>
          <w:rFonts w:ascii="Times New Roman" w:hAnsi="Times New Roman" w:eastAsia="黑体"/>
          <w:snapToGrid w:val="0"/>
          <w:color w:val="auto"/>
          <w:kern w:val="2"/>
          <w:sz w:val="36"/>
          <w:szCs w:val="36"/>
        </w:rPr>
        <w:br w:type="page"/>
      </w:r>
      <w:r>
        <w:rPr>
          <w:rFonts w:ascii="Times New Roman" w:hAnsi="Times New Roman" w:eastAsia="黑体"/>
          <w:snapToGrid w:val="0"/>
          <w:color w:val="auto"/>
          <w:sz w:val="30"/>
          <w:szCs w:val="30"/>
        </w:rPr>
        <w:t>四、生态环境影响分析</w:t>
      </w:r>
    </w:p>
    <w:tbl>
      <w:tblPr>
        <w:tblStyle w:val="26"/>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8544"/>
      </w:tblGrid>
      <w:tr w14:paraId="0BDAF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14" w:type="dxa"/>
            <w:tcBorders>
              <w:tl2br w:val="nil"/>
              <w:tr2bl w:val="nil"/>
            </w:tcBorders>
            <w:noWrap w:val="0"/>
            <w:tcMar>
              <w:left w:w="28" w:type="dxa"/>
              <w:right w:w="28" w:type="dxa"/>
            </w:tcMar>
            <w:vAlign w:val="bottom"/>
          </w:tcPr>
          <w:p w14:paraId="1264E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u w:val="none"/>
              </w:rPr>
            </w:pPr>
            <w:bookmarkStart w:id="4" w:name="_Hlk49796138"/>
            <w:r>
              <w:rPr>
                <w:rFonts w:hint="default" w:cs="Times New Roman"/>
                <w:b/>
                <w:bCs/>
                <w:color w:val="auto"/>
                <w:u w:val="none"/>
              </w:rPr>
              <w:t>施工期生态环境影响分析</w:t>
            </w:r>
            <w:bookmarkEnd w:id="4"/>
          </w:p>
        </w:tc>
        <w:tc>
          <w:tcPr>
            <w:tcW w:w="8428" w:type="dxa"/>
            <w:tcBorders>
              <w:tl2br w:val="nil"/>
              <w:tr2bl w:val="nil"/>
            </w:tcBorders>
            <w:noWrap w:val="0"/>
            <w:vAlign w:val="bottom"/>
          </w:tcPr>
          <w:p w14:paraId="3385056E">
            <w:pPr>
              <w:pStyle w:val="2"/>
              <w:keepLines w:val="0"/>
              <w:suppressLineNumbers w:val="0"/>
              <w:bidi w:val="0"/>
              <w:spacing w:before="0" w:beforeAutospacing="0" w:after="0" w:afterAutospacing="0"/>
              <w:ind w:left="0" w:right="0"/>
              <w:jc w:val="left"/>
              <w:rPr>
                <w:rFonts w:hint="eastAsia"/>
                <w:color w:val="auto"/>
                <w:u w:val="none"/>
                <w:lang w:val="en-US" w:eastAsia="zh-CN"/>
              </w:rPr>
            </w:pPr>
            <w:r>
              <w:rPr>
                <w:rFonts w:hint="eastAsia"/>
                <w:color w:val="auto"/>
                <w:u w:val="none"/>
                <w:lang w:val="en-US" w:eastAsia="zh-CN"/>
              </w:rPr>
              <w:t>1 生态环境影响分析</w:t>
            </w:r>
          </w:p>
          <w:p w14:paraId="05057128">
            <w:pPr>
              <w:pStyle w:val="2"/>
              <w:keepLines w:val="0"/>
              <w:numPr>
                <w:ilvl w:val="1"/>
                <w:numId w:val="2"/>
              </w:numPr>
              <w:suppressLineNumbers w:val="0"/>
              <w:bidi w:val="0"/>
              <w:spacing w:before="0" w:beforeAutospacing="0" w:after="0" w:afterAutospacing="0"/>
              <w:ind w:right="0"/>
              <w:jc w:val="left"/>
              <w:rPr>
                <w:rFonts w:hint="default"/>
                <w:color w:val="auto"/>
                <w:u w:val="none"/>
                <w:lang w:val="en-US" w:eastAsia="zh-CN"/>
              </w:rPr>
            </w:pPr>
            <w:r>
              <w:rPr>
                <w:rFonts w:hint="default"/>
                <w:color w:val="auto"/>
                <w:u w:val="none"/>
                <w:lang w:val="en-US" w:eastAsia="zh-CN"/>
              </w:rPr>
              <w:t>生态土地利用影响分析</w:t>
            </w:r>
          </w:p>
          <w:p w14:paraId="1BB9AF21">
            <w:pPr>
              <w:keepNext w:val="0"/>
              <w:keepLines w:val="0"/>
              <w:suppressLineNumbers w:val="0"/>
              <w:bidi w:val="0"/>
              <w:spacing w:before="0" w:beforeAutospacing="0" w:after="0" w:afterAutospacing="0" w:line="240" w:lineRule="auto"/>
              <w:ind w:left="0" w:right="0" w:firstLine="454" w:firstLineChars="200"/>
              <w:jc w:val="left"/>
              <w:rPr>
                <w:rFonts w:hint="default" w:ascii="Times New Roman" w:hAnsi="Times New Roman" w:eastAsia="宋体" w:cs="Times New Roman"/>
                <w:color w:val="auto"/>
                <w:kern w:val="2"/>
                <w:sz w:val="24"/>
                <w:szCs w:val="24"/>
                <w:u w:val="none"/>
                <w:lang w:eastAsia="zh-CN"/>
              </w:rPr>
            </w:pPr>
            <w:r>
              <w:rPr>
                <w:rFonts w:hint="default" w:ascii="Times New Roman" w:hAnsi="Times New Roman" w:eastAsia="宋体" w:cs="Times New Roman"/>
                <w:color w:val="auto"/>
                <w:kern w:val="2"/>
                <w:sz w:val="24"/>
                <w:szCs w:val="24"/>
                <w:u w:val="none"/>
                <w:lang w:eastAsia="zh-CN"/>
              </w:rPr>
              <w:t>根据沙坡头区2022年土地利用变更调查数据，项目建设地点为沙坡头区黄河北岸东园镇、镇罗镇、柔远镇、迎水桥镇，治理区损毁土地面积338.59hm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，其中耕地面积为1.39hm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，占总面积的0.42%；园林面积0.01km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，占总面积的0.003%；林地面积为19.96hm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，占总面积的6.05%；草地面积为188.66hm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，占总面积的54.57%；工矿仓储用地面积为97.44hm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，占总面积的29.53%；交通运输用地面积为1.67hm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，占总面积的0.51%；水域及水利设施用地</w:t>
            </w:r>
            <w:r>
              <w:rPr>
                <w:rFonts w:hint="eastAsia" w:cs="Times New Roman"/>
                <w:color w:val="auto"/>
                <w:kern w:val="2"/>
                <w:sz w:val="24"/>
                <w:szCs w:val="24"/>
                <w:u w:val="none"/>
                <w:lang w:eastAsia="zh-CN"/>
              </w:rPr>
              <w:t>（</w:t>
            </w:r>
            <w:r>
              <w:rPr>
                <w:rFonts w:hint="eastAsia"/>
                <w:color w:val="auto"/>
                <w:lang w:val="en-US" w:eastAsia="zh-CN"/>
              </w:rPr>
              <w:t>2个水塘及沟渠</w:t>
            </w:r>
            <w:r>
              <w:rPr>
                <w:rFonts w:hint="eastAsia" w:cs="Times New Roman"/>
                <w:color w:val="auto"/>
                <w:kern w:val="2"/>
                <w:sz w:val="24"/>
                <w:szCs w:val="24"/>
                <w:u w:val="none"/>
                <w:lang w:eastAsia="zh-CN"/>
              </w:rPr>
              <w:t>）</w:t>
            </w:r>
            <w:r>
              <w:rPr>
                <w:rFonts w:hint="default" w:ascii="Times New Roman" w:hAnsi="Times New Roman" w:eastAsia="宋体" w:cs="Times New Roman"/>
                <w:color w:val="auto"/>
                <w:kern w:val="2"/>
                <w:sz w:val="24"/>
                <w:szCs w:val="24"/>
                <w:u w:val="none"/>
                <w:lang w:eastAsia="zh-CN"/>
              </w:rPr>
              <w:t>面积为1.23hm</w:t>
            </w:r>
            <w:r>
              <w:rPr>
                <w:rFonts w:hint="default" w:ascii="Times New Roman" w:hAnsi="Times New Roman" w:eastAsia="宋体" w:cs="Times New Roman"/>
                <w:color w:val="auto"/>
                <w:kern w:val="2"/>
                <w:sz w:val="24"/>
                <w:szCs w:val="24"/>
                <w:u w:val="none"/>
                <w:vertAlign w:val="superscript"/>
                <w:lang w:eastAsia="zh-CN"/>
              </w:rPr>
              <w:t>2</w:t>
            </w:r>
            <w:r>
              <w:rPr>
                <w:rFonts w:hint="default" w:ascii="Times New Roman" w:hAnsi="Times New Roman" w:eastAsia="宋体" w:cs="Times New Roman"/>
                <w:color w:val="auto"/>
                <w:kern w:val="2"/>
                <w:sz w:val="24"/>
                <w:szCs w:val="24"/>
                <w:u w:val="none"/>
                <w:lang w:eastAsia="zh-CN"/>
              </w:rPr>
              <w:t>，占总面积的</w:t>
            </w:r>
            <w:r>
              <w:rPr>
                <w:rFonts w:hint="default" w:ascii="Times New Roman" w:hAnsi="Times New Roman" w:eastAsia="Times New Roman" w:cs="Times New Roman"/>
                <w:color w:val="auto"/>
                <w:kern w:val="2"/>
                <w:sz w:val="24"/>
                <w:szCs w:val="24"/>
                <w:u w:val="none"/>
                <w:lang w:eastAsia="zh-CN"/>
              </w:rPr>
              <w:t>0.37%</w:t>
            </w:r>
            <w:r>
              <w:rPr>
                <w:rFonts w:hint="default" w:ascii="Times New Roman" w:hAnsi="Times New Roman" w:eastAsia="宋体" w:cs="Times New Roman"/>
                <w:color w:val="auto"/>
                <w:kern w:val="2"/>
                <w:sz w:val="24"/>
                <w:szCs w:val="24"/>
                <w:u w:val="none"/>
                <w:lang w:eastAsia="zh-CN"/>
              </w:rPr>
              <w:t>；其他土地面积为</w:t>
            </w:r>
            <w:r>
              <w:rPr>
                <w:rFonts w:hint="default" w:ascii="Times New Roman" w:hAnsi="Times New Roman" w:eastAsia="Times New Roman" w:cs="Times New Roman"/>
                <w:color w:val="auto"/>
                <w:kern w:val="2"/>
                <w:sz w:val="24"/>
                <w:szCs w:val="24"/>
                <w:u w:val="none"/>
                <w:lang w:eastAsia="zh-CN"/>
              </w:rPr>
              <w:t>28.20hm</w:t>
            </w:r>
            <w:r>
              <w:rPr>
                <w:rFonts w:hint="default" w:ascii="Times New Roman" w:hAnsi="Times New Roman" w:eastAsia="Times New Roman" w:cs="Times New Roman"/>
                <w:color w:val="auto"/>
                <w:kern w:val="2"/>
                <w:position w:val="9"/>
                <w:sz w:val="16"/>
                <w:szCs w:val="16"/>
                <w:u w:val="none"/>
                <w:lang w:eastAsia="zh-CN"/>
              </w:rPr>
              <w:t>2</w:t>
            </w:r>
            <w:r>
              <w:rPr>
                <w:rFonts w:hint="default" w:ascii="Times New Roman" w:hAnsi="Times New Roman" w:eastAsia="宋体" w:cs="Times New Roman"/>
                <w:color w:val="auto"/>
                <w:kern w:val="2"/>
                <w:sz w:val="24"/>
                <w:szCs w:val="24"/>
                <w:u w:val="none"/>
                <w:lang w:eastAsia="zh-CN"/>
              </w:rPr>
              <w:t>，占总面积的</w:t>
            </w:r>
            <w:r>
              <w:rPr>
                <w:rFonts w:hint="default" w:ascii="Times New Roman" w:hAnsi="Times New Roman" w:eastAsia="Times New Roman" w:cs="Times New Roman"/>
                <w:color w:val="auto"/>
                <w:kern w:val="2"/>
                <w:sz w:val="24"/>
                <w:szCs w:val="24"/>
                <w:u w:val="none"/>
                <w:lang w:eastAsia="zh-CN"/>
              </w:rPr>
              <w:t>8.55%</w:t>
            </w:r>
            <w:r>
              <w:rPr>
                <w:rFonts w:hint="default" w:ascii="Times New Roman" w:hAnsi="Times New Roman" w:eastAsia="宋体" w:cs="Times New Roman"/>
                <w:color w:val="auto"/>
                <w:kern w:val="2"/>
                <w:sz w:val="24"/>
                <w:szCs w:val="24"/>
                <w:u w:val="none"/>
                <w:lang w:eastAsia="zh-CN"/>
              </w:rPr>
              <w:t>。</w:t>
            </w:r>
          </w:p>
          <w:p w14:paraId="429E584D">
            <w:pPr>
              <w:keepNext w:val="0"/>
              <w:keepLines w:val="0"/>
              <w:suppressLineNumbers w:val="0"/>
              <w:bidi w:val="0"/>
              <w:spacing w:before="0" w:beforeAutospacing="0" w:after="0" w:afterAutospacing="0" w:line="240" w:lineRule="auto"/>
              <w:ind w:left="0" w:right="0" w:firstLine="454" w:firstLineChars="200"/>
              <w:jc w:val="both"/>
              <w:rPr>
                <w:rFonts w:hint="default" w:ascii="Times New Roman" w:hAnsi="Times New Roman" w:eastAsia="宋体" w:cs="Times New Roman"/>
                <w:color w:val="auto"/>
                <w:kern w:val="2"/>
                <w:sz w:val="24"/>
                <w:szCs w:val="24"/>
                <w:u w:val="none"/>
                <w:lang w:val="en-US" w:eastAsia="zh-CN"/>
              </w:rPr>
            </w:pPr>
            <w:r>
              <w:rPr>
                <w:rFonts w:hint="default" w:ascii="Times New Roman" w:hAnsi="Times New Roman" w:eastAsia="宋体" w:cs="Times New Roman"/>
                <w:color w:val="auto"/>
                <w:kern w:val="2"/>
                <w:sz w:val="24"/>
                <w:szCs w:val="24"/>
                <w:u w:val="none"/>
                <w:lang w:eastAsia="zh-CN"/>
              </w:rPr>
              <w:t>治理后土地类型变化见表</w:t>
            </w:r>
            <w:r>
              <w:rPr>
                <w:rFonts w:hint="eastAsia" w:ascii="Times New Roman" w:hAnsi="Times New Roman" w:cs="Times New Roman"/>
                <w:color w:val="auto"/>
                <w:kern w:val="2"/>
                <w:sz w:val="24"/>
                <w:szCs w:val="24"/>
                <w:u w:val="none"/>
                <w:lang w:val="en-US" w:eastAsia="zh-CN"/>
              </w:rPr>
              <w:t>4-1</w:t>
            </w:r>
            <w:r>
              <w:rPr>
                <w:rFonts w:hint="default" w:ascii="Times New Roman" w:hAnsi="Times New Roman" w:eastAsia="宋体" w:cs="Times New Roman"/>
                <w:color w:val="auto"/>
                <w:kern w:val="2"/>
                <w:sz w:val="24"/>
                <w:szCs w:val="24"/>
                <w:u w:val="none"/>
                <w:lang w:eastAsia="zh-CN"/>
              </w:rPr>
              <w:t>，其中人工牧草地增加</w:t>
            </w:r>
            <w:r>
              <w:rPr>
                <w:rFonts w:hint="default" w:ascii="Times New Roman" w:hAnsi="Times New Roman" w:eastAsia="Times New Roman" w:cs="Times New Roman"/>
                <w:color w:val="auto"/>
                <w:kern w:val="2"/>
                <w:sz w:val="24"/>
                <w:szCs w:val="24"/>
                <w:u w:val="none"/>
                <w:lang w:eastAsia="zh-CN"/>
              </w:rPr>
              <w:t>304.00hm</w:t>
            </w:r>
            <w:r>
              <w:rPr>
                <w:rFonts w:hint="default" w:ascii="Times New Roman" w:hAnsi="Times New Roman" w:eastAsia="Times New Roman" w:cs="Times New Roman"/>
                <w:color w:val="auto"/>
                <w:kern w:val="2"/>
                <w:position w:val="9"/>
                <w:sz w:val="16"/>
                <w:szCs w:val="16"/>
                <w:u w:val="none"/>
                <w:lang w:eastAsia="zh-CN"/>
              </w:rPr>
              <w:t>2</w:t>
            </w:r>
            <w:r>
              <w:rPr>
                <w:rFonts w:hint="default" w:ascii="Times New Roman" w:hAnsi="Times New Roman" w:eastAsia="宋体" w:cs="Times New Roman"/>
                <w:color w:val="auto"/>
                <w:kern w:val="2"/>
                <w:sz w:val="24"/>
                <w:szCs w:val="24"/>
                <w:u w:val="none"/>
                <w:lang w:eastAsia="zh-CN"/>
              </w:rPr>
              <w:t>，水浇地增加</w:t>
            </w:r>
            <w:r>
              <w:rPr>
                <w:rFonts w:hint="default" w:ascii="Times New Roman" w:hAnsi="Times New Roman" w:eastAsia="Times New Roman" w:cs="Times New Roman"/>
                <w:color w:val="auto"/>
                <w:kern w:val="2"/>
                <w:sz w:val="24"/>
                <w:szCs w:val="24"/>
                <w:u w:val="none"/>
                <w:lang w:eastAsia="zh-CN"/>
              </w:rPr>
              <w:t>2.28hm</w:t>
            </w:r>
            <w:r>
              <w:rPr>
                <w:rFonts w:hint="default" w:ascii="Times New Roman" w:hAnsi="Times New Roman" w:eastAsia="Times New Roman" w:cs="Times New Roman"/>
                <w:color w:val="auto"/>
                <w:kern w:val="2"/>
                <w:position w:val="9"/>
                <w:sz w:val="16"/>
                <w:szCs w:val="16"/>
                <w:u w:val="none"/>
                <w:lang w:eastAsia="zh-CN"/>
              </w:rPr>
              <w:t>2</w:t>
            </w:r>
            <w:r>
              <w:rPr>
                <w:rFonts w:hint="default" w:ascii="Times New Roman" w:hAnsi="Times New Roman" w:eastAsia="宋体" w:cs="Times New Roman"/>
                <w:color w:val="auto"/>
                <w:kern w:val="2"/>
                <w:sz w:val="24"/>
                <w:szCs w:val="24"/>
                <w:u w:val="none"/>
                <w:lang w:eastAsia="zh-CN"/>
              </w:rPr>
              <w:t>，水田、果园、乔木林地、灌木林地、其他林地、公路用地、农村道路、坑</w:t>
            </w:r>
            <w:r>
              <w:rPr>
                <w:rFonts w:hint="default" w:ascii="Times New Roman" w:hAnsi="Times New Roman" w:eastAsia="宋体" w:cs="Times New Roman"/>
                <w:color w:val="auto"/>
                <w:spacing w:val="3"/>
                <w:kern w:val="2"/>
                <w:sz w:val="24"/>
                <w:szCs w:val="24"/>
                <w:u w:val="none"/>
                <w:lang w:eastAsia="zh-CN"/>
              </w:rPr>
              <w:t>塘水面、沟渠、设施农用地面积不变，天然牧草地减少</w:t>
            </w:r>
            <w:r>
              <w:rPr>
                <w:rFonts w:hint="default" w:ascii="Times New Roman" w:hAnsi="Times New Roman" w:eastAsia="Times New Roman" w:cs="Times New Roman"/>
                <w:color w:val="auto"/>
                <w:kern w:val="2"/>
                <w:sz w:val="24"/>
                <w:szCs w:val="24"/>
                <w:u w:val="none"/>
                <w:lang w:eastAsia="zh-CN"/>
              </w:rPr>
              <w:t>166.07hm</w:t>
            </w:r>
            <w:r>
              <w:rPr>
                <w:rFonts w:hint="default" w:ascii="Times New Roman" w:hAnsi="Times New Roman" w:eastAsia="Times New Roman" w:cs="Times New Roman"/>
                <w:color w:val="auto"/>
                <w:kern w:val="2"/>
                <w:position w:val="9"/>
                <w:sz w:val="16"/>
                <w:szCs w:val="16"/>
                <w:u w:val="none"/>
                <w:lang w:eastAsia="zh-CN"/>
              </w:rPr>
              <w:t>2</w:t>
            </w:r>
            <w:r>
              <w:rPr>
                <w:rFonts w:hint="default" w:ascii="Times New Roman" w:hAnsi="Times New Roman" w:eastAsia="宋体" w:cs="Times New Roman"/>
                <w:color w:val="auto"/>
                <w:kern w:val="2"/>
                <w:sz w:val="24"/>
                <w:szCs w:val="24"/>
                <w:u w:val="none"/>
                <w:lang w:eastAsia="zh-CN"/>
              </w:rPr>
              <w:t>，其他草地减少</w:t>
            </w:r>
            <w:r>
              <w:rPr>
                <w:rFonts w:hint="default" w:ascii="Times New Roman" w:hAnsi="Times New Roman" w:eastAsia="Times New Roman" w:cs="Times New Roman"/>
                <w:color w:val="auto"/>
                <w:kern w:val="2"/>
                <w:sz w:val="24"/>
                <w:szCs w:val="24"/>
                <w:u w:val="none"/>
                <w:lang w:eastAsia="zh-CN"/>
              </w:rPr>
              <w:t>10hm</w:t>
            </w:r>
            <w:r>
              <w:rPr>
                <w:rFonts w:hint="default" w:ascii="Times New Roman" w:hAnsi="Times New Roman" w:eastAsia="Times New Roman" w:cs="Times New Roman"/>
                <w:color w:val="auto"/>
                <w:kern w:val="2"/>
                <w:position w:val="9"/>
                <w:sz w:val="16"/>
                <w:szCs w:val="16"/>
                <w:u w:val="none"/>
                <w:lang w:eastAsia="zh-CN"/>
              </w:rPr>
              <w:t>2</w:t>
            </w:r>
            <w:r>
              <w:rPr>
                <w:rFonts w:hint="default" w:ascii="Times New Roman" w:hAnsi="Times New Roman" w:eastAsia="宋体" w:cs="Times New Roman"/>
                <w:color w:val="auto"/>
                <w:kern w:val="2"/>
                <w:sz w:val="24"/>
                <w:szCs w:val="24"/>
                <w:u w:val="none"/>
                <w:lang w:eastAsia="zh-CN"/>
              </w:rPr>
              <w:t>，采矿用地、空闲地、沙地、裸土地、裸岩石砾地全部变为人工牧草地。</w:t>
            </w:r>
            <w:r>
              <w:rPr>
                <w:rFonts w:hint="eastAsia" w:cs="Times New Roman"/>
                <w:color w:val="auto"/>
                <w:kern w:val="2"/>
                <w:sz w:val="24"/>
                <w:szCs w:val="24"/>
                <w:u w:val="none"/>
                <w:lang w:val="en-US" w:eastAsia="zh-CN"/>
              </w:rPr>
              <w:t>本项目的建设有助于生态环境质量的提升，对环境影响较小。</w:t>
            </w:r>
          </w:p>
          <w:p w14:paraId="1D394636">
            <w:pPr>
              <w:pStyle w:val="3"/>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表</w:t>
            </w:r>
            <w:r>
              <w:rPr>
                <w:rFonts w:hint="eastAsia"/>
                <w:color w:val="auto"/>
                <w:lang w:val="en-US" w:eastAsia="zh-CN"/>
              </w:rPr>
              <w:t>4-1</w:t>
            </w:r>
            <w:r>
              <w:rPr>
                <w:rFonts w:hint="default"/>
                <w:color w:val="auto"/>
                <w:lang w:val="en-US" w:eastAsia="zh-CN"/>
              </w:rPr>
              <w:t xml:space="preserve">  </w:t>
            </w:r>
            <w:r>
              <w:rPr>
                <w:rFonts w:hint="eastAsia"/>
                <w:color w:val="auto"/>
                <w:lang w:val="en-US" w:eastAsia="zh-CN"/>
              </w:rPr>
              <w:t>项目区理后土地类型</w:t>
            </w:r>
            <w:r>
              <w:rPr>
                <w:rFonts w:hint="default"/>
                <w:color w:val="auto"/>
                <w:lang w:val="en-US" w:eastAsia="zh-CN"/>
              </w:rPr>
              <w:t>表</w:t>
            </w:r>
          </w:p>
          <w:tbl>
            <w:tblPr>
              <w:tblStyle w:val="26"/>
              <w:tblW w:w="829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38"/>
              <w:gridCol w:w="1767"/>
              <w:gridCol w:w="1883"/>
              <w:gridCol w:w="1926"/>
              <w:gridCol w:w="1142"/>
              <w:gridCol w:w="1142"/>
            </w:tblGrid>
            <w:tr w14:paraId="77D8A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05" w:type="dxa"/>
                  <w:gridSpan w:val="2"/>
                  <w:tcBorders>
                    <w:tl2br w:val="nil"/>
                    <w:tr2bl w:val="nil"/>
                  </w:tcBorders>
                  <w:vAlign w:val="center"/>
                </w:tcPr>
                <w:p w14:paraId="21489C7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一级地类</w:t>
                  </w:r>
                </w:p>
              </w:tc>
              <w:tc>
                <w:tcPr>
                  <w:tcW w:w="1883" w:type="dxa"/>
                  <w:tcBorders>
                    <w:tl2br w:val="nil"/>
                    <w:tr2bl w:val="nil"/>
                  </w:tcBorders>
                  <w:vAlign w:val="center"/>
                </w:tcPr>
                <w:p w14:paraId="155D1DB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二级地类</w:t>
                  </w:r>
                </w:p>
              </w:tc>
              <w:tc>
                <w:tcPr>
                  <w:tcW w:w="1926" w:type="dxa"/>
                  <w:tcBorders>
                    <w:tl2br w:val="nil"/>
                    <w:tr2bl w:val="nil"/>
                  </w:tcBorders>
                  <w:vAlign w:val="center"/>
                </w:tcPr>
                <w:p w14:paraId="406F484E">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治理前面积（hm</w:t>
                  </w:r>
                  <w:r>
                    <w:rPr>
                      <w:rFonts w:hint="default" w:ascii="Times New Roman" w:hAnsi="Times New Roman" w:eastAsia="宋体" w:cs="Times New Roman"/>
                      <w:b/>
                      <w:bCs/>
                      <w:color w:val="auto"/>
                      <w:kern w:val="0"/>
                      <w:sz w:val="21"/>
                      <w:szCs w:val="21"/>
                      <w:u w:val="none"/>
                      <w:vertAlign w:val="superscript"/>
                      <w:lang w:val="en-US" w:eastAsia="zh-CN" w:bidi="ar-SA"/>
                    </w:rPr>
                    <w:t>2</w:t>
                  </w:r>
                  <w:r>
                    <w:rPr>
                      <w:rFonts w:hint="default" w:ascii="Times New Roman" w:hAnsi="Times New Roman" w:eastAsia="宋体" w:cs="Times New Roman"/>
                      <w:b/>
                      <w:bCs/>
                      <w:color w:val="auto"/>
                      <w:kern w:val="0"/>
                      <w:sz w:val="21"/>
                      <w:szCs w:val="21"/>
                      <w:u w:val="none"/>
                      <w:lang w:val="en-US" w:eastAsia="zh-CN" w:bidi="ar-SA"/>
                    </w:rPr>
                    <w:t>）</w:t>
                  </w:r>
                </w:p>
              </w:tc>
              <w:tc>
                <w:tcPr>
                  <w:tcW w:w="1142" w:type="dxa"/>
                  <w:tcBorders>
                    <w:tl2br w:val="nil"/>
                    <w:tr2bl w:val="nil"/>
                  </w:tcBorders>
                  <w:vAlign w:val="center"/>
                </w:tcPr>
                <w:p w14:paraId="55219D5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治理后面积（hm</w:t>
                  </w:r>
                  <w:r>
                    <w:rPr>
                      <w:rFonts w:hint="default" w:ascii="Times New Roman" w:hAnsi="Times New Roman" w:eastAsia="宋体" w:cs="Times New Roman"/>
                      <w:b/>
                      <w:bCs/>
                      <w:color w:val="auto"/>
                      <w:kern w:val="0"/>
                      <w:sz w:val="21"/>
                      <w:szCs w:val="21"/>
                      <w:u w:val="none"/>
                      <w:vertAlign w:val="superscript"/>
                      <w:lang w:val="en-US" w:eastAsia="zh-CN" w:bidi="ar-SA"/>
                    </w:rPr>
                    <w:t>2</w:t>
                  </w:r>
                  <w:r>
                    <w:rPr>
                      <w:rFonts w:hint="default" w:ascii="Times New Roman" w:hAnsi="Times New Roman" w:eastAsia="宋体" w:cs="Times New Roman"/>
                      <w:b/>
                      <w:bCs/>
                      <w:color w:val="auto"/>
                      <w:kern w:val="0"/>
                      <w:sz w:val="21"/>
                      <w:szCs w:val="21"/>
                      <w:u w:val="none"/>
                      <w:lang w:val="en-US" w:eastAsia="zh-CN" w:bidi="ar-SA"/>
                    </w:rPr>
                    <w:t>）</w:t>
                  </w:r>
                </w:p>
              </w:tc>
              <w:tc>
                <w:tcPr>
                  <w:tcW w:w="1142" w:type="dxa"/>
                  <w:tcBorders>
                    <w:tl2br w:val="nil"/>
                    <w:tr2bl w:val="nil"/>
                  </w:tcBorders>
                  <w:vAlign w:val="center"/>
                </w:tcPr>
                <w:p w14:paraId="1DD71BA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eastAsia" w:cs="Times New Roman"/>
                      <w:b/>
                      <w:bCs/>
                      <w:color w:val="auto"/>
                      <w:kern w:val="0"/>
                      <w:sz w:val="21"/>
                      <w:szCs w:val="21"/>
                      <w:u w:val="none"/>
                      <w:lang w:val="en-US" w:eastAsia="zh-CN" w:bidi="ar-SA"/>
                    </w:rPr>
                    <w:t>变化情况</w:t>
                  </w:r>
                  <w:r>
                    <w:rPr>
                      <w:rFonts w:hint="default" w:ascii="Times New Roman" w:hAnsi="Times New Roman" w:eastAsia="宋体" w:cs="Times New Roman"/>
                      <w:b/>
                      <w:bCs/>
                      <w:color w:val="auto"/>
                      <w:kern w:val="0"/>
                      <w:sz w:val="21"/>
                      <w:szCs w:val="21"/>
                      <w:u w:val="none"/>
                      <w:lang w:val="en-US" w:eastAsia="zh-CN" w:bidi="ar-SA"/>
                    </w:rPr>
                    <w:t>（hm</w:t>
                  </w:r>
                  <w:r>
                    <w:rPr>
                      <w:rFonts w:hint="default" w:ascii="Times New Roman" w:hAnsi="Times New Roman" w:eastAsia="宋体" w:cs="Times New Roman"/>
                      <w:b/>
                      <w:bCs/>
                      <w:color w:val="auto"/>
                      <w:kern w:val="0"/>
                      <w:sz w:val="21"/>
                      <w:szCs w:val="21"/>
                      <w:u w:val="none"/>
                      <w:vertAlign w:val="superscript"/>
                      <w:lang w:val="en-US" w:eastAsia="zh-CN" w:bidi="ar-SA"/>
                    </w:rPr>
                    <w:t>2</w:t>
                  </w:r>
                  <w:r>
                    <w:rPr>
                      <w:rFonts w:hint="default" w:ascii="Times New Roman" w:hAnsi="Times New Roman" w:eastAsia="宋体" w:cs="Times New Roman"/>
                      <w:b/>
                      <w:bCs/>
                      <w:color w:val="auto"/>
                      <w:kern w:val="0"/>
                      <w:sz w:val="21"/>
                      <w:szCs w:val="21"/>
                      <w:u w:val="none"/>
                      <w:lang w:val="en-US" w:eastAsia="zh-CN" w:bidi="ar-SA"/>
                    </w:rPr>
                    <w:t>）</w:t>
                  </w:r>
                </w:p>
              </w:tc>
            </w:tr>
            <w:tr w14:paraId="4D30FD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1F31C5D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01</w:t>
                  </w:r>
                </w:p>
              </w:tc>
              <w:tc>
                <w:tcPr>
                  <w:tcW w:w="1767" w:type="dxa"/>
                  <w:vMerge w:val="restart"/>
                  <w:tcBorders>
                    <w:tl2br w:val="nil"/>
                    <w:tr2bl w:val="nil"/>
                  </w:tcBorders>
                  <w:vAlign w:val="center"/>
                </w:tcPr>
                <w:p w14:paraId="18A6CEF8">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耕地</w:t>
                  </w:r>
                </w:p>
              </w:tc>
              <w:tc>
                <w:tcPr>
                  <w:tcW w:w="1883" w:type="dxa"/>
                  <w:tcBorders>
                    <w:tl2br w:val="nil"/>
                    <w:tr2bl w:val="nil"/>
                  </w:tcBorders>
                  <w:vAlign w:val="center"/>
                </w:tcPr>
                <w:p w14:paraId="525C451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水田（0101）</w:t>
                  </w:r>
                </w:p>
              </w:tc>
              <w:tc>
                <w:tcPr>
                  <w:tcW w:w="1926" w:type="dxa"/>
                  <w:tcBorders>
                    <w:tl2br w:val="nil"/>
                    <w:tr2bl w:val="nil"/>
                  </w:tcBorders>
                  <w:vAlign w:val="center"/>
                </w:tcPr>
                <w:p w14:paraId="46715C7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0.11</w:t>
                  </w:r>
                </w:p>
              </w:tc>
              <w:tc>
                <w:tcPr>
                  <w:tcW w:w="1142" w:type="dxa"/>
                  <w:tcBorders>
                    <w:tl2br w:val="nil"/>
                    <w:tr2bl w:val="nil"/>
                  </w:tcBorders>
                  <w:vAlign w:val="center"/>
                </w:tcPr>
                <w:p w14:paraId="3920A83B">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0.11</w:t>
                  </w:r>
                </w:p>
              </w:tc>
              <w:tc>
                <w:tcPr>
                  <w:tcW w:w="1142" w:type="dxa"/>
                  <w:tcBorders>
                    <w:tl2br w:val="nil"/>
                    <w:tr2bl w:val="nil"/>
                  </w:tcBorders>
                  <w:vAlign w:val="center"/>
                </w:tcPr>
                <w:p w14:paraId="643D181B">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1A0B4F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7EF19B9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5D4325D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356F73A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水浇地（0102）</w:t>
                  </w:r>
                </w:p>
              </w:tc>
              <w:tc>
                <w:tcPr>
                  <w:tcW w:w="1926" w:type="dxa"/>
                  <w:tcBorders>
                    <w:tl2br w:val="nil"/>
                    <w:tr2bl w:val="nil"/>
                  </w:tcBorders>
                  <w:vAlign w:val="center"/>
                </w:tcPr>
                <w:p w14:paraId="207ACB4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1.28</w:t>
                  </w:r>
                </w:p>
              </w:tc>
              <w:tc>
                <w:tcPr>
                  <w:tcW w:w="1142" w:type="dxa"/>
                  <w:tcBorders>
                    <w:tl2br w:val="nil"/>
                    <w:tr2bl w:val="nil"/>
                  </w:tcBorders>
                  <w:vAlign w:val="center"/>
                </w:tcPr>
                <w:p w14:paraId="52E48CF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3.56</w:t>
                  </w:r>
                </w:p>
              </w:tc>
              <w:tc>
                <w:tcPr>
                  <w:tcW w:w="1142" w:type="dxa"/>
                  <w:tcBorders>
                    <w:tl2br w:val="nil"/>
                    <w:tr2bl w:val="nil"/>
                  </w:tcBorders>
                  <w:vAlign w:val="center"/>
                </w:tcPr>
                <w:p w14:paraId="1E6AD5EA">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增加</w:t>
                  </w:r>
                  <w:r>
                    <w:rPr>
                      <w:rFonts w:hint="default"/>
                      <w:color w:val="auto"/>
                      <w:u w:val="none"/>
                      <w:lang w:val="en-US" w:eastAsia="zh-CN"/>
                    </w:rPr>
                    <w:t>2.28</w:t>
                  </w:r>
                </w:p>
              </w:tc>
            </w:tr>
            <w:tr w14:paraId="4F0956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tcBorders>
                    <w:tl2br w:val="nil"/>
                    <w:tr2bl w:val="nil"/>
                  </w:tcBorders>
                  <w:vAlign w:val="center"/>
                </w:tcPr>
                <w:p w14:paraId="6B44BEA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02</w:t>
                  </w:r>
                </w:p>
              </w:tc>
              <w:tc>
                <w:tcPr>
                  <w:tcW w:w="1767" w:type="dxa"/>
                  <w:tcBorders>
                    <w:tl2br w:val="nil"/>
                    <w:tr2bl w:val="nil"/>
                  </w:tcBorders>
                  <w:vAlign w:val="center"/>
                </w:tcPr>
                <w:p w14:paraId="0DF65BE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园林</w:t>
                  </w:r>
                </w:p>
              </w:tc>
              <w:tc>
                <w:tcPr>
                  <w:tcW w:w="1883" w:type="dxa"/>
                  <w:tcBorders>
                    <w:tl2br w:val="nil"/>
                    <w:tr2bl w:val="nil"/>
                  </w:tcBorders>
                  <w:vAlign w:val="center"/>
                </w:tcPr>
                <w:p w14:paraId="1CE5141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果园（0201）</w:t>
                  </w:r>
                </w:p>
              </w:tc>
              <w:tc>
                <w:tcPr>
                  <w:tcW w:w="1926" w:type="dxa"/>
                  <w:tcBorders>
                    <w:tl2br w:val="nil"/>
                    <w:tr2bl w:val="nil"/>
                  </w:tcBorders>
                  <w:vAlign w:val="center"/>
                </w:tcPr>
                <w:p w14:paraId="4D7AB9D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0.01</w:t>
                  </w:r>
                </w:p>
              </w:tc>
              <w:tc>
                <w:tcPr>
                  <w:tcW w:w="1142" w:type="dxa"/>
                  <w:tcBorders>
                    <w:tl2br w:val="nil"/>
                    <w:tr2bl w:val="nil"/>
                  </w:tcBorders>
                  <w:vAlign w:val="center"/>
                </w:tcPr>
                <w:p w14:paraId="5321BC1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0.01</w:t>
                  </w:r>
                </w:p>
              </w:tc>
              <w:tc>
                <w:tcPr>
                  <w:tcW w:w="1142" w:type="dxa"/>
                  <w:tcBorders>
                    <w:tl2br w:val="nil"/>
                    <w:tr2bl w:val="nil"/>
                  </w:tcBorders>
                  <w:vAlign w:val="center"/>
                </w:tcPr>
                <w:p w14:paraId="6A2307D4">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5FFD1C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2AF855E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03</w:t>
                  </w:r>
                </w:p>
              </w:tc>
              <w:tc>
                <w:tcPr>
                  <w:tcW w:w="1767" w:type="dxa"/>
                  <w:vMerge w:val="restart"/>
                  <w:tcBorders>
                    <w:tl2br w:val="nil"/>
                    <w:tr2bl w:val="nil"/>
                  </w:tcBorders>
                  <w:vAlign w:val="center"/>
                </w:tcPr>
                <w:p w14:paraId="2D2D518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林地</w:t>
                  </w:r>
                </w:p>
              </w:tc>
              <w:tc>
                <w:tcPr>
                  <w:tcW w:w="1883" w:type="dxa"/>
                  <w:tcBorders>
                    <w:tl2br w:val="nil"/>
                    <w:tr2bl w:val="nil"/>
                  </w:tcBorders>
                  <w:vAlign w:val="center"/>
                </w:tcPr>
                <w:p w14:paraId="3CF3803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乔木林地（0301）</w:t>
                  </w:r>
                </w:p>
              </w:tc>
              <w:tc>
                <w:tcPr>
                  <w:tcW w:w="1926" w:type="dxa"/>
                  <w:tcBorders>
                    <w:tl2br w:val="nil"/>
                    <w:tr2bl w:val="nil"/>
                  </w:tcBorders>
                  <w:vAlign w:val="center"/>
                </w:tcPr>
                <w:p w14:paraId="32F7EBA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0.30</w:t>
                  </w:r>
                </w:p>
              </w:tc>
              <w:tc>
                <w:tcPr>
                  <w:tcW w:w="1142" w:type="dxa"/>
                  <w:tcBorders>
                    <w:tl2br w:val="nil"/>
                    <w:tr2bl w:val="nil"/>
                  </w:tcBorders>
                  <w:vAlign w:val="center"/>
                </w:tcPr>
                <w:p w14:paraId="0A0BF03C">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0.3</w:t>
                  </w:r>
                </w:p>
              </w:tc>
              <w:tc>
                <w:tcPr>
                  <w:tcW w:w="1142" w:type="dxa"/>
                  <w:tcBorders>
                    <w:tl2br w:val="nil"/>
                    <w:tr2bl w:val="nil"/>
                  </w:tcBorders>
                  <w:vAlign w:val="center"/>
                </w:tcPr>
                <w:p w14:paraId="448EF4CF">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62D0C2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1286795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0F457F0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51AABEA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灌木林地（0305）</w:t>
                  </w:r>
                </w:p>
              </w:tc>
              <w:tc>
                <w:tcPr>
                  <w:tcW w:w="1926" w:type="dxa"/>
                  <w:tcBorders>
                    <w:tl2br w:val="nil"/>
                    <w:tr2bl w:val="nil"/>
                  </w:tcBorders>
                  <w:vAlign w:val="center"/>
                </w:tcPr>
                <w:p w14:paraId="3E821E2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19.41</w:t>
                  </w:r>
                </w:p>
              </w:tc>
              <w:tc>
                <w:tcPr>
                  <w:tcW w:w="1142" w:type="dxa"/>
                  <w:tcBorders>
                    <w:tl2br w:val="nil"/>
                    <w:tr2bl w:val="nil"/>
                  </w:tcBorders>
                  <w:vAlign w:val="center"/>
                </w:tcPr>
                <w:p w14:paraId="5E62377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19.41</w:t>
                  </w:r>
                </w:p>
              </w:tc>
              <w:tc>
                <w:tcPr>
                  <w:tcW w:w="1142" w:type="dxa"/>
                  <w:tcBorders>
                    <w:tl2br w:val="nil"/>
                    <w:tr2bl w:val="nil"/>
                  </w:tcBorders>
                  <w:vAlign w:val="center"/>
                </w:tcPr>
                <w:p w14:paraId="3461E360">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41E4A1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7510856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05F2C151">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63056AE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其他林地（0307）</w:t>
                  </w:r>
                </w:p>
              </w:tc>
              <w:tc>
                <w:tcPr>
                  <w:tcW w:w="1926" w:type="dxa"/>
                  <w:tcBorders>
                    <w:tl2br w:val="nil"/>
                    <w:tr2bl w:val="nil"/>
                  </w:tcBorders>
                  <w:vAlign w:val="center"/>
                </w:tcPr>
                <w:p w14:paraId="2ED1734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0.25</w:t>
                  </w:r>
                </w:p>
              </w:tc>
              <w:tc>
                <w:tcPr>
                  <w:tcW w:w="1142" w:type="dxa"/>
                  <w:tcBorders>
                    <w:tl2br w:val="nil"/>
                    <w:tr2bl w:val="nil"/>
                  </w:tcBorders>
                  <w:vAlign w:val="center"/>
                </w:tcPr>
                <w:p w14:paraId="07646A1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0.25</w:t>
                  </w:r>
                </w:p>
              </w:tc>
              <w:tc>
                <w:tcPr>
                  <w:tcW w:w="1142" w:type="dxa"/>
                  <w:tcBorders>
                    <w:tl2br w:val="nil"/>
                    <w:tr2bl w:val="nil"/>
                  </w:tcBorders>
                  <w:vAlign w:val="center"/>
                </w:tcPr>
                <w:p w14:paraId="42E6760B">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2559EA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15262A68">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04</w:t>
                  </w:r>
                </w:p>
              </w:tc>
              <w:tc>
                <w:tcPr>
                  <w:tcW w:w="1767" w:type="dxa"/>
                  <w:vMerge w:val="restart"/>
                  <w:tcBorders>
                    <w:tl2br w:val="nil"/>
                    <w:tr2bl w:val="nil"/>
                  </w:tcBorders>
                  <w:vAlign w:val="center"/>
                </w:tcPr>
                <w:p w14:paraId="710B374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草地</w:t>
                  </w:r>
                </w:p>
              </w:tc>
              <w:tc>
                <w:tcPr>
                  <w:tcW w:w="1883" w:type="dxa"/>
                  <w:tcBorders>
                    <w:tl2br w:val="nil"/>
                    <w:tr2bl w:val="nil"/>
                  </w:tcBorders>
                  <w:vAlign w:val="center"/>
                </w:tcPr>
                <w:p w14:paraId="453D665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天然牧草地（0401）</w:t>
                  </w:r>
                </w:p>
              </w:tc>
              <w:tc>
                <w:tcPr>
                  <w:tcW w:w="1926" w:type="dxa"/>
                  <w:tcBorders>
                    <w:tl2br w:val="nil"/>
                    <w:tr2bl w:val="nil"/>
                  </w:tcBorders>
                  <w:vAlign w:val="center"/>
                </w:tcPr>
                <w:p w14:paraId="25A7DE5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172.75</w:t>
                  </w:r>
                </w:p>
              </w:tc>
              <w:tc>
                <w:tcPr>
                  <w:tcW w:w="1142" w:type="dxa"/>
                  <w:tcBorders>
                    <w:tl2br w:val="nil"/>
                    <w:tr2bl w:val="nil"/>
                  </w:tcBorders>
                  <w:vAlign w:val="center"/>
                </w:tcPr>
                <w:p w14:paraId="36EDE38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6.68</w:t>
                  </w:r>
                </w:p>
              </w:tc>
              <w:tc>
                <w:tcPr>
                  <w:tcW w:w="1142" w:type="dxa"/>
                  <w:tcBorders>
                    <w:tl2br w:val="nil"/>
                    <w:tr2bl w:val="nil"/>
                  </w:tcBorders>
                  <w:vAlign w:val="center"/>
                </w:tcPr>
                <w:p w14:paraId="05272972">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166.07</w:t>
                  </w:r>
                </w:p>
              </w:tc>
            </w:tr>
            <w:tr w14:paraId="44BC4B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66439A6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1B108BB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7F3DE18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人工牧草地（0403）</w:t>
                  </w:r>
                </w:p>
              </w:tc>
              <w:tc>
                <w:tcPr>
                  <w:tcW w:w="1926" w:type="dxa"/>
                  <w:tcBorders>
                    <w:tl2br w:val="nil"/>
                    <w:tr2bl w:val="nil"/>
                  </w:tcBorders>
                  <w:vAlign w:val="center"/>
                </w:tcPr>
                <w:p w14:paraId="14BDA9F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w:t>
                  </w:r>
                </w:p>
              </w:tc>
              <w:tc>
                <w:tcPr>
                  <w:tcW w:w="1142" w:type="dxa"/>
                  <w:tcBorders>
                    <w:tl2br w:val="nil"/>
                    <w:tr2bl w:val="nil"/>
                  </w:tcBorders>
                  <w:vAlign w:val="center"/>
                </w:tcPr>
                <w:p w14:paraId="3AC9654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304</w:t>
                  </w:r>
                </w:p>
              </w:tc>
              <w:tc>
                <w:tcPr>
                  <w:tcW w:w="1142" w:type="dxa"/>
                  <w:tcBorders>
                    <w:tl2br w:val="nil"/>
                    <w:tr2bl w:val="nil"/>
                  </w:tcBorders>
                  <w:vAlign w:val="center"/>
                </w:tcPr>
                <w:p w14:paraId="2A718CE4">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增加</w:t>
                  </w:r>
                  <w:r>
                    <w:rPr>
                      <w:rFonts w:hint="default" w:ascii="Times New Roman" w:hAnsi="Times New Roman" w:eastAsia="宋体" w:cs="Times New Roman"/>
                      <w:color w:val="auto"/>
                      <w:kern w:val="0"/>
                      <w:sz w:val="21"/>
                      <w:szCs w:val="21"/>
                      <w:u w:val="none"/>
                      <w:lang w:val="en-US" w:eastAsia="zh-CN" w:bidi="ar-SA"/>
                    </w:rPr>
                    <w:t>304</w:t>
                  </w:r>
                </w:p>
              </w:tc>
            </w:tr>
            <w:tr w14:paraId="6E6629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19C9CB9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7C0D7BD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04A5A86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其他草地（0404）</w:t>
                  </w:r>
                </w:p>
              </w:tc>
              <w:tc>
                <w:tcPr>
                  <w:tcW w:w="1926" w:type="dxa"/>
                  <w:tcBorders>
                    <w:tl2br w:val="nil"/>
                    <w:tr2bl w:val="nil"/>
                  </w:tcBorders>
                  <w:vAlign w:val="center"/>
                </w:tcPr>
                <w:p w14:paraId="158EE87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11.13</w:t>
                  </w:r>
                </w:p>
              </w:tc>
              <w:tc>
                <w:tcPr>
                  <w:tcW w:w="1142" w:type="dxa"/>
                  <w:tcBorders>
                    <w:tl2br w:val="nil"/>
                    <w:tr2bl w:val="nil"/>
                  </w:tcBorders>
                  <w:vAlign w:val="center"/>
                </w:tcPr>
                <w:p w14:paraId="10950E8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1.13</w:t>
                  </w:r>
                </w:p>
              </w:tc>
              <w:tc>
                <w:tcPr>
                  <w:tcW w:w="1142" w:type="dxa"/>
                  <w:tcBorders>
                    <w:tl2br w:val="nil"/>
                    <w:tr2bl w:val="nil"/>
                  </w:tcBorders>
                  <w:vAlign w:val="center"/>
                </w:tcPr>
                <w:p w14:paraId="308EBB0D">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10</w:t>
                  </w:r>
                </w:p>
              </w:tc>
            </w:tr>
            <w:tr w14:paraId="75CBD3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tcBorders>
                    <w:tl2br w:val="nil"/>
                    <w:tr2bl w:val="nil"/>
                  </w:tcBorders>
                  <w:vAlign w:val="center"/>
                </w:tcPr>
                <w:p w14:paraId="620A18B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06</w:t>
                  </w:r>
                </w:p>
              </w:tc>
              <w:tc>
                <w:tcPr>
                  <w:tcW w:w="1767" w:type="dxa"/>
                  <w:tcBorders>
                    <w:tl2br w:val="nil"/>
                    <w:tr2bl w:val="nil"/>
                  </w:tcBorders>
                  <w:vAlign w:val="center"/>
                </w:tcPr>
                <w:p w14:paraId="10B9AEC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工矿仓储用地</w:t>
                  </w:r>
                </w:p>
              </w:tc>
              <w:tc>
                <w:tcPr>
                  <w:tcW w:w="1883" w:type="dxa"/>
                  <w:tcBorders>
                    <w:tl2br w:val="nil"/>
                    <w:tr2bl w:val="nil"/>
                  </w:tcBorders>
                  <w:vAlign w:val="center"/>
                </w:tcPr>
                <w:p w14:paraId="089B9AA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采矿用地（0602）</w:t>
                  </w:r>
                </w:p>
              </w:tc>
              <w:tc>
                <w:tcPr>
                  <w:tcW w:w="1926" w:type="dxa"/>
                  <w:tcBorders>
                    <w:tl2br w:val="nil"/>
                    <w:tr2bl w:val="nil"/>
                  </w:tcBorders>
                  <w:vAlign w:val="center"/>
                </w:tcPr>
                <w:p w14:paraId="516A4671">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102.02</w:t>
                  </w:r>
                </w:p>
              </w:tc>
              <w:tc>
                <w:tcPr>
                  <w:tcW w:w="1142" w:type="dxa"/>
                  <w:tcBorders>
                    <w:tl2br w:val="nil"/>
                    <w:tr2bl w:val="nil"/>
                  </w:tcBorders>
                  <w:vAlign w:val="center"/>
                </w:tcPr>
                <w:p w14:paraId="654782E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w:t>
                  </w:r>
                </w:p>
              </w:tc>
              <w:tc>
                <w:tcPr>
                  <w:tcW w:w="1142" w:type="dxa"/>
                  <w:tcBorders>
                    <w:tl2br w:val="nil"/>
                    <w:tr2bl w:val="nil"/>
                  </w:tcBorders>
                  <w:vAlign w:val="center"/>
                </w:tcPr>
                <w:p w14:paraId="528B94A0">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102.02</w:t>
                  </w:r>
                </w:p>
              </w:tc>
            </w:tr>
            <w:tr w14:paraId="5CB731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5435F0F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10</w:t>
                  </w:r>
                </w:p>
              </w:tc>
              <w:tc>
                <w:tcPr>
                  <w:tcW w:w="1767" w:type="dxa"/>
                  <w:vMerge w:val="restart"/>
                  <w:tcBorders>
                    <w:tl2br w:val="nil"/>
                    <w:tr2bl w:val="nil"/>
                  </w:tcBorders>
                  <w:vAlign w:val="center"/>
                </w:tcPr>
                <w:p w14:paraId="5953288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交通运输用地</w:t>
                  </w:r>
                </w:p>
              </w:tc>
              <w:tc>
                <w:tcPr>
                  <w:tcW w:w="1883" w:type="dxa"/>
                  <w:tcBorders>
                    <w:tl2br w:val="nil"/>
                    <w:tr2bl w:val="nil"/>
                  </w:tcBorders>
                  <w:vAlign w:val="center"/>
                </w:tcPr>
                <w:p w14:paraId="485034C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公路用地（1003）</w:t>
                  </w:r>
                </w:p>
              </w:tc>
              <w:tc>
                <w:tcPr>
                  <w:tcW w:w="1926" w:type="dxa"/>
                  <w:tcBorders>
                    <w:tl2br w:val="nil"/>
                    <w:tr2bl w:val="nil"/>
                  </w:tcBorders>
                  <w:vAlign w:val="center"/>
                </w:tcPr>
                <w:p w14:paraId="705D348C">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0.06</w:t>
                  </w:r>
                </w:p>
              </w:tc>
              <w:tc>
                <w:tcPr>
                  <w:tcW w:w="1142" w:type="dxa"/>
                  <w:tcBorders>
                    <w:tl2br w:val="nil"/>
                    <w:tr2bl w:val="nil"/>
                  </w:tcBorders>
                  <w:vAlign w:val="center"/>
                </w:tcPr>
                <w:p w14:paraId="328B5DC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0.06</w:t>
                  </w:r>
                </w:p>
              </w:tc>
              <w:tc>
                <w:tcPr>
                  <w:tcW w:w="1142" w:type="dxa"/>
                  <w:tcBorders>
                    <w:tl2br w:val="nil"/>
                    <w:tr2bl w:val="nil"/>
                  </w:tcBorders>
                  <w:vAlign w:val="center"/>
                </w:tcPr>
                <w:p w14:paraId="00068327">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0BDAF1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1685D18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3F4CF9B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22AE146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农村道路（1006）</w:t>
                  </w:r>
                </w:p>
              </w:tc>
              <w:tc>
                <w:tcPr>
                  <w:tcW w:w="1926" w:type="dxa"/>
                  <w:tcBorders>
                    <w:tl2br w:val="nil"/>
                    <w:tr2bl w:val="nil"/>
                  </w:tcBorders>
                  <w:vAlign w:val="center"/>
                </w:tcPr>
                <w:p w14:paraId="4ADAB1D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1.72</w:t>
                  </w:r>
                </w:p>
              </w:tc>
              <w:tc>
                <w:tcPr>
                  <w:tcW w:w="1142" w:type="dxa"/>
                  <w:tcBorders>
                    <w:tl2br w:val="nil"/>
                    <w:tr2bl w:val="nil"/>
                  </w:tcBorders>
                  <w:vAlign w:val="center"/>
                </w:tcPr>
                <w:p w14:paraId="6E5D49E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1.72</w:t>
                  </w:r>
                </w:p>
              </w:tc>
              <w:tc>
                <w:tcPr>
                  <w:tcW w:w="1142" w:type="dxa"/>
                  <w:tcBorders>
                    <w:tl2br w:val="nil"/>
                    <w:tr2bl w:val="nil"/>
                  </w:tcBorders>
                  <w:vAlign w:val="center"/>
                </w:tcPr>
                <w:p w14:paraId="112D6C61">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663FA9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3205CC0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11</w:t>
                  </w:r>
                </w:p>
              </w:tc>
              <w:tc>
                <w:tcPr>
                  <w:tcW w:w="1767" w:type="dxa"/>
                  <w:vMerge w:val="restart"/>
                  <w:tcBorders>
                    <w:tl2br w:val="nil"/>
                    <w:tr2bl w:val="nil"/>
                  </w:tcBorders>
                  <w:vAlign w:val="center"/>
                </w:tcPr>
                <w:p w14:paraId="72D0F4D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水域及水利设施用地</w:t>
                  </w:r>
                </w:p>
              </w:tc>
              <w:tc>
                <w:tcPr>
                  <w:tcW w:w="1883" w:type="dxa"/>
                  <w:tcBorders>
                    <w:tl2br w:val="nil"/>
                    <w:tr2bl w:val="nil"/>
                  </w:tcBorders>
                  <w:vAlign w:val="center"/>
                </w:tcPr>
                <w:p w14:paraId="1437D73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坑塘水面（1104）</w:t>
                  </w:r>
                </w:p>
              </w:tc>
              <w:tc>
                <w:tcPr>
                  <w:tcW w:w="1926" w:type="dxa"/>
                  <w:tcBorders>
                    <w:tl2br w:val="nil"/>
                    <w:tr2bl w:val="nil"/>
                  </w:tcBorders>
                  <w:vAlign w:val="center"/>
                </w:tcPr>
                <w:p w14:paraId="3D38DB1E">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0.92</w:t>
                  </w:r>
                </w:p>
              </w:tc>
              <w:tc>
                <w:tcPr>
                  <w:tcW w:w="1142" w:type="dxa"/>
                  <w:tcBorders>
                    <w:tl2br w:val="nil"/>
                    <w:tr2bl w:val="nil"/>
                  </w:tcBorders>
                  <w:vAlign w:val="center"/>
                </w:tcPr>
                <w:p w14:paraId="2852AC0C">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0.92</w:t>
                  </w:r>
                </w:p>
              </w:tc>
              <w:tc>
                <w:tcPr>
                  <w:tcW w:w="1142" w:type="dxa"/>
                  <w:tcBorders>
                    <w:tl2br w:val="nil"/>
                    <w:tr2bl w:val="nil"/>
                  </w:tcBorders>
                  <w:vAlign w:val="center"/>
                </w:tcPr>
                <w:p w14:paraId="69CC5690">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58987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605795E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579898C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60263ED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沟渠（1107）</w:t>
                  </w:r>
                </w:p>
              </w:tc>
              <w:tc>
                <w:tcPr>
                  <w:tcW w:w="1926" w:type="dxa"/>
                  <w:tcBorders>
                    <w:tl2br w:val="nil"/>
                    <w:tr2bl w:val="nil"/>
                  </w:tcBorders>
                  <w:vAlign w:val="center"/>
                </w:tcPr>
                <w:p w14:paraId="79979E0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0.31</w:t>
                  </w:r>
                </w:p>
              </w:tc>
              <w:tc>
                <w:tcPr>
                  <w:tcW w:w="1142" w:type="dxa"/>
                  <w:tcBorders>
                    <w:tl2br w:val="nil"/>
                    <w:tr2bl w:val="nil"/>
                  </w:tcBorders>
                  <w:vAlign w:val="center"/>
                </w:tcPr>
                <w:p w14:paraId="3B54D2E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0.31</w:t>
                  </w:r>
                </w:p>
              </w:tc>
              <w:tc>
                <w:tcPr>
                  <w:tcW w:w="1142" w:type="dxa"/>
                  <w:tcBorders>
                    <w:tl2br w:val="nil"/>
                    <w:tr2bl w:val="nil"/>
                  </w:tcBorders>
                  <w:vAlign w:val="center"/>
                </w:tcPr>
                <w:p w14:paraId="33C7B399">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5FCEB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restart"/>
                  <w:tcBorders>
                    <w:tl2br w:val="nil"/>
                    <w:tr2bl w:val="nil"/>
                  </w:tcBorders>
                  <w:vAlign w:val="center"/>
                </w:tcPr>
                <w:p w14:paraId="0E0B420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12</w:t>
                  </w:r>
                </w:p>
              </w:tc>
              <w:tc>
                <w:tcPr>
                  <w:tcW w:w="1767" w:type="dxa"/>
                  <w:vMerge w:val="restart"/>
                  <w:tcBorders>
                    <w:tl2br w:val="nil"/>
                    <w:tr2bl w:val="nil"/>
                  </w:tcBorders>
                  <w:vAlign w:val="center"/>
                </w:tcPr>
                <w:p w14:paraId="78F601D0">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其他土地</w:t>
                  </w:r>
                </w:p>
              </w:tc>
              <w:tc>
                <w:tcPr>
                  <w:tcW w:w="1883" w:type="dxa"/>
                  <w:tcBorders>
                    <w:tl2br w:val="nil"/>
                    <w:tr2bl w:val="nil"/>
                  </w:tcBorders>
                  <w:vAlign w:val="center"/>
                </w:tcPr>
                <w:p w14:paraId="34365D0C">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空闲地（1201）</w:t>
                  </w:r>
                </w:p>
              </w:tc>
              <w:tc>
                <w:tcPr>
                  <w:tcW w:w="1926" w:type="dxa"/>
                  <w:tcBorders>
                    <w:tl2br w:val="nil"/>
                    <w:tr2bl w:val="nil"/>
                  </w:tcBorders>
                  <w:vAlign w:val="center"/>
                </w:tcPr>
                <w:p w14:paraId="07B14B9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3.12</w:t>
                  </w:r>
                </w:p>
              </w:tc>
              <w:tc>
                <w:tcPr>
                  <w:tcW w:w="1142" w:type="dxa"/>
                  <w:tcBorders>
                    <w:tl2br w:val="nil"/>
                    <w:tr2bl w:val="nil"/>
                  </w:tcBorders>
                  <w:vAlign w:val="center"/>
                </w:tcPr>
                <w:p w14:paraId="0A261C0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w:t>
                  </w:r>
                </w:p>
              </w:tc>
              <w:tc>
                <w:tcPr>
                  <w:tcW w:w="1142" w:type="dxa"/>
                  <w:tcBorders>
                    <w:tl2br w:val="nil"/>
                    <w:tr2bl w:val="nil"/>
                  </w:tcBorders>
                  <w:vAlign w:val="center"/>
                </w:tcPr>
                <w:p w14:paraId="3BA1098E">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3.12</w:t>
                  </w:r>
                </w:p>
              </w:tc>
            </w:tr>
            <w:tr w14:paraId="58315B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2F2967A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7B83302E">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6E01802B">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设施农用地（1202）</w:t>
                  </w:r>
                </w:p>
              </w:tc>
              <w:tc>
                <w:tcPr>
                  <w:tcW w:w="1926" w:type="dxa"/>
                  <w:tcBorders>
                    <w:tl2br w:val="nil"/>
                    <w:tr2bl w:val="nil"/>
                  </w:tcBorders>
                  <w:vAlign w:val="center"/>
                </w:tcPr>
                <w:p w14:paraId="19967E5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0.13</w:t>
                  </w:r>
                </w:p>
              </w:tc>
              <w:tc>
                <w:tcPr>
                  <w:tcW w:w="1142" w:type="dxa"/>
                  <w:tcBorders>
                    <w:tl2br w:val="nil"/>
                    <w:tr2bl w:val="nil"/>
                  </w:tcBorders>
                  <w:vAlign w:val="center"/>
                </w:tcPr>
                <w:p w14:paraId="341E524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0.13</w:t>
                  </w:r>
                </w:p>
              </w:tc>
              <w:tc>
                <w:tcPr>
                  <w:tcW w:w="1142" w:type="dxa"/>
                  <w:tcBorders>
                    <w:tl2br w:val="nil"/>
                    <w:tr2bl w:val="nil"/>
                  </w:tcBorders>
                  <w:vAlign w:val="center"/>
                </w:tcPr>
                <w:p w14:paraId="457B97A8">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default"/>
                      <w:color w:val="auto"/>
                      <w:u w:val="none"/>
                      <w:lang w:val="en-US" w:eastAsia="zh-CN"/>
                    </w:rPr>
                    <w:t>0</w:t>
                  </w:r>
                </w:p>
              </w:tc>
            </w:tr>
            <w:tr w14:paraId="3DDDA3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35D061B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2201A04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0D52CDF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沙地（1205）</w:t>
                  </w:r>
                </w:p>
              </w:tc>
              <w:tc>
                <w:tcPr>
                  <w:tcW w:w="1926" w:type="dxa"/>
                  <w:tcBorders>
                    <w:tl2br w:val="nil"/>
                    <w:tr2bl w:val="nil"/>
                  </w:tcBorders>
                  <w:vAlign w:val="center"/>
                </w:tcPr>
                <w:p w14:paraId="4345350C">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1.69</w:t>
                  </w:r>
                </w:p>
              </w:tc>
              <w:tc>
                <w:tcPr>
                  <w:tcW w:w="1142" w:type="dxa"/>
                  <w:tcBorders>
                    <w:tl2br w:val="nil"/>
                    <w:tr2bl w:val="nil"/>
                  </w:tcBorders>
                  <w:vAlign w:val="center"/>
                </w:tcPr>
                <w:p w14:paraId="48DDD7F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w:t>
                  </w:r>
                </w:p>
              </w:tc>
              <w:tc>
                <w:tcPr>
                  <w:tcW w:w="1142" w:type="dxa"/>
                  <w:tcBorders>
                    <w:tl2br w:val="nil"/>
                    <w:tr2bl w:val="nil"/>
                  </w:tcBorders>
                  <w:vAlign w:val="center"/>
                </w:tcPr>
                <w:p w14:paraId="7A6762FB">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1.69</w:t>
                  </w:r>
                </w:p>
              </w:tc>
            </w:tr>
            <w:tr w14:paraId="543F9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22D2595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5001F5D2">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37F5D544">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裸土地（1206）</w:t>
                  </w:r>
                </w:p>
              </w:tc>
              <w:tc>
                <w:tcPr>
                  <w:tcW w:w="1926" w:type="dxa"/>
                  <w:tcBorders>
                    <w:tl2br w:val="nil"/>
                    <w:tr2bl w:val="nil"/>
                  </w:tcBorders>
                  <w:vAlign w:val="center"/>
                </w:tcPr>
                <w:p w14:paraId="0F0AFE0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17.64</w:t>
                  </w:r>
                </w:p>
              </w:tc>
              <w:tc>
                <w:tcPr>
                  <w:tcW w:w="1142" w:type="dxa"/>
                  <w:tcBorders>
                    <w:tl2br w:val="nil"/>
                    <w:tr2bl w:val="nil"/>
                  </w:tcBorders>
                  <w:vAlign w:val="center"/>
                </w:tcPr>
                <w:p w14:paraId="675F02A9">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w:t>
                  </w:r>
                </w:p>
              </w:tc>
              <w:tc>
                <w:tcPr>
                  <w:tcW w:w="1142" w:type="dxa"/>
                  <w:tcBorders>
                    <w:tl2br w:val="nil"/>
                    <w:tr2bl w:val="nil"/>
                  </w:tcBorders>
                  <w:vAlign w:val="center"/>
                </w:tcPr>
                <w:p w14:paraId="78DB934F">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17.64</w:t>
                  </w:r>
                </w:p>
              </w:tc>
            </w:tr>
            <w:tr w14:paraId="73EFC1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38" w:type="dxa"/>
                  <w:vMerge w:val="continue"/>
                  <w:tcBorders>
                    <w:tl2br w:val="nil"/>
                    <w:tr2bl w:val="nil"/>
                  </w:tcBorders>
                  <w:vAlign w:val="center"/>
                </w:tcPr>
                <w:p w14:paraId="39B8765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767" w:type="dxa"/>
                  <w:vMerge w:val="continue"/>
                  <w:tcBorders>
                    <w:tl2br w:val="nil"/>
                    <w:tr2bl w:val="nil"/>
                  </w:tcBorders>
                  <w:vAlign w:val="center"/>
                </w:tcPr>
                <w:p w14:paraId="380156FE">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p>
              </w:tc>
              <w:tc>
                <w:tcPr>
                  <w:tcW w:w="1883" w:type="dxa"/>
                  <w:tcBorders>
                    <w:tl2br w:val="nil"/>
                    <w:tr2bl w:val="nil"/>
                  </w:tcBorders>
                  <w:vAlign w:val="center"/>
                </w:tcPr>
                <w:p w14:paraId="4D8E472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裸岩石砾地（1207）</w:t>
                  </w:r>
                </w:p>
              </w:tc>
              <w:tc>
                <w:tcPr>
                  <w:tcW w:w="1926" w:type="dxa"/>
                  <w:tcBorders>
                    <w:tl2br w:val="nil"/>
                    <w:tr2bl w:val="nil"/>
                  </w:tcBorders>
                  <w:vAlign w:val="center"/>
                </w:tcPr>
                <w:p w14:paraId="05558F57">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5.74</w:t>
                  </w:r>
                </w:p>
              </w:tc>
              <w:tc>
                <w:tcPr>
                  <w:tcW w:w="1142" w:type="dxa"/>
                  <w:tcBorders>
                    <w:tl2br w:val="nil"/>
                    <w:tr2bl w:val="nil"/>
                  </w:tcBorders>
                  <w:vAlign w:val="center"/>
                </w:tcPr>
                <w:p w14:paraId="0226E65A">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0</w:t>
                  </w:r>
                </w:p>
              </w:tc>
              <w:tc>
                <w:tcPr>
                  <w:tcW w:w="1142" w:type="dxa"/>
                  <w:tcBorders>
                    <w:tl2br w:val="nil"/>
                    <w:tr2bl w:val="nil"/>
                  </w:tcBorders>
                  <w:vAlign w:val="center"/>
                </w:tcPr>
                <w:p w14:paraId="33386366">
                  <w:pPr>
                    <w:pStyle w:val="33"/>
                    <w:keepNext w:val="0"/>
                    <w:keepLines w:val="0"/>
                    <w:suppressLineNumbers w:val="0"/>
                    <w:bidi w:val="0"/>
                    <w:spacing w:beforeAutospacing="0" w:afterAutospacing="0"/>
                    <w:ind w:left="0" w:right="0"/>
                    <w:jc w:val="center"/>
                    <w:rPr>
                      <w:rFonts w:hint="default"/>
                      <w:color w:val="auto"/>
                      <w:u w:val="none"/>
                      <w:lang w:val="en-US" w:eastAsia="zh-CN"/>
                    </w:rPr>
                  </w:pPr>
                  <w:r>
                    <w:rPr>
                      <w:rFonts w:hint="eastAsia"/>
                      <w:color w:val="auto"/>
                      <w:u w:val="none"/>
                      <w:lang w:val="en-US" w:eastAsia="zh-CN"/>
                    </w:rPr>
                    <w:t>减少</w:t>
                  </w:r>
                  <w:r>
                    <w:rPr>
                      <w:rFonts w:hint="default"/>
                      <w:color w:val="auto"/>
                      <w:u w:val="none"/>
                      <w:lang w:val="en-US" w:eastAsia="zh-CN"/>
                    </w:rPr>
                    <w:t>5.74</w:t>
                  </w:r>
                </w:p>
              </w:tc>
            </w:tr>
            <w:tr w14:paraId="17140C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88" w:type="dxa"/>
                  <w:gridSpan w:val="3"/>
                  <w:tcBorders>
                    <w:tl2br w:val="nil"/>
                    <w:tr2bl w:val="nil"/>
                  </w:tcBorders>
                  <w:vAlign w:val="center"/>
                </w:tcPr>
                <w:p w14:paraId="579A0AE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合计</w:t>
                  </w:r>
                </w:p>
              </w:tc>
              <w:tc>
                <w:tcPr>
                  <w:tcW w:w="1926" w:type="dxa"/>
                  <w:tcBorders>
                    <w:tl2br w:val="nil"/>
                    <w:tr2bl w:val="nil"/>
                  </w:tcBorders>
                  <w:vAlign w:val="center"/>
                </w:tcPr>
                <w:p w14:paraId="6687F456">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338.59</w:t>
                  </w:r>
                </w:p>
              </w:tc>
              <w:tc>
                <w:tcPr>
                  <w:tcW w:w="1142" w:type="dxa"/>
                  <w:tcBorders>
                    <w:tl2br w:val="nil"/>
                    <w:tr2bl w:val="nil"/>
                  </w:tcBorders>
                  <w:vAlign w:val="center"/>
                </w:tcPr>
                <w:p w14:paraId="5A8A613D">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338.59</w:t>
                  </w:r>
                </w:p>
              </w:tc>
              <w:tc>
                <w:tcPr>
                  <w:tcW w:w="1142" w:type="dxa"/>
                  <w:tcBorders>
                    <w:tl2br w:val="nil"/>
                    <w:tr2bl w:val="nil"/>
                  </w:tcBorders>
                  <w:vAlign w:val="center"/>
                </w:tcPr>
                <w:p w14:paraId="165F0503">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w:t>
                  </w:r>
                </w:p>
              </w:tc>
            </w:tr>
          </w:tbl>
          <w:p w14:paraId="7E5801ED">
            <w:pPr>
              <w:pStyle w:val="2"/>
              <w:keepLines w:val="0"/>
              <w:numPr>
                <w:ilvl w:val="1"/>
                <w:numId w:val="2"/>
              </w:numPr>
              <w:suppressLineNumbers w:val="0"/>
              <w:bidi w:val="0"/>
              <w:spacing w:before="0" w:beforeAutospacing="0" w:after="0" w:afterAutospacing="0"/>
              <w:ind w:left="0" w:leftChars="0" w:right="0" w:firstLine="0" w:firstLineChars="0"/>
              <w:jc w:val="left"/>
              <w:rPr>
                <w:rFonts w:hint="default"/>
                <w:color w:val="auto"/>
                <w:u w:val="none"/>
                <w:lang w:val="en-US" w:eastAsia="zh-CN"/>
              </w:rPr>
            </w:pPr>
            <w:r>
              <w:rPr>
                <w:rFonts w:hint="default"/>
                <w:color w:val="auto"/>
                <w:u w:val="none"/>
                <w:lang w:val="en-US" w:eastAsia="zh-CN"/>
              </w:rPr>
              <w:t>对陆生生态的影响分析</w:t>
            </w:r>
          </w:p>
          <w:p w14:paraId="5BDA3B87">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default" w:ascii="Times New Roman" w:hAnsi="Times New Roman" w:eastAsia="宋体" w:cs="Times New Roman"/>
                <w:color w:val="auto"/>
                <w:kern w:val="0"/>
                <w:sz w:val="24"/>
                <w:szCs w:val="24"/>
                <w:u w:val="none"/>
                <w:lang w:val="en-US" w:eastAsia="zh-CN" w:bidi="ar"/>
              </w:rPr>
              <w:t>⑴</w:t>
            </w:r>
            <w:r>
              <w:rPr>
                <w:rFonts w:hint="eastAsia" w:ascii="宋体" w:hAnsi="宋体" w:eastAsia="宋体" w:cs="宋体"/>
                <w:color w:val="auto"/>
                <w:kern w:val="0"/>
                <w:sz w:val="24"/>
                <w:szCs w:val="24"/>
                <w:u w:val="none"/>
                <w:lang w:val="en-US" w:eastAsia="zh-CN" w:bidi="ar"/>
              </w:rPr>
              <w:t>陆生植被</w:t>
            </w:r>
          </w:p>
          <w:p w14:paraId="5E0AD171">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eastAsia" w:ascii="宋体" w:hAnsi="宋体" w:eastAsia="宋体" w:cs="宋体"/>
                <w:color w:val="auto"/>
                <w:kern w:val="0"/>
                <w:sz w:val="24"/>
                <w:szCs w:val="24"/>
                <w:u w:val="none"/>
                <w:lang w:val="en-US" w:eastAsia="zh-CN" w:bidi="ar"/>
              </w:rPr>
              <w:t>本</w:t>
            </w:r>
            <w:r>
              <w:rPr>
                <w:rFonts w:hint="eastAsia" w:ascii="宋体" w:hAnsi="宋体" w:cs="宋体"/>
                <w:color w:val="auto"/>
                <w:kern w:val="0"/>
                <w:sz w:val="24"/>
                <w:szCs w:val="24"/>
                <w:u w:val="none"/>
                <w:lang w:val="en-US" w:eastAsia="zh-CN" w:bidi="ar"/>
              </w:rPr>
              <w:t>项目</w:t>
            </w:r>
            <w:r>
              <w:rPr>
                <w:rFonts w:hint="eastAsia" w:ascii="宋体" w:hAnsi="宋体" w:eastAsia="宋体" w:cs="宋体"/>
                <w:color w:val="auto"/>
                <w:kern w:val="0"/>
                <w:sz w:val="24"/>
                <w:szCs w:val="24"/>
                <w:u w:val="none"/>
                <w:lang w:val="en-US" w:eastAsia="zh-CN" w:bidi="ar"/>
              </w:rPr>
              <w:t>建设破坏的植物物种均为当地常见油蒿、白蒿、短花针茅等陆生植被。现场踏勘期间占地范围内</w:t>
            </w:r>
            <w:r>
              <w:rPr>
                <w:rFonts w:hint="eastAsia" w:ascii="宋体" w:hAnsi="宋体" w:cs="宋体"/>
                <w:color w:val="auto"/>
                <w:kern w:val="0"/>
                <w:sz w:val="24"/>
                <w:szCs w:val="24"/>
                <w:u w:val="none"/>
                <w:lang w:val="en-US" w:eastAsia="zh-CN" w:bidi="ar"/>
              </w:rPr>
              <w:t>无</w:t>
            </w:r>
            <w:r>
              <w:rPr>
                <w:rFonts w:hint="eastAsia" w:ascii="宋体" w:hAnsi="宋体" w:eastAsia="宋体" w:cs="宋体"/>
                <w:color w:val="auto"/>
                <w:kern w:val="0"/>
                <w:sz w:val="24"/>
                <w:szCs w:val="24"/>
                <w:u w:val="none"/>
                <w:lang w:val="en-US" w:eastAsia="zh-CN" w:bidi="ar"/>
              </w:rPr>
              <w:t>国家及地方重点保护野生植物名录所列的物种，《中国生物多样性红色名录》中列为极危、濒危和易危的物种，国家和地方政府列入拯救保护的极小种群物种，特有种以及古树名木等。</w:t>
            </w:r>
            <w:r>
              <w:rPr>
                <w:rFonts w:hint="eastAsia" w:ascii="宋体" w:hAnsi="宋体" w:cs="宋体"/>
                <w:color w:val="auto"/>
                <w:kern w:val="0"/>
                <w:sz w:val="24"/>
                <w:szCs w:val="24"/>
                <w:u w:val="none"/>
                <w:lang w:val="en-US" w:eastAsia="zh-CN" w:bidi="ar"/>
              </w:rPr>
              <w:t>项目区域</w:t>
            </w:r>
            <w:r>
              <w:rPr>
                <w:rFonts w:hint="eastAsia"/>
                <w:color w:val="auto"/>
                <w:lang w:val="en-US" w:eastAsia="zh-CN"/>
              </w:rPr>
              <w:t>地表裸露，植被稀少，</w:t>
            </w:r>
            <w:r>
              <w:rPr>
                <w:rFonts w:hint="default" w:ascii="宋体" w:hAnsi="宋体" w:eastAsia="宋体" w:cs="宋体"/>
                <w:b w:val="0"/>
                <w:bCs w:val="0"/>
                <w:color w:val="auto"/>
                <w:sz w:val="24"/>
                <w:szCs w:val="24"/>
                <w:u w:val="none"/>
              </w:rPr>
              <w:t>施工占地、场地清理、</w:t>
            </w:r>
            <w:r>
              <w:rPr>
                <w:rFonts w:hint="eastAsia" w:ascii="宋体" w:hAnsi="宋体" w:eastAsia="宋体" w:cs="宋体"/>
                <w:b w:val="0"/>
                <w:bCs w:val="0"/>
                <w:color w:val="auto"/>
                <w:sz w:val="24"/>
                <w:szCs w:val="24"/>
                <w:u w:val="none"/>
              </w:rPr>
              <w:t>培坡护坡及凹陷处回填、场地平整、采坑回填、覆土、植被恢复</w:t>
            </w:r>
            <w:r>
              <w:rPr>
                <w:rFonts w:hint="default" w:ascii="宋体" w:hAnsi="宋体" w:eastAsia="宋体" w:cs="宋体"/>
                <w:b w:val="0"/>
                <w:bCs w:val="0"/>
                <w:color w:val="auto"/>
                <w:sz w:val="24"/>
                <w:szCs w:val="24"/>
                <w:u w:val="none"/>
              </w:rPr>
              <w:t>等施工活动</w:t>
            </w:r>
            <w:r>
              <w:rPr>
                <w:rFonts w:hint="eastAsia" w:ascii="宋体" w:hAnsi="宋体" w:eastAsia="宋体" w:cs="宋体"/>
                <w:color w:val="auto"/>
                <w:kern w:val="0"/>
                <w:sz w:val="24"/>
                <w:szCs w:val="24"/>
                <w:u w:val="none"/>
                <w:lang w:val="en-US" w:eastAsia="zh-CN" w:bidi="ar"/>
              </w:rPr>
              <w:t>扰动地表，破坏用地范围内植被，使评价区内植被面积减少，植被覆盖率降低。加强施工人员培训，严禁踩踏、乱砍、乱伐等破坏植物的行为。施工结束后，工程实施植被恢复工程，可提高植被覆盖率，减小施工对植被带来的影响。因此，项目的建设对区域植物多样性的影响较小。</w:t>
            </w:r>
          </w:p>
          <w:p w14:paraId="453E026C">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default" w:ascii="Times New Roman" w:hAnsi="Times New Roman" w:eastAsia="宋体" w:cs="Times New Roman"/>
                <w:color w:val="auto"/>
                <w:kern w:val="0"/>
                <w:sz w:val="24"/>
                <w:szCs w:val="24"/>
                <w:u w:val="none"/>
                <w:lang w:val="en-US" w:eastAsia="zh-CN" w:bidi="ar"/>
              </w:rPr>
              <w:t>⑵</w:t>
            </w:r>
            <w:r>
              <w:rPr>
                <w:rFonts w:hint="eastAsia" w:ascii="宋体" w:hAnsi="宋体" w:eastAsia="宋体" w:cs="宋体"/>
                <w:color w:val="auto"/>
                <w:kern w:val="0"/>
                <w:sz w:val="24"/>
                <w:szCs w:val="24"/>
                <w:u w:val="none"/>
                <w:lang w:val="en-US" w:eastAsia="zh-CN" w:bidi="ar"/>
              </w:rPr>
              <w:t>陆生动物</w:t>
            </w:r>
          </w:p>
          <w:p w14:paraId="6E475B6A">
            <w:pPr>
              <w:pStyle w:val="7"/>
              <w:keepNext w:val="0"/>
              <w:keepLines w:val="0"/>
              <w:suppressLineNumbers w:val="0"/>
              <w:bidi w:val="0"/>
              <w:spacing w:before="0" w:beforeAutospacing="0" w:after="0" w:afterAutospacing="0"/>
              <w:ind w:left="0" w:right="0"/>
              <w:jc w:val="left"/>
              <w:rPr>
                <w:rFonts w:hint="default" w:eastAsia="宋体" w:cs="Times New Roman"/>
                <w:color w:val="auto"/>
                <w:u w:val="none"/>
                <w:lang w:val="en-US" w:eastAsia="zh-CN"/>
              </w:rPr>
            </w:pPr>
            <w:r>
              <w:rPr>
                <w:rFonts w:hint="eastAsia" w:ascii="宋体" w:hAnsi="宋体" w:eastAsia="宋体" w:cs="宋体"/>
                <w:color w:val="auto"/>
                <w:kern w:val="0"/>
                <w:sz w:val="24"/>
                <w:szCs w:val="24"/>
                <w:u w:val="none"/>
                <w:lang w:val="en-US" w:eastAsia="zh-CN" w:bidi="ar"/>
              </w:rPr>
              <w:t>现场踏勘期间占地范围内</w:t>
            </w:r>
            <w:r>
              <w:rPr>
                <w:rFonts w:hint="eastAsia" w:ascii="宋体" w:hAnsi="宋体" w:cs="宋体"/>
                <w:color w:val="auto"/>
                <w:kern w:val="0"/>
                <w:sz w:val="24"/>
                <w:szCs w:val="24"/>
                <w:u w:val="none"/>
                <w:lang w:val="en-US" w:eastAsia="zh-CN" w:bidi="ar"/>
              </w:rPr>
              <w:t>无</w:t>
            </w:r>
            <w:r>
              <w:rPr>
                <w:rFonts w:hint="default" w:cs="Times New Roman"/>
                <w:color w:val="auto"/>
                <w:u w:val="none"/>
              </w:rPr>
              <w:t>国家及地方重点保护野生动物名录所列的物种，《中国生物多样性红色名录》中列为极危、濒危和易危的物种，国家和地方政府列入拯救保护的极小种群物种。</w:t>
            </w:r>
            <w:r>
              <w:rPr>
                <w:rFonts w:hint="eastAsia" w:cs="Times New Roman"/>
                <w:color w:val="auto"/>
                <w:u w:val="none"/>
                <w:lang w:val="en-US" w:eastAsia="zh-CN"/>
              </w:rPr>
              <w:t>可能会受到影响的有</w:t>
            </w:r>
            <w:r>
              <w:rPr>
                <w:rFonts w:hint="eastAsia" w:cs="Times New Roman"/>
                <w:color w:val="auto"/>
                <w:u w:val="none"/>
              </w:rPr>
              <w:t>小型哺乳类动物</w:t>
            </w:r>
            <w:r>
              <w:rPr>
                <w:rFonts w:hint="eastAsia" w:cs="Times New Roman"/>
                <w:color w:val="auto"/>
                <w:u w:val="none"/>
                <w:lang w:val="en-US" w:eastAsia="zh-CN"/>
              </w:rPr>
              <w:t>及鸟类。</w:t>
            </w:r>
          </w:p>
          <w:p w14:paraId="6FD68AD7">
            <w:pPr>
              <w:pStyle w:val="7"/>
              <w:keepNext w:val="0"/>
              <w:keepLines w:val="0"/>
              <w:suppressLineNumbers w:val="0"/>
              <w:bidi w:val="0"/>
              <w:spacing w:before="0" w:beforeAutospacing="0" w:after="0" w:afterAutospacing="0"/>
              <w:ind w:left="0" w:right="0"/>
              <w:jc w:val="left"/>
              <w:rPr>
                <w:rFonts w:hint="default" w:cs="Times New Roman"/>
                <w:color w:val="auto"/>
                <w:u w:val="none"/>
              </w:rPr>
            </w:pPr>
            <w:r>
              <w:rPr>
                <w:rFonts w:hint="default" w:cs="Times New Roman"/>
                <w:color w:val="auto"/>
                <w:u w:val="none"/>
              </w:rPr>
              <w:t>①对</w:t>
            </w:r>
            <w:r>
              <w:rPr>
                <w:rFonts w:hint="eastAsia" w:cs="Times New Roman"/>
                <w:color w:val="auto"/>
                <w:u w:val="none"/>
              </w:rPr>
              <w:t>小型哺乳类动物</w:t>
            </w:r>
            <w:r>
              <w:rPr>
                <w:rFonts w:hint="default" w:cs="Times New Roman"/>
                <w:color w:val="auto"/>
                <w:u w:val="none"/>
              </w:rPr>
              <w:t>的影响分析</w:t>
            </w:r>
          </w:p>
          <w:p w14:paraId="4D1A18B0">
            <w:pPr>
              <w:pStyle w:val="7"/>
              <w:keepNext w:val="0"/>
              <w:keepLines w:val="0"/>
              <w:suppressLineNumbers w:val="0"/>
              <w:bidi w:val="0"/>
              <w:spacing w:before="0" w:beforeAutospacing="0" w:after="0" w:afterAutospacing="0"/>
              <w:ind w:left="0" w:right="0"/>
              <w:jc w:val="left"/>
              <w:rPr>
                <w:rFonts w:hint="eastAsia" w:cs="Times New Roman"/>
                <w:color w:val="auto"/>
                <w:u w:val="none"/>
              </w:rPr>
            </w:pPr>
            <w:r>
              <w:rPr>
                <w:rFonts w:hint="default" w:cs="Times New Roman"/>
                <w:color w:val="auto"/>
                <w:u w:val="none"/>
              </w:rPr>
              <w:t>施工期对</w:t>
            </w:r>
            <w:r>
              <w:rPr>
                <w:rFonts w:hint="eastAsia" w:cs="Times New Roman"/>
                <w:color w:val="auto"/>
                <w:u w:val="none"/>
              </w:rPr>
              <w:t>小型哺乳</w:t>
            </w:r>
            <w:r>
              <w:rPr>
                <w:rFonts w:hint="default" w:cs="Times New Roman"/>
                <w:color w:val="auto"/>
                <w:u w:val="none"/>
              </w:rPr>
              <w:t>类</w:t>
            </w:r>
            <w:r>
              <w:rPr>
                <w:rFonts w:hint="eastAsia" w:cs="Times New Roman"/>
                <w:color w:val="auto"/>
                <w:u w:val="none"/>
              </w:rPr>
              <w:t>动物</w:t>
            </w:r>
            <w:r>
              <w:rPr>
                <w:rFonts w:hint="default" w:cs="Times New Roman"/>
                <w:color w:val="auto"/>
                <w:u w:val="none"/>
              </w:rPr>
              <w:t>的影响主要体现在对动物饮水、觅食、栖息、繁殖等所在生境的破坏</w:t>
            </w:r>
            <w:r>
              <w:rPr>
                <w:rFonts w:hint="eastAsia" w:cs="Times New Roman"/>
                <w:color w:val="auto"/>
                <w:u w:val="none"/>
              </w:rPr>
              <w:t>。</w:t>
            </w:r>
          </w:p>
          <w:p w14:paraId="681E8A91">
            <w:pPr>
              <w:pStyle w:val="7"/>
              <w:keepNext w:val="0"/>
              <w:keepLines w:val="0"/>
              <w:suppressLineNumbers w:val="0"/>
              <w:bidi w:val="0"/>
              <w:spacing w:before="0" w:beforeAutospacing="0" w:after="0" w:afterAutospacing="0"/>
              <w:ind w:left="0" w:right="0"/>
              <w:jc w:val="left"/>
              <w:rPr>
                <w:rFonts w:hint="default" w:cs="Times New Roman"/>
                <w:color w:val="auto"/>
                <w:u w:val="none"/>
              </w:rPr>
            </w:pPr>
            <w:r>
              <w:rPr>
                <w:rFonts w:hint="default" w:cs="Times New Roman"/>
                <w:color w:val="auto"/>
                <w:u w:val="none"/>
              </w:rPr>
              <w:t>施工噪声</w:t>
            </w:r>
            <w:r>
              <w:rPr>
                <w:rFonts w:hint="eastAsia" w:cs="Times New Roman"/>
                <w:color w:val="auto"/>
                <w:u w:val="none"/>
              </w:rPr>
              <w:t>及</w:t>
            </w:r>
            <w:r>
              <w:rPr>
                <w:rFonts w:hint="default" w:cs="Times New Roman"/>
                <w:color w:val="auto"/>
                <w:u w:val="none"/>
              </w:rPr>
              <w:t>施工人员</w:t>
            </w:r>
            <w:r>
              <w:rPr>
                <w:rFonts w:hint="eastAsia" w:cs="Times New Roman"/>
                <w:color w:val="auto"/>
                <w:u w:val="none"/>
              </w:rPr>
              <w:t>、</w:t>
            </w:r>
            <w:r>
              <w:rPr>
                <w:rFonts w:hint="default" w:cs="Times New Roman"/>
                <w:color w:val="auto"/>
                <w:u w:val="none"/>
              </w:rPr>
              <w:t>施工机械的干扰等，使生于灌草丛的</w:t>
            </w:r>
            <w:r>
              <w:rPr>
                <w:rFonts w:hint="eastAsia" w:cs="Times New Roman"/>
                <w:color w:val="auto"/>
                <w:u w:val="none"/>
                <w:lang w:eastAsia="zh-CN"/>
              </w:rPr>
              <w:t>小型</w:t>
            </w:r>
            <w:r>
              <w:rPr>
                <w:rFonts w:hint="eastAsia" w:cs="Times New Roman"/>
                <w:color w:val="auto"/>
                <w:u w:val="none"/>
              </w:rPr>
              <w:t>哺乳类动物</w:t>
            </w:r>
            <w:r>
              <w:rPr>
                <w:rFonts w:hint="default" w:cs="Times New Roman"/>
                <w:color w:val="auto"/>
                <w:u w:val="none"/>
              </w:rPr>
              <w:t>，迁移至附近受干扰小的区域，种类和数量将相应减少，评价区生物量、生物多样性、种群分布将发生变化。但由于评价区范围内或附近具有相同的生境，其容易找到栖息场所。另外，工程建设影响的范围小且时间短，因此对</w:t>
            </w:r>
            <w:r>
              <w:rPr>
                <w:rFonts w:hint="eastAsia" w:cs="Times New Roman"/>
                <w:color w:val="auto"/>
                <w:u w:val="none"/>
              </w:rPr>
              <w:t>小型哺乳类动物</w:t>
            </w:r>
            <w:r>
              <w:rPr>
                <w:rFonts w:hint="default" w:cs="Times New Roman"/>
                <w:color w:val="auto"/>
                <w:u w:val="none"/>
              </w:rPr>
              <w:t>不会造成大的影响。</w:t>
            </w:r>
          </w:p>
          <w:p w14:paraId="7FB60E6B">
            <w:pPr>
              <w:pStyle w:val="7"/>
              <w:keepNext w:val="0"/>
              <w:keepLines w:val="0"/>
              <w:suppressLineNumbers w:val="0"/>
              <w:bidi w:val="0"/>
              <w:spacing w:before="0" w:beforeAutospacing="0" w:after="0" w:afterAutospacing="0"/>
              <w:ind w:left="0" w:right="0"/>
              <w:jc w:val="left"/>
              <w:rPr>
                <w:rFonts w:hint="default" w:cs="Times New Roman"/>
                <w:color w:val="auto"/>
                <w:u w:val="none"/>
              </w:rPr>
            </w:pPr>
            <w:r>
              <w:rPr>
                <w:rFonts w:hint="default" w:cs="Times New Roman"/>
                <w:color w:val="auto"/>
                <w:u w:val="none"/>
              </w:rPr>
              <w:t>②对鸟类的影响分析</w:t>
            </w:r>
          </w:p>
          <w:p w14:paraId="32F3ECE5">
            <w:pPr>
              <w:pStyle w:val="7"/>
              <w:keepNext w:val="0"/>
              <w:keepLines w:val="0"/>
              <w:suppressLineNumbers w:val="0"/>
              <w:bidi w:val="0"/>
              <w:spacing w:before="0" w:beforeAutospacing="0" w:after="0" w:afterAutospacing="0"/>
              <w:ind w:left="0" w:right="0"/>
              <w:jc w:val="left"/>
              <w:rPr>
                <w:rFonts w:hint="default" w:cs="Times New Roman"/>
                <w:color w:val="auto"/>
                <w:u w:val="none"/>
              </w:rPr>
            </w:pPr>
            <w:r>
              <w:rPr>
                <w:rFonts w:hint="default" w:cs="Times New Roman"/>
                <w:color w:val="auto"/>
                <w:u w:val="none"/>
              </w:rPr>
              <w:t>施工期对鸟类的影响主要为施工机械、车辆噪声等会导致鸟类饮水、觅食、栖息、繁殖等生境质量暂时下降。施工区域人为活动增加、车辆穿梭、施工机械噪声的惊吓、干扰，在一定程度上会影响迁徙鸟类的南迁北往活动，进而间接影响鸟类在施工区域内的分布与种群数量，但这些鸟类可以通过迁徙和飞翔来避免施工对其直接的影响，该项目建设对区域鸟类的生态活动影响较小。</w:t>
            </w:r>
          </w:p>
          <w:p w14:paraId="79A07210">
            <w:pPr>
              <w:pStyle w:val="7"/>
              <w:keepNext w:val="0"/>
              <w:keepLines w:val="0"/>
              <w:suppressLineNumbers w:val="0"/>
              <w:bidi w:val="0"/>
              <w:spacing w:before="0" w:beforeAutospacing="0" w:after="0" w:afterAutospacing="0"/>
              <w:ind w:left="0" w:right="0"/>
              <w:jc w:val="left"/>
              <w:rPr>
                <w:rFonts w:hint="default" w:cs="Times New Roman"/>
                <w:color w:val="auto"/>
                <w:u w:val="none"/>
              </w:rPr>
            </w:pPr>
            <w:r>
              <w:rPr>
                <w:rFonts w:hint="default" w:cs="Times New Roman"/>
                <w:color w:val="auto"/>
                <w:u w:val="none"/>
              </w:rPr>
              <w:t>根据现场调查和勘测目测，工程区域内鸟类较少。该项目施工对附近鸟类的影响是暂时的，项目建成后，各种施工机械撤离，这种影响就会逐渐消失。综上所述，</w:t>
            </w:r>
            <w:r>
              <w:rPr>
                <w:rFonts w:hint="eastAsia" w:cs="Times New Roman"/>
                <w:color w:val="auto"/>
                <w:u w:val="none"/>
                <w:lang w:val="en-US" w:eastAsia="zh-CN"/>
              </w:rPr>
              <w:t>项目</w:t>
            </w:r>
            <w:r>
              <w:rPr>
                <w:rFonts w:hint="default"/>
                <w:color w:val="auto"/>
              </w:rPr>
              <w:t>各治理</w:t>
            </w:r>
            <w:r>
              <w:rPr>
                <w:rFonts w:hint="eastAsia"/>
                <w:color w:val="auto"/>
                <w:lang w:val="en-US" w:eastAsia="zh-CN"/>
              </w:rPr>
              <w:t>区</w:t>
            </w:r>
            <w:r>
              <w:rPr>
                <w:rFonts w:hint="default" w:cs="Times New Roman"/>
                <w:color w:val="auto"/>
                <w:u w:val="none"/>
              </w:rPr>
              <w:t>域不属于鸟类的重点分布区域，不涉及重要物种、生态敏感区以及其他需要保护的物种、种群、生物群落。工程建设对于周边鸟类及其生境整体而言影响较小。</w:t>
            </w:r>
          </w:p>
          <w:p w14:paraId="5EA297CC">
            <w:pPr>
              <w:pStyle w:val="2"/>
              <w:keepLines w:val="0"/>
              <w:numPr>
                <w:ilvl w:val="1"/>
                <w:numId w:val="2"/>
              </w:numPr>
              <w:suppressLineNumbers w:val="0"/>
              <w:bidi w:val="0"/>
              <w:spacing w:before="0" w:beforeAutospacing="0" w:after="0" w:afterAutospacing="0"/>
              <w:ind w:left="0" w:leftChars="0" w:right="0" w:firstLine="0" w:firstLineChars="0"/>
              <w:jc w:val="left"/>
              <w:rPr>
                <w:rFonts w:hint="default"/>
                <w:color w:val="auto"/>
                <w:u w:val="none"/>
                <w:lang w:val="en-US" w:eastAsia="zh-CN"/>
              </w:rPr>
            </w:pPr>
            <w:r>
              <w:rPr>
                <w:rFonts w:hint="default"/>
                <w:color w:val="auto"/>
                <w:u w:val="none"/>
                <w:lang w:val="en-US" w:eastAsia="zh-CN"/>
              </w:rPr>
              <w:t>水土流失影响分析</w:t>
            </w:r>
          </w:p>
          <w:p w14:paraId="279FB9E2">
            <w:pPr>
              <w:keepNext w:val="0"/>
              <w:keepLines w:val="0"/>
              <w:suppressLineNumbers w:val="0"/>
              <w:bidi w:val="0"/>
              <w:spacing w:before="0" w:beforeAutospacing="0" w:after="0" w:afterAutospacing="0"/>
              <w:ind w:left="0" w:right="0"/>
              <w:jc w:val="left"/>
              <w:rPr>
                <w:rFonts w:hint="default" w:ascii="宋体" w:hAnsi="宋体" w:eastAsia="宋体" w:cs="宋体"/>
                <w:b w:val="0"/>
                <w:bCs w:val="0"/>
                <w:color w:val="auto"/>
                <w:sz w:val="24"/>
                <w:szCs w:val="24"/>
                <w:u w:val="none"/>
              </w:rPr>
            </w:pPr>
            <w:r>
              <w:rPr>
                <w:rFonts w:hint="default" w:ascii="宋体" w:hAnsi="宋体" w:eastAsia="宋体" w:cs="宋体"/>
                <w:b w:val="0"/>
                <w:bCs w:val="0"/>
                <w:color w:val="auto"/>
                <w:sz w:val="24"/>
                <w:szCs w:val="24"/>
                <w:u w:val="none"/>
              </w:rPr>
              <w:t>本项目施工期间施工占地、场地清理、</w:t>
            </w:r>
            <w:r>
              <w:rPr>
                <w:rFonts w:hint="eastAsia" w:ascii="宋体" w:hAnsi="宋体" w:eastAsia="宋体" w:cs="宋体"/>
                <w:b w:val="0"/>
                <w:bCs w:val="0"/>
                <w:color w:val="auto"/>
                <w:sz w:val="24"/>
                <w:szCs w:val="24"/>
                <w:u w:val="none"/>
              </w:rPr>
              <w:t>培坡护坡及凹陷处回填、场地平整、采坑回填、覆土、植被恢复</w:t>
            </w:r>
            <w:r>
              <w:rPr>
                <w:rFonts w:hint="default" w:ascii="宋体" w:hAnsi="宋体" w:eastAsia="宋体" w:cs="宋体"/>
                <w:b w:val="0"/>
                <w:bCs w:val="0"/>
                <w:color w:val="auto"/>
                <w:sz w:val="24"/>
                <w:szCs w:val="24"/>
                <w:u w:val="none"/>
              </w:rPr>
              <w:t>等施工活动对地表土体产生扰动，导致土壤结构改变及植被破坏。当地表植被破坏后，表层土壤裸露，在降雨形成的地表径流的作用下发生流失，但影响是暂时的，且造成的水土流失均在本项目占地范围内，不会外损。工程完工和生态恢复后，其水土流失程度会随着施工的结束而结束，项目通过恢复原有的地形地貌及土地资源，可以起到防治水土流失的作用，并且使遭到破坏的生态环境得到改善和基本恢复。</w:t>
            </w:r>
          </w:p>
          <w:p w14:paraId="61E10C18">
            <w:pPr>
              <w:pStyle w:val="2"/>
              <w:keepLines w:val="0"/>
              <w:numPr>
                <w:ilvl w:val="1"/>
                <w:numId w:val="2"/>
              </w:numPr>
              <w:suppressLineNumbers w:val="0"/>
              <w:bidi w:val="0"/>
              <w:spacing w:before="0" w:beforeAutospacing="0" w:after="0" w:afterAutospacing="0"/>
              <w:ind w:left="0" w:leftChars="0" w:right="0" w:firstLine="0" w:firstLineChars="0"/>
              <w:jc w:val="left"/>
              <w:rPr>
                <w:rFonts w:hint="default"/>
                <w:color w:val="auto"/>
                <w:u w:val="none"/>
              </w:rPr>
            </w:pPr>
            <w:r>
              <w:rPr>
                <w:rFonts w:hint="default"/>
                <w:color w:val="auto"/>
                <w:u w:val="none"/>
              </w:rPr>
              <w:t>生态景观的影响</w:t>
            </w:r>
            <w:r>
              <w:rPr>
                <w:rFonts w:hint="eastAsia"/>
                <w:color w:val="auto"/>
                <w:u w:val="none"/>
                <w:lang w:val="en-US" w:eastAsia="zh-CN"/>
              </w:rPr>
              <w:t>分析</w:t>
            </w:r>
          </w:p>
          <w:p w14:paraId="0D6E4995">
            <w:pPr>
              <w:keepNext w:val="0"/>
              <w:keepLines w:val="0"/>
              <w:suppressLineNumbers w:val="0"/>
              <w:bidi w:val="0"/>
              <w:spacing w:before="0" w:beforeAutospacing="0" w:after="0" w:afterAutospacing="0"/>
              <w:ind w:left="0" w:right="0"/>
              <w:jc w:val="left"/>
              <w:rPr>
                <w:rFonts w:hint="default" w:ascii="Times New Roman" w:hAnsi="Times New Roman" w:cs="Times New Roman"/>
                <w:color w:val="auto"/>
                <w:u w:val="none"/>
                <w:lang w:val="en-US" w:eastAsia="zh-CN"/>
              </w:rPr>
            </w:pPr>
            <w:r>
              <w:rPr>
                <w:rFonts w:hint="default" w:ascii="宋体" w:hAnsi="宋体" w:eastAsia="宋体" w:cs="宋体"/>
                <w:b w:val="0"/>
                <w:bCs w:val="0"/>
                <w:color w:val="auto"/>
                <w:sz w:val="24"/>
                <w:szCs w:val="24"/>
                <w:u w:val="none"/>
              </w:rPr>
              <w:t>本项目施工期间施工占地、场地清理、</w:t>
            </w:r>
            <w:r>
              <w:rPr>
                <w:rFonts w:hint="eastAsia" w:ascii="宋体" w:hAnsi="宋体" w:eastAsia="宋体" w:cs="宋体"/>
                <w:b w:val="0"/>
                <w:bCs w:val="0"/>
                <w:color w:val="auto"/>
                <w:sz w:val="24"/>
                <w:szCs w:val="24"/>
                <w:u w:val="none"/>
              </w:rPr>
              <w:t>培坡护坡及凹陷处回填、场地平整、采坑回填、覆土、植被恢复</w:t>
            </w:r>
            <w:r>
              <w:rPr>
                <w:rFonts w:hint="default" w:ascii="宋体" w:hAnsi="宋体" w:eastAsia="宋体" w:cs="宋体"/>
                <w:b w:val="0"/>
                <w:bCs w:val="0"/>
                <w:color w:val="auto"/>
                <w:sz w:val="24"/>
                <w:szCs w:val="24"/>
                <w:u w:val="none"/>
              </w:rPr>
              <w:t>等施工活动对原地貌进行扰动。施工期结束后，被改变的原有景观无法恢复。但当本项目建成后，通过人工绿化等生态建设实现补偿，而且人工绿地生态景观会比现状的</w:t>
            </w:r>
            <w:r>
              <w:rPr>
                <w:rFonts w:hint="eastAsia" w:ascii="宋体" w:hAnsi="宋体" w:cs="宋体"/>
                <w:b w:val="0"/>
                <w:bCs w:val="0"/>
                <w:color w:val="auto"/>
                <w:sz w:val="24"/>
                <w:szCs w:val="24"/>
                <w:u w:val="none"/>
                <w:lang w:val="en-US" w:eastAsia="zh-CN"/>
              </w:rPr>
              <w:t>植被</w:t>
            </w:r>
            <w:r>
              <w:rPr>
                <w:rFonts w:hint="default" w:ascii="宋体" w:hAnsi="宋体" w:eastAsia="宋体" w:cs="宋体"/>
                <w:b w:val="0"/>
                <w:bCs w:val="0"/>
                <w:color w:val="auto"/>
                <w:sz w:val="24"/>
                <w:szCs w:val="24"/>
                <w:u w:val="none"/>
              </w:rPr>
              <w:t>景观有较高的改善，因此，对自然生态景观不会造成不良影响。</w:t>
            </w:r>
          </w:p>
          <w:p w14:paraId="79DA28DD">
            <w:pPr>
              <w:pStyle w:val="2"/>
              <w:keepLines w:val="0"/>
              <w:numPr>
                <w:ilvl w:val="1"/>
                <w:numId w:val="2"/>
              </w:numPr>
              <w:suppressLineNumbers w:val="0"/>
              <w:bidi w:val="0"/>
              <w:spacing w:before="0" w:beforeAutospacing="0" w:after="0" w:afterAutospacing="0"/>
              <w:ind w:left="0" w:leftChars="0" w:right="0" w:firstLine="0" w:firstLineChars="0"/>
              <w:jc w:val="left"/>
              <w:rPr>
                <w:rFonts w:hint="default"/>
                <w:color w:val="auto"/>
                <w:u w:val="none"/>
              </w:rPr>
            </w:pPr>
            <w:r>
              <w:rPr>
                <w:rFonts w:hint="default"/>
                <w:color w:val="auto"/>
                <w:u w:val="none"/>
              </w:rPr>
              <w:t>生物多样性影响分析</w:t>
            </w:r>
          </w:p>
          <w:p w14:paraId="7BB6369E">
            <w:pPr>
              <w:keepNext w:val="0"/>
              <w:keepLines w:val="0"/>
              <w:suppressLineNumbers w:val="0"/>
              <w:bidi w:val="0"/>
              <w:spacing w:before="0" w:beforeAutospacing="0" w:after="0" w:afterAutospacing="0"/>
              <w:ind w:left="0" w:right="0"/>
              <w:jc w:val="left"/>
              <w:rPr>
                <w:rFonts w:hint="default"/>
                <w:color w:val="auto"/>
                <w:u w:val="none"/>
              </w:rPr>
            </w:pPr>
            <w:r>
              <w:rPr>
                <w:rFonts w:hint="eastAsia" w:ascii="宋体" w:hAnsi="宋体" w:eastAsia="宋体" w:cs="宋体"/>
                <w:color w:val="auto"/>
                <w:kern w:val="0"/>
                <w:sz w:val="24"/>
                <w:szCs w:val="24"/>
                <w:u w:val="none"/>
                <w:lang w:val="en-US" w:eastAsia="zh-CN" w:bidi="ar"/>
              </w:rPr>
              <w:t>本</w:t>
            </w:r>
            <w:r>
              <w:rPr>
                <w:rFonts w:hint="eastAsia" w:ascii="宋体" w:hAnsi="宋体" w:cs="宋体"/>
                <w:color w:val="auto"/>
                <w:kern w:val="0"/>
                <w:sz w:val="24"/>
                <w:szCs w:val="24"/>
                <w:u w:val="none"/>
                <w:lang w:val="en-US" w:eastAsia="zh-CN" w:bidi="ar"/>
              </w:rPr>
              <w:t>项目</w:t>
            </w:r>
            <w:r>
              <w:rPr>
                <w:rFonts w:hint="default"/>
                <w:color w:val="auto"/>
                <w:u w:val="none"/>
              </w:rPr>
              <w:t>占地范围内</w:t>
            </w:r>
            <w:r>
              <w:rPr>
                <w:rFonts w:hint="eastAsia" w:ascii="宋体" w:hAnsi="宋体" w:eastAsia="宋体" w:cs="宋体"/>
                <w:color w:val="auto"/>
                <w:kern w:val="0"/>
                <w:sz w:val="24"/>
                <w:szCs w:val="24"/>
                <w:u w:val="none"/>
                <w:lang w:val="en-US" w:eastAsia="zh-CN" w:bidi="ar"/>
              </w:rPr>
              <w:t>植物物种均为当地常见油蒿、白蒿、短花针茅等陆生植被。</w:t>
            </w:r>
            <w:r>
              <w:rPr>
                <w:rFonts w:hint="default"/>
                <w:color w:val="auto"/>
                <w:u w:val="none"/>
              </w:rPr>
              <w:t>项目施工期占地会造成短时的植被数量减少，野生动物活动会受到干扰；项目为矿山修复生态治理项目，项目通过</w:t>
            </w:r>
            <w:r>
              <w:rPr>
                <w:rFonts w:hint="eastAsia" w:ascii="宋体" w:hAnsi="宋体" w:eastAsia="宋体" w:cs="宋体"/>
                <w:b w:val="0"/>
                <w:bCs w:val="0"/>
                <w:color w:val="auto"/>
                <w:sz w:val="24"/>
                <w:szCs w:val="24"/>
                <w:u w:val="none"/>
              </w:rPr>
              <w:t>培坡护坡及凹陷处回填、场地平整、采坑回填、覆土、植被恢复</w:t>
            </w:r>
            <w:r>
              <w:rPr>
                <w:rFonts w:hint="default"/>
                <w:color w:val="auto"/>
                <w:u w:val="none"/>
              </w:rPr>
              <w:t>等</w:t>
            </w:r>
            <w:r>
              <w:rPr>
                <w:rFonts w:hint="eastAsia"/>
                <w:color w:val="auto"/>
                <w:u w:val="none"/>
                <w:lang w:val="en-US" w:eastAsia="zh-CN"/>
              </w:rPr>
              <w:t>治理措施</w:t>
            </w:r>
            <w:r>
              <w:rPr>
                <w:rFonts w:hint="default"/>
                <w:color w:val="auto"/>
                <w:u w:val="none"/>
              </w:rPr>
              <w:t>，恢复损毁土地的利用功能，增加有效耕地面积，提高项目区生态功能，项目实施对治理植被动物影响为正环境效益。因此，本项目的建设对评价区域内生物多样性的影响较小。</w:t>
            </w:r>
          </w:p>
          <w:p w14:paraId="6725A94A">
            <w:pPr>
              <w:pStyle w:val="2"/>
              <w:keepLines w:val="0"/>
              <w:numPr>
                <w:ilvl w:val="1"/>
                <w:numId w:val="2"/>
              </w:numPr>
              <w:suppressLineNumbers w:val="0"/>
              <w:bidi w:val="0"/>
              <w:spacing w:before="0" w:beforeAutospacing="0" w:after="0" w:afterAutospacing="0"/>
              <w:ind w:left="0" w:leftChars="0" w:right="0" w:firstLine="0" w:firstLineChars="0"/>
              <w:jc w:val="left"/>
              <w:rPr>
                <w:rFonts w:hint="eastAsia"/>
                <w:color w:val="auto"/>
                <w:u w:val="none"/>
                <w:lang w:val="en-US" w:eastAsia="zh-CN"/>
              </w:rPr>
            </w:pPr>
            <w:r>
              <w:rPr>
                <w:rFonts w:hint="eastAsia"/>
                <w:color w:val="auto"/>
                <w:u w:val="none"/>
                <w:lang w:val="en-US" w:eastAsia="zh-CN"/>
              </w:rPr>
              <w:t>生态系统影响分析</w:t>
            </w:r>
          </w:p>
          <w:p w14:paraId="6210EA5B">
            <w:pPr>
              <w:keepNext w:val="0"/>
              <w:keepLines w:val="0"/>
              <w:suppressLineNumbers w:val="0"/>
              <w:bidi w:val="0"/>
              <w:spacing w:before="0" w:beforeAutospacing="0" w:after="0" w:afterAutospacing="0"/>
              <w:ind w:left="0" w:right="0"/>
              <w:jc w:val="left"/>
              <w:rPr>
                <w:rFonts w:hint="default" w:ascii="宋体" w:hAnsi="宋体" w:eastAsia="宋体" w:cs="宋体"/>
                <w:b w:val="0"/>
                <w:bCs w:val="0"/>
                <w:color w:val="auto"/>
                <w:sz w:val="24"/>
                <w:szCs w:val="24"/>
                <w:highlight w:val="none"/>
                <w:u w:val="none"/>
              </w:rPr>
            </w:pPr>
            <w:r>
              <w:rPr>
                <w:rFonts w:hint="default"/>
                <w:color w:val="auto"/>
                <w:highlight w:val="none"/>
                <w:u w:val="none"/>
              </w:rPr>
              <w:t>本项目施工期间施工占地、场地清理、</w:t>
            </w:r>
            <w:r>
              <w:rPr>
                <w:rFonts w:hint="eastAsia"/>
                <w:color w:val="auto"/>
                <w:highlight w:val="none"/>
                <w:u w:val="none"/>
              </w:rPr>
              <w:t>培坡护坡及凹陷处回填、场地平整、采坑回填、覆土、植被恢复</w:t>
            </w:r>
            <w:r>
              <w:rPr>
                <w:rFonts w:hint="default"/>
                <w:color w:val="auto"/>
                <w:highlight w:val="none"/>
                <w:u w:val="none"/>
              </w:rPr>
              <w:t>等施工活动对</w:t>
            </w:r>
            <w:r>
              <w:rPr>
                <w:rFonts w:hint="eastAsia"/>
                <w:color w:val="auto"/>
                <w:highlight w:val="none"/>
                <w:u w:val="none"/>
                <w:lang w:val="en-US" w:eastAsia="zh-CN"/>
              </w:rPr>
              <w:t>生态系统</w:t>
            </w:r>
            <w:r>
              <w:rPr>
                <w:rFonts w:hint="default"/>
                <w:color w:val="auto"/>
                <w:highlight w:val="none"/>
                <w:u w:val="none"/>
              </w:rPr>
              <w:t>进行扰动</w:t>
            </w:r>
            <w:r>
              <w:rPr>
                <w:rFonts w:hint="eastAsia"/>
                <w:color w:val="auto"/>
                <w:highlight w:val="none"/>
                <w:u w:val="none"/>
                <w:lang w:eastAsia="zh-CN"/>
              </w:rPr>
              <w:t>，</w:t>
            </w:r>
            <w:r>
              <w:rPr>
                <w:rFonts w:hint="eastAsia"/>
                <w:color w:val="auto"/>
                <w:highlight w:val="none"/>
                <w:u w:val="none"/>
                <w:lang w:val="en-US" w:eastAsia="zh-CN"/>
              </w:rPr>
              <w:t>会</w:t>
            </w:r>
            <w:r>
              <w:rPr>
                <w:rFonts w:hint="eastAsia"/>
                <w:color w:val="auto"/>
                <w:sz w:val="24"/>
                <w:u w:val="none"/>
              </w:rPr>
              <w:t>造成区域</w:t>
            </w:r>
            <w:r>
              <w:rPr>
                <w:rFonts w:hint="eastAsia"/>
                <w:color w:val="auto"/>
                <w:sz w:val="24"/>
                <w:u w:val="none"/>
                <w:lang w:val="en-US" w:eastAsia="zh-CN"/>
              </w:rPr>
              <w:t>生物量的减少，生产力下降，</w:t>
            </w:r>
            <w:r>
              <w:rPr>
                <w:rFonts w:hint="eastAsia"/>
                <w:color w:val="auto"/>
                <w:sz w:val="24"/>
                <w:u w:val="none"/>
              </w:rPr>
              <w:t>生态系统服务功能</w:t>
            </w:r>
            <w:r>
              <w:rPr>
                <w:rFonts w:hint="eastAsia"/>
                <w:color w:val="auto"/>
                <w:sz w:val="24"/>
                <w:u w:val="none"/>
                <w:lang w:val="en-US" w:eastAsia="zh-CN"/>
              </w:rPr>
              <w:t>削弱。</w:t>
            </w:r>
            <w:r>
              <w:rPr>
                <w:rFonts w:hint="default" w:ascii="宋体" w:hAnsi="宋体" w:eastAsia="宋体" w:cs="宋体"/>
                <w:b w:val="0"/>
                <w:bCs w:val="0"/>
                <w:color w:val="auto"/>
                <w:sz w:val="24"/>
                <w:szCs w:val="24"/>
                <w:highlight w:val="none"/>
                <w:u w:val="none"/>
              </w:rPr>
              <w:t>本项目</w:t>
            </w:r>
            <w:r>
              <w:rPr>
                <w:rFonts w:hint="eastAsia" w:ascii="宋体" w:hAnsi="宋体" w:cs="宋体"/>
                <w:b w:val="0"/>
                <w:bCs w:val="0"/>
                <w:color w:val="auto"/>
                <w:sz w:val="24"/>
                <w:szCs w:val="24"/>
                <w:highlight w:val="none"/>
                <w:u w:val="none"/>
                <w:lang w:val="en-US" w:eastAsia="zh-CN"/>
              </w:rPr>
              <w:t>的建设</w:t>
            </w:r>
            <w:r>
              <w:rPr>
                <w:rFonts w:hint="default"/>
                <w:color w:val="auto"/>
                <w:u w:val="none"/>
              </w:rPr>
              <w:t>项目通过</w:t>
            </w:r>
            <w:r>
              <w:rPr>
                <w:rFonts w:hint="eastAsia" w:ascii="宋体" w:hAnsi="宋体" w:eastAsia="宋体" w:cs="宋体"/>
                <w:b w:val="0"/>
                <w:bCs w:val="0"/>
                <w:color w:val="auto"/>
                <w:sz w:val="24"/>
                <w:szCs w:val="24"/>
                <w:u w:val="none"/>
              </w:rPr>
              <w:t>培坡护坡及凹陷处回填、场地平整、采坑回填、覆土、植被恢复</w:t>
            </w:r>
            <w:r>
              <w:rPr>
                <w:rFonts w:hint="default"/>
                <w:color w:val="auto"/>
                <w:u w:val="none"/>
              </w:rPr>
              <w:t>等</w:t>
            </w:r>
            <w:r>
              <w:rPr>
                <w:rFonts w:hint="default" w:ascii="宋体" w:hAnsi="宋体" w:eastAsia="宋体" w:cs="宋体"/>
                <w:b w:val="0"/>
                <w:bCs w:val="0"/>
                <w:color w:val="auto"/>
                <w:sz w:val="24"/>
                <w:szCs w:val="24"/>
                <w:highlight w:val="none"/>
                <w:u w:val="none"/>
              </w:rPr>
              <w:t>生态建设</w:t>
            </w:r>
            <w:r>
              <w:rPr>
                <w:rFonts w:hint="default"/>
                <w:color w:val="auto"/>
                <w:u w:val="none"/>
              </w:rPr>
              <w:t>，</w:t>
            </w:r>
            <w:r>
              <w:rPr>
                <w:rFonts w:hint="eastAsia"/>
                <w:color w:val="auto"/>
                <w:u w:val="none"/>
                <w:lang w:val="en-US" w:eastAsia="zh-CN"/>
              </w:rPr>
              <w:t>可</w:t>
            </w:r>
            <w:r>
              <w:rPr>
                <w:rFonts w:hint="default"/>
                <w:color w:val="auto"/>
                <w:u w:val="none"/>
              </w:rPr>
              <w:t>恢复损毁土地的利用功能</w:t>
            </w:r>
            <w:r>
              <w:rPr>
                <w:rFonts w:hint="eastAsia"/>
                <w:color w:val="auto"/>
                <w:u w:val="none"/>
                <w:lang w:eastAsia="zh-CN"/>
              </w:rPr>
              <w:t>，</w:t>
            </w:r>
            <w:r>
              <w:rPr>
                <w:rFonts w:hint="default"/>
                <w:color w:val="auto"/>
                <w:u w:val="none"/>
              </w:rPr>
              <w:t>增加有效耕地面积，提高项目区生态功能</w:t>
            </w:r>
            <w:r>
              <w:rPr>
                <w:rFonts w:hint="eastAsia"/>
                <w:color w:val="auto"/>
                <w:u w:val="none"/>
                <w:lang w:val="en-US" w:eastAsia="zh-CN"/>
              </w:rPr>
              <w:t>等，对区域生态系统的影响</w:t>
            </w:r>
            <w:r>
              <w:rPr>
                <w:rFonts w:hint="default"/>
                <w:color w:val="auto"/>
                <w:u w:val="none"/>
              </w:rPr>
              <w:t>为正环境效益</w:t>
            </w:r>
            <w:r>
              <w:rPr>
                <w:rFonts w:hint="eastAsia"/>
                <w:color w:val="auto"/>
                <w:u w:val="none"/>
                <w:lang w:eastAsia="zh-CN"/>
              </w:rPr>
              <w:t>。</w:t>
            </w:r>
            <w:r>
              <w:rPr>
                <w:rFonts w:hint="eastAsia"/>
                <w:color w:val="auto"/>
                <w:u w:val="none"/>
                <w:lang w:val="en-US" w:eastAsia="zh-CN"/>
              </w:rPr>
              <w:t>因此，</w:t>
            </w:r>
            <w:r>
              <w:rPr>
                <w:rFonts w:hint="default"/>
                <w:color w:val="auto"/>
                <w:u w:val="none"/>
              </w:rPr>
              <w:t>本项目的建设对评价区域</w:t>
            </w:r>
            <w:r>
              <w:rPr>
                <w:rFonts w:hint="eastAsia"/>
                <w:color w:val="auto"/>
                <w:u w:val="none"/>
                <w:lang w:val="en-US" w:eastAsia="zh-CN"/>
              </w:rPr>
              <w:t>生态系统影响</w:t>
            </w:r>
            <w:r>
              <w:rPr>
                <w:rFonts w:hint="default"/>
                <w:color w:val="auto"/>
                <w:u w:val="none"/>
              </w:rPr>
              <w:t>较小</w:t>
            </w:r>
            <w:r>
              <w:rPr>
                <w:rFonts w:hint="default" w:ascii="宋体" w:hAnsi="宋体" w:eastAsia="宋体" w:cs="宋体"/>
                <w:b w:val="0"/>
                <w:bCs w:val="0"/>
                <w:color w:val="auto"/>
                <w:sz w:val="24"/>
                <w:szCs w:val="24"/>
                <w:highlight w:val="none"/>
                <w:u w:val="none"/>
              </w:rPr>
              <w:t>。</w:t>
            </w:r>
          </w:p>
          <w:p w14:paraId="220FAAF7">
            <w:pPr>
              <w:pStyle w:val="2"/>
              <w:keepLines w:val="0"/>
              <w:numPr>
                <w:ilvl w:val="1"/>
                <w:numId w:val="2"/>
              </w:numPr>
              <w:suppressLineNumbers w:val="0"/>
              <w:bidi w:val="0"/>
              <w:spacing w:before="0" w:beforeAutospacing="0" w:after="0" w:afterAutospacing="0"/>
              <w:ind w:left="0" w:leftChars="0" w:right="0" w:firstLine="0" w:firstLineChars="0"/>
              <w:rPr>
                <w:rFonts w:hint="eastAsia"/>
                <w:color w:val="auto"/>
                <w:lang w:val="en-US" w:eastAsia="zh-CN"/>
              </w:rPr>
            </w:pPr>
            <w:r>
              <w:rPr>
                <w:rFonts w:hint="eastAsia"/>
                <w:color w:val="auto"/>
                <w:lang w:val="en-US" w:eastAsia="zh-CN"/>
              </w:rPr>
              <w:t>对水生生态影响分析</w:t>
            </w:r>
          </w:p>
          <w:p w14:paraId="377CF931">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eastAsia"/>
                <w:color w:val="auto"/>
                <w:lang w:val="en-US" w:eastAsia="zh-CN"/>
              </w:rPr>
              <w:t>本项目A1治理区范围内有1处水塘，A34治理区范围内有1水塘，水塘水来源于天然雨水，主要用于周边植物灌溉和动物饮用。A1治理区施工内容为覆土、穴播草籽绿化、培坡护坡、围栏工程，A34治理区施工内容为场地平整、覆土、穴播草籽绿化。场地平整、覆土工程</w:t>
            </w:r>
            <w:r>
              <w:rPr>
                <w:rFonts w:hint="default" w:ascii="Arial" w:hAnsi="Arial" w:eastAsia="Arial" w:cs="Arial"/>
                <w:i w:val="0"/>
                <w:iCs w:val="0"/>
                <w:caps w:val="0"/>
                <w:color w:val="auto"/>
                <w:spacing w:val="0"/>
                <w:sz w:val="24"/>
                <w:szCs w:val="24"/>
                <w:shd w:val="clear" w:fill="FFFFFF"/>
              </w:rPr>
              <w:t>可能导致</w:t>
            </w:r>
            <w:r>
              <w:rPr>
                <w:rFonts w:hint="eastAsia" w:ascii="Arial" w:hAnsi="Arial" w:eastAsia="宋体" w:cs="Arial"/>
                <w:i w:val="0"/>
                <w:iCs w:val="0"/>
                <w:caps w:val="0"/>
                <w:color w:val="auto"/>
                <w:spacing w:val="0"/>
                <w:sz w:val="24"/>
                <w:szCs w:val="24"/>
                <w:shd w:val="clear" w:fill="FFFFFF"/>
                <w:lang w:val="en-US" w:eastAsia="zh-CN"/>
              </w:rPr>
              <w:t>颗粒物等其他污染物进入水塘</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增加悬浮物浓度</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降低水体透明度，阻碍水生生物光合作用</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施工机械震动、噪音可能干扰水生生物行为</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甚至导致幼体死亡</w:t>
            </w:r>
            <w:r>
              <w:rPr>
                <w:rFonts w:hint="eastAsia" w:ascii="Arial" w:hAnsi="Arial" w:eastAsia="宋体" w:cs="Arial"/>
                <w:i w:val="0"/>
                <w:iCs w:val="0"/>
                <w:caps w:val="0"/>
                <w:color w:val="auto"/>
                <w:spacing w:val="0"/>
                <w:sz w:val="24"/>
                <w:szCs w:val="24"/>
                <w:shd w:val="clear" w:fill="FFFFFF"/>
                <w:lang w:eastAsia="zh-CN"/>
              </w:rPr>
              <w:t>。</w:t>
            </w:r>
            <w:r>
              <w:rPr>
                <w:rFonts w:hint="eastAsia" w:ascii="Arial" w:hAnsi="Arial" w:eastAsia="宋体" w:cs="Arial"/>
                <w:i w:val="0"/>
                <w:iCs w:val="0"/>
                <w:caps w:val="0"/>
                <w:color w:val="auto"/>
                <w:spacing w:val="0"/>
                <w:sz w:val="24"/>
                <w:szCs w:val="24"/>
                <w:shd w:val="clear" w:fill="FFFFFF"/>
                <w:lang w:val="en-US" w:eastAsia="zh-CN"/>
              </w:rPr>
              <w:t>水塘内水生生物较少，水塘周边设置围栏，</w:t>
            </w:r>
            <w:r>
              <w:rPr>
                <w:rFonts w:hint="eastAsia"/>
                <w:color w:val="auto"/>
                <w:lang w:val="en-US" w:eastAsia="zh-CN"/>
              </w:rPr>
              <w:t>场地平整、覆土工程量较小且不在水塘周围，施工期间扬尘较大时使用洒水车洒水抑尘，因此本项目</w:t>
            </w:r>
            <w:r>
              <w:rPr>
                <w:rFonts w:hint="eastAsia"/>
                <w:bCs/>
                <w:color w:val="auto"/>
                <w:kern w:val="2"/>
                <w:sz w:val="24"/>
                <w:szCs w:val="24"/>
                <w:lang w:val="en-US" w:eastAsia="zh-CN"/>
              </w:rPr>
              <w:t>施工期</w:t>
            </w:r>
            <w:r>
              <w:rPr>
                <w:rFonts w:hint="default"/>
                <w:bCs/>
                <w:color w:val="auto"/>
                <w:kern w:val="2"/>
                <w:sz w:val="24"/>
                <w:szCs w:val="24"/>
                <w:lang w:val="en-US" w:eastAsia="zh-CN"/>
              </w:rPr>
              <w:t>对水生生态的影响在可接受范围之内</w:t>
            </w:r>
            <w:r>
              <w:rPr>
                <w:rFonts w:hint="eastAsia"/>
                <w:bCs/>
                <w:color w:val="auto"/>
                <w:kern w:val="2"/>
                <w:sz w:val="24"/>
                <w:szCs w:val="24"/>
                <w:lang w:val="en-US" w:eastAsia="zh-CN"/>
              </w:rPr>
              <w:t>。</w:t>
            </w:r>
            <w:r>
              <w:rPr>
                <w:rFonts w:hint="default" w:ascii="Arial" w:hAnsi="Arial" w:eastAsia="Arial" w:cs="Arial"/>
                <w:i w:val="0"/>
                <w:iCs w:val="0"/>
                <w:caps w:val="0"/>
                <w:color w:val="auto"/>
                <w:spacing w:val="0"/>
                <w:sz w:val="24"/>
                <w:szCs w:val="24"/>
                <w:shd w:val="clear" w:fill="FFFFFF"/>
              </w:rPr>
              <w:t>‌‌</w:t>
            </w:r>
          </w:p>
          <w:p w14:paraId="551BA20D">
            <w:pPr>
              <w:pStyle w:val="2"/>
              <w:keepLines w:val="0"/>
              <w:numPr>
                <w:ilvl w:val="0"/>
                <w:numId w:val="0"/>
              </w:numPr>
              <w:suppressLineNumbers w:val="0"/>
              <w:bidi w:val="0"/>
              <w:spacing w:before="0" w:beforeAutospacing="0" w:after="0" w:afterAutospacing="0"/>
              <w:ind w:left="0" w:leftChars="0" w:right="0" w:rightChars="0"/>
              <w:jc w:val="left"/>
              <w:rPr>
                <w:rFonts w:hint="default"/>
                <w:color w:val="auto"/>
                <w:u w:val="none"/>
                <w:lang w:val="en-US" w:eastAsia="zh-CN"/>
              </w:rPr>
            </w:pPr>
            <w:r>
              <w:rPr>
                <w:rFonts w:hint="eastAsia"/>
                <w:color w:val="auto"/>
                <w:u w:val="none"/>
                <w:lang w:val="en-US" w:eastAsia="zh-CN"/>
              </w:rPr>
              <w:t xml:space="preserve">1.8 </w:t>
            </w:r>
            <w:r>
              <w:rPr>
                <w:rFonts w:hint="default"/>
                <w:color w:val="auto"/>
                <w:u w:val="none"/>
                <w:lang w:val="en-US" w:eastAsia="zh-CN"/>
              </w:rPr>
              <w:t>小结</w:t>
            </w:r>
          </w:p>
          <w:p w14:paraId="2C394723">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eastAsia" w:ascii="宋体" w:hAnsi="宋体" w:eastAsia="宋体" w:cs="宋体"/>
                <w:color w:val="auto"/>
                <w:kern w:val="0"/>
                <w:sz w:val="24"/>
                <w:szCs w:val="24"/>
                <w:u w:val="none"/>
                <w:lang w:val="en-US" w:eastAsia="zh-CN" w:bidi="ar"/>
              </w:rPr>
              <w:t>综上，本项目工程量小、施工时间短，施工期会对周边生态环境影响有限，并随施工期的结束、植被恢复，将逐渐得到缓解，并趋于稳定。</w:t>
            </w:r>
          </w:p>
          <w:p w14:paraId="25C46DF0">
            <w:pPr>
              <w:pStyle w:val="2"/>
              <w:keepLines w:val="0"/>
              <w:suppressLineNumbers w:val="0"/>
              <w:bidi w:val="0"/>
              <w:spacing w:before="0" w:beforeAutospacing="0" w:after="0" w:afterAutospacing="0"/>
              <w:ind w:left="0" w:right="0"/>
              <w:jc w:val="left"/>
              <w:rPr>
                <w:rFonts w:hint="default"/>
                <w:color w:val="auto"/>
                <w:u w:val="none"/>
                <w:lang w:val="en-US" w:eastAsia="zh-CN"/>
              </w:rPr>
            </w:pPr>
            <w:r>
              <w:rPr>
                <w:rFonts w:hint="default"/>
                <w:color w:val="auto"/>
                <w:u w:val="none"/>
                <w:lang w:val="en-US" w:eastAsia="zh-CN"/>
              </w:rPr>
              <w:t>2</w:t>
            </w:r>
            <w:r>
              <w:rPr>
                <w:rFonts w:hint="eastAsia"/>
                <w:color w:val="auto"/>
                <w:u w:val="none"/>
                <w:lang w:val="en-US" w:eastAsia="zh-CN"/>
              </w:rPr>
              <w:t xml:space="preserve"> </w:t>
            </w:r>
            <w:r>
              <w:rPr>
                <w:rFonts w:hint="default"/>
                <w:color w:val="auto"/>
                <w:u w:val="none"/>
                <w:lang w:val="en-US" w:eastAsia="zh-CN"/>
              </w:rPr>
              <w:t>施工废气影响分析</w:t>
            </w:r>
          </w:p>
          <w:p w14:paraId="76535623">
            <w:pPr>
              <w:keepNext w:val="0"/>
              <w:keepLines w:val="0"/>
              <w:suppressLineNumbers w:val="0"/>
              <w:bidi w:val="0"/>
              <w:spacing w:before="0" w:beforeAutospacing="0" w:after="0" w:afterAutospacing="0"/>
              <w:ind w:left="0" w:right="0"/>
              <w:jc w:val="left"/>
              <w:rPr>
                <w:rFonts w:hint="eastAsia" w:cs="Times New Roman"/>
                <w:color w:val="auto"/>
                <w:u w:val="none"/>
              </w:rPr>
            </w:pPr>
            <w:r>
              <w:rPr>
                <w:rFonts w:hint="eastAsia" w:cs="Times New Roman"/>
                <w:color w:val="auto"/>
                <w:u w:val="none"/>
              </w:rPr>
              <w:t>环境空气污染主要是土方开挖、运输等施工过程中产生的粉尘、扬尘，机械施工、车辆运行、柴油发电机发电等产生的废气对周边环境空气产生一定的污染，主要污染物为CO、NO</w:t>
            </w:r>
            <w:r>
              <w:rPr>
                <w:rFonts w:hint="eastAsia" w:cs="Times New Roman"/>
                <w:color w:val="auto"/>
                <w:u w:val="none"/>
                <w:vertAlign w:val="subscript"/>
              </w:rPr>
              <w:t>2</w:t>
            </w:r>
            <w:r>
              <w:rPr>
                <w:rFonts w:hint="eastAsia" w:cs="Times New Roman"/>
                <w:color w:val="auto"/>
                <w:u w:val="none"/>
              </w:rPr>
              <w:t>、SO</w:t>
            </w:r>
            <w:r>
              <w:rPr>
                <w:rFonts w:hint="eastAsia" w:cs="Times New Roman"/>
                <w:color w:val="auto"/>
                <w:u w:val="none"/>
                <w:vertAlign w:val="subscript"/>
              </w:rPr>
              <w:t>2</w:t>
            </w:r>
            <w:r>
              <w:rPr>
                <w:rFonts w:hint="eastAsia" w:cs="Times New Roman"/>
                <w:color w:val="auto"/>
                <w:u w:val="none"/>
              </w:rPr>
              <w:t>等。</w:t>
            </w:r>
            <w:r>
              <w:rPr>
                <w:rFonts w:hint="eastAsia" w:cs="Times New Roman"/>
                <w:color w:val="auto"/>
                <w:u w:val="none"/>
                <w:lang w:eastAsia="zh-CN"/>
              </w:rPr>
              <w:t>本项目</w:t>
            </w:r>
            <w:r>
              <w:rPr>
                <w:rFonts w:hint="eastAsia" w:cs="Times New Roman"/>
                <w:color w:val="auto"/>
                <w:u w:val="none"/>
              </w:rPr>
              <w:t>施工中主要在以下几个方面对施工区的大气环境质量产生影响：</w:t>
            </w:r>
          </w:p>
          <w:p w14:paraId="464BFEBB">
            <w:pPr>
              <w:keepNext w:val="0"/>
              <w:keepLines w:val="0"/>
              <w:suppressLineNumbers w:val="0"/>
              <w:bidi w:val="0"/>
              <w:spacing w:before="0" w:beforeAutospacing="0" w:after="0" w:afterAutospacing="0"/>
              <w:ind w:left="0" w:right="0"/>
              <w:jc w:val="left"/>
              <w:rPr>
                <w:rFonts w:hint="eastAsia" w:cs="Times New Roman"/>
                <w:color w:val="auto"/>
                <w:u w:val="none"/>
              </w:rPr>
            </w:pPr>
            <w:r>
              <w:rPr>
                <w:rFonts w:hint="eastAsia" w:cs="Times New Roman"/>
                <w:color w:val="auto"/>
                <w:u w:val="none"/>
              </w:rPr>
              <w:t>⑴施工现场扬尘</w:t>
            </w:r>
          </w:p>
          <w:p w14:paraId="6BC46C4F">
            <w:pPr>
              <w:keepNext w:val="0"/>
              <w:keepLines w:val="0"/>
              <w:suppressLineNumbers w:val="0"/>
              <w:bidi w:val="0"/>
              <w:spacing w:before="0" w:beforeAutospacing="0" w:after="0" w:afterAutospacing="0"/>
              <w:ind w:left="0" w:right="0"/>
              <w:jc w:val="left"/>
              <w:rPr>
                <w:rFonts w:hint="eastAsia" w:cs="Times New Roman"/>
                <w:color w:val="auto"/>
                <w:u w:val="none"/>
              </w:rPr>
            </w:pPr>
            <w:r>
              <w:rPr>
                <w:rFonts w:hint="eastAsia" w:cs="Times New Roman"/>
                <w:color w:val="auto"/>
                <w:u w:val="none"/>
              </w:rPr>
              <w:t>施工作业面扬尘：施工作业面的裸露地面，在干燥天气，尤其是在大风时容易产生扬尘；开挖面、开挖场、推整点和利用材料堆放场等施工作业面均会产生扬尘；扬尘产生量与作业面大小、施工机械、施工方法、天气状况及洒水频率等都有关系。工程区主要是土方开挖、临时材料堆放等施工过程会产生粉尘。根据施工工程的调查资料，工程施工期间施工现场近地面粉尘浓度可达1.5～30mg/m</w:t>
            </w:r>
            <w:r>
              <w:rPr>
                <w:rFonts w:hint="eastAsia" w:cs="Times New Roman"/>
                <w:color w:val="auto"/>
                <w:u w:val="none"/>
                <w:vertAlign w:val="superscript"/>
              </w:rPr>
              <w:t>3</w:t>
            </w:r>
            <w:r>
              <w:rPr>
                <w:rFonts w:hint="eastAsia" w:cs="Times New Roman"/>
                <w:color w:val="auto"/>
                <w:u w:val="none"/>
              </w:rPr>
              <w:t>。施工中土石方开挖等产生的扬尘，基本上都是间歇式排放。一般只要定时洒水，施工作业面扬尘即可得到有效控制，对环境影响较小。</w:t>
            </w:r>
          </w:p>
          <w:p w14:paraId="0BB8BB1A">
            <w:pPr>
              <w:keepNext w:val="0"/>
              <w:keepLines w:val="0"/>
              <w:suppressLineNumbers w:val="0"/>
              <w:bidi w:val="0"/>
              <w:spacing w:before="0" w:beforeAutospacing="0" w:after="0" w:afterAutospacing="0"/>
              <w:ind w:left="0" w:right="0"/>
              <w:jc w:val="left"/>
              <w:rPr>
                <w:rFonts w:hint="eastAsia" w:cs="Times New Roman"/>
                <w:color w:val="auto"/>
                <w:u w:val="none"/>
              </w:rPr>
            </w:pPr>
            <w:r>
              <w:rPr>
                <w:rFonts w:hint="eastAsia" w:cs="Times New Roman"/>
                <w:color w:val="auto"/>
                <w:u w:val="none"/>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另外施工区进场公路附近分布有居民，故交通运输扬尘还有可能对上述居民产生影响。</w:t>
            </w:r>
          </w:p>
          <w:p w14:paraId="53316503">
            <w:pPr>
              <w:keepNext w:val="0"/>
              <w:keepLines w:val="0"/>
              <w:suppressLineNumbers w:val="0"/>
              <w:bidi w:val="0"/>
              <w:spacing w:before="0" w:beforeAutospacing="0" w:after="0" w:afterAutospacing="0"/>
              <w:ind w:left="0" w:right="0"/>
              <w:jc w:val="left"/>
              <w:rPr>
                <w:rFonts w:hint="eastAsia" w:cs="Times New Roman"/>
                <w:color w:val="auto"/>
                <w:u w:val="none"/>
              </w:rPr>
            </w:pPr>
            <w:r>
              <w:rPr>
                <w:rFonts w:hint="eastAsia" w:cs="Times New Roman"/>
                <w:color w:val="auto"/>
                <w:u w:val="none"/>
              </w:rPr>
              <w:t>⑵机械尾气</w:t>
            </w:r>
          </w:p>
          <w:p w14:paraId="17A56B7B">
            <w:pPr>
              <w:keepNext w:val="0"/>
              <w:keepLines w:val="0"/>
              <w:suppressLineNumbers w:val="0"/>
              <w:bidi w:val="0"/>
              <w:spacing w:before="0" w:beforeAutospacing="0" w:after="0" w:afterAutospacing="0"/>
              <w:ind w:left="0" w:right="0"/>
              <w:jc w:val="left"/>
              <w:rPr>
                <w:rFonts w:hint="default" w:cs="Times New Roman"/>
                <w:color w:val="auto"/>
                <w:u w:val="none"/>
              </w:rPr>
            </w:pPr>
            <w:r>
              <w:rPr>
                <w:rFonts w:hint="eastAsia" w:cs="Times New Roman"/>
                <w:color w:val="auto"/>
                <w:u w:val="none"/>
              </w:rPr>
              <w:t>项目施工期间，使用液体燃料的施工机械及运输车辆排放的尾气中含有CO、NO</w:t>
            </w:r>
            <w:r>
              <w:rPr>
                <w:rFonts w:hint="eastAsia" w:cs="Times New Roman"/>
                <w:color w:val="auto"/>
                <w:u w:val="none"/>
                <w:vertAlign w:val="subscript"/>
              </w:rPr>
              <w:t>x</w:t>
            </w:r>
            <w:r>
              <w:rPr>
                <w:rFonts w:hint="eastAsia" w:cs="Times New Roman"/>
                <w:color w:val="auto"/>
                <w:u w:val="none"/>
              </w:rPr>
              <w:t>以及未完全燃烧的THC等，一般情况下，各种污染物的排放量不大。由于污染源较分散，且为流动性，影响是短期的、局部的。</w:t>
            </w:r>
          </w:p>
          <w:p w14:paraId="3109BD53">
            <w:pPr>
              <w:pStyle w:val="2"/>
              <w:keepLines w:val="0"/>
              <w:suppressLineNumbers w:val="0"/>
              <w:bidi w:val="0"/>
              <w:spacing w:before="0" w:beforeAutospacing="0" w:after="0" w:afterAutospacing="0"/>
              <w:ind w:left="0" w:right="0"/>
              <w:jc w:val="left"/>
              <w:rPr>
                <w:rFonts w:hint="default"/>
                <w:color w:val="auto"/>
                <w:u w:val="none"/>
                <w:lang w:val="en-US" w:eastAsia="zh-CN"/>
              </w:rPr>
            </w:pPr>
            <w:r>
              <w:rPr>
                <w:rFonts w:hint="default"/>
                <w:color w:val="auto"/>
                <w:u w:val="none"/>
                <w:lang w:val="en-US" w:eastAsia="zh-CN"/>
              </w:rPr>
              <w:t>3</w:t>
            </w:r>
            <w:r>
              <w:rPr>
                <w:rFonts w:hint="eastAsia"/>
                <w:color w:val="auto"/>
                <w:u w:val="none"/>
                <w:lang w:val="en-US" w:eastAsia="zh-CN"/>
              </w:rPr>
              <w:t xml:space="preserve"> </w:t>
            </w:r>
            <w:r>
              <w:rPr>
                <w:rFonts w:hint="default"/>
                <w:color w:val="auto"/>
                <w:u w:val="none"/>
                <w:lang w:val="en-US" w:eastAsia="zh-CN"/>
              </w:rPr>
              <w:t>废水影响分析</w:t>
            </w:r>
          </w:p>
          <w:p w14:paraId="71B4E2D6">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eastAsia" w:ascii="宋体" w:hAnsi="宋体" w:cs="宋体"/>
                <w:color w:val="auto"/>
                <w:kern w:val="0"/>
                <w:sz w:val="24"/>
                <w:szCs w:val="24"/>
                <w:u w:val="none"/>
                <w:lang w:val="en-US" w:eastAsia="zh-CN" w:bidi="ar"/>
              </w:rPr>
              <w:t>施工期</w:t>
            </w:r>
            <w:r>
              <w:rPr>
                <w:rFonts w:hint="eastAsia" w:ascii="宋体" w:hAnsi="宋体" w:eastAsia="宋体" w:cs="宋体"/>
                <w:color w:val="auto"/>
                <w:kern w:val="0"/>
                <w:sz w:val="24"/>
                <w:szCs w:val="24"/>
                <w:u w:val="none"/>
                <w:lang w:val="en-US" w:eastAsia="zh-CN" w:bidi="ar"/>
              </w:rPr>
              <w:t>生活污水依托周边村庄旱厕处理，项目区无废水排放，运营期</w:t>
            </w:r>
            <w:r>
              <w:rPr>
                <w:rFonts w:hint="eastAsia" w:ascii="宋体" w:hAnsi="宋体" w:cs="宋体"/>
                <w:color w:val="auto"/>
                <w:kern w:val="0"/>
                <w:sz w:val="24"/>
                <w:szCs w:val="24"/>
                <w:u w:val="none"/>
                <w:lang w:val="en-US" w:eastAsia="zh-CN" w:bidi="ar"/>
              </w:rPr>
              <w:t>无废水排放，</w:t>
            </w:r>
            <w:r>
              <w:rPr>
                <w:rFonts w:hint="eastAsia" w:ascii="宋体" w:hAnsi="宋体" w:eastAsia="宋体" w:cs="宋体"/>
                <w:color w:val="auto"/>
                <w:kern w:val="0"/>
                <w:sz w:val="24"/>
                <w:szCs w:val="24"/>
                <w:u w:val="none"/>
                <w:lang w:val="en-US" w:eastAsia="zh-CN" w:bidi="ar"/>
              </w:rPr>
              <w:t>基本不会对外环境产生影响。</w:t>
            </w:r>
          </w:p>
          <w:p w14:paraId="379040A5">
            <w:pPr>
              <w:pStyle w:val="2"/>
              <w:keepLines w:val="0"/>
              <w:suppressLineNumbers w:val="0"/>
              <w:bidi w:val="0"/>
              <w:spacing w:before="0" w:beforeAutospacing="0" w:after="0" w:afterAutospacing="0"/>
              <w:ind w:left="0" w:right="0"/>
              <w:jc w:val="left"/>
              <w:rPr>
                <w:rFonts w:hint="default"/>
                <w:color w:val="auto"/>
                <w:u w:val="none"/>
                <w:lang w:val="en-US" w:eastAsia="zh-CN"/>
              </w:rPr>
            </w:pPr>
            <w:r>
              <w:rPr>
                <w:rFonts w:hint="default"/>
                <w:color w:val="auto"/>
                <w:u w:val="none"/>
                <w:lang w:val="en-US" w:eastAsia="zh-CN"/>
              </w:rPr>
              <w:t>4</w:t>
            </w:r>
            <w:r>
              <w:rPr>
                <w:rFonts w:hint="eastAsia"/>
                <w:color w:val="auto"/>
                <w:u w:val="none"/>
                <w:lang w:val="en-US" w:eastAsia="zh-CN"/>
              </w:rPr>
              <w:t xml:space="preserve"> </w:t>
            </w:r>
            <w:r>
              <w:rPr>
                <w:rFonts w:hint="default"/>
                <w:color w:val="auto"/>
                <w:u w:val="none"/>
                <w:lang w:val="en-US" w:eastAsia="zh-CN"/>
              </w:rPr>
              <w:t>噪声影响分析</w:t>
            </w:r>
          </w:p>
          <w:p w14:paraId="3A20C14E">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0"/>
                <w:sz w:val="24"/>
                <w:szCs w:val="24"/>
                <w:u w:val="none"/>
                <w:lang w:val="en-US" w:eastAsia="zh-CN" w:bidi="ar"/>
              </w:rPr>
            </w:pPr>
            <w:r>
              <w:rPr>
                <w:rFonts w:hint="eastAsia" w:ascii="宋体" w:hAnsi="宋体" w:eastAsia="宋体" w:cs="宋体"/>
                <w:color w:val="auto"/>
                <w:kern w:val="0"/>
                <w:sz w:val="24"/>
                <w:szCs w:val="24"/>
                <w:u w:val="none"/>
                <w:lang w:val="en-US" w:eastAsia="zh-CN" w:bidi="ar"/>
              </w:rPr>
              <w:t>本项目施工期噪声主要为土建噪声和挖掘机、装卸机、推土机、运输车等施工机械噪声，常用建筑施工机械的声压级及距施工机械不同距离处的噪声级见表</w:t>
            </w:r>
            <w:r>
              <w:rPr>
                <w:rFonts w:hint="default" w:ascii="Times New Roman" w:hAnsi="Times New Roman" w:eastAsia="宋体" w:cs="Times New Roman"/>
                <w:color w:val="auto"/>
                <w:kern w:val="0"/>
                <w:sz w:val="24"/>
                <w:szCs w:val="24"/>
                <w:u w:val="none"/>
                <w:lang w:val="en-US" w:eastAsia="zh-CN" w:bidi="ar"/>
              </w:rPr>
              <w:t>4-1</w:t>
            </w:r>
          </w:p>
          <w:p w14:paraId="512373D6">
            <w:pPr>
              <w:pStyle w:val="3"/>
              <w:keepNext w:val="0"/>
              <w:keepLines w:val="0"/>
              <w:suppressLineNumbers w:val="0"/>
              <w:bidi w:val="0"/>
              <w:spacing w:before="0" w:beforeAutospacing="0" w:after="0" w:afterAutospacing="0"/>
              <w:ind w:left="0" w:right="0"/>
              <w:jc w:val="center"/>
              <w:rPr>
                <w:rFonts w:hint="default"/>
                <w:color w:val="auto"/>
                <w:u w:val="none"/>
                <w:vertAlign w:val="baseline"/>
              </w:rPr>
            </w:pPr>
            <w:r>
              <w:rPr>
                <w:rFonts w:hint="default" w:ascii="黑体" w:hAnsi="宋体" w:eastAsia="黑体" w:cs="黑体"/>
                <w:color w:val="auto"/>
                <w:kern w:val="0"/>
                <w:sz w:val="24"/>
                <w:szCs w:val="24"/>
                <w:u w:val="none"/>
                <w:lang w:val="en-US" w:eastAsia="zh-CN" w:bidi="ar"/>
              </w:rPr>
              <w:t>表</w:t>
            </w:r>
            <w:r>
              <w:rPr>
                <w:rFonts w:hint="default" w:ascii="Times New Roman" w:hAnsi="Times New Roman" w:eastAsia="宋体" w:cs="Times New Roman"/>
                <w:color w:val="auto"/>
                <w:kern w:val="0"/>
                <w:sz w:val="24"/>
                <w:szCs w:val="24"/>
                <w:u w:val="none"/>
                <w:lang w:val="en-US" w:eastAsia="zh-CN" w:bidi="ar"/>
              </w:rPr>
              <w:t>4-1</w:t>
            </w:r>
            <w:r>
              <w:rPr>
                <w:rFonts w:hint="eastAsia" w:eastAsia="宋体" w:cs="Times New Roman"/>
                <w:color w:val="auto"/>
                <w:kern w:val="0"/>
                <w:sz w:val="24"/>
                <w:szCs w:val="24"/>
                <w:u w:val="none"/>
                <w:lang w:val="en-US" w:eastAsia="zh-CN" w:bidi="ar"/>
              </w:rPr>
              <w:t xml:space="preserve"> </w:t>
            </w:r>
            <w:r>
              <w:rPr>
                <w:rFonts w:hint="default" w:ascii="Times New Roman" w:hAnsi="Times New Roman" w:eastAsia="宋体" w:cs="Times New Roman"/>
                <w:color w:val="auto"/>
                <w:kern w:val="0"/>
                <w:sz w:val="24"/>
                <w:szCs w:val="24"/>
                <w:u w:val="none"/>
                <w:lang w:val="en-US" w:eastAsia="zh-CN" w:bidi="ar"/>
              </w:rPr>
              <w:t xml:space="preserve"> </w:t>
            </w:r>
            <w:r>
              <w:rPr>
                <w:rFonts w:hint="eastAsia" w:ascii="黑体" w:hAnsi="宋体" w:eastAsia="黑体" w:cs="黑体"/>
                <w:color w:val="auto"/>
                <w:kern w:val="0"/>
                <w:sz w:val="24"/>
                <w:szCs w:val="24"/>
                <w:u w:val="none"/>
                <w:lang w:val="en-US" w:eastAsia="zh-CN" w:bidi="ar"/>
              </w:rPr>
              <w:t>距主要施工机械不同距离处的噪声级</w:t>
            </w:r>
            <w:r>
              <w:rPr>
                <w:rFonts w:hint="eastAsia" w:ascii="黑体" w:hAnsi="宋体" w:cs="黑体"/>
                <w:color w:val="auto"/>
                <w:kern w:val="0"/>
                <w:sz w:val="24"/>
                <w:szCs w:val="24"/>
                <w:u w:val="none"/>
                <w:lang w:val="en-US" w:eastAsia="zh-CN" w:bidi="ar"/>
              </w:rPr>
              <w:t xml:space="preserve"> </w:t>
            </w:r>
            <w:r>
              <w:rPr>
                <w:rFonts w:hint="default" w:ascii="Times New Roman" w:hAnsi="Times New Roman" w:eastAsia="宋体" w:cs="Times New Roman"/>
                <w:color w:val="auto"/>
                <w:kern w:val="0"/>
                <w:sz w:val="24"/>
                <w:szCs w:val="24"/>
                <w:u w:val="none"/>
                <w:lang w:val="en-US" w:eastAsia="zh-CN" w:bidi="ar"/>
              </w:rPr>
              <w:t xml:space="preserve"> </w:t>
            </w:r>
            <w:r>
              <w:rPr>
                <w:rFonts w:hint="eastAsia" w:ascii="黑体" w:hAnsi="宋体" w:eastAsia="黑体" w:cs="黑体"/>
                <w:color w:val="auto"/>
                <w:kern w:val="0"/>
                <w:sz w:val="24"/>
                <w:szCs w:val="24"/>
                <w:u w:val="none"/>
                <w:lang w:val="en-US" w:eastAsia="zh-CN" w:bidi="ar"/>
              </w:rPr>
              <w:t>单位</w:t>
            </w:r>
            <w:r>
              <w:rPr>
                <w:rFonts w:hint="eastAsia" w:eastAsia="宋体" w:cs="Times New Roman"/>
                <w:color w:val="auto"/>
                <w:kern w:val="0"/>
                <w:sz w:val="24"/>
                <w:szCs w:val="24"/>
                <w:u w:val="none"/>
                <w:lang w:val="en-US" w:eastAsia="zh-CN" w:bidi="ar"/>
              </w:rPr>
              <w:t>：</w:t>
            </w:r>
            <w:r>
              <w:rPr>
                <w:rFonts w:hint="default" w:ascii="Times New Roman" w:hAnsi="Times New Roman" w:eastAsia="宋体" w:cs="Times New Roman"/>
                <w:color w:val="auto"/>
                <w:kern w:val="0"/>
                <w:sz w:val="24"/>
                <w:szCs w:val="24"/>
                <w:u w:val="none"/>
                <w:lang w:val="en-US" w:eastAsia="zh-CN" w:bidi="ar"/>
              </w:rPr>
              <w:t>dB(A)</w:t>
            </w:r>
          </w:p>
          <w:tbl>
            <w:tblPr>
              <w:tblStyle w:val="27"/>
              <w:tblW w:w="5000" w:type="pct"/>
              <w:tblInd w:w="-6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014"/>
              <w:gridCol w:w="1003"/>
              <w:gridCol w:w="1066"/>
              <w:gridCol w:w="1079"/>
              <w:gridCol w:w="1066"/>
              <w:gridCol w:w="1003"/>
              <w:gridCol w:w="916"/>
            </w:tblGrid>
            <w:tr w14:paraId="03300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vMerge w:val="restart"/>
                  <w:tcBorders>
                    <w:tl2br w:val="nil"/>
                    <w:tr2bl w:val="nil"/>
                  </w:tcBorders>
                  <w:noWrap w:val="0"/>
                  <w:vAlign w:val="center"/>
                </w:tcPr>
                <w:p w14:paraId="5A3D334F">
                  <w:pPr>
                    <w:pStyle w:val="33"/>
                    <w:keepNext w:val="0"/>
                    <w:keepLines w:val="0"/>
                    <w:suppressLineNumbers w:val="0"/>
                    <w:bidi w:val="0"/>
                    <w:spacing w:beforeAutospacing="0" w:afterAutospacing="0"/>
                    <w:ind w:left="0" w:right="0"/>
                    <w:jc w:val="left"/>
                    <w:rPr>
                      <w:rFonts w:hint="default" w:cs="Times New Roman"/>
                      <w:b/>
                      <w:bCs/>
                      <w:color w:val="auto"/>
                      <w:u w:val="none"/>
                    </w:rPr>
                  </w:pPr>
                  <w:r>
                    <w:rPr>
                      <w:rFonts w:hint="eastAsia" w:cs="Times New Roman"/>
                      <w:b/>
                      <w:bCs/>
                      <w:color w:val="auto"/>
                      <w:u w:val="none"/>
                      <w:lang w:val="en-US" w:eastAsia="zh-CN"/>
                    </w:rPr>
                    <w:t>机械名称</w:t>
                  </w:r>
                </w:p>
              </w:tc>
              <w:tc>
                <w:tcPr>
                  <w:tcW w:w="4305" w:type="pct"/>
                  <w:gridSpan w:val="7"/>
                  <w:tcBorders>
                    <w:tl2br w:val="nil"/>
                    <w:tr2bl w:val="nil"/>
                  </w:tcBorders>
                  <w:noWrap w:val="0"/>
                  <w:vAlign w:val="center"/>
                </w:tcPr>
                <w:p w14:paraId="123F76A9">
                  <w:pPr>
                    <w:pStyle w:val="33"/>
                    <w:keepNext w:val="0"/>
                    <w:keepLines w:val="0"/>
                    <w:suppressLineNumbers w:val="0"/>
                    <w:bidi w:val="0"/>
                    <w:spacing w:beforeAutospacing="0" w:afterAutospacing="0"/>
                    <w:ind w:left="0" w:right="0"/>
                    <w:jc w:val="left"/>
                    <w:rPr>
                      <w:rFonts w:hint="default" w:cs="Times New Roman"/>
                      <w:b/>
                      <w:bCs/>
                      <w:color w:val="auto"/>
                      <w:u w:val="none"/>
                    </w:rPr>
                  </w:pPr>
                  <w:r>
                    <w:rPr>
                      <w:rFonts w:hint="eastAsia" w:cs="Times New Roman"/>
                      <w:b/>
                      <w:bCs/>
                      <w:color w:val="auto"/>
                      <w:u w:val="none"/>
                      <w:lang w:val="en-US" w:eastAsia="zh-CN"/>
                    </w:rPr>
                    <w:t>离施工机械的距离（m）</w:t>
                  </w:r>
                </w:p>
              </w:tc>
            </w:tr>
            <w:tr w14:paraId="67B9E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vMerge w:val="continue"/>
                  <w:tcBorders>
                    <w:tl2br w:val="nil"/>
                    <w:tr2bl w:val="nil"/>
                  </w:tcBorders>
                  <w:noWrap w:val="0"/>
                  <w:vAlign w:val="center"/>
                </w:tcPr>
                <w:p w14:paraId="007012AB">
                  <w:pPr>
                    <w:pStyle w:val="33"/>
                    <w:keepNext w:val="0"/>
                    <w:keepLines w:val="0"/>
                    <w:suppressLineNumbers w:val="0"/>
                    <w:bidi w:val="0"/>
                    <w:spacing w:beforeAutospacing="0" w:afterAutospacing="0"/>
                    <w:ind w:left="0" w:right="0"/>
                    <w:jc w:val="left"/>
                    <w:rPr>
                      <w:rFonts w:hint="default" w:cs="Times New Roman"/>
                      <w:b/>
                      <w:bCs/>
                      <w:color w:val="auto"/>
                      <w:u w:val="none"/>
                    </w:rPr>
                  </w:pPr>
                </w:p>
              </w:tc>
              <w:tc>
                <w:tcPr>
                  <w:tcW w:w="611" w:type="pct"/>
                  <w:tcBorders>
                    <w:tl2br w:val="nil"/>
                    <w:tr2bl w:val="nil"/>
                  </w:tcBorders>
                  <w:noWrap w:val="0"/>
                  <w:vAlign w:val="center"/>
                </w:tcPr>
                <w:p w14:paraId="2865256C">
                  <w:pPr>
                    <w:pStyle w:val="33"/>
                    <w:keepNext w:val="0"/>
                    <w:keepLines w:val="0"/>
                    <w:suppressLineNumbers w:val="0"/>
                    <w:bidi w:val="0"/>
                    <w:spacing w:beforeAutospacing="0" w:afterAutospacing="0"/>
                    <w:ind w:left="0" w:right="0"/>
                    <w:jc w:val="left"/>
                    <w:rPr>
                      <w:rFonts w:hint="eastAsia" w:cs="Times New Roman"/>
                      <w:b/>
                      <w:bCs/>
                      <w:color w:val="auto"/>
                      <w:u w:val="none"/>
                      <w:lang w:val="en-US" w:eastAsia="zh-CN"/>
                    </w:rPr>
                  </w:pPr>
                  <w:r>
                    <w:rPr>
                      <w:rFonts w:hint="eastAsia" w:cs="Times New Roman"/>
                      <w:b/>
                      <w:bCs/>
                      <w:color w:val="auto"/>
                      <w:u w:val="none"/>
                      <w:lang w:val="en-US" w:eastAsia="zh-CN"/>
                    </w:rPr>
                    <w:t>5</w:t>
                  </w:r>
                </w:p>
              </w:tc>
              <w:tc>
                <w:tcPr>
                  <w:tcW w:w="604" w:type="pct"/>
                  <w:tcBorders>
                    <w:tl2br w:val="nil"/>
                    <w:tr2bl w:val="nil"/>
                  </w:tcBorders>
                  <w:noWrap w:val="0"/>
                  <w:vAlign w:val="center"/>
                </w:tcPr>
                <w:p w14:paraId="376064B3">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10</w:t>
                  </w:r>
                </w:p>
              </w:tc>
              <w:tc>
                <w:tcPr>
                  <w:tcW w:w="642" w:type="pct"/>
                  <w:tcBorders>
                    <w:tl2br w:val="nil"/>
                    <w:tr2bl w:val="nil"/>
                  </w:tcBorders>
                  <w:noWrap w:val="0"/>
                  <w:vAlign w:val="center"/>
                </w:tcPr>
                <w:p w14:paraId="47ADA372">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20</w:t>
                  </w:r>
                </w:p>
              </w:tc>
              <w:tc>
                <w:tcPr>
                  <w:tcW w:w="650" w:type="pct"/>
                  <w:tcBorders>
                    <w:tl2br w:val="nil"/>
                    <w:tr2bl w:val="nil"/>
                  </w:tcBorders>
                  <w:noWrap w:val="0"/>
                  <w:vAlign w:val="center"/>
                </w:tcPr>
                <w:p w14:paraId="2E532077">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40</w:t>
                  </w:r>
                </w:p>
              </w:tc>
              <w:tc>
                <w:tcPr>
                  <w:tcW w:w="642" w:type="pct"/>
                  <w:tcBorders>
                    <w:tl2br w:val="nil"/>
                    <w:tr2bl w:val="nil"/>
                  </w:tcBorders>
                  <w:noWrap w:val="0"/>
                  <w:vAlign w:val="center"/>
                </w:tcPr>
                <w:p w14:paraId="72A1B55D">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80</w:t>
                  </w:r>
                </w:p>
              </w:tc>
              <w:tc>
                <w:tcPr>
                  <w:tcW w:w="604" w:type="pct"/>
                  <w:tcBorders>
                    <w:tl2br w:val="nil"/>
                    <w:tr2bl w:val="nil"/>
                  </w:tcBorders>
                  <w:noWrap w:val="0"/>
                  <w:vAlign w:val="center"/>
                </w:tcPr>
                <w:p w14:paraId="0104EBD9">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160</w:t>
                  </w:r>
                </w:p>
              </w:tc>
              <w:tc>
                <w:tcPr>
                  <w:tcW w:w="549" w:type="pct"/>
                  <w:tcBorders>
                    <w:tl2br w:val="nil"/>
                    <w:tr2bl w:val="nil"/>
                  </w:tcBorders>
                  <w:noWrap w:val="0"/>
                  <w:vAlign w:val="center"/>
                </w:tcPr>
                <w:p w14:paraId="1ADB5629">
                  <w:pPr>
                    <w:pStyle w:val="33"/>
                    <w:keepNext w:val="0"/>
                    <w:keepLines w:val="0"/>
                    <w:suppressLineNumbers w:val="0"/>
                    <w:bidi w:val="0"/>
                    <w:spacing w:beforeAutospacing="0" w:afterAutospacing="0"/>
                    <w:ind w:left="0" w:right="0"/>
                    <w:jc w:val="left"/>
                    <w:rPr>
                      <w:rFonts w:hint="default" w:cs="Times New Roman"/>
                      <w:b/>
                      <w:bCs/>
                      <w:color w:val="auto"/>
                      <w:u w:val="none"/>
                      <w:lang w:val="en-US" w:eastAsia="zh-CN"/>
                    </w:rPr>
                  </w:pPr>
                  <w:r>
                    <w:rPr>
                      <w:rFonts w:hint="eastAsia" w:cs="Times New Roman"/>
                      <w:b/>
                      <w:bCs/>
                      <w:color w:val="auto"/>
                      <w:u w:val="none"/>
                      <w:lang w:val="en-US" w:eastAsia="zh-CN"/>
                    </w:rPr>
                    <w:t>320</w:t>
                  </w:r>
                </w:p>
              </w:tc>
            </w:tr>
            <w:tr w14:paraId="7BCF8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tcBorders>
                    <w:tl2br w:val="nil"/>
                    <w:tr2bl w:val="nil"/>
                  </w:tcBorders>
                  <w:noWrap w:val="0"/>
                  <w:vAlign w:val="center"/>
                </w:tcPr>
                <w:p w14:paraId="47EB71E6">
                  <w:pPr>
                    <w:pStyle w:val="33"/>
                    <w:keepNext w:val="0"/>
                    <w:keepLines w:val="0"/>
                    <w:suppressLineNumbers w:val="0"/>
                    <w:bidi w:val="0"/>
                    <w:spacing w:beforeAutospacing="0" w:afterAutospacing="0"/>
                    <w:ind w:left="0" w:right="0"/>
                    <w:jc w:val="left"/>
                    <w:rPr>
                      <w:rFonts w:hint="default" w:cs="Times New Roman"/>
                      <w:color w:val="auto"/>
                      <w:u w:val="none"/>
                    </w:rPr>
                  </w:pPr>
                  <w:r>
                    <w:rPr>
                      <w:rFonts w:hint="eastAsia" w:cs="Times New Roman"/>
                      <w:color w:val="auto"/>
                      <w:u w:val="none"/>
                    </w:rPr>
                    <w:t>推土机</w:t>
                  </w:r>
                </w:p>
              </w:tc>
              <w:tc>
                <w:tcPr>
                  <w:tcW w:w="611" w:type="pct"/>
                  <w:tcBorders>
                    <w:tl2br w:val="nil"/>
                    <w:tr2bl w:val="nil"/>
                  </w:tcBorders>
                  <w:noWrap w:val="0"/>
                  <w:vAlign w:val="center"/>
                </w:tcPr>
                <w:p w14:paraId="18903B90">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86</w:t>
                  </w:r>
                </w:p>
              </w:tc>
              <w:tc>
                <w:tcPr>
                  <w:tcW w:w="604" w:type="pct"/>
                  <w:tcBorders>
                    <w:tl2br w:val="nil"/>
                    <w:tr2bl w:val="nil"/>
                  </w:tcBorders>
                  <w:noWrap w:val="0"/>
                  <w:vAlign w:val="center"/>
                </w:tcPr>
                <w:p w14:paraId="21AD15C3">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80</w:t>
                  </w:r>
                </w:p>
              </w:tc>
              <w:tc>
                <w:tcPr>
                  <w:tcW w:w="642" w:type="pct"/>
                  <w:tcBorders>
                    <w:tl2br w:val="nil"/>
                    <w:tr2bl w:val="nil"/>
                  </w:tcBorders>
                  <w:noWrap w:val="0"/>
                  <w:vAlign w:val="center"/>
                </w:tcPr>
                <w:p w14:paraId="23376BDF">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74</w:t>
                  </w:r>
                </w:p>
              </w:tc>
              <w:tc>
                <w:tcPr>
                  <w:tcW w:w="650" w:type="pct"/>
                  <w:tcBorders>
                    <w:tl2br w:val="nil"/>
                    <w:tr2bl w:val="nil"/>
                  </w:tcBorders>
                  <w:noWrap w:val="0"/>
                  <w:vAlign w:val="center"/>
                </w:tcPr>
                <w:p w14:paraId="6966D6CA">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68</w:t>
                  </w:r>
                </w:p>
              </w:tc>
              <w:tc>
                <w:tcPr>
                  <w:tcW w:w="642" w:type="pct"/>
                  <w:tcBorders>
                    <w:tl2br w:val="nil"/>
                    <w:tr2bl w:val="nil"/>
                  </w:tcBorders>
                  <w:noWrap w:val="0"/>
                  <w:vAlign w:val="center"/>
                </w:tcPr>
                <w:p w14:paraId="3ADE2568">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62</w:t>
                  </w:r>
                </w:p>
              </w:tc>
              <w:tc>
                <w:tcPr>
                  <w:tcW w:w="604" w:type="pct"/>
                  <w:tcBorders>
                    <w:tl2br w:val="nil"/>
                    <w:tr2bl w:val="nil"/>
                  </w:tcBorders>
                  <w:noWrap w:val="0"/>
                  <w:vAlign w:val="center"/>
                </w:tcPr>
                <w:p w14:paraId="594D6B24">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56</w:t>
                  </w:r>
                </w:p>
              </w:tc>
              <w:tc>
                <w:tcPr>
                  <w:tcW w:w="549" w:type="pct"/>
                  <w:tcBorders>
                    <w:tl2br w:val="nil"/>
                    <w:tr2bl w:val="nil"/>
                  </w:tcBorders>
                  <w:noWrap w:val="0"/>
                  <w:vAlign w:val="center"/>
                </w:tcPr>
                <w:p w14:paraId="09A11970">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50</w:t>
                  </w:r>
                </w:p>
              </w:tc>
            </w:tr>
            <w:tr w14:paraId="13368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tcBorders>
                    <w:tl2br w:val="nil"/>
                    <w:tr2bl w:val="nil"/>
                  </w:tcBorders>
                  <w:noWrap w:val="0"/>
                  <w:vAlign w:val="center"/>
                </w:tcPr>
                <w:p w14:paraId="10A5F86B">
                  <w:pPr>
                    <w:pStyle w:val="33"/>
                    <w:keepNext w:val="0"/>
                    <w:keepLines w:val="0"/>
                    <w:suppressLineNumbers w:val="0"/>
                    <w:bidi w:val="0"/>
                    <w:spacing w:beforeAutospacing="0" w:afterAutospacing="0"/>
                    <w:ind w:left="0" w:right="0"/>
                    <w:jc w:val="left"/>
                    <w:rPr>
                      <w:rFonts w:hint="default" w:cs="Times New Roman"/>
                      <w:color w:val="auto"/>
                      <w:u w:val="none"/>
                    </w:rPr>
                  </w:pPr>
                  <w:r>
                    <w:rPr>
                      <w:rFonts w:hint="eastAsia" w:cs="Times New Roman"/>
                      <w:color w:val="auto"/>
                      <w:u w:val="none"/>
                    </w:rPr>
                    <w:t>挖掘机</w:t>
                  </w:r>
                </w:p>
              </w:tc>
              <w:tc>
                <w:tcPr>
                  <w:tcW w:w="611" w:type="pct"/>
                  <w:tcBorders>
                    <w:tl2br w:val="nil"/>
                    <w:tr2bl w:val="nil"/>
                  </w:tcBorders>
                  <w:noWrap w:val="0"/>
                  <w:vAlign w:val="center"/>
                </w:tcPr>
                <w:p w14:paraId="65BAEAC2">
                  <w:pPr>
                    <w:pStyle w:val="33"/>
                    <w:keepNext w:val="0"/>
                    <w:keepLines w:val="0"/>
                    <w:suppressLineNumbers w:val="0"/>
                    <w:bidi w:val="0"/>
                    <w:spacing w:beforeAutospacing="0" w:afterAutospacing="0"/>
                    <w:ind w:left="0" w:right="0"/>
                    <w:jc w:val="left"/>
                    <w:rPr>
                      <w:rFonts w:hint="default" w:cs="Times New Roman"/>
                      <w:color w:val="auto"/>
                      <w:u w:val="none"/>
                    </w:rPr>
                  </w:pPr>
                  <w:r>
                    <w:rPr>
                      <w:rFonts w:hint="eastAsia" w:cs="Times New Roman"/>
                      <w:color w:val="auto"/>
                      <w:u w:val="none"/>
                    </w:rPr>
                    <w:t>84</w:t>
                  </w:r>
                </w:p>
              </w:tc>
              <w:tc>
                <w:tcPr>
                  <w:tcW w:w="604" w:type="pct"/>
                  <w:tcBorders>
                    <w:tl2br w:val="nil"/>
                    <w:tr2bl w:val="nil"/>
                  </w:tcBorders>
                  <w:noWrap w:val="0"/>
                  <w:vAlign w:val="center"/>
                </w:tcPr>
                <w:p w14:paraId="34F6C68E">
                  <w:pPr>
                    <w:pStyle w:val="33"/>
                    <w:keepNext w:val="0"/>
                    <w:keepLines w:val="0"/>
                    <w:suppressLineNumbers w:val="0"/>
                    <w:bidi w:val="0"/>
                    <w:spacing w:beforeAutospacing="0" w:afterAutospacing="0"/>
                    <w:ind w:left="0" w:right="0"/>
                    <w:jc w:val="left"/>
                    <w:rPr>
                      <w:rFonts w:hint="default" w:cs="Times New Roman"/>
                      <w:color w:val="auto"/>
                      <w:u w:val="none"/>
                    </w:rPr>
                  </w:pPr>
                  <w:r>
                    <w:rPr>
                      <w:rFonts w:hint="eastAsia" w:cs="Times New Roman"/>
                      <w:color w:val="auto"/>
                      <w:u w:val="none"/>
                    </w:rPr>
                    <w:t>78</w:t>
                  </w:r>
                </w:p>
              </w:tc>
              <w:tc>
                <w:tcPr>
                  <w:tcW w:w="642" w:type="pct"/>
                  <w:tcBorders>
                    <w:tl2br w:val="nil"/>
                    <w:tr2bl w:val="nil"/>
                  </w:tcBorders>
                  <w:noWrap w:val="0"/>
                  <w:vAlign w:val="center"/>
                </w:tcPr>
                <w:p w14:paraId="0DFAE9AA">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72</w:t>
                  </w:r>
                </w:p>
              </w:tc>
              <w:tc>
                <w:tcPr>
                  <w:tcW w:w="650" w:type="pct"/>
                  <w:tcBorders>
                    <w:tl2br w:val="nil"/>
                    <w:tr2bl w:val="nil"/>
                  </w:tcBorders>
                  <w:noWrap w:val="0"/>
                  <w:vAlign w:val="center"/>
                </w:tcPr>
                <w:p w14:paraId="40C0807F">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66</w:t>
                  </w:r>
                </w:p>
              </w:tc>
              <w:tc>
                <w:tcPr>
                  <w:tcW w:w="642" w:type="pct"/>
                  <w:tcBorders>
                    <w:tl2br w:val="nil"/>
                    <w:tr2bl w:val="nil"/>
                  </w:tcBorders>
                  <w:noWrap w:val="0"/>
                  <w:vAlign w:val="center"/>
                </w:tcPr>
                <w:p w14:paraId="78A194E3">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60</w:t>
                  </w:r>
                </w:p>
              </w:tc>
              <w:tc>
                <w:tcPr>
                  <w:tcW w:w="604" w:type="pct"/>
                  <w:tcBorders>
                    <w:tl2br w:val="nil"/>
                    <w:tr2bl w:val="nil"/>
                  </w:tcBorders>
                  <w:noWrap w:val="0"/>
                  <w:vAlign w:val="center"/>
                </w:tcPr>
                <w:p w14:paraId="54C1C7E4">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54</w:t>
                  </w:r>
                </w:p>
              </w:tc>
              <w:tc>
                <w:tcPr>
                  <w:tcW w:w="549" w:type="pct"/>
                  <w:tcBorders>
                    <w:tl2br w:val="nil"/>
                    <w:tr2bl w:val="nil"/>
                  </w:tcBorders>
                  <w:noWrap w:val="0"/>
                  <w:vAlign w:val="center"/>
                </w:tcPr>
                <w:p w14:paraId="01A45F1F">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48</w:t>
                  </w:r>
                </w:p>
              </w:tc>
            </w:tr>
            <w:tr w14:paraId="16F91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tcBorders>
                    <w:tl2br w:val="nil"/>
                    <w:tr2bl w:val="nil"/>
                  </w:tcBorders>
                  <w:noWrap w:val="0"/>
                  <w:vAlign w:val="center"/>
                </w:tcPr>
                <w:p w14:paraId="3088871E">
                  <w:pPr>
                    <w:pStyle w:val="33"/>
                    <w:keepNext w:val="0"/>
                    <w:keepLines w:val="0"/>
                    <w:suppressLineNumbers w:val="0"/>
                    <w:bidi w:val="0"/>
                    <w:spacing w:beforeAutospacing="0" w:afterAutospacing="0"/>
                    <w:ind w:left="0" w:right="0"/>
                    <w:jc w:val="left"/>
                    <w:rPr>
                      <w:rFonts w:hint="default" w:cs="Times New Roman"/>
                      <w:color w:val="auto"/>
                      <w:u w:val="none"/>
                    </w:rPr>
                  </w:pPr>
                  <w:r>
                    <w:rPr>
                      <w:rFonts w:hint="eastAsia"/>
                      <w:color w:val="auto"/>
                      <w:u w:val="none"/>
                      <w:lang w:val="en-US" w:eastAsia="zh-CN"/>
                    </w:rPr>
                    <w:t>挖掘机</w:t>
                  </w:r>
                </w:p>
              </w:tc>
              <w:tc>
                <w:tcPr>
                  <w:tcW w:w="611" w:type="pct"/>
                  <w:tcBorders>
                    <w:tl2br w:val="nil"/>
                    <w:tr2bl w:val="nil"/>
                  </w:tcBorders>
                  <w:noWrap w:val="0"/>
                  <w:vAlign w:val="center"/>
                </w:tcPr>
                <w:p w14:paraId="7AA89800">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88</w:t>
                  </w:r>
                </w:p>
              </w:tc>
              <w:tc>
                <w:tcPr>
                  <w:tcW w:w="604" w:type="pct"/>
                  <w:tcBorders>
                    <w:tl2br w:val="nil"/>
                    <w:tr2bl w:val="nil"/>
                  </w:tcBorders>
                  <w:noWrap w:val="0"/>
                  <w:vAlign w:val="center"/>
                </w:tcPr>
                <w:p w14:paraId="1BFD46C8">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82</w:t>
                  </w:r>
                </w:p>
              </w:tc>
              <w:tc>
                <w:tcPr>
                  <w:tcW w:w="642" w:type="pct"/>
                  <w:tcBorders>
                    <w:tl2br w:val="nil"/>
                    <w:tr2bl w:val="nil"/>
                  </w:tcBorders>
                  <w:noWrap w:val="0"/>
                  <w:vAlign w:val="center"/>
                </w:tcPr>
                <w:p w14:paraId="3A010DDC">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76</w:t>
                  </w:r>
                </w:p>
              </w:tc>
              <w:tc>
                <w:tcPr>
                  <w:tcW w:w="650" w:type="pct"/>
                  <w:tcBorders>
                    <w:tl2br w:val="nil"/>
                    <w:tr2bl w:val="nil"/>
                  </w:tcBorders>
                  <w:noWrap w:val="0"/>
                  <w:vAlign w:val="center"/>
                </w:tcPr>
                <w:p w14:paraId="4B44D700">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70</w:t>
                  </w:r>
                </w:p>
              </w:tc>
              <w:tc>
                <w:tcPr>
                  <w:tcW w:w="642" w:type="pct"/>
                  <w:tcBorders>
                    <w:tl2br w:val="nil"/>
                    <w:tr2bl w:val="nil"/>
                  </w:tcBorders>
                  <w:noWrap w:val="0"/>
                  <w:vAlign w:val="center"/>
                </w:tcPr>
                <w:p w14:paraId="7B5C002D">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64</w:t>
                  </w:r>
                </w:p>
              </w:tc>
              <w:tc>
                <w:tcPr>
                  <w:tcW w:w="604" w:type="pct"/>
                  <w:tcBorders>
                    <w:tl2br w:val="nil"/>
                    <w:tr2bl w:val="nil"/>
                  </w:tcBorders>
                  <w:noWrap w:val="0"/>
                  <w:vAlign w:val="center"/>
                </w:tcPr>
                <w:p w14:paraId="0697D7A2">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58</w:t>
                  </w:r>
                </w:p>
              </w:tc>
              <w:tc>
                <w:tcPr>
                  <w:tcW w:w="549" w:type="pct"/>
                  <w:tcBorders>
                    <w:tl2br w:val="nil"/>
                    <w:tr2bl w:val="nil"/>
                  </w:tcBorders>
                  <w:noWrap w:val="0"/>
                  <w:vAlign w:val="center"/>
                </w:tcPr>
                <w:p w14:paraId="123CB841">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52</w:t>
                  </w:r>
                </w:p>
              </w:tc>
            </w:tr>
            <w:tr w14:paraId="2A69E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pct"/>
                  <w:tcBorders>
                    <w:tl2br w:val="nil"/>
                    <w:tr2bl w:val="nil"/>
                  </w:tcBorders>
                  <w:noWrap w:val="0"/>
                  <w:vAlign w:val="center"/>
                </w:tcPr>
                <w:p w14:paraId="06CD572C">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rPr>
                    <w:t>运输车辆</w:t>
                  </w:r>
                </w:p>
              </w:tc>
              <w:tc>
                <w:tcPr>
                  <w:tcW w:w="611" w:type="pct"/>
                  <w:tcBorders>
                    <w:tl2br w:val="nil"/>
                    <w:tr2bl w:val="nil"/>
                  </w:tcBorders>
                  <w:noWrap w:val="0"/>
                  <w:vAlign w:val="center"/>
                </w:tcPr>
                <w:p w14:paraId="7CD2F0D2">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88</w:t>
                  </w:r>
                </w:p>
              </w:tc>
              <w:tc>
                <w:tcPr>
                  <w:tcW w:w="604" w:type="pct"/>
                  <w:tcBorders>
                    <w:tl2br w:val="nil"/>
                    <w:tr2bl w:val="nil"/>
                  </w:tcBorders>
                  <w:noWrap w:val="0"/>
                  <w:vAlign w:val="center"/>
                </w:tcPr>
                <w:p w14:paraId="4610061B">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82</w:t>
                  </w:r>
                </w:p>
              </w:tc>
              <w:tc>
                <w:tcPr>
                  <w:tcW w:w="642" w:type="pct"/>
                  <w:tcBorders>
                    <w:tl2br w:val="nil"/>
                    <w:tr2bl w:val="nil"/>
                  </w:tcBorders>
                  <w:noWrap w:val="0"/>
                  <w:vAlign w:val="center"/>
                </w:tcPr>
                <w:p w14:paraId="4B26D6BD">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76</w:t>
                  </w:r>
                </w:p>
              </w:tc>
              <w:tc>
                <w:tcPr>
                  <w:tcW w:w="650" w:type="pct"/>
                  <w:tcBorders>
                    <w:tl2br w:val="nil"/>
                    <w:tr2bl w:val="nil"/>
                  </w:tcBorders>
                  <w:noWrap w:val="0"/>
                  <w:vAlign w:val="center"/>
                </w:tcPr>
                <w:p w14:paraId="7E61C22E">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70</w:t>
                  </w:r>
                </w:p>
              </w:tc>
              <w:tc>
                <w:tcPr>
                  <w:tcW w:w="642" w:type="pct"/>
                  <w:tcBorders>
                    <w:tl2br w:val="nil"/>
                    <w:tr2bl w:val="nil"/>
                  </w:tcBorders>
                  <w:noWrap w:val="0"/>
                  <w:vAlign w:val="center"/>
                </w:tcPr>
                <w:p w14:paraId="102FE6AE">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64</w:t>
                  </w:r>
                </w:p>
              </w:tc>
              <w:tc>
                <w:tcPr>
                  <w:tcW w:w="604" w:type="pct"/>
                  <w:tcBorders>
                    <w:tl2br w:val="nil"/>
                    <w:tr2bl w:val="nil"/>
                  </w:tcBorders>
                  <w:noWrap w:val="0"/>
                  <w:vAlign w:val="center"/>
                </w:tcPr>
                <w:p w14:paraId="20C9C60A">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58</w:t>
                  </w:r>
                </w:p>
              </w:tc>
              <w:tc>
                <w:tcPr>
                  <w:tcW w:w="549" w:type="pct"/>
                  <w:tcBorders>
                    <w:tl2br w:val="nil"/>
                    <w:tr2bl w:val="nil"/>
                  </w:tcBorders>
                  <w:noWrap w:val="0"/>
                  <w:vAlign w:val="center"/>
                </w:tcPr>
                <w:p w14:paraId="5F98E2B1">
                  <w:pPr>
                    <w:pStyle w:val="33"/>
                    <w:keepNext w:val="0"/>
                    <w:keepLines w:val="0"/>
                    <w:suppressLineNumbers w:val="0"/>
                    <w:bidi w:val="0"/>
                    <w:spacing w:beforeAutospacing="0" w:afterAutospacing="0"/>
                    <w:ind w:left="0" w:right="0"/>
                    <w:jc w:val="left"/>
                    <w:rPr>
                      <w:rFonts w:hint="default" w:cs="Times New Roman"/>
                      <w:color w:val="auto"/>
                      <w:u w:val="none"/>
                      <w:lang w:val="en-US" w:eastAsia="zh-CN"/>
                    </w:rPr>
                  </w:pPr>
                  <w:r>
                    <w:rPr>
                      <w:rFonts w:hint="eastAsia" w:cs="Times New Roman"/>
                      <w:color w:val="auto"/>
                      <w:u w:val="none"/>
                      <w:lang w:val="en-US" w:eastAsia="zh-CN"/>
                    </w:rPr>
                    <w:t>52</w:t>
                  </w:r>
                </w:p>
              </w:tc>
            </w:tr>
          </w:tbl>
          <w:p w14:paraId="2F926147">
            <w:pPr>
              <w:keepNext w:val="0"/>
              <w:keepLines w:val="0"/>
              <w:widowControl/>
              <w:suppressLineNumbers w:val="0"/>
              <w:spacing w:before="0" w:beforeAutospacing="0" w:after="0" w:afterAutospacing="0"/>
              <w:ind w:left="0" w:right="0"/>
              <w:jc w:val="left"/>
              <w:rPr>
                <w:rFonts w:hint="default" w:cs="Times New Roman"/>
                <w:color w:val="auto"/>
                <w:u w:val="none"/>
              </w:rPr>
            </w:pPr>
            <w:r>
              <w:rPr>
                <w:rFonts w:hint="eastAsia" w:ascii="宋体" w:hAnsi="宋体" w:eastAsia="宋体" w:cs="宋体"/>
                <w:color w:val="auto"/>
                <w:kern w:val="0"/>
                <w:sz w:val="24"/>
                <w:szCs w:val="24"/>
                <w:u w:val="none"/>
                <w:lang w:val="en-US" w:eastAsia="zh-CN" w:bidi="ar"/>
              </w:rPr>
              <w:t>对照分析上表可知，本项目施工期间，在昼间与施工场地距离约</w:t>
            </w:r>
            <w:r>
              <w:rPr>
                <w:rFonts w:hint="default" w:ascii="Times New Roman" w:hAnsi="Times New Roman" w:eastAsia="宋体" w:cs="Times New Roman"/>
                <w:color w:val="auto"/>
                <w:kern w:val="0"/>
                <w:sz w:val="24"/>
                <w:szCs w:val="24"/>
                <w:u w:val="none"/>
                <w:lang w:val="en-US" w:eastAsia="zh-CN" w:bidi="ar"/>
              </w:rPr>
              <w:t>40m</w:t>
            </w:r>
            <w:r>
              <w:rPr>
                <w:rFonts w:hint="eastAsia" w:ascii="宋体" w:hAnsi="宋体" w:eastAsia="宋体" w:cs="宋体"/>
                <w:color w:val="auto"/>
                <w:kern w:val="0"/>
                <w:sz w:val="24"/>
                <w:szCs w:val="24"/>
                <w:u w:val="none"/>
                <w:lang w:val="en-US" w:eastAsia="zh-CN" w:bidi="ar"/>
              </w:rPr>
              <w:t>的地方可符合规定的噪声限值；在夜间与施工场地距离约</w:t>
            </w:r>
            <w:r>
              <w:rPr>
                <w:rFonts w:hint="default" w:ascii="Times New Roman" w:hAnsi="Times New Roman" w:eastAsia="宋体" w:cs="Times New Roman"/>
                <w:color w:val="auto"/>
                <w:kern w:val="0"/>
                <w:sz w:val="24"/>
                <w:szCs w:val="24"/>
                <w:u w:val="none"/>
                <w:lang w:val="en-US" w:eastAsia="zh-CN" w:bidi="ar"/>
              </w:rPr>
              <w:t>320m</w:t>
            </w:r>
            <w:r>
              <w:rPr>
                <w:rFonts w:hint="eastAsia" w:ascii="宋体" w:hAnsi="宋体" w:eastAsia="宋体" w:cs="宋体"/>
                <w:color w:val="auto"/>
                <w:kern w:val="0"/>
                <w:sz w:val="24"/>
                <w:szCs w:val="24"/>
                <w:u w:val="none"/>
                <w:lang w:val="en-US" w:eastAsia="zh-CN" w:bidi="ar"/>
              </w:rPr>
              <w:t>的地方可符合规定的噪声限值。</w:t>
            </w:r>
            <w:r>
              <w:rPr>
                <w:rFonts w:hint="eastAsia" w:ascii="宋体" w:hAnsi="宋体" w:cs="宋体"/>
                <w:color w:val="auto"/>
                <w:kern w:val="0"/>
                <w:sz w:val="24"/>
                <w:szCs w:val="24"/>
                <w:u w:val="none"/>
                <w:lang w:val="en-US" w:eastAsia="zh-CN" w:bidi="ar"/>
              </w:rPr>
              <w:t>本项目</w:t>
            </w:r>
            <w:r>
              <w:rPr>
                <w:rFonts w:hint="eastAsia" w:ascii="宋体" w:hAnsi="宋体" w:eastAsia="宋体" w:cs="宋体"/>
                <w:color w:val="auto"/>
                <w:kern w:val="0"/>
                <w:sz w:val="24"/>
                <w:szCs w:val="24"/>
                <w:u w:val="none"/>
                <w:lang w:val="en-US" w:eastAsia="zh-CN" w:bidi="ar"/>
              </w:rPr>
              <w:t>仅昼间施工，夜间不施工，根据现场踏勘，</w:t>
            </w:r>
            <w:r>
              <w:rPr>
                <w:rFonts w:hint="eastAsia" w:ascii="宋体" w:hAnsi="宋体" w:cs="宋体"/>
                <w:color w:val="auto"/>
                <w:kern w:val="0"/>
                <w:sz w:val="24"/>
                <w:szCs w:val="24"/>
                <w:u w:val="none"/>
                <w:lang w:val="en-US" w:eastAsia="zh-CN" w:bidi="ar"/>
              </w:rPr>
              <w:t>本项目</w:t>
            </w:r>
            <w:r>
              <w:rPr>
                <w:rFonts w:hint="default" w:ascii="Times New Roman" w:hAnsi="Times New Roman" w:eastAsia="宋体" w:cs="Times New Roman"/>
                <w:color w:val="auto"/>
                <w:kern w:val="0"/>
                <w:sz w:val="24"/>
                <w:szCs w:val="24"/>
                <w:u w:val="none"/>
                <w:lang w:val="en-US" w:eastAsia="zh-CN" w:bidi="ar"/>
              </w:rPr>
              <w:t>40m</w:t>
            </w:r>
            <w:r>
              <w:rPr>
                <w:rFonts w:hint="eastAsia" w:ascii="宋体" w:hAnsi="宋体" w:eastAsia="宋体" w:cs="宋体"/>
                <w:color w:val="auto"/>
                <w:kern w:val="0"/>
                <w:sz w:val="24"/>
                <w:szCs w:val="24"/>
                <w:u w:val="none"/>
                <w:lang w:val="en-US" w:eastAsia="zh-CN" w:bidi="ar"/>
              </w:rPr>
              <w:t>范围内无声环境保护目标，施工机械设备大多为不连续性噪声，施工现场合理布置，高噪声设备远离敏感目标设置，且施工期较短，噪声影响随着施工期结束而结束。因此，本项目施工期噪声对周围环境影响很小。</w:t>
            </w:r>
          </w:p>
          <w:p w14:paraId="70793564">
            <w:pPr>
              <w:pStyle w:val="2"/>
              <w:keepLines w:val="0"/>
              <w:suppressLineNumbers w:val="0"/>
              <w:bidi w:val="0"/>
              <w:spacing w:before="0" w:beforeAutospacing="0" w:after="0" w:afterAutospacing="0"/>
              <w:ind w:left="0" w:right="0"/>
              <w:jc w:val="left"/>
              <w:rPr>
                <w:rFonts w:hint="default"/>
                <w:color w:val="auto"/>
                <w:u w:val="none"/>
              </w:rPr>
            </w:pPr>
            <w:r>
              <w:rPr>
                <w:rFonts w:hint="default"/>
                <w:color w:val="auto"/>
                <w:u w:val="none"/>
                <w:lang w:val="en-US" w:eastAsia="zh-CN"/>
              </w:rPr>
              <w:t>5</w:t>
            </w:r>
            <w:r>
              <w:rPr>
                <w:rFonts w:hint="eastAsia"/>
                <w:color w:val="auto"/>
                <w:u w:val="none"/>
                <w:lang w:val="en-US" w:eastAsia="zh-CN"/>
              </w:rPr>
              <w:t xml:space="preserve"> </w:t>
            </w:r>
            <w:r>
              <w:rPr>
                <w:rFonts w:hint="default"/>
                <w:color w:val="auto"/>
                <w:u w:val="none"/>
                <w:lang w:val="en-US" w:eastAsia="zh-CN"/>
              </w:rPr>
              <w:t>固体废物影响分析</w:t>
            </w:r>
          </w:p>
          <w:p w14:paraId="01A545BA">
            <w:pPr>
              <w:keepNext w:val="0"/>
              <w:keepLines w:val="0"/>
              <w:suppressLineNumbers w:val="0"/>
              <w:bidi w:val="0"/>
              <w:spacing w:before="0" w:beforeAutospacing="0" w:after="0" w:afterAutospacing="0"/>
              <w:ind w:left="0" w:right="0"/>
              <w:jc w:val="left"/>
              <w:rPr>
                <w:rFonts w:hint="default"/>
                <w:color w:val="auto"/>
                <w:u w:val="none"/>
                <w:lang w:val="en-US" w:eastAsia="zh-CN"/>
              </w:rPr>
            </w:pPr>
            <w:r>
              <w:rPr>
                <w:rFonts w:hint="eastAsia"/>
                <w:color w:val="auto"/>
                <w:u w:val="none"/>
                <w:lang w:val="en-US" w:eastAsia="zh-CN"/>
              </w:rPr>
              <w:t>施工期的固体废物主要来源为建筑垃圾、草籽废包装袋与生活垃圾。建筑垃圾定期清运至指定地点处理，项目施工区生活垃圾、草籽废包装袋在施工现场集中分类收集送至邻近村庄生活垃圾收集点，由当地环卫部门统一清运处置。固体废物均可妥善处置，对</w:t>
            </w:r>
            <w:r>
              <w:rPr>
                <w:rFonts w:hint="eastAsia" w:ascii="宋体" w:hAnsi="宋体" w:eastAsia="宋体" w:cs="宋体"/>
                <w:color w:val="auto"/>
                <w:kern w:val="0"/>
                <w:sz w:val="24"/>
                <w:szCs w:val="24"/>
                <w:u w:val="none"/>
                <w:lang w:val="en-US" w:eastAsia="zh-CN" w:bidi="ar"/>
              </w:rPr>
              <w:t>对周围环境影响</w:t>
            </w:r>
            <w:r>
              <w:rPr>
                <w:rFonts w:hint="eastAsia" w:ascii="宋体" w:hAnsi="宋体" w:cs="宋体"/>
                <w:color w:val="auto"/>
                <w:kern w:val="0"/>
                <w:sz w:val="24"/>
                <w:szCs w:val="24"/>
                <w:u w:val="none"/>
                <w:lang w:val="en-US" w:eastAsia="zh-CN" w:bidi="ar"/>
              </w:rPr>
              <w:t>较</w:t>
            </w:r>
            <w:r>
              <w:rPr>
                <w:rFonts w:hint="eastAsia" w:ascii="宋体" w:hAnsi="宋体" w:eastAsia="宋体" w:cs="宋体"/>
                <w:color w:val="auto"/>
                <w:kern w:val="0"/>
                <w:sz w:val="24"/>
                <w:szCs w:val="24"/>
                <w:u w:val="none"/>
                <w:lang w:val="en-US" w:eastAsia="zh-CN" w:bidi="ar"/>
              </w:rPr>
              <w:t>小</w:t>
            </w:r>
            <w:r>
              <w:rPr>
                <w:rFonts w:hint="eastAsia" w:ascii="宋体" w:hAnsi="宋体" w:cs="宋体"/>
                <w:color w:val="auto"/>
                <w:kern w:val="0"/>
                <w:sz w:val="24"/>
                <w:szCs w:val="24"/>
                <w:u w:val="none"/>
                <w:lang w:val="en-US" w:eastAsia="zh-CN" w:bidi="ar"/>
              </w:rPr>
              <w:t>。</w:t>
            </w:r>
          </w:p>
          <w:p w14:paraId="03D0D2BB">
            <w:pPr>
              <w:pStyle w:val="2"/>
              <w:keepLines w:val="0"/>
              <w:suppressLineNumbers w:val="0"/>
              <w:bidi w:val="0"/>
              <w:spacing w:before="0" w:beforeAutospacing="0" w:after="0" w:afterAutospacing="0"/>
              <w:ind w:left="0" w:right="0"/>
              <w:jc w:val="left"/>
              <w:rPr>
                <w:rFonts w:hint="eastAsia"/>
                <w:color w:val="auto"/>
                <w:highlight w:val="none"/>
                <w:u w:val="none"/>
                <w:lang w:val="en-US" w:eastAsia="zh-CN"/>
              </w:rPr>
            </w:pPr>
            <w:r>
              <w:rPr>
                <w:rFonts w:hint="eastAsia"/>
                <w:color w:val="auto"/>
                <w:highlight w:val="none"/>
                <w:u w:val="none"/>
                <w:lang w:val="en-US" w:eastAsia="zh-CN"/>
              </w:rPr>
              <w:t>6 对长城遗址的影响分析</w:t>
            </w:r>
          </w:p>
          <w:p w14:paraId="5F361956">
            <w:pPr>
              <w:keepNext w:val="0"/>
              <w:keepLines w:val="0"/>
              <w:suppressLineNumbers w:val="0"/>
              <w:bidi w:val="0"/>
              <w:spacing w:before="0" w:beforeAutospacing="0" w:after="0" w:afterAutospacing="0"/>
              <w:ind w:left="0" w:right="0"/>
              <w:jc w:val="left"/>
              <w:rPr>
                <w:rFonts w:hint="eastAsia" w:ascii="Arial" w:hAnsi="Arial" w:eastAsia="宋体" w:cs="Arial"/>
                <w:i w:val="0"/>
                <w:iCs w:val="0"/>
                <w:caps w:val="0"/>
                <w:color w:val="auto"/>
                <w:spacing w:val="0"/>
                <w:sz w:val="24"/>
                <w:szCs w:val="24"/>
                <w:shd w:val="clear" w:fill="FFFFFF"/>
                <w:lang w:eastAsia="zh-CN"/>
              </w:rPr>
            </w:pPr>
            <w:r>
              <w:rPr>
                <w:rFonts w:hint="eastAsia"/>
                <w:color w:val="auto"/>
                <w:u w:val="none"/>
                <w:lang w:val="en-US" w:eastAsia="zh-CN"/>
              </w:rPr>
              <w:t>本项目A32治理区范围内有长城遗址。施工期间</w:t>
            </w:r>
            <w:r>
              <w:rPr>
                <w:rFonts w:hint="default"/>
                <w:color w:val="auto"/>
                <w:highlight w:val="none"/>
                <w:u w:val="none"/>
              </w:rPr>
              <w:t>场地清理、</w:t>
            </w:r>
            <w:r>
              <w:rPr>
                <w:rFonts w:hint="eastAsia"/>
                <w:color w:val="auto"/>
                <w:highlight w:val="none"/>
                <w:u w:val="none"/>
              </w:rPr>
              <w:t>培坡护坡及凹陷处回填、场地平整、采坑回填、覆土、植被恢复</w:t>
            </w:r>
            <w:r>
              <w:rPr>
                <w:rFonts w:hint="default"/>
                <w:color w:val="auto"/>
                <w:highlight w:val="none"/>
                <w:u w:val="none"/>
              </w:rPr>
              <w:t>等施工活动</w:t>
            </w:r>
            <w:r>
              <w:rPr>
                <w:rFonts w:hint="eastAsia"/>
                <w:color w:val="auto"/>
                <w:highlight w:val="none"/>
                <w:u w:val="none"/>
                <w:lang w:eastAsia="zh-CN"/>
              </w:rPr>
              <w:t>，</w:t>
            </w:r>
            <w:r>
              <w:rPr>
                <w:rFonts w:hint="default" w:ascii="Arial" w:hAnsi="Arial" w:eastAsia="Arial" w:cs="Arial"/>
                <w:i w:val="0"/>
                <w:iCs w:val="0"/>
                <w:caps w:val="0"/>
                <w:color w:val="auto"/>
                <w:spacing w:val="0"/>
                <w:sz w:val="24"/>
                <w:szCs w:val="24"/>
                <w:shd w:val="clear" w:fill="FFFFFF"/>
              </w:rPr>
              <w:t>若施工不当，</w:t>
            </w:r>
            <w:r>
              <w:rPr>
                <w:rFonts w:hint="eastAsia" w:ascii="Arial" w:hAnsi="Arial" w:eastAsia="宋体" w:cs="Arial"/>
                <w:i w:val="0"/>
                <w:iCs w:val="0"/>
                <w:caps w:val="0"/>
                <w:color w:val="auto"/>
                <w:spacing w:val="0"/>
                <w:sz w:val="24"/>
                <w:szCs w:val="24"/>
                <w:shd w:val="clear" w:fill="FFFFFF"/>
                <w:lang w:val="en-US" w:eastAsia="zh-CN"/>
              </w:rPr>
              <w:t>可能导致</w:t>
            </w:r>
            <w:r>
              <w:rPr>
                <w:rFonts w:hint="default" w:ascii="Arial" w:hAnsi="Arial" w:eastAsia="Arial" w:cs="Arial"/>
                <w:i w:val="0"/>
                <w:iCs w:val="0"/>
                <w:caps w:val="0"/>
                <w:color w:val="auto"/>
                <w:spacing w:val="0"/>
                <w:sz w:val="24"/>
                <w:szCs w:val="24"/>
                <w:shd w:val="clear" w:fill="FFFFFF"/>
              </w:rPr>
              <w:t>长城遗址本体及周边地形改变</w:t>
            </w:r>
            <w:r>
              <w:rPr>
                <w:rFonts w:hint="eastAsia" w:ascii="Arial" w:hAnsi="Arial" w:eastAsia="宋体" w:cs="Arial"/>
                <w:i w:val="0"/>
                <w:iCs w:val="0"/>
                <w:caps w:val="0"/>
                <w:color w:val="auto"/>
                <w:spacing w:val="0"/>
                <w:sz w:val="24"/>
                <w:szCs w:val="24"/>
                <w:shd w:val="clear" w:fill="FFFFFF"/>
                <w:lang w:eastAsia="zh-CN"/>
              </w:rPr>
              <w:t>，</w:t>
            </w:r>
            <w:r>
              <w:rPr>
                <w:rFonts w:hint="eastAsia" w:ascii="Arial" w:hAnsi="Arial" w:eastAsia="宋体" w:cs="Arial"/>
                <w:i w:val="0"/>
                <w:iCs w:val="0"/>
                <w:caps w:val="0"/>
                <w:color w:val="auto"/>
                <w:spacing w:val="0"/>
                <w:sz w:val="24"/>
                <w:szCs w:val="24"/>
                <w:shd w:val="clear" w:fill="FFFFFF"/>
                <w:lang w:val="en-US" w:eastAsia="zh-CN"/>
              </w:rPr>
              <w:t>进而导致</w:t>
            </w:r>
            <w:r>
              <w:rPr>
                <w:rFonts w:hint="default" w:ascii="Arial" w:hAnsi="Arial" w:eastAsia="Arial" w:cs="Arial"/>
                <w:i w:val="0"/>
                <w:iCs w:val="0"/>
                <w:caps w:val="0"/>
                <w:color w:val="auto"/>
                <w:spacing w:val="0"/>
                <w:sz w:val="24"/>
                <w:szCs w:val="24"/>
                <w:shd w:val="clear" w:fill="FFFFFF"/>
              </w:rPr>
              <w:t>长城墙体基础，加速结构失稳</w:t>
            </w:r>
            <w:r>
              <w:rPr>
                <w:rFonts w:hint="eastAsia" w:ascii="Arial" w:hAnsi="Arial" w:eastAsia="宋体" w:cs="Arial"/>
                <w:i w:val="0"/>
                <w:iCs w:val="0"/>
                <w:caps w:val="0"/>
                <w:color w:val="auto"/>
                <w:spacing w:val="0"/>
                <w:sz w:val="24"/>
                <w:szCs w:val="24"/>
                <w:shd w:val="clear" w:fill="FFFFFF"/>
                <w:lang w:eastAsia="zh-CN"/>
              </w:rPr>
              <w:t>；</w:t>
            </w:r>
            <w:r>
              <w:rPr>
                <w:rFonts w:hint="eastAsia" w:ascii="Arial" w:hAnsi="Arial" w:eastAsia="宋体" w:cs="Arial"/>
                <w:i w:val="0"/>
                <w:iCs w:val="0"/>
                <w:caps w:val="0"/>
                <w:color w:val="auto"/>
                <w:spacing w:val="0"/>
                <w:sz w:val="24"/>
                <w:szCs w:val="24"/>
                <w:shd w:val="clear" w:fill="FFFFFF"/>
                <w:lang w:val="en-US" w:eastAsia="zh-CN"/>
              </w:rPr>
              <w:t>另外</w:t>
            </w:r>
            <w:r>
              <w:rPr>
                <w:rFonts w:hint="default" w:ascii="Arial" w:hAnsi="Arial" w:eastAsia="Arial" w:cs="Arial"/>
                <w:i w:val="0"/>
                <w:iCs w:val="0"/>
                <w:caps w:val="0"/>
                <w:color w:val="auto"/>
                <w:spacing w:val="0"/>
                <w:sz w:val="24"/>
                <w:szCs w:val="24"/>
                <w:shd w:val="clear" w:fill="FFFFFF"/>
              </w:rPr>
              <w:t>若引入非本土物种或过度绿化，可能改变遗址周边自然生态，破坏历史景观协调性‌</w:t>
            </w:r>
            <w:r>
              <w:rPr>
                <w:rFonts w:hint="eastAsia" w:ascii="Arial" w:hAnsi="Arial" w:eastAsia="宋体" w:cs="Arial"/>
                <w:i w:val="0"/>
                <w:iCs w:val="0"/>
                <w:caps w:val="0"/>
                <w:color w:val="auto"/>
                <w:spacing w:val="0"/>
                <w:sz w:val="24"/>
                <w:szCs w:val="24"/>
                <w:shd w:val="clear" w:fill="FFFFFF"/>
                <w:lang w:eastAsia="zh-CN"/>
              </w:rPr>
              <w:t>。</w:t>
            </w:r>
          </w:p>
          <w:p w14:paraId="4ED05455">
            <w:pPr>
              <w:keepNext w:val="0"/>
              <w:keepLines w:val="0"/>
              <w:suppressLineNumbers w:val="0"/>
              <w:bidi w:val="0"/>
              <w:spacing w:before="0" w:beforeAutospacing="0" w:after="0" w:afterAutospacing="0"/>
              <w:ind w:left="0" w:right="0"/>
              <w:rPr>
                <w:rFonts w:hint="default"/>
                <w:color w:val="auto"/>
                <w:u w:val="none"/>
                <w:lang w:val="en-US" w:eastAsia="zh-CN"/>
              </w:rPr>
            </w:pPr>
            <w:r>
              <w:rPr>
                <w:rFonts w:hint="eastAsia"/>
                <w:color w:val="auto"/>
                <w:lang w:val="en-US" w:eastAsia="zh-CN"/>
              </w:rPr>
              <w:t>长城遗址位于A32-4治理小区，与其相邻的治理小区为A32-3、A32-5。A32-3现状为道路、房屋和渠道，</w:t>
            </w:r>
            <w:r>
              <w:rPr>
                <w:rFonts w:hint="default"/>
                <w:color w:val="auto"/>
              </w:rPr>
              <w:t>A32-5现状复垦为耕地</w:t>
            </w:r>
            <w:r>
              <w:rPr>
                <w:rFonts w:hint="eastAsia"/>
                <w:color w:val="auto"/>
                <w:lang w:eastAsia="zh-CN"/>
              </w:rPr>
              <w:t>，</w:t>
            </w:r>
            <w:r>
              <w:rPr>
                <w:rFonts w:hint="eastAsia"/>
                <w:color w:val="auto"/>
                <w:lang w:val="en-US" w:eastAsia="zh-CN"/>
              </w:rPr>
              <w:t>均保持现状，不对其进行施工活动。</w:t>
            </w:r>
            <w:r>
              <w:rPr>
                <w:rFonts w:hint="eastAsia"/>
                <w:color w:val="auto"/>
                <w:u w:val="none"/>
              </w:rPr>
              <w:t>本项目施工期严格控制施工作业带范围，尽可能远离</w:t>
            </w:r>
            <w:r>
              <w:rPr>
                <w:rFonts w:hint="eastAsia"/>
                <w:color w:val="auto"/>
                <w:u w:val="none"/>
                <w:lang w:val="en-US" w:eastAsia="zh-CN"/>
              </w:rPr>
              <w:t>长城遗址</w:t>
            </w:r>
            <w:r>
              <w:rPr>
                <w:rFonts w:hint="eastAsia"/>
                <w:color w:val="auto"/>
                <w:u w:val="none"/>
              </w:rPr>
              <w:t>保护范围，</w:t>
            </w:r>
            <w:r>
              <w:rPr>
                <w:rFonts w:hint="eastAsia"/>
                <w:color w:val="auto"/>
                <w:u w:val="none"/>
                <w:lang w:val="en-US" w:eastAsia="zh-CN"/>
              </w:rPr>
              <w:t>并在长城遗址周边设置围挡。</w:t>
            </w:r>
            <w:r>
              <w:rPr>
                <w:rFonts w:hint="eastAsia"/>
                <w:color w:val="auto"/>
                <w:u w:val="none"/>
              </w:rPr>
              <w:t>同时，项目施工期加强施工期人员教育，严禁破坏</w:t>
            </w:r>
            <w:r>
              <w:rPr>
                <w:rFonts w:hint="eastAsia"/>
                <w:color w:val="auto"/>
                <w:u w:val="none"/>
                <w:lang w:val="en-US" w:eastAsia="zh-CN"/>
              </w:rPr>
              <w:t>长城遗址</w:t>
            </w:r>
            <w:r>
              <w:rPr>
                <w:rFonts w:hint="eastAsia"/>
                <w:color w:val="auto"/>
                <w:u w:val="none"/>
              </w:rPr>
              <w:t>，严禁施工人员及施工机械随意破坏</w:t>
            </w:r>
            <w:r>
              <w:rPr>
                <w:rFonts w:hint="eastAsia"/>
                <w:color w:val="auto"/>
                <w:u w:val="none"/>
                <w:lang w:val="en-US" w:eastAsia="zh-CN"/>
              </w:rPr>
              <w:t>长城遗址</w:t>
            </w:r>
            <w:r>
              <w:rPr>
                <w:rFonts w:hint="eastAsia"/>
                <w:color w:val="auto"/>
                <w:u w:val="none"/>
              </w:rPr>
              <w:t>周边植被，施工结束后，立即进行植被恢复，严格采取相应措施后，项目的施工对</w:t>
            </w:r>
            <w:r>
              <w:rPr>
                <w:rFonts w:hint="eastAsia"/>
                <w:color w:val="auto"/>
                <w:u w:val="none"/>
                <w:lang w:val="en-US" w:eastAsia="zh-CN"/>
              </w:rPr>
              <w:t>长城遗址</w:t>
            </w:r>
            <w:r>
              <w:rPr>
                <w:rFonts w:hint="eastAsia"/>
                <w:color w:val="auto"/>
                <w:u w:val="none"/>
              </w:rPr>
              <w:t>影响较小。</w:t>
            </w:r>
          </w:p>
        </w:tc>
      </w:tr>
      <w:tr w14:paraId="6B7B4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14" w:type="dxa"/>
            <w:tcBorders>
              <w:tl2br w:val="nil"/>
              <w:tr2bl w:val="nil"/>
            </w:tcBorders>
            <w:noWrap w:val="0"/>
            <w:tcMar>
              <w:left w:w="28" w:type="dxa"/>
              <w:right w:w="28" w:type="dxa"/>
            </w:tcMar>
            <w:vAlign w:val="bottom"/>
          </w:tcPr>
          <w:p w14:paraId="6CC02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u w:val="none"/>
              </w:rPr>
            </w:pPr>
            <w:r>
              <w:rPr>
                <w:rFonts w:hint="default" w:cs="Times New Roman"/>
                <w:b/>
                <w:bCs/>
                <w:color w:val="auto"/>
                <w:u w:val="none"/>
              </w:rPr>
              <w:t>运营期生态环境影响分析</w:t>
            </w:r>
          </w:p>
        </w:tc>
        <w:tc>
          <w:tcPr>
            <w:tcW w:w="8428" w:type="dxa"/>
            <w:tcBorders>
              <w:tl2br w:val="nil"/>
              <w:tr2bl w:val="nil"/>
            </w:tcBorders>
            <w:noWrap w:val="0"/>
            <w:vAlign w:val="bottom"/>
          </w:tcPr>
          <w:p w14:paraId="7D65353A">
            <w:pPr>
              <w:keepNext w:val="0"/>
              <w:keepLines w:val="0"/>
              <w:suppressLineNumbers w:val="0"/>
              <w:bidi w:val="0"/>
              <w:spacing w:before="0" w:beforeAutospacing="0" w:after="0" w:afterAutospacing="0"/>
              <w:ind w:left="0" w:right="0"/>
              <w:jc w:val="left"/>
              <w:rPr>
                <w:rFonts w:hint="default" w:cs="Times New Roman"/>
                <w:color w:val="auto"/>
                <w:u w:val="none"/>
              </w:rPr>
            </w:pPr>
            <w:r>
              <w:rPr>
                <w:rFonts w:hint="eastAsia" w:cs="Times New Roman"/>
                <w:color w:val="auto"/>
                <w:u w:val="none"/>
                <w:lang w:val="en-US" w:eastAsia="zh-CN"/>
              </w:rPr>
              <w:t>项目通过治理后，修复区生态系统会保持或恢复到自身结构和功能相对稳定的状态。</w:t>
            </w:r>
          </w:p>
          <w:p w14:paraId="0E26DB39">
            <w:pPr>
              <w:keepNext w:val="0"/>
              <w:keepLines w:val="0"/>
              <w:suppressLineNumbers w:val="0"/>
              <w:bidi w:val="0"/>
              <w:spacing w:before="0" w:beforeAutospacing="0" w:after="0" w:afterAutospacing="0"/>
              <w:ind w:left="0" w:right="0"/>
              <w:jc w:val="left"/>
              <w:rPr>
                <w:rFonts w:hint="default" w:cs="Times New Roman"/>
                <w:color w:val="auto"/>
                <w:u w:val="none"/>
              </w:rPr>
            </w:pPr>
            <w:r>
              <w:rPr>
                <w:rFonts w:hint="eastAsia" w:cs="Times New Roman"/>
                <w:color w:val="auto"/>
                <w:u w:val="none"/>
                <w:lang w:val="en-US" w:eastAsia="zh-CN"/>
              </w:rPr>
              <w:t>⑴本项目运营期无废气、废水、噪声及固体废弃物等的产生，项目生态恢复治理面积较大，区域降水较少，雨季产生的雨水基本可被植物、土壤吸收，在矿区内自行消纳，本项目的实施相对于项目实施前是更有利于周边的生态和水环境恢复。</w:t>
            </w:r>
          </w:p>
          <w:p w14:paraId="41F31D10">
            <w:pPr>
              <w:keepNext w:val="0"/>
              <w:keepLines w:val="0"/>
              <w:suppressLineNumbers w:val="0"/>
              <w:bidi w:val="0"/>
              <w:spacing w:before="0" w:beforeAutospacing="0" w:after="0" w:afterAutospacing="0"/>
              <w:ind w:left="0" w:right="0"/>
              <w:jc w:val="left"/>
              <w:rPr>
                <w:rFonts w:hint="default" w:cs="Times New Roman"/>
                <w:color w:val="auto"/>
                <w:u w:val="none"/>
              </w:rPr>
            </w:pPr>
            <w:r>
              <w:rPr>
                <w:rFonts w:hint="eastAsia" w:cs="Times New Roman"/>
                <w:color w:val="auto"/>
                <w:u w:val="none"/>
                <w:lang w:val="en-US" w:eastAsia="zh-CN"/>
              </w:rPr>
              <w:t>⑵修复因采矿活动而被挖损或压占的土地资源，在项目修复区内，科学种植，使其自然恢复，显著增加植被覆盖率，强化植被固沙护土能力。</w:t>
            </w:r>
          </w:p>
          <w:p w14:paraId="0B38FABB">
            <w:pPr>
              <w:keepNext w:val="0"/>
              <w:keepLines w:val="0"/>
              <w:suppressLineNumbers w:val="0"/>
              <w:bidi w:val="0"/>
              <w:spacing w:before="0" w:beforeAutospacing="0" w:after="0" w:afterAutospacing="0"/>
              <w:ind w:left="0" w:right="0"/>
              <w:jc w:val="left"/>
              <w:rPr>
                <w:rFonts w:hint="default" w:cs="Times New Roman"/>
                <w:color w:val="auto"/>
                <w:u w:val="none"/>
              </w:rPr>
            </w:pPr>
            <w:r>
              <w:rPr>
                <w:rFonts w:hint="eastAsia" w:cs="Times New Roman"/>
                <w:color w:val="auto"/>
                <w:u w:val="none"/>
                <w:lang w:val="en-US" w:eastAsia="zh-CN"/>
              </w:rPr>
              <w:t>⑶可恢复原有地形地貌或与周边环境相协调：</w:t>
            </w:r>
          </w:p>
          <w:p w14:paraId="336F02F6">
            <w:pPr>
              <w:keepNext w:val="0"/>
              <w:keepLines w:val="0"/>
              <w:suppressLineNumbers w:val="0"/>
              <w:bidi w:val="0"/>
              <w:spacing w:before="0" w:beforeAutospacing="0" w:after="0" w:afterAutospacing="0"/>
              <w:ind w:left="0" w:right="0"/>
              <w:jc w:val="left"/>
              <w:rPr>
                <w:rFonts w:hint="default" w:cs="Times New Roman"/>
                <w:bCs/>
                <w:color w:val="auto"/>
                <w:u w:val="none"/>
              </w:rPr>
            </w:pPr>
            <w:r>
              <w:rPr>
                <w:rFonts w:hint="eastAsia" w:cs="Times New Roman"/>
                <w:color w:val="auto"/>
                <w:u w:val="none"/>
                <w:lang w:val="en-US" w:eastAsia="zh-CN"/>
              </w:rPr>
              <w:t>⑷可恢复土地资源功能，使治理区内破坏土地资源的植被覆盖率提高，生态环境得到恢复。</w:t>
            </w:r>
          </w:p>
        </w:tc>
      </w:tr>
      <w:tr w14:paraId="77A50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14" w:type="dxa"/>
            <w:tcBorders>
              <w:tl2br w:val="nil"/>
              <w:tr2bl w:val="nil"/>
            </w:tcBorders>
            <w:noWrap w:val="0"/>
            <w:vAlign w:val="bottom"/>
          </w:tcPr>
          <w:p w14:paraId="0E2F3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r>
              <w:rPr>
                <w:rFonts w:hint="default" w:ascii="Times New Roman" w:hAnsi="Times New Roman" w:eastAsia="宋体" w:cs="Times New Roman"/>
                <w:b/>
                <w:bCs/>
                <w:color w:val="auto"/>
                <w:u w:val="none"/>
              </w:rPr>
              <w:t>选址选线环境合理性分析</w:t>
            </w:r>
          </w:p>
          <w:p w14:paraId="3A314F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64BF6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7442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349E1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6CDA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3C118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D4BD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132FA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4D503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BC12F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A2A1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ACDB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3452F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169473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1B4BE3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58A9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063D2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71EC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33EA6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361E50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E9C1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074E1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F6EB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tc>
        <w:tc>
          <w:tcPr>
            <w:tcW w:w="8428" w:type="dxa"/>
            <w:tcBorders>
              <w:tl2br w:val="nil"/>
              <w:tr2bl w:val="nil"/>
            </w:tcBorders>
            <w:noWrap w:val="0"/>
            <w:vAlign w:val="bottom"/>
          </w:tcPr>
          <w:p w14:paraId="7DCD9B52">
            <w:pPr>
              <w:keepNext w:val="0"/>
              <w:keepLines w:val="0"/>
              <w:widowControl/>
              <w:suppressLineNumbers w:val="0"/>
              <w:spacing w:before="0" w:beforeAutospacing="0" w:after="0" w:afterAutospacing="0"/>
              <w:ind w:left="0" w:right="0"/>
              <w:jc w:val="left"/>
              <w:rPr>
                <w:rFonts w:hint="eastAsia" w:cs="Times New Roman"/>
                <w:color w:val="auto"/>
                <w:highlight w:val="none"/>
                <w:u w:val="none"/>
                <w:lang w:val="en-US" w:eastAsia="zh-CN"/>
              </w:rPr>
            </w:pPr>
            <w:r>
              <w:rPr>
                <w:rFonts w:hint="eastAsia" w:cs="Times New Roman"/>
                <w:color w:val="auto"/>
                <w:highlight w:val="none"/>
                <w:u w:val="none"/>
                <w:lang w:val="en-US" w:eastAsia="zh-CN"/>
              </w:rPr>
              <w:t>修复区位于沙坡头区镇罗镇、柔远镇、东园镇、迎水桥镇，本项目是对历史遗留废弃矿山进行生态修复治理，选址具有唯一性、不可替代性。</w:t>
            </w:r>
          </w:p>
          <w:p w14:paraId="7097C8C5">
            <w:pPr>
              <w:keepNext w:val="0"/>
              <w:keepLines w:val="0"/>
              <w:widowControl/>
              <w:suppressLineNumbers w:val="0"/>
              <w:spacing w:before="0" w:beforeAutospacing="0" w:after="0" w:afterAutospacing="0"/>
              <w:ind w:left="0" w:right="0"/>
              <w:jc w:val="left"/>
              <w:rPr>
                <w:rFonts w:hint="eastAsia" w:cs="Times New Roman"/>
                <w:color w:val="auto"/>
                <w:highlight w:val="none"/>
                <w:u w:val="none"/>
                <w:lang w:val="en-US" w:eastAsia="zh-CN"/>
              </w:rPr>
            </w:pPr>
            <w:r>
              <w:rPr>
                <w:rFonts w:hint="eastAsia" w:cs="Times New Roman"/>
                <w:color w:val="auto"/>
                <w:highlight w:val="none"/>
                <w:u w:val="none"/>
                <w:lang w:val="en-US" w:eastAsia="zh-CN"/>
              </w:rPr>
              <w:t>项目区</w:t>
            </w:r>
            <w:r>
              <w:rPr>
                <w:rFonts w:hint="eastAsia" w:ascii="宋体" w:hAnsi="宋体" w:eastAsia="宋体" w:cs="宋体"/>
                <w:color w:val="auto"/>
                <w:kern w:val="0"/>
                <w:sz w:val="24"/>
                <w:szCs w:val="24"/>
                <w:highlight w:val="none"/>
                <w:u w:val="none"/>
                <w:lang w:val="en-US" w:eastAsia="zh-CN" w:bidi="ar"/>
              </w:rPr>
              <w:t>多为私挖滥采的小煤矿</w:t>
            </w:r>
            <w:r>
              <w:rPr>
                <w:rFonts w:hint="eastAsia" w:cs="Times New Roman"/>
                <w:color w:val="auto"/>
                <w:highlight w:val="none"/>
                <w:u w:val="none"/>
                <w:lang w:val="en-US" w:eastAsia="zh-CN"/>
              </w:rPr>
              <w:t>，由于采矿活动形成的矿山采坑、渣堆、高陡边坡、挖损边坡等环境问题。项目的建设可</w:t>
            </w:r>
            <w:r>
              <w:rPr>
                <w:rFonts w:hint="default" w:ascii="宋体" w:hAnsi="宋体" w:eastAsia="宋体" w:cs="宋体"/>
                <w:color w:val="auto"/>
                <w:sz w:val="24"/>
                <w:szCs w:val="24"/>
                <w:u w:val="none"/>
              </w:rPr>
              <w:t>加快并彻底恢复矿山毁损山体的生态环境以及消除地质灾害隐患</w:t>
            </w:r>
            <w:r>
              <w:rPr>
                <w:rFonts w:hint="eastAsia" w:ascii="宋体" w:hAnsi="宋体" w:cs="宋体"/>
                <w:color w:val="auto"/>
                <w:sz w:val="24"/>
                <w:szCs w:val="24"/>
                <w:u w:val="none"/>
                <w:lang w:eastAsia="zh-CN"/>
              </w:rPr>
              <w:t>。</w:t>
            </w:r>
            <w:r>
              <w:rPr>
                <w:rFonts w:hint="default" w:ascii="宋体" w:hAnsi="宋体" w:eastAsia="宋体" w:cs="宋体"/>
                <w:color w:val="auto"/>
                <w:sz w:val="24"/>
                <w:szCs w:val="24"/>
                <w:highlight w:val="none"/>
                <w:u w:val="none"/>
              </w:rPr>
              <w:t>矿山的修复过程中产生的废气、噪声、地表水等污染经过采取相应的措施处理后对周边环境的影响较小</w:t>
            </w:r>
            <w:r>
              <w:rPr>
                <w:rFonts w:hint="eastAsia" w:ascii="宋体" w:hAnsi="宋体" w:cs="宋体"/>
                <w:color w:val="auto"/>
                <w:sz w:val="24"/>
                <w:szCs w:val="24"/>
                <w:highlight w:val="none"/>
                <w:u w:val="none"/>
                <w:lang w:eastAsia="zh-CN"/>
              </w:rPr>
              <w:t>。</w:t>
            </w:r>
            <w:r>
              <w:rPr>
                <w:rFonts w:hint="eastAsia" w:cs="Times New Roman"/>
                <w:color w:val="auto"/>
                <w:highlight w:val="none"/>
                <w:u w:val="none"/>
                <w:lang w:val="en-US" w:eastAsia="zh-CN"/>
              </w:rPr>
              <w:t>从环境影响角度，本项目选址合理。</w:t>
            </w:r>
          </w:p>
          <w:p w14:paraId="0A86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706D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249E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4F00ACE7">
            <w:pPr>
              <w:keepNext w:val="0"/>
              <w:keepLines w:val="0"/>
              <w:widowControl/>
              <w:suppressLineNumbers w:val="0"/>
              <w:spacing w:before="0" w:beforeAutospacing="0" w:after="0" w:afterAutospacing="0"/>
              <w:ind w:left="0" w:right="0"/>
              <w:jc w:val="left"/>
              <w:rPr>
                <w:rFonts w:hint="eastAsia" w:cs="Times New Roman"/>
                <w:color w:val="auto"/>
                <w:highlight w:val="none"/>
                <w:u w:val="none"/>
                <w:lang w:val="en-US" w:eastAsia="zh-CN"/>
              </w:rPr>
            </w:pPr>
          </w:p>
          <w:p w14:paraId="71477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65F3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3B754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62DE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61027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09F7B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13467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F0FC3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654599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62190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99896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264E5F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A526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6686D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3E224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eastAsia="宋体" w:cs="Times New Roman"/>
                <w:b/>
                <w:bCs/>
                <w:color w:val="auto"/>
                <w:u w:val="none"/>
              </w:rPr>
            </w:pPr>
          </w:p>
          <w:p w14:paraId="5F749AEC">
            <w:pPr>
              <w:keepNext w:val="0"/>
              <w:keepLines w:val="0"/>
              <w:widowControl/>
              <w:suppressLineNumbers w:val="0"/>
              <w:spacing w:before="0" w:beforeAutospacing="0" w:after="0" w:afterAutospacing="0"/>
              <w:ind w:left="0" w:right="0"/>
              <w:jc w:val="left"/>
              <w:rPr>
                <w:rFonts w:hint="eastAsia" w:cs="Times New Roman"/>
                <w:color w:val="auto"/>
                <w:highlight w:val="none"/>
                <w:u w:val="none"/>
                <w:lang w:val="en-US" w:eastAsia="zh-CN"/>
              </w:rPr>
            </w:pPr>
          </w:p>
          <w:p w14:paraId="7C1CB431">
            <w:pPr>
              <w:keepNext w:val="0"/>
              <w:keepLines w:val="0"/>
              <w:widowControl/>
              <w:suppressLineNumbers w:val="0"/>
              <w:spacing w:before="0" w:beforeAutospacing="0" w:after="0" w:afterAutospacing="0"/>
              <w:ind w:left="0" w:right="0"/>
              <w:jc w:val="left"/>
              <w:rPr>
                <w:rFonts w:hint="eastAsia" w:cs="Times New Roman"/>
                <w:color w:val="auto"/>
                <w:highlight w:val="none"/>
                <w:u w:val="none"/>
                <w:lang w:val="en-US" w:eastAsia="zh-CN"/>
              </w:rPr>
            </w:pPr>
          </w:p>
          <w:p w14:paraId="234B6360">
            <w:pPr>
              <w:keepNext w:val="0"/>
              <w:keepLines w:val="0"/>
              <w:widowControl/>
              <w:suppressLineNumbers w:val="0"/>
              <w:spacing w:before="0" w:beforeAutospacing="0" w:after="0" w:afterAutospacing="0"/>
              <w:ind w:left="0" w:right="0"/>
              <w:jc w:val="left"/>
              <w:rPr>
                <w:rFonts w:hint="default" w:cs="Times New Roman"/>
                <w:color w:val="auto"/>
                <w:highlight w:val="none"/>
                <w:u w:val="none"/>
                <w:lang w:val="en-US" w:eastAsia="zh-CN"/>
              </w:rPr>
            </w:pPr>
          </w:p>
          <w:p w14:paraId="69FCE57F">
            <w:pPr>
              <w:keepNext w:val="0"/>
              <w:keepLines w:val="0"/>
              <w:widowControl/>
              <w:suppressLineNumbers w:val="0"/>
              <w:spacing w:before="0" w:beforeAutospacing="0" w:after="0" w:afterAutospacing="0"/>
              <w:ind w:left="0" w:right="0"/>
              <w:jc w:val="left"/>
              <w:rPr>
                <w:rFonts w:hint="default" w:cs="Times New Roman"/>
                <w:color w:val="auto"/>
                <w:highlight w:val="none"/>
                <w:u w:val="none"/>
                <w:lang w:val="en-US" w:eastAsia="zh-CN"/>
              </w:rPr>
            </w:pPr>
          </w:p>
        </w:tc>
      </w:tr>
    </w:tbl>
    <w:p w14:paraId="61CE5DE3">
      <w:pPr>
        <w:pStyle w:val="22"/>
        <w:jc w:val="center"/>
        <w:rPr>
          <w:rFonts w:ascii="Times New Roman" w:hAnsi="Times New Roman" w:eastAsia="黑体"/>
          <w:snapToGrid w:val="0"/>
          <w:color w:val="auto"/>
          <w:sz w:val="36"/>
          <w:szCs w:val="36"/>
        </w:rPr>
        <w:sectPr>
          <w:pgSz w:w="11905" w:h="16838"/>
          <w:pgMar w:top="1417" w:right="1417" w:bottom="1417" w:left="1417" w:header="851" w:footer="964" w:gutter="0"/>
          <w:pgBorders>
            <w:top w:val="none" w:sz="0" w:space="0"/>
            <w:left w:val="none" w:sz="0" w:space="0"/>
            <w:bottom w:val="none" w:sz="0" w:space="0"/>
            <w:right w:val="none" w:sz="0" w:space="0"/>
          </w:pgBorders>
          <w:cols w:space="0" w:num="1"/>
          <w:rtlGutter w:val="0"/>
          <w:docGrid w:type="linesAndChars" w:linePitch="466" w:charSpace="-2709"/>
        </w:sectPr>
      </w:pPr>
    </w:p>
    <w:p w14:paraId="4C5D9E1E">
      <w:pPr>
        <w:pStyle w:val="4"/>
        <w:bidi w:val="0"/>
        <w:rPr>
          <w:color w:val="auto"/>
        </w:rPr>
      </w:pPr>
      <w:r>
        <w:rPr>
          <w:color w:val="auto"/>
        </w:rPr>
        <w:t>五、主要生态环境保护措施</w:t>
      </w:r>
    </w:p>
    <w:tbl>
      <w:tblPr>
        <w:tblStyle w:val="26"/>
        <w:tblW w:w="92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0D304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8" w:hRule="atLeast"/>
          <w:jc w:val="center"/>
        </w:trPr>
        <w:tc>
          <w:tcPr>
            <w:tcW w:w="753" w:type="dxa"/>
            <w:noWrap w:val="0"/>
            <w:tcMar>
              <w:left w:w="28" w:type="dxa"/>
              <w:right w:w="28" w:type="dxa"/>
            </w:tcMar>
            <w:vAlign w:val="center"/>
          </w:tcPr>
          <w:p w14:paraId="6B4EE383">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auto"/>
                <w:szCs w:val="21"/>
              </w:rPr>
            </w:pPr>
            <w:r>
              <w:rPr>
                <w:rFonts w:hint="default" w:cs="Times New Roman"/>
                <w:b/>
                <w:bCs/>
                <w:color w:val="auto"/>
              </w:rPr>
              <w:t>施工期生态环境保护措施</w:t>
            </w:r>
          </w:p>
        </w:tc>
        <w:tc>
          <w:tcPr>
            <w:tcW w:w="8457" w:type="dxa"/>
            <w:noWrap w:val="0"/>
            <w:vAlign w:val="top"/>
          </w:tcPr>
          <w:p w14:paraId="56D43596">
            <w:pPr>
              <w:pStyle w:val="2"/>
              <w:keepLines w:val="0"/>
              <w:suppressLineNumbers w:val="0"/>
              <w:bidi w:val="0"/>
              <w:spacing w:before="0" w:beforeAutospacing="0" w:after="0" w:afterAutospacing="0"/>
              <w:ind w:left="0" w:right="0"/>
              <w:rPr>
                <w:rFonts w:hint="default"/>
                <w:color w:val="auto"/>
              </w:rPr>
            </w:pPr>
            <w:r>
              <w:rPr>
                <w:rFonts w:hint="default"/>
                <w:color w:val="auto"/>
              </w:rPr>
              <w:t>1</w:t>
            </w:r>
            <w:r>
              <w:rPr>
                <w:rFonts w:hint="eastAsia"/>
                <w:color w:val="auto"/>
                <w:lang w:val="en-US" w:eastAsia="zh-CN"/>
              </w:rPr>
              <w:t xml:space="preserve"> </w:t>
            </w:r>
            <w:r>
              <w:rPr>
                <w:rFonts w:hint="default"/>
                <w:color w:val="auto"/>
              </w:rPr>
              <w:t>生态环境保护措施</w:t>
            </w:r>
          </w:p>
          <w:p w14:paraId="4D7684F9">
            <w:pPr>
              <w:keepNext w:val="0"/>
              <w:keepLines w:val="0"/>
              <w:suppressLineNumbers w:val="0"/>
              <w:bidi w:val="0"/>
              <w:spacing w:before="0" w:beforeAutospacing="0" w:after="0" w:afterAutospacing="0"/>
              <w:ind w:left="0" w:right="0"/>
              <w:rPr>
                <w:rFonts w:hint="default"/>
                <w:color w:val="auto"/>
              </w:rPr>
            </w:pPr>
            <w:r>
              <w:rPr>
                <w:rFonts w:hint="default"/>
                <w:color w:val="auto"/>
              </w:rPr>
              <w:t>为了减缓施工过程对生态环境的影响，建议采取以下措施：</w:t>
            </w:r>
          </w:p>
          <w:p w14:paraId="6DF259B9">
            <w:pPr>
              <w:pStyle w:val="2"/>
              <w:keepLines w:val="0"/>
              <w:suppressLineNumbers w:val="0"/>
              <w:bidi w:val="0"/>
              <w:spacing w:before="0" w:beforeAutospacing="0" w:after="0" w:afterAutospacing="0"/>
              <w:ind w:left="0" w:right="0"/>
              <w:rPr>
                <w:rFonts w:hint="default"/>
                <w:color w:val="auto"/>
              </w:rPr>
            </w:pPr>
            <w:r>
              <w:rPr>
                <w:rFonts w:hint="default"/>
                <w:color w:val="auto"/>
              </w:rPr>
              <w:t>1.1</w:t>
            </w:r>
            <w:r>
              <w:rPr>
                <w:rFonts w:hint="eastAsia"/>
                <w:color w:val="auto"/>
                <w:lang w:val="en-US" w:eastAsia="zh-CN"/>
              </w:rPr>
              <w:t xml:space="preserve"> </w:t>
            </w:r>
            <w:r>
              <w:rPr>
                <w:rFonts w:hint="default"/>
                <w:color w:val="auto"/>
              </w:rPr>
              <w:t>施工占地保护措施</w:t>
            </w:r>
          </w:p>
          <w:p w14:paraId="3DE6BBD4">
            <w:pPr>
              <w:keepNext w:val="0"/>
              <w:keepLines w:val="0"/>
              <w:suppressLineNumbers w:val="0"/>
              <w:bidi w:val="0"/>
              <w:spacing w:before="0" w:beforeAutospacing="0" w:after="0" w:afterAutospacing="0"/>
              <w:ind w:left="0" w:right="0"/>
              <w:rPr>
                <w:rFonts w:hint="default"/>
                <w:color w:val="auto"/>
              </w:rPr>
            </w:pPr>
            <w:r>
              <w:rPr>
                <w:rFonts w:hint="default"/>
                <w:color w:val="auto"/>
              </w:rPr>
              <w:t>施工期间，严格控制施工范围，施工范围控制在</w:t>
            </w:r>
            <w:r>
              <w:rPr>
                <w:rFonts w:hint="eastAsia"/>
                <w:color w:val="auto"/>
                <w:lang w:val="en-US" w:eastAsia="zh-CN"/>
              </w:rPr>
              <w:t>各治理区占地面积</w:t>
            </w:r>
            <w:r>
              <w:rPr>
                <w:rFonts w:hint="default"/>
                <w:color w:val="auto"/>
              </w:rPr>
              <w:t>范围内，严禁随意扩大施工活动范围。</w:t>
            </w:r>
          </w:p>
          <w:p w14:paraId="28852EBD">
            <w:pPr>
              <w:pStyle w:val="2"/>
              <w:keepLines w:val="0"/>
              <w:suppressLineNumbers w:val="0"/>
              <w:bidi w:val="0"/>
              <w:spacing w:before="0" w:beforeAutospacing="0" w:after="0" w:afterAutospacing="0"/>
              <w:ind w:left="0" w:right="0"/>
              <w:rPr>
                <w:rFonts w:hint="default"/>
                <w:color w:val="auto"/>
              </w:rPr>
            </w:pPr>
            <w:r>
              <w:rPr>
                <w:rFonts w:hint="default"/>
                <w:color w:val="auto"/>
              </w:rPr>
              <w:t>1.2</w:t>
            </w:r>
            <w:r>
              <w:rPr>
                <w:rFonts w:hint="eastAsia"/>
                <w:color w:val="auto"/>
                <w:lang w:val="en-US" w:eastAsia="zh-CN"/>
              </w:rPr>
              <w:t xml:space="preserve"> </w:t>
            </w:r>
            <w:r>
              <w:rPr>
                <w:rFonts w:hint="default"/>
                <w:color w:val="auto"/>
              </w:rPr>
              <w:t>施工</w:t>
            </w:r>
            <w:r>
              <w:rPr>
                <w:rFonts w:hint="eastAsia"/>
                <w:color w:val="auto"/>
                <w:lang w:val="en-US" w:eastAsia="zh-CN"/>
              </w:rPr>
              <w:t>避让和减缓</w:t>
            </w:r>
            <w:r>
              <w:rPr>
                <w:rFonts w:hint="default"/>
                <w:color w:val="auto"/>
              </w:rPr>
              <w:t>措施</w:t>
            </w:r>
          </w:p>
          <w:p w14:paraId="1044CF7C">
            <w:pPr>
              <w:keepNext w:val="0"/>
              <w:keepLines w:val="0"/>
              <w:suppressLineNumbers w:val="0"/>
              <w:bidi w:val="0"/>
              <w:spacing w:before="0" w:beforeAutospacing="0" w:after="0" w:afterAutospacing="0"/>
              <w:ind w:left="0" w:right="0"/>
              <w:rPr>
                <w:rFonts w:hint="default"/>
                <w:color w:val="auto"/>
              </w:rPr>
            </w:pPr>
            <w:r>
              <w:rPr>
                <w:rFonts w:hint="default"/>
                <w:color w:val="auto"/>
              </w:rPr>
              <w:t>⑴做好施工组织工程占地应尽量利用既有场地；禁止越界施工占地或砍伐林木，减少占地造成的植被损失。</w:t>
            </w:r>
          </w:p>
          <w:p w14:paraId="793A1C76">
            <w:pPr>
              <w:keepNext w:val="0"/>
              <w:keepLines w:val="0"/>
              <w:suppressLineNumbers w:val="0"/>
              <w:bidi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2 \* GB2 \* MERGEFORMAT </w:instrText>
            </w:r>
            <w:r>
              <w:rPr>
                <w:rFonts w:hint="default"/>
                <w:color w:val="auto"/>
              </w:rPr>
              <w:fldChar w:fldCharType="separate"/>
            </w:r>
            <w:r>
              <w:rPr>
                <w:rFonts w:hint="default"/>
                <w:color w:val="auto"/>
              </w:rPr>
              <w:t>⑵</w:t>
            </w:r>
            <w:r>
              <w:rPr>
                <w:rFonts w:hint="default"/>
                <w:color w:val="auto"/>
              </w:rPr>
              <w:fldChar w:fldCharType="end"/>
            </w:r>
            <w:r>
              <w:rPr>
                <w:rFonts w:hint="default"/>
                <w:color w:val="auto"/>
              </w:rPr>
              <w:t>优化工程施工时序合理安排施工时间。优化施工时段，采用分时、分段施工方式，以减少对区域植被影响。</w:t>
            </w:r>
          </w:p>
          <w:p w14:paraId="7B8CD4EB">
            <w:pPr>
              <w:keepNext w:val="0"/>
              <w:keepLines w:val="0"/>
              <w:suppressLineNumbers w:val="0"/>
              <w:bidi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3 \* GB2 \* MERGEFORMAT </w:instrText>
            </w:r>
            <w:r>
              <w:rPr>
                <w:rFonts w:hint="default"/>
                <w:color w:val="auto"/>
              </w:rPr>
              <w:fldChar w:fldCharType="separate"/>
            </w:r>
            <w:r>
              <w:rPr>
                <w:rFonts w:hint="default"/>
                <w:color w:val="auto"/>
              </w:rPr>
              <w:t>⑶</w:t>
            </w:r>
            <w:r>
              <w:rPr>
                <w:rFonts w:hint="default"/>
                <w:color w:val="auto"/>
              </w:rPr>
              <w:fldChar w:fldCharType="end"/>
            </w:r>
            <w:r>
              <w:rPr>
                <w:rFonts w:hint="default"/>
                <w:color w:val="auto"/>
              </w:rPr>
              <w:t>划定施工活动范围</w:t>
            </w:r>
            <w:r>
              <w:rPr>
                <w:rFonts w:hint="eastAsia"/>
                <w:color w:val="auto"/>
                <w:lang w:eastAsia="zh-CN"/>
              </w:rPr>
              <w:t>，</w:t>
            </w:r>
            <w:r>
              <w:rPr>
                <w:rFonts w:hint="default"/>
                <w:color w:val="auto"/>
              </w:rPr>
              <w:t>在工程涉及敏感区段设立警示标志，采取围栏、警戒线等措施限定工程占用与扰动范围，同时对施工人员进行环境保护意识教育，宣传动植物保护法规，严禁随意扩大施工范围，禁止随意乱采滥伐等。</w:t>
            </w:r>
          </w:p>
          <w:p w14:paraId="12E30159">
            <w:pPr>
              <w:keepNext w:val="0"/>
              <w:keepLines w:val="0"/>
              <w:suppressLineNumbers w:val="0"/>
              <w:bidi w:val="0"/>
              <w:spacing w:before="0" w:beforeAutospacing="0" w:after="0" w:afterAutospacing="0"/>
              <w:ind w:left="0" w:right="0"/>
              <w:rPr>
                <w:rFonts w:hint="default"/>
                <w:color w:val="auto"/>
              </w:rPr>
            </w:pPr>
            <w:r>
              <w:rPr>
                <w:rFonts w:hint="default"/>
                <w:color w:val="auto"/>
              </w:rPr>
              <w:fldChar w:fldCharType="begin"/>
            </w:r>
            <w:r>
              <w:rPr>
                <w:rFonts w:hint="default"/>
                <w:color w:val="auto"/>
              </w:rPr>
              <w:instrText xml:space="preserve"> = 4 \* GB2 \* MERGEFORMAT </w:instrText>
            </w:r>
            <w:r>
              <w:rPr>
                <w:rFonts w:hint="default"/>
                <w:color w:val="auto"/>
              </w:rPr>
              <w:fldChar w:fldCharType="separate"/>
            </w:r>
            <w:r>
              <w:rPr>
                <w:rFonts w:hint="default"/>
                <w:color w:val="auto"/>
              </w:rPr>
              <w:t>⑷</w:t>
            </w:r>
            <w:r>
              <w:rPr>
                <w:rFonts w:hint="default"/>
                <w:color w:val="auto"/>
              </w:rPr>
              <w:fldChar w:fldCharType="end"/>
            </w:r>
            <w:r>
              <w:rPr>
                <w:rFonts w:hint="default"/>
                <w:color w:val="auto"/>
              </w:rPr>
              <w:t>加强施工管理施工过程中，加强施工人员的管理，禁止施工人员对植被滥砍滥伐，严格限制人员的活动范围，破坏各治理区</w:t>
            </w:r>
            <w:r>
              <w:rPr>
                <w:rFonts w:hint="eastAsia"/>
                <w:color w:val="auto"/>
                <w:lang w:val="en-US" w:eastAsia="zh-CN"/>
              </w:rPr>
              <w:t>及其附近</w:t>
            </w:r>
            <w:r>
              <w:rPr>
                <w:rFonts w:hint="default"/>
                <w:color w:val="auto"/>
              </w:rPr>
              <w:t>的生态环境。</w:t>
            </w:r>
          </w:p>
          <w:p w14:paraId="398091BE">
            <w:pPr>
              <w:pStyle w:val="2"/>
              <w:keepLines w:val="0"/>
              <w:suppressLineNumbers w:val="0"/>
              <w:bidi w:val="0"/>
              <w:spacing w:before="0" w:beforeAutospacing="0" w:after="0" w:afterAutospacing="0"/>
              <w:ind w:left="0" w:right="0"/>
              <w:rPr>
                <w:rFonts w:hint="default"/>
                <w:color w:val="auto"/>
              </w:rPr>
            </w:pPr>
            <w:r>
              <w:rPr>
                <w:rFonts w:hint="default"/>
                <w:color w:val="auto"/>
              </w:rPr>
              <w:t>1.3</w:t>
            </w:r>
            <w:r>
              <w:rPr>
                <w:rFonts w:hint="eastAsia"/>
                <w:color w:val="auto"/>
                <w:lang w:val="en-US" w:eastAsia="zh-CN"/>
              </w:rPr>
              <w:t xml:space="preserve"> </w:t>
            </w:r>
            <w:r>
              <w:rPr>
                <w:rFonts w:hint="default"/>
                <w:color w:val="auto"/>
              </w:rPr>
              <w:t>植被保护措施</w:t>
            </w:r>
          </w:p>
          <w:p w14:paraId="0FA7F59C">
            <w:pPr>
              <w:keepNext w:val="0"/>
              <w:keepLines w:val="0"/>
              <w:suppressLineNumbers w:val="0"/>
              <w:bidi w:val="0"/>
              <w:spacing w:before="0" w:beforeAutospacing="0" w:after="0" w:afterAutospacing="0"/>
              <w:ind w:left="0" w:right="0"/>
              <w:rPr>
                <w:rFonts w:hint="default"/>
                <w:color w:val="auto"/>
              </w:rPr>
            </w:pPr>
            <w:r>
              <w:rPr>
                <w:rFonts w:hint="default"/>
                <w:color w:val="auto"/>
              </w:rPr>
              <w:t>①植物保护措施首先采取预防保护措施，通过进一步优化施工布置，控制施工占地，减少对工程地区现有植被的占压和破坏，不占现有农田：加强施工管理，优化施工工艺，减轻工程活动对当地植被的不利影响，维护工程及周边区域的生态完整性：加大宣传教育，提高工人的生态保护意识。</w:t>
            </w:r>
          </w:p>
          <w:p w14:paraId="0FD81FC5">
            <w:pPr>
              <w:keepNext w:val="0"/>
              <w:keepLines w:val="0"/>
              <w:suppressLineNumbers w:val="0"/>
              <w:bidi w:val="0"/>
              <w:spacing w:before="0" w:beforeAutospacing="0" w:after="0" w:afterAutospacing="0"/>
              <w:ind w:left="0" w:right="0"/>
              <w:rPr>
                <w:rFonts w:hint="default"/>
                <w:color w:val="auto"/>
              </w:rPr>
            </w:pPr>
            <w:r>
              <w:rPr>
                <w:rFonts w:hint="default"/>
                <w:color w:val="auto"/>
              </w:rPr>
              <w:t>②植物恢复措施及时进行播撒草籽复绿，植被恢复的物种选择应从当地自然条件出发，既要达到快速恢复的目的，又要考虑适宜性，同时需防止生态入侵问题。结合项目区实际情况，并咨询相关林业专家得知，适合项目区生长的草植物主要有</w:t>
            </w:r>
            <w:r>
              <w:rPr>
                <w:rFonts w:hint="eastAsia"/>
                <w:color w:val="auto"/>
              </w:rPr>
              <w:t>沙蓬、芨芨草、梭梭草、针茅</w:t>
            </w:r>
            <w:r>
              <w:rPr>
                <w:rFonts w:hint="default"/>
                <w:color w:val="auto"/>
              </w:rPr>
              <w:t>等，撒播草密度为40kg/hm</w:t>
            </w:r>
            <w:r>
              <w:rPr>
                <w:rFonts w:hint="default"/>
                <w:color w:val="auto"/>
                <w:vertAlign w:val="superscript"/>
              </w:rPr>
              <w:t>2</w:t>
            </w:r>
            <w:r>
              <w:rPr>
                <w:rFonts w:hint="default"/>
                <w:color w:val="auto"/>
              </w:rPr>
              <w:t>。选择春夏季播种，同时需注意前期洒水、防虫，有利于保证草籽存活率，使得当地的植物生态系统尽快恢复。</w:t>
            </w:r>
          </w:p>
          <w:p w14:paraId="6EDAE5DE">
            <w:pPr>
              <w:pStyle w:val="2"/>
              <w:keepLines w:val="0"/>
              <w:suppressLineNumbers w:val="0"/>
              <w:bidi w:val="0"/>
              <w:spacing w:before="0" w:beforeAutospacing="0" w:after="0" w:afterAutospacing="0"/>
              <w:ind w:left="0" w:right="0"/>
              <w:rPr>
                <w:rFonts w:hint="default"/>
                <w:color w:val="auto"/>
              </w:rPr>
            </w:pPr>
            <w:r>
              <w:rPr>
                <w:rFonts w:hint="default"/>
                <w:color w:val="auto"/>
              </w:rPr>
              <w:t>1.4</w:t>
            </w:r>
            <w:r>
              <w:rPr>
                <w:rFonts w:hint="eastAsia"/>
                <w:color w:val="auto"/>
                <w:lang w:val="en-US" w:eastAsia="zh-CN"/>
              </w:rPr>
              <w:t xml:space="preserve"> </w:t>
            </w:r>
            <w:r>
              <w:rPr>
                <w:rFonts w:hint="default"/>
                <w:color w:val="auto"/>
              </w:rPr>
              <w:t>动物保护措施</w:t>
            </w:r>
          </w:p>
          <w:p w14:paraId="08AF1A92">
            <w:pPr>
              <w:keepNext w:val="0"/>
              <w:keepLines w:val="0"/>
              <w:suppressLineNumbers w:val="0"/>
              <w:bidi w:val="0"/>
              <w:spacing w:before="0" w:beforeAutospacing="0" w:after="0" w:afterAutospacing="0"/>
              <w:ind w:left="0" w:right="0"/>
              <w:rPr>
                <w:rFonts w:hint="default"/>
                <w:color w:val="auto"/>
              </w:rPr>
            </w:pPr>
            <w:r>
              <w:rPr>
                <w:rFonts w:hint="default"/>
                <w:color w:val="auto"/>
              </w:rPr>
              <w:t>⑴施工过程中，根据工程设计优化施工布置，尽量减少施工占地及施工活动对植被的扰动，减少陆生动物生境损失。</w:t>
            </w:r>
          </w:p>
          <w:p w14:paraId="78AFED21">
            <w:pPr>
              <w:keepNext w:val="0"/>
              <w:keepLines w:val="0"/>
              <w:suppressLineNumbers w:val="0"/>
              <w:bidi w:val="0"/>
              <w:spacing w:before="0" w:beforeAutospacing="0" w:after="0" w:afterAutospacing="0"/>
              <w:ind w:left="0" w:right="0"/>
              <w:rPr>
                <w:rFonts w:hint="default"/>
                <w:color w:val="auto"/>
              </w:rPr>
            </w:pPr>
            <w:r>
              <w:rPr>
                <w:rFonts w:hint="default"/>
                <w:color w:val="auto"/>
              </w:rPr>
              <w:t>⑵施工期间，对施工人员和附近居民加强生态保护的宣传教育，以公告、发放宣传册等形式，教育施工人员，说明国家法律对动物保护的要求及意义，尤其说明对施工区周边保护动物保护的重要性，增强施工人员保护植被和动植物多样性对生态环境重要性的意识。</w:t>
            </w:r>
          </w:p>
          <w:p w14:paraId="3034CE82">
            <w:pPr>
              <w:keepNext w:val="0"/>
              <w:keepLines w:val="0"/>
              <w:suppressLineNumbers w:val="0"/>
              <w:bidi w:val="0"/>
              <w:spacing w:before="0" w:beforeAutospacing="0" w:after="0" w:afterAutospacing="0"/>
              <w:ind w:left="0" w:right="0"/>
              <w:rPr>
                <w:rFonts w:hint="default"/>
                <w:color w:val="auto"/>
              </w:rPr>
            </w:pPr>
            <w:r>
              <w:rPr>
                <w:rFonts w:hint="default"/>
                <w:color w:val="auto"/>
              </w:rPr>
              <w:t>⑶建立生态破坏惩罚制度，严禁施工人员非法猎捕野生动物；限制施工人员在施工以外区域活动，禁止施工人员野外用火，把对野生动物的干扰降至最低程度。</w:t>
            </w:r>
          </w:p>
          <w:p w14:paraId="24E162AA">
            <w:pPr>
              <w:keepNext w:val="0"/>
              <w:keepLines w:val="0"/>
              <w:suppressLineNumbers w:val="0"/>
              <w:bidi w:val="0"/>
              <w:spacing w:before="0" w:beforeAutospacing="0" w:after="0" w:afterAutospacing="0"/>
              <w:ind w:left="0" w:right="0"/>
              <w:rPr>
                <w:rFonts w:hint="default"/>
                <w:color w:val="auto"/>
                <w:highlight w:val="yellow"/>
              </w:rPr>
            </w:pPr>
            <w:r>
              <w:rPr>
                <w:rFonts w:hint="default"/>
                <w:color w:val="auto"/>
              </w:rPr>
              <w:t>⑷加强工程监理工作的环境保护内容</w:t>
            </w:r>
            <w:r>
              <w:rPr>
                <w:rFonts w:hint="eastAsia"/>
                <w:color w:val="auto"/>
                <w:lang w:eastAsia="zh-CN"/>
              </w:rPr>
              <w:t>。</w:t>
            </w:r>
          </w:p>
          <w:p w14:paraId="440156C6">
            <w:pPr>
              <w:pStyle w:val="2"/>
              <w:keepLines w:val="0"/>
              <w:suppressLineNumbers w:val="0"/>
              <w:bidi w:val="0"/>
              <w:spacing w:before="0" w:beforeAutospacing="0" w:after="0" w:afterAutospacing="0"/>
              <w:ind w:left="0" w:right="0"/>
              <w:rPr>
                <w:rFonts w:hint="default"/>
                <w:color w:val="auto"/>
              </w:rPr>
            </w:pPr>
            <w:r>
              <w:rPr>
                <w:rFonts w:hint="default"/>
                <w:color w:val="auto"/>
              </w:rPr>
              <w:t>1.</w:t>
            </w:r>
            <w:r>
              <w:rPr>
                <w:rFonts w:hint="eastAsia"/>
                <w:color w:val="auto"/>
                <w:lang w:val="en-US" w:eastAsia="zh-CN"/>
              </w:rPr>
              <w:t xml:space="preserve">5 </w:t>
            </w:r>
            <w:r>
              <w:rPr>
                <w:rFonts w:hint="default"/>
                <w:color w:val="auto"/>
              </w:rPr>
              <w:t>水土流失减缓措施</w:t>
            </w:r>
          </w:p>
          <w:p w14:paraId="7046A221">
            <w:pPr>
              <w:keepNext w:val="0"/>
              <w:keepLines w:val="0"/>
              <w:suppressLineNumbers w:val="0"/>
              <w:bidi w:val="0"/>
              <w:spacing w:before="0" w:beforeAutospacing="0" w:after="0" w:afterAutospacing="0"/>
              <w:ind w:left="0" w:right="0"/>
              <w:rPr>
                <w:rFonts w:hint="default"/>
                <w:color w:val="auto"/>
              </w:rPr>
            </w:pPr>
            <w:r>
              <w:rPr>
                <w:rFonts w:hint="default"/>
                <w:color w:val="auto"/>
              </w:rPr>
              <w:t>⑴施工期土石方工程应避免在大风日、雨天等不良天气中施工；粉状材料堆放采用围护或篷布遮挡措施，减少在恶劣天气条件下风蚀、水蚀的发生。</w:t>
            </w:r>
          </w:p>
          <w:p w14:paraId="4F1A1A36">
            <w:pPr>
              <w:keepNext w:val="0"/>
              <w:keepLines w:val="0"/>
              <w:suppressLineNumbers w:val="0"/>
              <w:bidi w:val="0"/>
              <w:spacing w:before="0" w:beforeAutospacing="0" w:after="0" w:afterAutospacing="0"/>
              <w:ind w:left="0" w:right="0"/>
              <w:rPr>
                <w:rFonts w:hint="default"/>
                <w:color w:val="auto"/>
              </w:rPr>
            </w:pPr>
            <w:r>
              <w:rPr>
                <w:rFonts w:hint="default"/>
                <w:color w:val="auto"/>
              </w:rPr>
              <w:t>⑵施工时应明确标记施工作业带，所有车辆、机械设备、施工人员的活动要严格在施工带内，不得在施工带以外的地方作业。</w:t>
            </w:r>
          </w:p>
          <w:p w14:paraId="0240F1DA">
            <w:pPr>
              <w:keepNext w:val="0"/>
              <w:keepLines w:val="0"/>
              <w:suppressLineNumbers w:val="0"/>
              <w:bidi w:val="0"/>
              <w:spacing w:before="0" w:beforeAutospacing="0" w:after="0" w:afterAutospacing="0"/>
              <w:ind w:left="0" w:right="0"/>
              <w:rPr>
                <w:rFonts w:hint="eastAsia" w:eastAsia="宋体"/>
                <w:color w:val="auto"/>
                <w:lang w:val="en-US" w:eastAsia="zh-CN"/>
              </w:rPr>
            </w:pPr>
            <w:r>
              <w:rPr>
                <w:rFonts w:hint="default"/>
                <w:color w:val="auto"/>
              </w:rPr>
              <w:t>⑶</w:t>
            </w:r>
            <w:r>
              <w:rPr>
                <w:rFonts w:hint="eastAsia" w:cs="Times New Roman"/>
                <w:color w:val="auto"/>
                <w:lang w:val="en-US" w:eastAsia="zh-CN"/>
              </w:rPr>
              <w:t>培坡护坡及凹陷处回填</w:t>
            </w:r>
            <w:r>
              <w:rPr>
                <w:rFonts w:hint="default"/>
                <w:color w:val="auto"/>
              </w:rPr>
              <w:t>等危险</w:t>
            </w:r>
            <w:r>
              <w:rPr>
                <w:rFonts w:hint="eastAsia"/>
                <w:color w:val="auto"/>
                <w:lang w:val="en-US" w:eastAsia="zh-CN"/>
              </w:rPr>
              <w:t>活动，</w:t>
            </w:r>
            <w:r>
              <w:rPr>
                <w:rFonts w:hint="default"/>
                <w:color w:val="auto"/>
              </w:rPr>
              <w:t>坡面进行稳定边坡处理，修整后播撒草籽复绿改善生态环境，可有效防止水土流失。</w:t>
            </w:r>
          </w:p>
          <w:p w14:paraId="3A681447">
            <w:pPr>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⑷要按照项目水土保持方案的要求，加强工程质量监管，严格执行工程设计，切实预防可能发生的地质灾害。</w:t>
            </w:r>
          </w:p>
          <w:p w14:paraId="73A05315">
            <w:pPr>
              <w:pStyle w:val="2"/>
              <w:keepLines w:val="0"/>
              <w:suppressLineNumbers w:val="0"/>
              <w:bidi w:val="0"/>
              <w:spacing w:before="0" w:beforeAutospacing="0" w:after="0" w:afterAutospacing="0"/>
              <w:ind w:left="0" w:right="0"/>
              <w:rPr>
                <w:rFonts w:hint="eastAsia"/>
                <w:color w:val="auto"/>
                <w:lang w:val="en-US" w:eastAsia="zh-CN"/>
              </w:rPr>
            </w:pPr>
            <w:r>
              <w:rPr>
                <w:rFonts w:hint="eastAsia" w:cs="Times New Roman"/>
                <w:snapToGrid w:val="0"/>
                <w:color w:val="auto"/>
                <w:sz w:val="24"/>
                <w:lang w:val="en-US" w:eastAsia="zh-CN"/>
              </w:rPr>
              <w:t xml:space="preserve">1.6 </w:t>
            </w:r>
            <w:r>
              <w:rPr>
                <w:rFonts w:hint="eastAsia"/>
                <w:color w:val="auto"/>
                <w:highlight w:val="none"/>
                <w:lang w:val="en-US" w:eastAsia="zh-CN"/>
              </w:rPr>
              <w:t>长城遗址</w:t>
            </w:r>
            <w:r>
              <w:rPr>
                <w:rFonts w:hint="eastAsia"/>
                <w:color w:val="auto"/>
                <w:lang w:val="en-US" w:eastAsia="zh-CN"/>
              </w:rPr>
              <w:t>保护措施</w:t>
            </w:r>
          </w:p>
          <w:p w14:paraId="052C5FD8">
            <w:pPr>
              <w:keepNext w:val="0"/>
              <w:keepLines w:val="0"/>
              <w:suppressLineNumbers w:val="0"/>
              <w:spacing w:before="0" w:beforeAutospacing="0" w:after="0" w:afterAutospacing="0"/>
              <w:ind w:left="0" w:right="0"/>
              <w:rPr>
                <w:rFonts w:hint="eastAsia"/>
                <w:color w:val="auto"/>
                <w:lang w:val="en-US" w:eastAsia="zh-CN"/>
              </w:rPr>
            </w:pPr>
            <w:r>
              <w:rPr>
                <w:rFonts w:hint="eastAsia"/>
                <w:color w:val="auto"/>
                <w:lang w:val="en-US" w:eastAsia="zh-CN"/>
              </w:rPr>
              <w:t>本项目A32治理区范围内有长城遗址。对长城遗址保护措施如下：</w:t>
            </w:r>
          </w:p>
          <w:p w14:paraId="75D3AC80">
            <w:pPr>
              <w:keepNext w:val="0"/>
              <w:keepLines w:val="0"/>
              <w:suppressLineNumbers w:val="0"/>
              <w:bidi w:val="0"/>
              <w:spacing w:before="0" w:beforeAutospacing="0" w:after="0" w:afterAutospacing="0"/>
              <w:ind w:left="0" w:right="0"/>
              <w:rPr>
                <w:rFonts w:hint="eastAsia"/>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default" w:ascii="Arial" w:hAnsi="Arial" w:eastAsia="Arial" w:cs="Arial"/>
                <w:i w:val="0"/>
                <w:iCs w:val="0"/>
                <w:caps w:val="0"/>
                <w:color w:val="auto"/>
                <w:spacing w:val="0"/>
                <w:sz w:val="24"/>
                <w:szCs w:val="24"/>
                <w:shd w:val="clear" w:fill="FFFFFF"/>
              </w:rPr>
              <w:t>在遗址保护区与施工区域间设置</w:t>
            </w:r>
            <w:r>
              <w:rPr>
                <w:rFonts w:hint="eastAsia"/>
                <w:color w:val="auto"/>
                <w:lang w:val="en-US" w:eastAsia="zh-CN"/>
              </w:rPr>
              <w:t>围挡</w:t>
            </w:r>
            <w:r>
              <w:rPr>
                <w:rFonts w:hint="default" w:ascii="Arial" w:hAnsi="Arial" w:eastAsia="Arial" w:cs="Arial"/>
                <w:i w:val="0"/>
                <w:iCs w:val="0"/>
                <w:caps w:val="0"/>
                <w:color w:val="auto"/>
                <w:spacing w:val="0"/>
                <w:sz w:val="24"/>
                <w:szCs w:val="24"/>
                <w:shd w:val="clear" w:fill="FFFFFF"/>
              </w:rPr>
              <w:t>，限制施工机械活动范围</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w:t>
            </w:r>
          </w:p>
          <w:p w14:paraId="1C06C76A">
            <w:pPr>
              <w:keepNext w:val="0"/>
              <w:keepLines w:val="0"/>
              <w:suppressLineNumbers w:val="0"/>
              <w:bidi w:val="0"/>
              <w:spacing w:before="0" w:beforeAutospacing="0" w:after="0" w:afterAutospacing="0"/>
              <w:ind w:left="0" w:right="0"/>
              <w:rPr>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default" w:ascii="Arial" w:hAnsi="Arial" w:eastAsia="Arial" w:cs="Arial"/>
                <w:i w:val="0"/>
                <w:iCs w:val="0"/>
                <w:caps w:val="0"/>
                <w:color w:val="auto"/>
                <w:spacing w:val="0"/>
                <w:sz w:val="24"/>
                <w:szCs w:val="24"/>
                <w:shd w:val="clear" w:fill="FFFFFF"/>
              </w:rPr>
              <w:t>采用低振动设备，并铺设减震材料（如橡胶垫、砂层）降低回填、</w:t>
            </w:r>
            <w:r>
              <w:rPr>
                <w:rFonts w:hint="eastAsia" w:ascii="Arial" w:hAnsi="Arial" w:eastAsia="宋体" w:cs="Arial"/>
                <w:i w:val="0"/>
                <w:iCs w:val="0"/>
                <w:caps w:val="0"/>
                <w:color w:val="auto"/>
                <w:spacing w:val="0"/>
                <w:sz w:val="24"/>
                <w:szCs w:val="24"/>
                <w:shd w:val="clear" w:fill="FFFFFF"/>
                <w:lang w:val="en-US" w:eastAsia="zh-CN"/>
              </w:rPr>
              <w:t>开挖</w:t>
            </w:r>
            <w:r>
              <w:rPr>
                <w:rFonts w:hint="default" w:ascii="Arial" w:hAnsi="Arial" w:eastAsia="Arial" w:cs="Arial"/>
                <w:i w:val="0"/>
                <w:iCs w:val="0"/>
                <w:caps w:val="0"/>
                <w:color w:val="auto"/>
                <w:spacing w:val="0"/>
                <w:sz w:val="24"/>
                <w:szCs w:val="24"/>
                <w:shd w:val="clear" w:fill="FFFFFF"/>
              </w:rPr>
              <w:t>作业</w:t>
            </w:r>
            <w:r>
              <w:rPr>
                <w:rFonts w:hint="eastAsia" w:ascii="Arial" w:hAnsi="Arial" w:eastAsia="宋体" w:cs="Arial"/>
                <w:i w:val="0"/>
                <w:iCs w:val="0"/>
                <w:caps w:val="0"/>
                <w:color w:val="auto"/>
                <w:spacing w:val="0"/>
                <w:sz w:val="24"/>
                <w:szCs w:val="24"/>
                <w:shd w:val="clear" w:fill="FFFFFF"/>
                <w:lang w:val="en-US" w:eastAsia="zh-CN"/>
              </w:rPr>
              <w:t>等</w:t>
            </w:r>
            <w:r>
              <w:rPr>
                <w:rFonts w:hint="default" w:ascii="Arial" w:hAnsi="Arial" w:eastAsia="Arial" w:cs="Arial"/>
                <w:i w:val="0"/>
                <w:iCs w:val="0"/>
                <w:caps w:val="0"/>
                <w:color w:val="auto"/>
                <w:spacing w:val="0"/>
                <w:sz w:val="24"/>
                <w:szCs w:val="24"/>
                <w:shd w:val="clear" w:fill="FFFFFF"/>
              </w:rPr>
              <w:t>对遗址地基的扰动</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w:t>
            </w:r>
          </w:p>
          <w:p w14:paraId="74FB28EE">
            <w:pPr>
              <w:keepNext w:val="0"/>
              <w:keepLines w:val="0"/>
              <w:suppressLineNumbers w:val="0"/>
              <w:bidi w:val="0"/>
              <w:spacing w:before="0" w:beforeAutospacing="0" w:after="0" w:afterAutospacing="0"/>
              <w:ind w:left="0" w:right="0"/>
              <w:rPr>
                <w:rFonts w:hint="eastAsia"/>
                <w:color w:val="auto"/>
              </w:rPr>
            </w:pPr>
            <w:r>
              <w:rPr>
                <w:rFonts w:hint="default" w:ascii="Arial" w:hAnsi="Arial" w:eastAsia="Arial" w:cs="Arial"/>
                <w:i w:val="0"/>
                <w:iCs w:val="0"/>
                <w:caps w:val="0"/>
                <w:color w:val="auto"/>
                <w:spacing w:val="0"/>
                <w:sz w:val="24"/>
                <w:szCs w:val="24"/>
                <w:shd w:val="clear" w:fill="FFFFFF"/>
              </w:rPr>
              <w:fldChar w:fldCharType="begin"/>
            </w:r>
            <w:r>
              <w:rPr>
                <w:rFonts w:hint="default" w:ascii="Arial" w:hAnsi="Arial" w:eastAsia="Arial" w:cs="Arial"/>
                <w:i w:val="0"/>
                <w:iCs w:val="0"/>
                <w:caps w:val="0"/>
                <w:color w:val="auto"/>
                <w:spacing w:val="0"/>
                <w:sz w:val="24"/>
                <w:szCs w:val="24"/>
                <w:shd w:val="clear" w:fill="FFFFFF"/>
              </w:rPr>
              <w:instrText xml:space="preserve"> = 3 \* GB2 \* MERGEFORMAT </w:instrText>
            </w:r>
            <w:r>
              <w:rPr>
                <w:rFonts w:hint="default" w:ascii="Arial" w:hAnsi="Arial" w:eastAsia="Arial" w:cs="Arial"/>
                <w:i w:val="0"/>
                <w:iCs w:val="0"/>
                <w:caps w:val="0"/>
                <w:color w:val="auto"/>
                <w:spacing w:val="0"/>
                <w:sz w:val="24"/>
                <w:szCs w:val="24"/>
                <w:shd w:val="clear" w:fill="FFFFFF"/>
              </w:rPr>
              <w:fldChar w:fldCharType="separate"/>
            </w:r>
            <w:r>
              <w:rPr>
                <w:rFonts w:hint="default"/>
                <w:color w:val="auto"/>
              </w:rPr>
              <w:t>⑶</w:t>
            </w:r>
            <w:r>
              <w:rPr>
                <w:rFonts w:hint="default" w:ascii="Arial" w:hAnsi="Arial" w:eastAsia="Arial" w:cs="Arial"/>
                <w:i w:val="0"/>
                <w:iCs w:val="0"/>
                <w:caps w:val="0"/>
                <w:color w:val="auto"/>
                <w:spacing w:val="0"/>
                <w:sz w:val="24"/>
                <w:szCs w:val="24"/>
                <w:shd w:val="clear" w:fill="FFFFFF"/>
              </w:rPr>
              <w:fldChar w:fldCharType="end"/>
            </w:r>
            <w:r>
              <w:rPr>
                <w:rFonts w:hint="default" w:ascii="Arial" w:hAnsi="Arial" w:eastAsia="Arial" w:cs="Arial"/>
                <w:i w:val="0"/>
                <w:iCs w:val="0"/>
                <w:caps w:val="0"/>
                <w:color w:val="auto"/>
                <w:spacing w:val="0"/>
                <w:sz w:val="24"/>
                <w:szCs w:val="24"/>
                <w:shd w:val="clear" w:fill="FFFFFF"/>
              </w:rPr>
              <w:t>对紧邻遗址的施工段，设置临时支撑架或防尘篷布，防止飞石、扬尘直接冲击遗址表面</w:t>
            </w:r>
            <w:r>
              <w:rPr>
                <w:rFonts w:hint="eastAsia" w:ascii="Arial" w:hAnsi="Arial" w:eastAsia="宋体" w:cs="Arial"/>
                <w:i w:val="0"/>
                <w:iCs w:val="0"/>
                <w:caps w:val="0"/>
                <w:color w:val="auto"/>
                <w:spacing w:val="0"/>
                <w:sz w:val="24"/>
                <w:szCs w:val="24"/>
                <w:shd w:val="clear" w:fill="FFFFFF"/>
                <w:lang w:eastAsia="zh-CN"/>
              </w:rPr>
              <w:t>；</w:t>
            </w:r>
            <w:r>
              <w:rPr>
                <w:rFonts w:hint="default" w:ascii="Arial" w:hAnsi="Arial" w:eastAsia="Arial" w:cs="Arial"/>
                <w:i w:val="0"/>
                <w:iCs w:val="0"/>
                <w:caps w:val="0"/>
                <w:color w:val="auto"/>
                <w:spacing w:val="0"/>
                <w:sz w:val="24"/>
                <w:szCs w:val="24"/>
                <w:shd w:val="clear" w:fill="FFFFFF"/>
              </w:rPr>
              <w:t>‌</w:t>
            </w:r>
          </w:p>
          <w:p w14:paraId="53405323">
            <w:pPr>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rPr>
              <w:fldChar w:fldCharType="begin"/>
            </w:r>
            <w:r>
              <w:rPr>
                <w:rFonts w:hint="eastAsia"/>
                <w:color w:val="auto"/>
              </w:rPr>
              <w:instrText xml:space="preserve"> = 4 \* GB2 \* MERGEFORMAT </w:instrText>
            </w:r>
            <w:r>
              <w:rPr>
                <w:rFonts w:hint="eastAsia"/>
                <w:color w:val="auto"/>
              </w:rPr>
              <w:fldChar w:fldCharType="separate"/>
            </w:r>
            <w:r>
              <w:rPr>
                <w:rFonts w:hint="default"/>
                <w:color w:val="auto"/>
              </w:rPr>
              <w:t>⑷</w:t>
            </w:r>
            <w:r>
              <w:rPr>
                <w:rFonts w:hint="eastAsia"/>
                <w:color w:val="auto"/>
              </w:rPr>
              <w:fldChar w:fldCharType="end"/>
            </w:r>
            <w:r>
              <w:rPr>
                <w:rFonts w:hint="eastAsia"/>
                <w:color w:val="auto"/>
              </w:rPr>
              <w:t>项目施工期加强施工期人员教育，严禁破坏</w:t>
            </w:r>
            <w:r>
              <w:rPr>
                <w:rFonts w:hint="eastAsia"/>
                <w:color w:val="auto"/>
                <w:lang w:val="en-US" w:eastAsia="zh-CN"/>
              </w:rPr>
              <w:t>长城遗址</w:t>
            </w:r>
            <w:r>
              <w:rPr>
                <w:rFonts w:hint="eastAsia"/>
                <w:color w:val="auto"/>
              </w:rPr>
              <w:t>，严禁施工人员及施工机械随意破坏</w:t>
            </w:r>
            <w:r>
              <w:rPr>
                <w:rFonts w:hint="eastAsia"/>
                <w:color w:val="auto"/>
                <w:lang w:val="en-US" w:eastAsia="zh-CN"/>
              </w:rPr>
              <w:t>长城遗址</w:t>
            </w:r>
            <w:r>
              <w:rPr>
                <w:rFonts w:hint="eastAsia"/>
                <w:color w:val="auto"/>
              </w:rPr>
              <w:t>周边植被，施工结束后，立即进行植被恢复</w:t>
            </w:r>
            <w:r>
              <w:rPr>
                <w:rFonts w:hint="eastAsia"/>
                <w:color w:val="auto"/>
                <w:lang w:eastAsia="zh-CN"/>
              </w:rPr>
              <w:t>。</w:t>
            </w:r>
          </w:p>
          <w:p w14:paraId="7FC506B4">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1.7 </w:t>
            </w:r>
            <w:r>
              <w:rPr>
                <w:rFonts w:hint="default"/>
                <w:color w:val="auto"/>
              </w:rPr>
              <w:t>管理措施</w:t>
            </w:r>
          </w:p>
          <w:p w14:paraId="23D19D77">
            <w:pPr>
              <w:keepNext w:val="0"/>
              <w:keepLines w:val="0"/>
              <w:suppressLineNumbers w:val="0"/>
              <w:bidi w:val="0"/>
              <w:spacing w:before="0" w:beforeAutospacing="0" w:after="0" w:afterAutospacing="0"/>
              <w:ind w:left="0" w:right="0"/>
              <w:rPr>
                <w:rFonts w:hint="default"/>
                <w:color w:val="auto"/>
              </w:rPr>
            </w:pPr>
            <w:r>
              <w:rPr>
                <w:rFonts w:hint="default"/>
                <w:color w:val="auto"/>
              </w:rPr>
              <w:t>①建立完善的施工制度，有序管理施工活动。制定施工原则，划定施工范围，限定施工时间。施工过程禁止对植被滥砍滥伐，破坏各治理区</w:t>
            </w:r>
            <w:r>
              <w:rPr>
                <w:rFonts w:hint="eastAsia"/>
                <w:color w:val="auto"/>
                <w:lang w:val="en-US" w:eastAsia="zh-CN"/>
              </w:rPr>
              <w:t>及其附近</w:t>
            </w:r>
            <w:r>
              <w:rPr>
                <w:rFonts w:hint="default"/>
                <w:color w:val="auto"/>
              </w:rPr>
              <w:t>的生态环境尽量避免对动物生境造成不良影响；按照规定的施工时间进行施工，以减缓对动物栖息与繁殖的不利影响。</w:t>
            </w:r>
          </w:p>
          <w:p w14:paraId="40C7E3CE">
            <w:pPr>
              <w:keepNext w:val="0"/>
              <w:keepLines w:val="0"/>
              <w:suppressLineNumbers w:val="0"/>
              <w:bidi w:val="0"/>
              <w:spacing w:before="0" w:beforeAutospacing="0" w:after="0" w:afterAutospacing="0"/>
              <w:ind w:left="0" w:right="0"/>
              <w:rPr>
                <w:rFonts w:hint="default"/>
                <w:color w:val="auto"/>
              </w:rPr>
            </w:pPr>
            <w:r>
              <w:rPr>
                <w:rFonts w:hint="default"/>
                <w:color w:val="auto"/>
              </w:rPr>
              <w:t>②加强对施工人员的管理，定期开展环保、防火等宣传教育。可组织专业人员通过宣传视频、讲座或印发图册等形式，强化施工人员环保意识；对于涉及环境敏感区段，必要时划定施工红线，布设施工围栏，防止施工人员作业、施工机械布置，增加占地区，增大对施工区域陆生动植物、生态环境的影响。加强对施工人员的管理，定期开展有关动物保护的宣传教育。可组织专业人员通过宣传视频、讲座或印发图册等形式，强化施工人员动物保护意识；开展相关野生动物保护法律法规教育，增强法律意识，保证依法施工。</w:t>
            </w:r>
          </w:p>
          <w:p w14:paraId="4375B06D">
            <w:pPr>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rPr>
              <w:t>③建立完善的生态影响监测制度。定期对施工期、运行期产生的生态影响进行监测与调查。施工期主要对永久占地进行监测；运行期主要监测植被变化、生态系统整体性变化。加强生态管理，设置生态环境管理人员，建立各种管理及报告制度。通过动态监测和完善管理，使生态向良性方向发展。主要监测野生动物种群、数量变化及生态系统整体性变化。</w:t>
            </w:r>
          </w:p>
          <w:p w14:paraId="1D781CAC">
            <w:pPr>
              <w:keepNext w:val="0"/>
              <w:keepLines w:val="0"/>
              <w:suppressLineNumbers w:val="0"/>
              <w:bidi w:val="0"/>
              <w:spacing w:before="0" w:beforeAutospacing="0" w:after="0" w:afterAutospacing="0"/>
              <w:ind w:left="0" w:right="0"/>
              <w:rPr>
                <w:rFonts w:hint="default"/>
                <w:color w:val="auto"/>
              </w:rPr>
            </w:pPr>
            <w:r>
              <w:rPr>
                <w:rFonts w:hint="default"/>
                <w:color w:val="auto"/>
              </w:rPr>
              <w:t>④加强与当地林草部门和各敏感区管理部门的联系工作，施工过程中若发现有受伤的野生保护动物，可及时联系有关部门进行相关救助。</w:t>
            </w:r>
          </w:p>
          <w:p w14:paraId="55DF017D">
            <w:pPr>
              <w:keepNext w:val="0"/>
              <w:keepLines w:val="0"/>
              <w:suppressLineNumbers w:val="0"/>
              <w:bidi w:val="0"/>
              <w:spacing w:before="0" w:beforeAutospacing="0" w:after="0" w:afterAutospacing="0"/>
              <w:ind w:left="0" w:right="0"/>
              <w:rPr>
                <w:rFonts w:hint="default"/>
                <w:color w:val="auto"/>
              </w:rPr>
            </w:pPr>
            <w:r>
              <w:rPr>
                <w:rFonts w:hint="default"/>
                <w:color w:val="auto"/>
              </w:rPr>
              <w:t>⑤施工机械（含施工车辆）维修保养在受委托社会第三方场地进行，在公共加油站进行燃料补给，禁止在施工营地贮存柴油，严格控制易燃易爆器材的使用。</w:t>
            </w:r>
          </w:p>
          <w:p w14:paraId="14CDDBC5">
            <w:pPr>
              <w:keepNext w:val="0"/>
              <w:keepLines w:val="0"/>
              <w:suppressLineNumbers w:val="0"/>
              <w:bidi w:val="0"/>
              <w:spacing w:before="0" w:beforeAutospacing="0" w:after="0" w:afterAutospacing="0"/>
              <w:ind w:left="0" w:right="0"/>
              <w:rPr>
                <w:rFonts w:hint="eastAsia"/>
                <w:color w:val="auto"/>
                <w:highlight w:val="none"/>
              </w:rPr>
            </w:pPr>
            <w:r>
              <w:rPr>
                <w:rFonts w:hint="eastAsia"/>
                <w:color w:val="auto"/>
                <w:highlight w:val="none"/>
              </w:rPr>
              <w:t>本项目生态保护措施平面布置示意图</w:t>
            </w:r>
            <w:r>
              <w:rPr>
                <w:rFonts w:hint="eastAsia"/>
                <w:color w:val="auto"/>
                <w:highlight w:val="none"/>
                <w:lang w:val="en-US" w:eastAsia="zh-CN"/>
              </w:rPr>
              <w:t>附图2-2，</w:t>
            </w:r>
            <w:r>
              <w:rPr>
                <w:rFonts w:hint="eastAsia"/>
                <w:color w:val="auto"/>
                <w:highlight w:val="none"/>
              </w:rPr>
              <w:t>典型生态保护措施设计图见图5</w:t>
            </w:r>
            <w:r>
              <w:rPr>
                <w:rFonts w:hint="eastAsia"/>
                <w:color w:val="auto"/>
                <w:highlight w:val="none"/>
                <w:lang w:val="en-US" w:eastAsia="zh-CN"/>
              </w:rPr>
              <w:t>-1</w:t>
            </w:r>
            <w:r>
              <w:rPr>
                <w:rFonts w:hint="eastAsia"/>
                <w:color w:val="auto"/>
                <w:highlight w:val="none"/>
              </w:rPr>
              <w:t>。</w:t>
            </w:r>
          </w:p>
          <w:p w14:paraId="5C0D8BA0">
            <w:pPr>
              <w:keepNext w:val="0"/>
              <w:keepLines w:val="0"/>
              <w:suppressLineNumbers w:val="0"/>
              <w:bidi w:val="0"/>
              <w:spacing w:before="0" w:beforeAutospacing="0" w:after="0" w:afterAutospacing="0"/>
              <w:ind w:left="0" w:right="0"/>
              <w:rPr>
                <w:rFonts w:hint="eastAsia"/>
                <w:color w:val="auto"/>
              </w:rPr>
            </w:pPr>
          </w:p>
          <w:p w14:paraId="728839C3">
            <w:pPr>
              <w:keepNext w:val="0"/>
              <w:keepLines w:val="0"/>
              <w:suppressLineNumbers w:val="0"/>
              <w:bidi w:val="0"/>
              <w:spacing w:before="0" w:beforeAutospacing="0" w:after="0" w:afterAutospacing="0"/>
              <w:ind w:left="0" w:right="0"/>
              <w:rPr>
                <w:rFonts w:hint="eastAsia"/>
                <w:color w:val="auto"/>
              </w:rPr>
            </w:pPr>
          </w:p>
          <w:p w14:paraId="5018AB66">
            <w:pPr>
              <w:keepNext w:val="0"/>
              <w:keepLines w:val="0"/>
              <w:suppressLineNumbers w:val="0"/>
              <w:bidi w:val="0"/>
              <w:spacing w:before="0" w:beforeAutospacing="0" w:after="0" w:afterAutospacing="0"/>
              <w:ind w:left="0" w:right="0"/>
              <w:rPr>
                <w:rFonts w:hint="eastAsia"/>
                <w:color w:val="auto"/>
              </w:rPr>
            </w:pPr>
          </w:p>
          <w:p w14:paraId="1E6B124E">
            <w:pPr>
              <w:keepNext w:val="0"/>
              <w:keepLines w:val="0"/>
              <w:suppressLineNumbers w:val="0"/>
              <w:bidi w:val="0"/>
              <w:spacing w:before="0" w:beforeAutospacing="0" w:after="0" w:afterAutospacing="0"/>
              <w:ind w:left="0" w:right="0"/>
              <w:rPr>
                <w:rFonts w:hint="eastAsia"/>
                <w:color w:val="auto"/>
              </w:rPr>
            </w:pPr>
          </w:p>
          <w:p w14:paraId="04239DFE">
            <w:pPr>
              <w:keepNext w:val="0"/>
              <w:keepLines w:val="0"/>
              <w:suppressLineNumbers w:val="0"/>
              <w:bidi w:val="0"/>
              <w:spacing w:before="0" w:beforeAutospacing="0" w:after="0" w:afterAutospacing="0"/>
              <w:ind w:left="0" w:right="0"/>
              <w:rPr>
                <w:rFonts w:hint="eastAsia"/>
                <w:color w:val="auto"/>
              </w:rPr>
            </w:pPr>
          </w:p>
          <w:p w14:paraId="486A298F">
            <w:pPr>
              <w:keepNext w:val="0"/>
              <w:keepLines w:val="0"/>
              <w:suppressLineNumbers w:val="0"/>
              <w:bidi w:val="0"/>
              <w:spacing w:before="0" w:beforeAutospacing="0" w:after="0" w:afterAutospacing="0"/>
              <w:ind w:left="0" w:right="0"/>
              <w:rPr>
                <w:rFonts w:hint="eastAsia"/>
                <w:color w:val="auto"/>
              </w:rPr>
            </w:pPr>
          </w:p>
          <w:p w14:paraId="4D36175A">
            <w:pPr>
              <w:keepNext w:val="0"/>
              <w:keepLines w:val="0"/>
              <w:suppressLineNumbers w:val="0"/>
              <w:bidi w:val="0"/>
              <w:spacing w:before="0" w:beforeAutospacing="0" w:after="0" w:afterAutospacing="0"/>
              <w:ind w:left="0" w:right="0"/>
              <w:rPr>
                <w:rFonts w:hint="eastAsia"/>
                <w:color w:val="auto"/>
              </w:rPr>
            </w:pPr>
          </w:p>
          <w:p w14:paraId="1BD463AD">
            <w:pPr>
              <w:keepNext w:val="0"/>
              <w:keepLines w:val="0"/>
              <w:suppressLineNumbers w:val="0"/>
              <w:bidi w:val="0"/>
              <w:spacing w:before="0" w:beforeAutospacing="0" w:after="0" w:afterAutospacing="0"/>
              <w:ind w:left="0" w:leftChars="0" w:right="0" w:firstLine="0" w:firstLineChars="0"/>
              <w:rPr>
                <w:rFonts w:hint="eastAsia" w:eastAsia="宋体"/>
                <w:color w:val="auto"/>
                <w:lang w:val="en-US" w:eastAsia="zh-CN"/>
              </w:rPr>
            </w:pPr>
          </w:p>
          <w:p w14:paraId="4277979F">
            <w:pPr>
              <w:keepNext w:val="0"/>
              <w:keepLines w:val="0"/>
              <w:suppressLineNumbers w:val="0"/>
              <w:bidi w:val="0"/>
              <w:spacing w:before="0" w:beforeAutospacing="0" w:after="0" w:afterAutospacing="0"/>
              <w:ind w:left="0" w:right="0"/>
              <w:rPr>
                <w:rFonts w:hint="eastAsia"/>
                <w:color w:val="auto"/>
              </w:rPr>
            </w:pPr>
          </w:p>
          <w:p w14:paraId="537F60B6">
            <w:pPr>
              <w:keepNext w:val="0"/>
              <w:keepLines w:val="0"/>
              <w:suppressLineNumbers w:val="0"/>
              <w:bidi w:val="0"/>
              <w:spacing w:before="0" w:beforeAutospacing="0" w:after="0" w:afterAutospacing="0"/>
              <w:ind w:left="0" w:leftChars="0" w:right="0" w:firstLine="0" w:firstLineChars="0"/>
              <w:rPr>
                <w:rFonts w:hint="default"/>
                <w:color w:val="auto"/>
              </w:rPr>
            </w:pPr>
            <w:r>
              <w:rPr>
                <w:rFonts w:hint="default" w:eastAsia="黑体"/>
                <w:color w:val="auto"/>
                <w:sz w:val="32"/>
                <w:szCs w:val="32"/>
              </w:rPr>
              <w:drawing>
                <wp:inline distT="0" distB="0" distL="114300" distR="114300">
                  <wp:extent cx="5488940" cy="7874635"/>
                  <wp:effectExtent l="0" t="0" r="16510" b="1206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0"/>
                          <a:stretch>
                            <a:fillRect/>
                          </a:stretch>
                        </pic:blipFill>
                        <pic:spPr>
                          <a:xfrm>
                            <a:off x="0" y="0"/>
                            <a:ext cx="5488940" cy="7874635"/>
                          </a:xfrm>
                          <a:prstGeom prst="rect">
                            <a:avLst/>
                          </a:prstGeom>
                          <a:noFill/>
                          <a:ln>
                            <a:noFill/>
                          </a:ln>
                        </pic:spPr>
                      </pic:pic>
                    </a:graphicData>
                  </a:graphic>
                </wp:inline>
              </w:drawing>
            </w:r>
          </w:p>
          <w:p w14:paraId="6198082C">
            <w:pPr>
              <w:pStyle w:val="3"/>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图5-1  </w:t>
            </w:r>
            <w:r>
              <w:rPr>
                <w:rFonts w:hint="eastAsia"/>
                <w:color w:val="auto"/>
              </w:rPr>
              <w:t>本项目典型生态保护措施设计图</w:t>
            </w:r>
          </w:p>
          <w:p w14:paraId="22E06077">
            <w:pPr>
              <w:pStyle w:val="2"/>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施工期大气污染影响防治措施</w:t>
            </w:r>
          </w:p>
          <w:p w14:paraId="2A2DCC8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1 \* GB2 \* MERGEFORMAT </w:instrText>
            </w:r>
            <w:r>
              <w:rPr>
                <w:rFonts w:hint="eastAsia" w:ascii="宋体" w:hAnsi="宋体" w:eastAsia="宋体" w:cs="宋体"/>
                <w:color w:val="auto"/>
                <w:kern w:val="0"/>
                <w:sz w:val="24"/>
                <w:szCs w:val="24"/>
                <w:lang w:val="en-US" w:eastAsia="zh-CN" w:bidi="ar"/>
              </w:rPr>
              <w:fldChar w:fldCharType="separate"/>
            </w:r>
            <w:r>
              <w:rPr>
                <w:rFonts w:hint="default"/>
                <w:color w:val="auto"/>
              </w:rPr>
              <w:t>⑴</w:t>
            </w:r>
            <w:r>
              <w:rPr>
                <w:rFonts w:hint="eastAsia" w:ascii="宋体" w:hAnsi="宋体" w:eastAsia="宋体" w:cs="宋体"/>
                <w:color w:val="auto"/>
                <w:kern w:val="0"/>
                <w:sz w:val="24"/>
                <w:szCs w:val="24"/>
                <w:lang w:val="en-US" w:eastAsia="zh-CN" w:bidi="ar"/>
              </w:rPr>
              <w:fldChar w:fldCharType="end"/>
            </w:r>
            <w:r>
              <w:rPr>
                <w:rFonts w:hint="eastAsia" w:ascii="宋体" w:hAnsi="宋体" w:eastAsia="宋体" w:cs="宋体"/>
                <w:color w:val="auto"/>
                <w:kern w:val="0"/>
                <w:sz w:val="24"/>
                <w:szCs w:val="24"/>
                <w:lang w:val="en-US" w:eastAsia="zh-CN" w:bidi="ar"/>
              </w:rPr>
              <w:t>施工扬尘</w:t>
            </w:r>
          </w:p>
          <w:p w14:paraId="1FA76CC7">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Times New Roman" w:hAnsi="Times New Roman" w:eastAsia="宋体" w:cs="Times New Roman"/>
                <w:color w:val="auto"/>
                <w:sz w:val="24"/>
                <w:szCs w:val="24"/>
              </w:rPr>
            </w:pPr>
            <w:r>
              <w:rPr>
                <w:rFonts w:hint="default" w:ascii="宋体" w:hAnsi="宋体" w:eastAsia="宋体" w:cs="宋体"/>
                <w:b w:val="0"/>
                <w:bCs w:val="0"/>
                <w:color w:val="auto"/>
                <w:sz w:val="24"/>
                <w:szCs w:val="24"/>
              </w:rPr>
              <w:t>根据自治区住建厅，宁（建）发〔</w:t>
            </w:r>
            <w:r>
              <w:rPr>
                <w:rFonts w:hint="default" w:ascii="TimesNewRomanPSMT" w:hAnsi="TimesNewRomanPSMT" w:eastAsia="TimesNewRomanPSMT" w:cs="TimesNewRomanPSMT"/>
                <w:b w:val="0"/>
                <w:bCs w:val="0"/>
                <w:color w:val="auto"/>
                <w:sz w:val="24"/>
                <w:szCs w:val="24"/>
              </w:rPr>
              <w:t>2017</w:t>
            </w:r>
            <w:r>
              <w:rPr>
                <w:rFonts w:hint="default" w:ascii="宋体" w:hAnsi="宋体" w:eastAsia="宋体" w:cs="宋体"/>
                <w:b w:val="0"/>
                <w:bCs w:val="0"/>
                <w:color w:val="auto"/>
                <w:sz w:val="24"/>
                <w:szCs w:val="24"/>
              </w:rPr>
              <w:t>〕</w:t>
            </w:r>
            <w:r>
              <w:rPr>
                <w:rFonts w:hint="default" w:ascii="TimesNewRomanPSMT" w:hAnsi="TimesNewRomanPSMT" w:eastAsia="TimesNewRomanPSMT" w:cs="TimesNewRomanPSMT"/>
                <w:b w:val="0"/>
                <w:bCs w:val="0"/>
                <w:color w:val="auto"/>
                <w:sz w:val="24"/>
                <w:szCs w:val="24"/>
              </w:rPr>
              <w:t>17</w:t>
            </w:r>
            <w:r>
              <w:rPr>
                <w:rFonts w:hint="default" w:ascii="宋体" w:hAnsi="宋体" w:eastAsia="宋体" w:cs="宋体"/>
                <w:b w:val="0"/>
                <w:bCs w:val="0"/>
                <w:color w:val="auto"/>
                <w:sz w:val="24"/>
                <w:szCs w:val="24"/>
              </w:rPr>
              <w:t>号《关于进一步加强建筑工地施工扬尘控制和标准化管理的通知》、自治区环境保护厅《加强全区城市扬尘污染整治工作方案》《宁夏建筑施工扬尘治理标准化实施指南》，施工单位应加强管理，文明施工，为减少扬尘对环境的影响，严格采取以下措施：</w:t>
            </w:r>
          </w:p>
          <w:p w14:paraId="0BBEF806">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①</w:t>
            </w:r>
            <w:r>
              <w:rPr>
                <w:rFonts w:hint="default" w:ascii="宋体" w:hAnsi="宋体" w:eastAsia="宋体" w:cs="宋体"/>
                <w:color w:val="auto"/>
                <w:sz w:val="24"/>
                <w:szCs w:val="24"/>
              </w:rPr>
              <w:t>根据施工过程的实际情况，施工现场设围栏，以减少施工扬尘扩散范围。</w:t>
            </w:r>
          </w:p>
          <w:p w14:paraId="5330E462">
            <w:pPr>
              <w:keepNext w:val="0"/>
              <w:keepLines w:val="0"/>
              <w:widowControl/>
              <w:numPr>
                <w:ilvl w:val="0"/>
                <w:numId w:val="0"/>
              </w:numPr>
              <w:suppressLineNumbers w:val="0"/>
              <w:spacing w:before="0" w:beforeAutospacing="0" w:after="0" w:afterAutospacing="0"/>
              <w:ind w:left="0" w:right="0" w:firstLine="454"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②</w:t>
            </w:r>
            <w:r>
              <w:rPr>
                <w:rFonts w:hint="default" w:ascii="宋体" w:hAnsi="宋体" w:eastAsia="宋体" w:cs="宋体"/>
                <w:color w:val="auto"/>
                <w:sz w:val="24"/>
                <w:szCs w:val="24"/>
              </w:rPr>
              <w:t>避免在大风日以及夏季暴雨时节施工，尽可能缩短施工时间，提高施工效率，减少地表裸露的时间，遇有大风天气时，避免进行挖掘、回填等大土方量作业或采取洒水抑尘</w:t>
            </w:r>
            <w:r>
              <w:rPr>
                <w:rFonts w:hint="eastAsia" w:ascii="宋体" w:hAnsi="宋体" w:eastAsia="宋体" w:cs="宋体"/>
                <w:color w:val="auto"/>
                <w:sz w:val="24"/>
                <w:szCs w:val="24"/>
                <w:lang w:val="en-US" w:eastAsia="zh-CN"/>
              </w:rPr>
              <w:t>措施。</w:t>
            </w:r>
          </w:p>
          <w:p w14:paraId="43F2C1FC">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③</w:t>
            </w:r>
            <w:r>
              <w:rPr>
                <w:rFonts w:hint="default" w:ascii="宋体" w:hAnsi="宋体" w:eastAsia="宋体" w:cs="宋体"/>
                <w:color w:val="auto"/>
                <w:sz w:val="24"/>
                <w:szCs w:val="24"/>
              </w:rPr>
              <w:t>施工单位必须加强施工区的规划管理：如在大风天气，对散料堆场应采用水喷淋法防尘，以减少建设过程中使用的建筑材料在装卸、堆放过程中的粉尘外逸，降低项目建设对当地的空气污染。</w:t>
            </w:r>
          </w:p>
          <w:p w14:paraId="2D364277">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④</w:t>
            </w:r>
            <w:r>
              <w:rPr>
                <w:rFonts w:hint="default" w:ascii="宋体" w:hAnsi="宋体" w:eastAsia="宋体" w:cs="宋体"/>
                <w:color w:val="auto"/>
                <w:sz w:val="24"/>
                <w:szCs w:val="24"/>
              </w:rPr>
              <w:t>用汽车运输易起尘的物料时，要加盖蓬布、控制车速，防止物料洒落和产生扬尘；卸车时应尽量减少落差，减少扬尘；运输车辆进出的主干道应定期洒水清扫，保持车辆出入口路面清洁、润湿，并尽量要求运输车辆放慢行车速度，以减少地面扬尘污染。另外，运输路线应尽可能避开居民区。</w:t>
            </w:r>
          </w:p>
          <w:p w14:paraId="1DD390EA">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⑤</w:t>
            </w:r>
            <w:r>
              <w:rPr>
                <w:rFonts w:hint="default" w:ascii="宋体" w:hAnsi="宋体" w:eastAsia="宋体" w:cs="宋体"/>
                <w:color w:val="auto"/>
                <w:sz w:val="24"/>
                <w:szCs w:val="24"/>
              </w:rPr>
              <w:t>加强对施工机械、车辆的维修保养，禁止以柴油为燃料的施工机械超负荷工作，减少烟尘和颗粒物的排放。</w:t>
            </w:r>
          </w:p>
          <w:p w14:paraId="6F9FD5F4">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⑥</w:t>
            </w:r>
            <w:r>
              <w:rPr>
                <w:rFonts w:hint="default" w:ascii="宋体" w:hAnsi="宋体" w:eastAsia="宋体" w:cs="宋体"/>
                <w:color w:val="auto"/>
                <w:sz w:val="24"/>
                <w:szCs w:val="24"/>
              </w:rPr>
              <w:t>对堆放的施工废料采取必要的防扬尘措施。本项目施工期产生自土方挖掘、堆积、交通运输等引起的扬尘；施工设备、汽车产生的废气等。施工粉尘的污染程度与风速、大面积开挖造成地表裸露、粉尘粒径、粉尘含湿量等因素有关，其中风速对粉尘的污染影响最大，风速增大，产生的含尘量呈正比或级数增加，粉尘污染范围也相应扩大。大风情况下，施工引起的扬尘飘移较远。通过设置围栏、定期洒水降尘等措施减小施工扬尘对周边空气环境影响。</w:t>
            </w:r>
          </w:p>
          <w:p w14:paraId="13426582">
            <w:pPr>
              <w:keepNext w:val="0"/>
              <w:keepLines w:val="0"/>
              <w:suppressLineNumbers w:val="0"/>
              <w:bidi w:val="0"/>
              <w:spacing w:before="0" w:beforeAutospacing="0" w:after="0" w:afterAutospacing="0"/>
              <w:ind w:left="0" w:right="0"/>
              <w:rPr>
                <w:rFonts w:hint="default" w:eastAsia="宋体"/>
                <w:color w:val="auto"/>
                <w:lang w:val="en-US" w:eastAsia="zh-CN"/>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r>
              <w:rPr>
                <w:rFonts w:hint="eastAsia"/>
                <w:color w:val="auto"/>
                <w:lang w:val="en-US" w:eastAsia="zh-CN"/>
              </w:rPr>
              <w:t>对沙土进行简单筛分时，用洒水车进行洒水抑尘。</w:t>
            </w:r>
          </w:p>
          <w:p w14:paraId="1C4DAF62">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default" w:ascii="宋体" w:hAnsi="宋体" w:eastAsia="宋体" w:cs="宋体"/>
                <w:color w:val="auto"/>
                <w:sz w:val="24"/>
                <w:szCs w:val="24"/>
              </w:rPr>
              <w:t>综上所述，施工期采取的扬尘污染防治措施技术可行、经济合理，在落实上述措施后对区域</w:t>
            </w:r>
            <w:r>
              <w:rPr>
                <w:rFonts w:hint="eastAsia" w:ascii="宋体" w:hAnsi="宋体" w:eastAsia="宋体" w:cs="宋体"/>
                <w:color w:val="auto"/>
                <w:sz w:val="24"/>
                <w:szCs w:val="24"/>
                <w:lang w:val="en-US" w:eastAsia="zh-CN"/>
              </w:rPr>
              <w:t>环境</w:t>
            </w:r>
            <w:r>
              <w:rPr>
                <w:rFonts w:hint="default" w:ascii="宋体" w:hAnsi="宋体" w:eastAsia="宋体" w:cs="宋体"/>
                <w:color w:val="auto"/>
                <w:sz w:val="24"/>
                <w:szCs w:val="24"/>
              </w:rPr>
              <w:t>影响较小。</w:t>
            </w:r>
          </w:p>
          <w:p w14:paraId="711C89F2">
            <w:pPr>
              <w:keepNext w:val="0"/>
              <w:keepLines w:val="0"/>
              <w:widowControl/>
              <w:numPr>
                <w:ilvl w:val="0"/>
                <w:numId w:val="0"/>
              </w:numPr>
              <w:suppressLineNumbers w:val="0"/>
              <w:spacing w:before="0" w:beforeAutospacing="0" w:after="0" w:afterAutospacing="0"/>
              <w:ind w:left="0" w:right="0" w:firstLine="454" w:firstLineChars="200"/>
              <w:jc w:val="left"/>
              <w:rPr>
                <w:rFonts w:hint="default" w:ascii="宋体" w:hAnsi="宋体" w:eastAsia="宋体" w:cs="宋体"/>
                <w:color w:val="auto"/>
                <w:sz w:val="24"/>
                <w:szCs w:val="24"/>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2 \* GB2 \* MERGEFORMAT </w:instrText>
            </w:r>
            <w:r>
              <w:rPr>
                <w:rFonts w:hint="eastAsia" w:ascii="Times New Roman" w:hAnsi="Times New Roman" w:eastAsia="宋体" w:cs="Times New Roman"/>
                <w:color w:val="auto"/>
                <w:sz w:val="24"/>
                <w:szCs w:val="24"/>
                <w:lang w:val="en-US" w:eastAsia="zh-CN"/>
              </w:rPr>
              <w:fldChar w:fldCharType="separate"/>
            </w:r>
            <w:r>
              <w:rPr>
                <w:rFonts w:hint="default"/>
                <w:color w:val="auto"/>
              </w:rPr>
              <w:t>⑵</w:t>
            </w:r>
            <w:r>
              <w:rPr>
                <w:rFonts w:hint="eastAsia" w:ascii="Times New Roman" w:hAnsi="Times New Roman" w:eastAsia="宋体" w:cs="Times New Roman"/>
                <w:color w:val="auto"/>
                <w:sz w:val="24"/>
                <w:szCs w:val="24"/>
                <w:lang w:val="en-US" w:eastAsia="zh-CN"/>
              </w:rPr>
              <w:fldChar w:fldCharType="end"/>
            </w:r>
            <w:r>
              <w:rPr>
                <w:rFonts w:hint="default" w:ascii="宋体" w:hAnsi="宋体" w:eastAsia="宋体" w:cs="宋体"/>
                <w:color w:val="auto"/>
                <w:sz w:val="24"/>
                <w:szCs w:val="24"/>
              </w:rPr>
              <w:t>施工机械尾气</w:t>
            </w:r>
          </w:p>
          <w:p w14:paraId="26D54CF7">
            <w:pPr>
              <w:keepNext w:val="0"/>
              <w:keepLines w:val="0"/>
              <w:widowControl/>
              <w:numPr>
                <w:ilvl w:val="0"/>
                <w:numId w:val="0"/>
              </w:numPr>
              <w:suppressLineNumbers w:val="0"/>
              <w:spacing w:before="0" w:beforeAutospacing="0" w:after="0" w:afterAutospacing="0"/>
              <w:ind w:left="0" w:right="0" w:firstLine="454" w:firstLineChars="200"/>
              <w:jc w:val="left"/>
              <w:rPr>
                <w:rFonts w:hint="default" w:cs="Times New Roman"/>
                <w:color w:val="auto"/>
              </w:rPr>
            </w:pPr>
            <w:r>
              <w:rPr>
                <w:rFonts w:hint="default" w:ascii="宋体" w:hAnsi="宋体" w:eastAsia="宋体" w:cs="宋体"/>
                <w:color w:val="auto"/>
                <w:sz w:val="24"/>
                <w:szCs w:val="24"/>
              </w:rPr>
              <w:t>由于拟建项目所在地较为开阔，空气流通较好，车辆排放的尾气能够较快地扩散，不会对当地的环境空气产生较大影响。</w:t>
            </w:r>
            <w:r>
              <w:rPr>
                <w:rFonts w:hint="default" w:ascii="宋体" w:hAnsi="宋体" w:eastAsia="宋体" w:cs="宋体"/>
                <w:color w:val="auto"/>
                <w:sz w:val="24"/>
                <w:szCs w:val="24"/>
                <w:highlight w:val="none"/>
              </w:rPr>
              <w:t>通过选用低能耗、低污染排放的施工运输车辆，加强施工机械的维护及保养，减少因车辆状况不佳造成的空气污染等措施进一步降低对环境空气的影响</w:t>
            </w:r>
            <w:r>
              <w:rPr>
                <w:rFonts w:hint="eastAsia" w:ascii="宋体" w:hAnsi="宋体" w:eastAsia="宋体" w:cs="宋体"/>
                <w:color w:val="auto"/>
                <w:sz w:val="24"/>
                <w:szCs w:val="24"/>
                <w:highlight w:val="none"/>
                <w:lang w:eastAsia="zh-CN"/>
              </w:rPr>
              <w:t>。</w:t>
            </w:r>
          </w:p>
          <w:p w14:paraId="49F23078">
            <w:pPr>
              <w:pStyle w:val="2"/>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施工期废水防治措施</w:t>
            </w:r>
          </w:p>
          <w:p w14:paraId="4D06813C">
            <w:pPr>
              <w:keepNext w:val="0"/>
              <w:keepLines w:val="0"/>
              <w:widowControl/>
              <w:suppressLineNumbers w:val="0"/>
              <w:spacing w:before="0" w:beforeAutospacing="0" w:after="0" w:afterAutospacing="0"/>
              <w:ind w:left="0" w:right="0"/>
              <w:jc w:val="left"/>
              <w:rPr>
                <w:rFonts w:hint="default" w:cs="Times New Roman"/>
                <w:color w:val="auto"/>
                <w:lang w:val="en-US"/>
              </w:rPr>
            </w:pPr>
            <w:r>
              <w:rPr>
                <w:rFonts w:hint="eastAsia" w:ascii="宋体" w:hAnsi="宋体" w:eastAsia="宋体" w:cs="宋体"/>
                <w:color w:val="auto"/>
                <w:kern w:val="0"/>
                <w:sz w:val="24"/>
                <w:szCs w:val="24"/>
                <w:lang w:val="en-US" w:eastAsia="zh-CN" w:bidi="ar"/>
              </w:rPr>
              <w:t>生活污水依托周边村庄旱厕处理，项目区无废水排放。</w:t>
            </w:r>
          </w:p>
          <w:p w14:paraId="696E6CB3">
            <w:pPr>
              <w:pStyle w:val="2"/>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施工期噪声防治措施</w:t>
            </w:r>
          </w:p>
          <w:p w14:paraId="555A1C0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施工期的噪声主要来源于施工现场的各类机械设备噪声和运输车辆噪声。施工时应妥善布置较大的噪声设备，使其尽量远离声敏感点；同时施工方应合理布置施工时间，夜间尽量不施工，避免施工噪声扰民。</w:t>
            </w:r>
          </w:p>
          <w:p w14:paraId="2E6A8EE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本项目分段进行施工，建设期比较短，因此，只要采取的措施得当、管理得力，影响的程度有限。具体措施如下：</w:t>
            </w:r>
          </w:p>
          <w:p w14:paraId="43ED440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①合理安排施工时间，禁止在夜间二十二时至次日六时进行产生环境噪声污染的建筑施工作业。确因工程需要必须连续作业的，应当提前报所在地环境保护行政主管部门批准，并公告附近居民。</w:t>
            </w:r>
          </w:p>
          <w:p w14:paraId="776A511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②优化运输路线，车辆应避免经过敏感路段。</w:t>
            </w:r>
          </w:p>
          <w:p w14:paraId="4D5BD34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③选用低噪声设备，分片区施工，加强生产设备的日常维护和维修等，定期检修设备，使其处于良好的运转状态；</w:t>
            </w:r>
          </w:p>
          <w:p w14:paraId="04272230">
            <w:pPr>
              <w:keepNext w:val="0"/>
              <w:keepLines w:val="0"/>
              <w:widowControl/>
              <w:suppressLineNumbers w:val="0"/>
              <w:spacing w:before="0" w:beforeAutospacing="0" w:after="0" w:afterAutospacing="0"/>
              <w:ind w:left="0" w:right="0"/>
              <w:jc w:val="left"/>
              <w:rPr>
                <w:rFonts w:hint="default" w:cs="Times New Roman"/>
                <w:color w:val="auto"/>
              </w:rPr>
            </w:pPr>
            <w:r>
              <w:rPr>
                <w:rFonts w:hint="eastAsia" w:ascii="宋体" w:hAnsi="宋体" w:eastAsia="宋体" w:cs="宋体"/>
                <w:color w:val="auto"/>
                <w:kern w:val="0"/>
                <w:sz w:val="24"/>
                <w:szCs w:val="24"/>
                <w:lang w:val="en-US" w:eastAsia="zh-CN" w:bidi="ar"/>
              </w:rPr>
              <w:t>④同一施工地点应避免安排大量动力机械设备，以免局部累积声级过高。通过采取上述综合降噪措施，可有效降低施工过程噪声对周围环境的影响，确保施工期各项施工活动产生的噪声达到《建筑施工场界环境噪声排放标准》（</w:t>
            </w:r>
            <w:r>
              <w:rPr>
                <w:rFonts w:hint="default" w:ascii="Times New Roman" w:hAnsi="Times New Roman" w:eastAsia="宋体" w:cs="Times New Roman"/>
                <w:color w:val="auto"/>
                <w:kern w:val="0"/>
                <w:sz w:val="24"/>
                <w:szCs w:val="24"/>
                <w:lang w:val="en-US" w:eastAsia="zh-CN" w:bidi="ar"/>
              </w:rPr>
              <w:t>GB12523-2011</w:t>
            </w:r>
            <w:r>
              <w:rPr>
                <w:rFonts w:hint="eastAsia" w:ascii="宋体" w:hAnsi="宋体" w:eastAsia="宋体" w:cs="宋体"/>
                <w:color w:val="auto"/>
                <w:kern w:val="0"/>
                <w:sz w:val="24"/>
                <w:szCs w:val="24"/>
                <w:lang w:val="en-US" w:eastAsia="zh-CN" w:bidi="ar"/>
              </w:rPr>
              <w:t>）中的相关规定限值要求，对周围环境影响较小。</w:t>
            </w:r>
          </w:p>
          <w:p w14:paraId="4E3986F3">
            <w:pPr>
              <w:pStyle w:val="2"/>
              <w:keepLines w:val="0"/>
              <w:suppressLineNumbers w:val="0"/>
              <w:bidi w:val="0"/>
              <w:spacing w:before="0" w:beforeAutospacing="0" w:after="0" w:afterAutospacing="0"/>
              <w:ind w:left="0" w:right="0"/>
              <w:rPr>
                <w:rFonts w:hint="default"/>
                <w:color w:val="auto"/>
              </w:rPr>
            </w:pPr>
            <w:r>
              <w:rPr>
                <w:rFonts w:hint="default"/>
                <w:color w:val="auto"/>
                <w:lang w:val="en-US" w:eastAsia="zh-CN"/>
              </w:rPr>
              <w:t>5</w:t>
            </w:r>
            <w:r>
              <w:rPr>
                <w:rFonts w:hint="eastAsia"/>
                <w:color w:val="auto"/>
                <w:lang w:val="en-US" w:eastAsia="zh-CN"/>
              </w:rPr>
              <w:t xml:space="preserve"> 施工期固体废物处理措施</w:t>
            </w:r>
          </w:p>
          <w:p w14:paraId="10BA57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54" w:firstLineChars="200"/>
              <w:textAlignment w:val="auto"/>
              <w:rPr>
                <w:rFonts w:hint="eastAsia" w:cs="Times New Roman"/>
                <w:snapToGrid w:val="0"/>
                <w:color w:val="auto"/>
                <w:sz w:val="24"/>
              </w:rPr>
            </w:pPr>
            <w:r>
              <w:rPr>
                <w:rFonts w:hint="eastAsia" w:cs="Times New Roman"/>
                <w:snapToGrid w:val="0"/>
                <w:color w:val="auto"/>
                <w:sz w:val="24"/>
                <w:lang w:eastAsia="zh-CN"/>
              </w:rPr>
              <w:t>本项目</w:t>
            </w:r>
            <w:r>
              <w:rPr>
                <w:rFonts w:hint="default" w:cs="Times New Roman"/>
                <w:snapToGrid w:val="0"/>
                <w:color w:val="auto"/>
                <w:sz w:val="24"/>
              </w:rPr>
              <w:t>施工期的固体废弃物主要来源为</w:t>
            </w:r>
            <w:r>
              <w:rPr>
                <w:rFonts w:hint="eastAsia" w:cs="Times New Roman"/>
                <w:snapToGrid w:val="0"/>
                <w:color w:val="auto"/>
                <w:sz w:val="24"/>
                <w:lang w:val="en-US" w:eastAsia="zh-CN"/>
              </w:rPr>
              <w:t>建筑垃圾、草籽废包装袋与生活垃圾</w:t>
            </w:r>
            <w:r>
              <w:rPr>
                <w:rFonts w:hint="eastAsia" w:cs="Times New Roman"/>
                <w:snapToGrid w:val="0"/>
                <w:color w:val="auto"/>
                <w:sz w:val="24"/>
              </w:rPr>
              <w:t>。</w:t>
            </w:r>
          </w:p>
          <w:p w14:paraId="280634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54" w:firstLineChars="200"/>
              <w:textAlignment w:val="auto"/>
              <w:rPr>
                <w:rFonts w:hint="default" w:cs="Times New Roman"/>
                <w:snapToGrid w:val="0"/>
                <w:color w:val="auto"/>
                <w:sz w:val="24"/>
              </w:rPr>
            </w:pPr>
            <w:r>
              <w:rPr>
                <w:rFonts w:hint="eastAsia" w:cs="Times New Roman"/>
                <w:snapToGrid w:val="0"/>
                <w:color w:val="auto"/>
                <w:sz w:val="24"/>
              </w:rPr>
              <w:t>施工期产生的建筑垃圾定期清运</w:t>
            </w:r>
            <w:r>
              <w:rPr>
                <w:rFonts w:hint="eastAsia" w:cs="Times New Roman"/>
                <w:snapToGrid w:val="0"/>
                <w:color w:val="auto"/>
                <w:sz w:val="24"/>
                <w:lang w:val="en-US" w:eastAsia="zh-CN"/>
              </w:rPr>
              <w:t>至指定地点处理</w:t>
            </w:r>
            <w:r>
              <w:rPr>
                <w:rFonts w:hint="eastAsia" w:cs="Times New Roman"/>
                <w:snapToGrid w:val="0"/>
                <w:color w:val="auto"/>
                <w:sz w:val="24"/>
              </w:rPr>
              <w:t>。</w:t>
            </w:r>
          </w:p>
          <w:p w14:paraId="50F32601">
            <w:pPr>
              <w:keepNext w:val="0"/>
              <w:keepLines w:val="0"/>
              <w:widowControl/>
              <w:suppressLineNumbers w:val="0"/>
              <w:spacing w:before="0" w:beforeAutospacing="0" w:after="0" w:afterAutospacing="0"/>
              <w:ind w:left="0" w:right="0"/>
              <w:jc w:val="left"/>
              <w:rPr>
                <w:rFonts w:hint="eastAsia" w:cs="Times New Roman"/>
                <w:snapToGrid w:val="0"/>
                <w:color w:val="auto"/>
                <w:sz w:val="24"/>
              </w:rPr>
            </w:pPr>
            <w:r>
              <w:rPr>
                <w:rFonts w:hint="eastAsia" w:cs="Times New Roman"/>
                <w:snapToGrid w:val="0"/>
                <w:color w:val="auto"/>
                <w:sz w:val="24"/>
              </w:rPr>
              <w:t>项目区不设置施工生活营地，施工生活营地依托周边村庄</w:t>
            </w:r>
            <w:r>
              <w:rPr>
                <w:rFonts w:hint="eastAsia" w:cs="Times New Roman"/>
                <w:snapToGrid w:val="0"/>
                <w:color w:val="auto"/>
                <w:sz w:val="24"/>
                <w:lang w:eastAsia="zh-CN"/>
              </w:rPr>
              <w:t>。</w:t>
            </w:r>
            <w:r>
              <w:rPr>
                <w:rFonts w:hint="eastAsia" w:cs="Times New Roman"/>
                <w:snapToGrid w:val="0"/>
                <w:color w:val="auto"/>
                <w:sz w:val="24"/>
              </w:rPr>
              <w:t>项目施工区生活垃圾</w:t>
            </w:r>
            <w:r>
              <w:rPr>
                <w:rFonts w:hint="eastAsia" w:cs="Times New Roman"/>
                <w:snapToGrid w:val="0"/>
                <w:color w:val="auto"/>
                <w:sz w:val="24"/>
                <w:lang w:eastAsia="zh-CN"/>
              </w:rPr>
              <w:t>、</w:t>
            </w:r>
            <w:r>
              <w:rPr>
                <w:rFonts w:hint="eastAsia" w:cs="Times New Roman"/>
                <w:snapToGrid w:val="0"/>
                <w:color w:val="auto"/>
                <w:sz w:val="24"/>
                <w:lang w:val="en-US" w:eastAsia="zh-CN"/>
              </w:rPr>
              <w:t>草籽废包装袋</w:t>
            </w:r>
            <w:r>
              <w:rPr>
                <w:rFonts w:hint="eastAsia" w:cs="Times New Roman"/>
                <w:snapToGrid w:val="0"/>
                <w:color w:val="auto"/>
                <w:sz w:val="24"/>
              </w:rPr>
              <w:t>在施工现场集中分类收集送至邻近村庄生活垃圾收集点，由当地环卫部门统一清运处置。</w:t>
            </w:r>
          </w:p>
          <w:p w14:paraId="7412C53F">
            <w:pPr>
              <w:pStyle w:val="2"/>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6 </w:t>
            </w:r>
            <w:r>
              <w:rPr>
                <w:rFonts w:hint="default"/>
                <w:color w:val="auto"/>
              </w:rPr>
              <w:t>施工期生态环境保护措施可行性分析</w:t>
            </w:r>
          </w:p>
          <w:p w14:paraId="009B3B77">
            <w:pPr>
              <w:keepNext w:val="0"/>
              <w:keepLines w:val="0"/>
              <w:suppressLineNumbers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⑴技术可行性</w:t>
            </w:r>
          </w:p>
          <w:p w14:paraId="019F6881">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根据项目所在地的地形地貌及自然生态条件，对</w:t>
            </w:r>
            <w:r>
              <w:rPr>
                <w:rFonts w:hint="eastAsia" w:ascii="宋体" w:hAnsi="宋体" w:cs="宋体"/>
                <w:b w:val="0"/>
                <w:bCs w:val="0"/>
                <w:color w:val="auto"/>
                <w:sz w:val="24"/>
                <w:szCs w:val="24"/>
                <w:lang w:val="en-US" w:eastAsia="zh-CN"/>
              </w:rPr>
              <w:t>历史遗留矿山通过</w:t>
            </w:r>
            <w:r>
              <w:rPr>
                <w:rFonts w:hint="eastAsia" w:cs="Times New Roman"/>
                <w:color w:val="auto"/>
                <w:lang w:val="en-US" w:eastAsia="zh-CN"/>
              </w:rPr>
              <w:t>培坡护坡及凹陷处回填、场地平整、采坑回填、覆土工程、植被恢复工程、宣传牌工程、围栏工程</w:t>
            </w:r>
            <w:r>
              <w:rPr>
                <w:rFonts w:hint="eastAsia" w:ascii="宋体" w:hAnsi="宋体" w:eastAsia="宋体" w:cs="宋体"/>
                <w:color w:val="auto"/>
                <w:kern w:val="0"/>
                <w:sz w:val="24"/>
                <w:szCs w:val="24"/>
                <w:lang w:val="en-US" w:eastAsia="zh-CN" w:bidi="ar"/>
              </w:rPr>
              <w:t>等工程措施</w:t>
            </w:r>
            <w:r>
              <w:rPr>
                <w:rFonts w:hint="eastAsia" w:ascii="宋体" w:hAnsi="宋体" w:cs="宋体"/>
                <w:b w:val="0"/>
                <w:bCs w:val="0"/>
                <w:color w:val="auto"/>
                <w:sz w:val="24"/>
                <w:szCs w:val="24"/>
                <w:lang w:val="en-US" w:eastAsia="zh-CN"/>
              </w:rPr>
              <w:t>进行生态修复治理，可对</w:t>
            </w:r>
            <w:r>
              <w:rPr>
                <w:rFonts w:hint="default" w:ascii="宋体" w:hAnsi="宋体" w:eastAsia="宋体" w:cs="宋体"/>
                <w:b w:val="0"/>
                <w:bCs w:val="0"/>
                <w:color w:val="auto"/>
                <w:sz w:val="24"/>
                <w:szCs w:val="24"/>
              </w:rPr>
              <w:t>原有已被破坏的土地进行质量提升，恢复占地区域原本的生态功能，规划种植作物、复绿草籽皆为本土物种，并且制定了监测及管护制度。</w:t>
            </w:r>
          </w:p>
          <w:p w14:paraId="06BB443C">
            <w:pPr>
              <w:keepNext w:val="0"/>
              <w:keepLines w:val="0"/>
              <w:suppressLineNumbers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⑵经济合理性</w:t>
            </w:r>
          </w:p>
          <w:p w14:paraId="072475B3">
            <w:pPr>
              <w:keepNext w:val="0"/>
              <w:keepLines w:val="0"/>
              <w:suppressLineNumbers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项目的实施不仅可以为周边城镇、居民提供一个安全、优美的生存环境，同时还可以解决周边村镇劳动力的就业问题，治理后项目区地形地貌环境将得到巨大改善，能够为地方创造一个更好的投资、营商环境，为吸引投资发展创造良好的周边环境，对于吸引资金投入，促进地方经济的发展具有重要意义。可见本次治理所产生的直接或间接的经济效益，是巨大的，也是长远的。</w:t>
            </w:r>
          </w:p>
          <w:p w14:paraId="76E036DC">
            <w:pPr>
              <w:keepNext w:val="0"/>
              <w:keepLines w:val="0"/>
              <w:suppressLineNumbers w:val="0"/>
              <w:spacing w:before="0" w:beforeAutospacing="0" w:after="0" w:afterAutospacing="0"/>
              <w:ind w:left="0" w:right="0"/>
              <w:rPr>
                <w:rFonts w:hint="default" w:ascii="宋体" w:hAnsi="宋体" w:eastAsia="宋体" w:cs="宋体"/>
                <w:b w:val="0"/>
                <w:bCs w:val="0"/>
                <w:color w:val="auto"/>
                <w:sz w:val="24"/>
                <w:szCs w:val="24"/>
              </w:rPr>
            </w:pPr>
            <w:r>
              <w:rPr>
                <w:rFonts w:hint="default" w:ascii="宋体" w:hAnsi="宋体" w:eastAsia="宋体" w:cs="宋体"/>
                <w:b w:val="0"/>
                <w:bCs w:val="0"/>
                <w:color w:val="auto"/>
                <w:sz w:val="24"/>
                <w:szCs w:val="24"/>
              </w:rPr>
              <w:t>⑶生态保护和修复效果可达性</w:t>
            </w:r>
          </w:p>
          <w:p w14:paraId="138874BA">
            <w:pPr>
              <w:keepNext w:val="0"/>
              <w:keepLines w:val="0"/>
              <w:suppressLineNumbers w:val="0"/>
              <w:spacing w:before="0" w:beforeAutospacing="0" w:after="0" w:afterAutospacing="0"/>
              <w:ind w:left="0" w:right="0"/>
              <w:rPr>
                <w:rFonts w:hint="eastAsia"/>
                <w:color w:val="auto"/>
                <w:lang w:eastAsia="zh-CN"/>
              </w:rPr>
            </w:pPr>
            <w:r>
              <w:rPr>
                <w:rFonts w:hint="default" w:ascii="宋体" w:hAnsi="宋体" w:eastAsia="宋体" w:cs="宋体"/>
                <w:b w:val="0"/>
                <w:bCs w:val="0"/>
                <w:color w:val="auto"/>
                <w:sz w:val="24"/>
                <w:szCs w:val="24"/>
              </w:rPr>
              <w:t>治理后的项目区可消除地质灾害隐患，恢复地形地貌，与周边自然地貌相得益彰。项目实施可恢复和增加破坏的林草地，植被覆盖度将得到明显提升；项目实施后可有效防止水土流失；修复破碎的地形地貌，改善当地的生态环境条件。施工期废水、废气、噪声、固体废物治理措施、生态影响防治措施均为经济合理、技术可行、并可运行稳定的治理措施，项目严格落实本报告提出的生态环境保护措施，对环境产生的影响在可接受范围之内，故措施可行。</w:t>
            </w:r>
          </w:p>
        </w:tc>
      </w:tr>
      <w:tr w14:paraId="4F94A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53" w:type="dxa"/>
            <w:noWrap w:val="0"/>
            <w:tcMar>
              <w:left w:w="28" w:type="dxa"/>
              <w:right w:w="28" w:type="dxa"/>
            </w:tcMar>
            <w:vAlign w:val="center"/>
          </w:tcPr>
          <w:p w14:paraId="38048112">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auto"/>
                <w:spacing w:val="10"/>
                <w:szCs w:val="21"/>
              </w:rPr>
            </w:pPr>
            <w:r>
              <w:rPr>
                <w:rFonts w:hint="default" w:cs="Times New Roman"/>
                <w:b/>
                <w:bCs/>
                <w:color w:val="auto"/>
              </w:rPr>
              <w:t>运营期生态环境保护措施</w:t>
            </w:r>
          </w:p>
        </w:tc>
        <w:tc>
          <w:tcPr>
            <w:tcW w:w="8457" w:type="dxa"/>
            <w:noWrap w:val="0"/>
            <w:vAlign w:val="center"/>
          </w:tcPr>
          <w:p w14:paraId="548A76B0">
            <w:pPr>
              <w:keepNext w:val="0"/>
              <w:keepLines w:val="0"/>
              <w:widowControl/>
              <w:suppressLineNumbers w:val="0"/>
              <w:spacing w:before="0" w:beforeAutospacing="0" w:after="0" w:afterAutospacing="0"/>
              <w:ind w:left="0" w:right="0"/>
              <w:jc w:val="both"/>
              <w:rPr>
                <w:rFonts w:hint="eastAsia" w:eastAsia="宋体" w:cs="Times New Roman"/>
                <w:bCs/>
                <w:color w:val="auto"/>
                <w:spacing w:val="11"/>
                <w:sz w:val="24"/>
                <w:lang w:eastAsia="zh-CN"/>
              </w:rPr>
            </w:pPr>
            <w:r>
              <w:rPr>
                <w:rFonts w:hint="eastAsia" w:ascii="宋体" w:hAnsi="宋体" w:eastAsia="宋体" w:cs="宋体"/>
                <w:color w:val="auto"/>
                <w:kern w:val="0"/>
                <w:sz w:val="24"/>
                <w:szCs w:val="24"/>
                <w:lang w:val="en-US" w:eastAsia="zh-CN" w:bidi="ar"/>
              </w:rPr>
              <w:t>本项目为历史遗留废弃矿山地质环境进行生态修复治理，通过科学种植，使其自然恢复，显著增加植被覆盖率，强化植被固沙护土能力，使修复区内的植被覆盖率有效提升。运营期主要对种植的植物进行养护（为期</w:t>
            </w:r>
            <w:r>
              <w:rPr>
                <w:rFonts w:hint="default"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年），对未成活的植被及时进行补植，无废气、废水、噪声及固体废弃物等的产生。</w:t>
            </w:r>
          </w:p>
        </w:tc>
      </w:tr>
      <w:tr w14:paraId="28E28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53" w:type="dxa"/>
            <w:noWrap w:val="0"/>
            <w:vAlign w:val="center"/>
          </w:tcPr>
          <w:p w14:paraId="3564691C">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auto"/>
                <w:spacing w:val="10"/>
                <w:szCs w:val="21"/>
              </w:rPr>
            </w:pPr>
            <w:r>
              <w:rPr>
                <w:rFonts w:hint="default" w:cs="Times New Roman"/>
                <w:b/>
                <w:bCs/>
                <w:color w:val="auto"/>
              </w:rPr>
              <w:t>其他</w:t>
            </w:r>
          </w:p>
        </w:tc>
        <w:tc>
          <w:tcPr>
            <w:tcW w:w="8457" w:type="dxa"/>
            <w:noWrap w:val="0"/>
            <w:vAlign w:val="center"/>
          </w:tcPr>
          <w:p w14:paraId="37147DD8">
            <w:pPr>
              <w:pStyle w:val="2"/>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 xml:space="preserve">1 </w:t>
            </w:r>
            <w:r>
              <w:rPr>
                <w:rFonts w:hint="default"/>
                <w:color w:val="auto"/>
                <w:lang w:val="en-US" w:eastAsia="zh-CN"/>
              </w:rPr>
              <w:t>环境管理</w:t>
            </w:r>
          </w:p>
          <w:p w14:paraId="5A5E5D42">
            <w:pPr>
              <w:pStyle w:val="2"/>
              <w:keepLines w:val="0"/>
              <w:suppressLineNumbers w:val="0"/>
              <w:bidi w:val="0"/>
              <w:spacing w:before="0" w:beforeAutospacing="0" w:after="0" w:afterAutospacing="0"/>
              <w:ind w:left="0" w:right="0"/>
              <w:rPr>
                <w:rFonts w:hint="eastAsia"/>
                <w:color w:val="auto"/>
                <w:sz w:val="24"/>
                <w:szCs w:val="24"/>
                <w:lang w:eastAsia="zh-CN"/>
              </w:rPr>
            </w:pPr>
            <w:r>
              <w:rPr>
                <w:rFonts w:hint="default" w:ascii="Times New Roman" w:hAnsi="Times New Roman" w:eastAsia="宋体" w:cs="Times New Roman"/>
                <w:color w:val="auto"/>
                <w:kern w:val="0"/>
                <w:sz w:val="24"/>
                <w:szCs w:val="24"/>
                <w:lang w:val="en-US" w:eastAsia="zh-CN" w:bidi="ar"/>
              </w:rPr>
              <w:t>1.1</w:t>
            </w:r>
            <w:r>
              <w:rPr>
                <w:rFonts w:hint="eastAsia" w:ascii="Times New Roman" w:hAnsi="Times New Roman" w:eastAsia="宋体" w:cs="Times New Roman"/>
                <w:color w:val="auto"/>
                <w:kern w:val="0"/>
                <w:sz w:val="24"/>
                <w:szCs w:val="24"/>
                <w:lang w:val="en-US" w:eastAsia="zh-CN" w:bidi="ar"/>
              </w:rPr>
              <w:t xml:space="preserve"> </w:t>
            </w:r>
            <w:r>
              <w:rPr>
                <w:rFonts w:hint="eastAsia" w:ascii="黑体" w:hAnsi="宋体" w:eastAsia="黑体" w:cs="黑体"/>
                <w:color w:val="auto"/>
                <w:kern w:val="0"/>
                <w:sz w:val="24"/>
                <w:szCs w:val="24"/>
                <w:lang w:val="en-US" w:eastAsia="zh-CN" w:bidi="ar"/>
              </w:rPr>
              <w:t>施工期环境管理</w:t>
            </w:r>
          </w:p>
          <w:p w14:paraId="3F8F8E4B">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eastAsia" w:cs="Times New Roman"/>
                <w:color w:val="auto"/>
                <w:lang w:val="en-US" w:eastAsia="zh-CN"/>
              </w:rPr>
              <w:t>建设单位在施工期间设立工程项目部，设有专人负责环境保护管理工作，加强施工期环境保护的管理工作，并对施工单位在工程施工过程中进行环境管理、检查和监督。</w:t>
            </w:r>
          </w:p>
          <w:p w14:paraId="73B01820">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eastAsia" w:cs="Times New Roman"/>
                <w:color w:val="auto"/>
                <w:lang w:val="en-US" w:eastAsia="zh-CN"/>
              </w:rPr>
              <w:t>施工单位负责对项目资源进行合理使用和动态管理，确保施工人员能够严格执行各项安全环保管理制度、规定、贯彻落实各项环保政策，减少对生态环境影响。</w:t>
            </w:r>
          </w:p>
          <w:p w14:paraId="0DF16A92">
            <w:pPr>
              <w:keepNext w:val="0"/>
              <w:keepLines w:val="0"/>
              <w:widowControl/>
              <w:numPr>
                <w:ilvl w:val="0"/>
                <w:numId w:val="0"/>
              </w:numPr>
              <w:suppressLineNumbers w:val="0"/>
              <w:spacing w:before="0" w:beforeAutospacing="0" w:after="0" w:afterAutospacing="0"/>
              <w:ind w:left="0" w:right="0"/>
              <w:jc w:val="left"/>
              <w:rPr>
                <w:rFonts w:hint="eastAsia" w:ascii="黑体" w:hAnsi="宋体" w:eastAsia="黑体" w:cs="黑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1.2</w:t>
            </w:r>
            <w:r>
              <w:rPr>
                <w:rFonts w:hint="eastAsia" w:ascii="Times New Roman" w:hAnsi="Times New Roman" w:eastAsia="宋体" w:cs="Times New Roman"/>
                <w:color w:val="auto"/>
                <w:kern w:val="0"/>
                <w:sz w:val="24"/>
                <w:szCs w:val="24"/>
                <w:lang w:val="en-US" w:eastAsia="zh-CN" w:bidi="ar"/>
              </w:rPr>
              <w:t xml:space="preserve"> </w:t>
            </w:r>
            <w:r>
              <w:rPr>
                <w:rFonts w:hint="eastAsia" w:ascii="黑体" w:hAnsi="宋体" w:eastAsia="黑体" w:cs="黑体"/>
                <w:color w:val="auto"/>
                <w:kern w:val="0"/>
                <w:sz w:val="24"/>
                <w:szCs w:val="24"/>
                <w:lang w:val="en-US" w:eastAsia="zh-CN" w:bidi="ar"/>
              </w:rPr>
              <w:t>营运期环境管理</w:t>
            </w:r>
          </w:p>
          <w:p w14:paraId="54D0A7AE">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eastAsia" w:ascii="宋体" w:hAnsi="宋体" w:cs="宋体"/>
                <w:b w:val="0"/>
                <w:bCs w:val="0"/>
                <w:color w:val="auto"/>
                <w:sz w:val="24"/>
                <w:szCs w:val="24"/>
                <w:lang w:val="en-US" w:eastAsia="zh-CN"/>
              </w:rPr>
              <w:t>为</w:t>
            </w:r>
            <w:r>
              <w:rPr>
                <w:rFonts w:hint="default" w:ascii="宋体" w:hAnsi="宋体" w:eastAsia="宋体" w:cs="宋体"/>
                <w:b w:val="0"/>
                <w:bCs w:val="0"/>
                <w:color w:val="auto"/>
                <w:sz w:val="24"/>
                <w:szCs w:val="24"/>
              </w:rPr>
              <w:t>贯彻落实《建设项目环境保护管理条例》，加强本项目环境保护工作的领导和管理，由</w:t>
            </w:r>
            <w:r>
              <w:rPr>
                <w:rFonts w:hint="eastAsia" w:ascii="宋体" w:hAnsi="宋体" w:cs="宋体"/>
                <w:b w:val="0"/>
                <w:bCs w:val="0"/>
                <w:color w:val="auto"/>
                <w:sz w:val="24"/>
                <w:szCs w:val="24"/>
                <w:lang w:val="en-US" w:eastAsia="zh-CN"/>
              </w:rPr>
              <w:t>建设单位</w:t>
            </w:r>
            <w:r>
              <w:rPr>
                <w:rFonts w:hint="default" w:ascii="宋体" w:hAnsi="宋体" w:eastAsia="宋体" w:cs="宋体"/>
                <w:b w:val="0"/>
                <w:bCs w:val="0"/>
                <w:color w:val="auto"/>
                <w:sz w:val="24"/>
                <w:szCs w:val="24"/>
              </w:rPr>
              <w:t>负责环境管理工作，从管理上保证环境保护措施的有效实施。</w:t>
            </w:r>
          </w:p>
          <w:p w14:paraId="6FBB0327">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1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⑴</w:t>
            </w:r>
            <w:r>
              <w:rPr>
                <w:rFonts w:hint="default" w:ascii="Times New Roman" w:hAnsi="Times New Roman" w:cs="Times New Roman"/>
                <w:color w:val="auto"/>
                <w:lang w:val="en-US" w:eastAsia="zh-CN"/>
              </w:rPr>
              <w:fldChar w:fldCharType="end"/>
            </w:r>
            <w:r>
              <w:rPr>
                <w:rFonts w:hint="default" w:ascii="宋体" w:hAnsi="宋体" w:eastAsia="宋体" w:cs="宋体"/>
                <w:b w:val="0"/>
                <w:bCs w:val="0"/>
                <w:color w:val="auto"/>
                <w:sz w:val="24"/>
                <w:szCs w:val="24"/>
              </w:rPr>
              <w:t>贯彻执行国家和地方的各项环保方针、政策、法规和各项规章制度，制定和实施各项环境管理计划。</w:t>
            </w:r>
          </w:p>
          <w:p w14:paraId="45E25496">
            <w:pPr>
              <w:keepNext w:val="0"/>
              <w:keepLines w:val="0"/>
              <w:suppressLineNumbers w:val="0"/>
              <w:bidi w:val="0"/>
              <w:spacing w:before="0" w:beforeAutospacing="0" w:after="0" w:afterAutospacing="0"/>
              <w:ind w:left="0" w:right="0"/>
              <w:rPr>
                <w:rFonts w:hint="default" w:ascii="宋体" w:hAnsi="宋体" w:eastAsia="宋体" w:cs="宋体"/>
                <w:b w:val="0"/>
                <w:bCs w:val="0"/>
                <w:color w:val="auto"/>
                <w:sz w:val="24"/>
                <w:szCs w:val="24"/>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2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⑵</w:t>
            </w:r>
            <w:r>
              <w:rPr>
                <w:rFonts w:hint="default" w:ascii="Times New Roman" w:hAnsi="Times New Roman" w:cs="Times New Roman"/>
                <w:color w:val="auto"/>
                <w:lang w:val="en-US" w:eastAsia="zh-CN"/>
              </w:rPr>
              <w:fldChar w:fldCharType="end"/>
            </w:r>
            <w:r>
              <w:rPr>
                <w:rFonts w:hint="default" w:ascii="宋体" w:hAnsi="宋体" w:eastAsia="宋体" w:cs="宋体"/>
                <w:b w:val="0"/>
                <w:bCs w:val="0"/>
                <w:color w:val="auto"/>
                <w:sz w:val="24"/>
                <w:szCs w:val="24"/>
              </w:rPr>
              <w:t>定期巡查工程周边环境变化情况。</w:t>
            </w:r>
          </w:p>
          <w:p w14:paraId="0BB5D3EF">
            <w:pPr>
              <w:keepNext w:val="0"/>
              <w:keepLines w:val="0"/>
              <w:suppressLineNumbers w:val="0"/>
              <w:bidi w:val="0"/>
              <w:spacing w:before="0" w:beforeAutospacing="0" w:after="0" w:afterAutospacing="0"/>
              <w:ind w:left="0" w:right="0"/>
              <w:rPr>
                <w:rFonts w:hint="eastAsia" w:cs="Times New Roman"/>
                <w:color w:val="auto"/>
                <w:lang w:val="en-US" w:eastAsia="zh-CN"/>
              </w:rPr>
            </w:pP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 3 \* GB2 \* MERGEFORMAT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rPr>
              <w:t>⑶</w:t>
            </w:r>
            <w:r>
              <w:rPr>
                <w:rFonts w:hint="default" w:ascii="Times New Roman" w:hAnsi="Times New Roman" w:cs="Times New Roman"/>
                <w:color w:val="auto"/>
                <w:lang w:val="en-US" w:eastAsia="zh-CN"/>
              </w:rPr>
              <w:fldChar w:fldCharType="end"/>
            </w:r>
            <w:r>
              <w:rPr>
                <w:rFonts w:hint="default" w:ascii="宋体" w:hAnsi="宋体" w:eastAsia="宋体" w:cs="宋体"/>
                <w:b w:val="0"/>
                <w:bCs w:val="0"/>
                <w:color w:val="auto"/>
                <w:sz w:val="24"/>
                <w:szCs w:val="24"/>
              </w:rPr>
              <w:t>制定和实施各项环境管理计划。</w:t>
            </w:r>
          </w:p>
          <w:p w14:paraId="209CCFBA">
            <w:pPr>
              <w:pStyle w:val="2"/>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2</w:t>
            </w:r>
            <w:r>
              <w:rPr>
                <w:rFonts w:hint="eastAsia"/>
                <w:color w:val="auto"/>
                <w:lang w:val="en-US" w:eastAsia="zh-CN"/>
              </w:rPr>
              <w:t xml:space="preserve"> 环境监测</w:t>
            </w:r>
          </w:p>
          <w:p w14:paraId="3F2D0194">
            <w:pPr>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环境监测是环境管理必不可少的科学手段，通过有效的环境监测，可及时了解环境质量现状。</w:t>
            </w:r>
            <w:r>
              <w:rPr>
                <w:rFonts w:hint="eastAsia"/>
                <w:color w:val="auto"/>
                <w:lang w:val="en-US" w:eastAsia="zh-CN"/>
              </w:rPr>
              <w:t>本项目</w:t>
            </w:r>
            <w:r>
              <w:rPr>
                <w:rFonts w:hint="default"/>
                <w:color w:val="auto"/>
              </w:rPr>
              <w:t>环境监测计划具体见表5-1。</w:t>
            </w:r>
            <w:r>
              <w:rPr>
                <w:rFonts w:hint="eastAsia"/>
                <w:color w:val="auto"/>
                <w:lang w:val="en-US" w:eastAsia="zh-CN"/>
              </w:rPr>
              <w:t>施工期大气、噪声环境监测点位布点图见附图5-1，生态环境监测点位布点图见附图5-2。</w:t>
            </w:r>
          </w:p>
          <w:p w14:paraId="7D0AAFCC">
            <w:pPr>
              <w:pStyle w:val="3"/>
              <w:keepNext w:val="0"/>
              <w:keepLines w:val="0"/>
              <w:suppressLineNumbers w:val="0"/>
              <w:bidi w:val="0"/>
              <w:spacing w:before="0" w:beforeAutospacing="0" w:after="0" w:afterAutospacing="0"/>
              <w:ind w:left="0" w:right="0"/>
              <w:rPr>
                <w:rFonts w:hint="eastAsia" w:ascii="黑体" w:hAnsi="宋体" w:eastAsia="黑体" w:cs="黑体"/>
                <w:color w:val="auto"/>
                <w:kern w:val="0"/>
                <w:sz w:val="24"/>
                <w:szCs w:val="24"/>
                <w:lang w:val="en-US" w:eastAsia="zh-CN" w:bidi="ar"/>
              </w:rPr>
            </w:pPr>
            <w:r>
              <w:rPr>
                <w:rFonts w:hint="default" w:ascii="黑体" w:hAnsi="宋体" w:eastAsia="黑体" w:cs="黑体"/>
                <w:color w:val="auto"/>
                <w:kern w:val="0"/>
                <w:sz w:val="24"/>
                <w:szCs w:val="24"/>
                <w:lang w:val="en-US" w:eastAsia="zh-CN" w:bidi="ar"/>
              </w:rPr>
              <w:t>表</w:t>
            </w:r>
            <w:r>
              <w:rPr>
                <w:rFonts w:hint="default" w:ascii="Times New Roman" w:hAnsi="Times New Roman" w:eastAsia="宋体" w:cs="Times New Roman"/>
                <w:color w:val="auto"/>
                <w:kern w:val="0"/>
                <w:sz w:val="24"/>
                <w:szCs w:val="24"/>
                <w:lang w:val="en-US" w:eastAsia="zh-CN" w:bidi="ar"/>
              </w:rPr>
              <w:t>5-</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w:t>
            </w:r>
            <w:r>
              <w:rPr>
                <w:rFonts w:hint="eastAsia" w:cs="Times New Roman"/>
                <w:color w:val="auto"/>
                <w:kern w:val="0"/>
                <w:sz w:val="24"/>
                <w:szCs w:val="24"/>
                <w:lang w:val="en-US" w:eastAsia="zh-CN" w:bidi="ar"/>
              </w:rPr>
              <w:t xml:space="preserve"> </w:t>
            </w:r>
            <w:r>
              <w:rPr>
                <w:rFonts w:hint="eastAsia" w:ascii="黑体" w:hAnsi="宋体" w:eastAsia="黑体" w:cs="黑体"/>
                <w:color w:val="auto"/>
                <w:kern w:val="0"/>
                <w:sz w:val="24"/>
                <w:szCs w:val="24"/>
                <w:lang w:val="en-US" w:eastAsia="zh-CN" w:bidi="ar"/>
              </w:rPr>
              <w:t>环境监测计划一览表</w:t>
            </w:r>
          </w:p>
          <w:tbl>
            <w:tblPr>
              <w:tblStyle w:val="27"/>
              <w:tblW w:w="82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207"/>
              <w:gridCol w:w="1784"/>
              <w:gridCol w:w="2123"/>
              <w:gridCol w:w="1920"/>
            </w:tblGrid>
            <w:tr w14:paraId="6BBE9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nil"/>
                    <w:tr2bl w:val="nil"/>
                  </w:tcBorders>
                  <w:noWrap w:val="0"/>
                  <w:vAlign w:val="center"/>
                </w:tcPr>
                <w:p w14:paraId="54926593">
                  <w:pPr>
                    <w:pStyle w:val="33"/>
                    <w:keepNext w:val="0"/>
                    <w:keepLines w:val="0"/>
                    <w:suppressLineNumbers w:val="0"/>
                    <w:bidi w:val="0"/>
                    <w:spacing w:before="0" w:beforeLines="0" w:beforeAutospacing="0" w:after="0" w:afterLines="0" w:afterAutospacing="0"/>
                    <w:ind w:left="0" w:right="0"/>
                    <w:rPr>
                      <w:rFonts w:hint="default" w:cs="Times New Roman"/>
                      <w:b/>
                      <w:bCs/>
                      <w:color w:val="auto"/>
                      <w:lang w:val="en-US" w:eastAsia="zh-CN"/>
                    </w:rPr>
                  </w:pPr>
                  <w:r>
                    <w:rPr>
                      <w:rFonts w:hint="eastAsia" w:cs="Times New Roman"/>
                      <w:b/>
                      <w:bCs/>
                      <w:color w:val="auto"/>
                      <w:lang w:val="en-US" w:eastAsia="zh-CN"/>
                    </w:rPr>
                    <w:t>时段</w:t>
                  </w:r>
                </w:p>
              </w:tc>
              <w:tc>
                <w:tcPr>
                  <w:tcW w:w="1207" w:type="dxa"/>
                  <w:tcBorders>
                    <w:tl2br w:val="nil"/>
                    <w:tr2bl w:val="nil"/>
                  </w:tcBorders>
                  <w:noWrap w:val="0"/>
                  <w:vAlign w:val="center"/>
                </w:tcPr>
                <w:p w14:paraId="161502AC">
                  <w:pPr>
                    <w:pStyle w:val="33"/>
                    <w:keepNext w:val="0"/>
                    <w:keepLines w:val="0"/>
                    <w:suppressLineNumbers w:val="0"/>
                    <w:bidi w:val="0"/>
                    <w:spacing w:before="0" w:beforeLines="0" w:beforeAutospacing="0" w:after="0" w:afterLines="0" w:afterAutospacing="0"/>
                    <w:ind w:left="0" w:right="0"/>
                    <w:rPr>
                      <w:rFonts w:hint="default" w:cs="Times New Roman"/>
                      <w:b/>
                      <w:bCs/>
                      <w:color w:val="auto"/>
                      <w:lang w:val="en-US" w:eastAsia="zh-CN"/>
                    </w:rPr>
                  </w:pPr>
                  <w:r>
                    <w:rPr>
                      <w:rFonts w:hint="default" w:cs="Times New Roman"/>
                      <w:b/>
                      <w:bCs/>
                      <w:color w:val="auto"/>
                      <w:lang w:val="en-US" w:eastAsia="zh-CN"/>
                    </w:rPr>
                    <w:t>监测类别</w:t>
                  </w:r>
                </w:p>
              </w:tc>
              <w:tc>
                <w:tcPr>
                  <w:tcW w:w="1784" w:type="dxa"/>
                  <w:tcBorders>
                    <w:tl2br w:val="nil"/>
                    <w:tr2bl w:val="nil"/>
                  </w:tcBorders>
                  <w:noWrap w:val="0"/>
                  <w:vAlign w:val="center"/>
                </w:tcPr>
                <w:p w14:paraId="281C3659">
                  <w:pPr>
                    <w:pStyle w:val="33"/>
                    <w:keepNext w:val="0"/>
                    <w:keepLines w:val="0"/>
                    <w:suppressLineNumbers w:val="0"/>
                    <w:bidi w:val="0"/>
                    <w:spacing w:before="0" w:beforeLines="0" w:beforeAutospacing="0" w:after="0" w:afterLines="0" w:afterAutospacing="0"/>
                    <w:ind w:left="0" w:right="0"/>
                    <w:rPr>
                      <w:rFonts w:hint="default" w:cs="Times New Roman"/>
                      <w:b/>
                      <w:bCs/>
                      <w:color w:val="auto"/>
                      <w:lang w:val="en-US" w:eastAsia="zh-CN"/>
                    </w:rPr>
                  </w:pPr>
                  <w:r>
                    <w:rPr>
                      <w:rFonts w:hint="default" w:cs="Times New Roman"/>
                      <w:b/>
                      <w:bCs/>
                      <w:color w:val="auto"/>
                      <w:lang w:val="en-US" w:eastAsia="zh-CN"/>
                    </w:rPr>
                    <w:t>监测项目</w:t>
                  </w:r>
                </w:p>
              </w:tc>
              <w:tc>
                <w:tcPr>
                  <w:tcW w:w="2123" w:type="dxa"/>
                  <w:tcBorders>
                    <w:tl2br w:val="nil"/>
                    <w:tr2bl w:val="nil"/>
                  </w:tcBorders>
                  <w:noWrap w:val="0"/>
                  <w:vAlign w:val="center"/>
                </w:tcPr>
                <w:p w14:paraId="5AD78C65">
                  <w:pPr>
                    <w:pStyle w:val="33"/>
                    <w:keepNext w:val="0"/>
                    <w:keepLines w:val="0"/>
                    <w:suppressLineNumbers w:val="0"/>
                    <w:bidi w:val="0"/>
                    <w:spacing w:before="0" w:beforeLines="0" w:beforeAutospacing="0" w:after="0" w:afterLines="0" w:afterAutospacing="0"/>
                    <w:ind w:left="0" w:right="0"/>
                    <w:rPr>
                      <w:rFonts w:hint="default" w:cs="Times New Roman"/>
                      <w:b/>
                      <w:bCs/>
                      <w:color w:val="auto"/>
                      <w:lang w:val="en-US" w:eastAsia="zh-CN"/>
                    </w:rPr>
                  </w:pPr>
                  <w:r>
                    <w:rPr>
                      <w:rFonts w:hint="default" w:cs="Times New Roman"/>
                      <w:b/>
                      <w:bCs/>
                      <w:color w:val="auto"/>
                      <w:lang w:val="en-US" w:eastAsia="zh-CN"/>
                    </w:rPr>
                    <w:t>监测位置</w:t>
                  </w:r>
                </w:p>
              </w:tc>
              <w:tc>
                <w:tcPr>
                  <w:tcW w:w="1920" w:type="dxa"/>
                  <w:tcBorders>
                    <w:tl2br w:val="nil"/>
                    <w:tr2bl w:val="nil"/>
                  </w:tcBorders>
                  <w:noWrap w:val="0"/>
                  <w:vAlign w:val="center"/>
                </w:tcPr>
                <w:p w14:paraId="7D5122B8">
                  <w:pPr>
                    <w:pStyle w:val="33"/>
                    <w:keepNext w:val="0"/>
                    <w:keepLines w:val="0"/>
                    <w:suppressLineNumbers w:val="0"/>
                    <w:bidi w:val="0"/>
                    <w:spacing w:before="0" w:beforeLines="0" w:beforeAutospacing="0" w:after="0" w:afterLines="0" w:afterAutospacing="0"/>
                    <w:ind w:left="0" w:right="0"/>
                    <w:rPr>
                      <w:rFonts w:hint="default" w:cs="Times New Roman"/>
                      <w:b/>
                      <w:bCs/>
                      <w:color w:val="auto"/>
                      <w:lang w:val="en-US" w:eastAsia="zh-CN"/>
                    </w:rPr>
                  </w:pPr>
                  <w:r>
                    <w:rPr>
                      <w:rFonts w:hint="default" w:cs="Times New Roman"/>
                      <w:b/>
                      <w:bCs/>
                      <w:color w:val="auto"/>
                      <w:lang w:val="en-US" w:eastAsia="zh-CN"/>
                    </w:rPr>
                    <w:t>监测频次</w:t>
                  </w:r>
                </w:p>
              </w:tc>
            </w:tr>
            <w:tr w14:paraId="38B95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vMerge w:val="restart"/>
                  <w:tcBorders>
                    <w:tl2br w:val="nil"/>
                    <w:tr2bl w:val="nil"/>
                  </w:tcBorders>
                  <w:noWrap w:val="0"/>
                  <w:vAlign w:val="center"/>
                </w:tcPr>
                <w:p w14:paraId="633728B1">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施工期</w:t>
                  </w:r>
                </w:p>
              </w:tc>
              <w:tc>
                <w:tcPr>
                  <w:tcW w:w="1207" w:type="dxa"/>
                  <w:tcBorders>
                    <w:tl2br w:val="nil"/>
                    <w:tr2bl w:val="nil"/>
                  </w:tcBorders>
                  <w:noWrap w:val="0"/>
                  <w:vAlign w:val="center"/>
                </w:tcPr>
                <w:p w14:paraId="2D54E3E1">
                  <w:pPr>
                    <w:pStyle w:val="33"/>
                    <w:keepNext w:val="0"/>
                    <w:keepLines w:val="0"/>
                    <w:suppressLineNumbers w:val="0"/>
                    <w:bidi w:val="0"/>
                    <w:spacing w:before="0" w:beforeLines="0" w:beforeAutospacing="0" w:after="0" w:afterLines="0" w:afterAutospacing="0"/>
                    <w:ind w:left="0" w:right="0" w:firstLine="0" w:firstLineChars="0"/>
                    <w:rPr>
                      <w:rFonts w:hint="default" w:cs="Times New Roman"/>
                      <w:color w:val="auto"/>
                      <w:lang w:val="en-US" w:eastAsia="zh-CN"/>
                    </w:rPr>
                  </w:pPr>
                  <w:r>
                    <w:rPr>
                      <w:rFonts w:hint="default" w:cs="Times New Roman"/>
                      <w:color w:val="auto"/>
                      <w:lang w:val="en-US" w:eastAsia="zh-CN"/>
                    </w:rPr>
                    <w:t>环境空气</w:t>
                  </w:r>
                </w:p>
              </w:tc>
              <w:tc>
                <w:tcPr>
                  <w:tcW w:w="1784" w:type="dxa"/>
                  <w:tcBorders>
                    <w:tl2br w:val="nil"/>
                    <w:tr2bl w:val="nil"/>
                  </w:tcBorders>
                  <w:noWrap w:val="0"/>
                  <w:vAlign w:val="center"/>
                </w:tcPr>
                <w:p w14:paraId="255792E7">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default" w:cs="Times New Roman"/>
                      <w:color w:val="auto"/>
                      <w:lang w:val="en-US" w:eastAsia="zh-CN"/>
                    </w:rPr>
                    <w:t>TSP</w:t>
                  </w:r>
                </w:p>
              </w:tc>
              <w:tc>
                <w:tcPr>
                  <w:tcW w:w="2123" w:type="dxa"/>
                  <w:tcBorders>
                    <w:tl2br w:val="nil"/>
                    <w:tr2bl w:val="nil"/>
                  </w:tcBorders>
                  <w:noWrap w:val="0"/>
                  <w:vAlign w:val="center"/>
                </w:tcPr>
                <w:p w14:paraId="70E789D3">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施工区边界</w:t>
                  </w:r>
                </w:p>
              </w:tc>
              <w:tc>
                <w:tcPr>
                  <w:tcW w:w="1920" w:type="dxa"/>
                  <w:tcBorders>
                    <w:tl2br w:val="nil"/>
                    <w:tr2bl w:val="nil"/>
                  </w:tcBorders>
                  <w:noWrap w:val="0"/>
                  <w:vAlign w:val="center"/>
                </w:tcPr>
                <w:p w14:paraId="3113FDC7">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rPr>
                    <w:t>高峰期监测1次，每次连续监测3天，每天分4个时段监测</w:t>
                  </w:r>
                </w:p>
              </w:tc>
            </w:tr>
            <w:tr w14:paraId="48D55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07" w:type="dxa"/>
                  <w:vMerge w:val="continue"/>
                  <w:tcBorders>
                    <w:tl2br w:val="nil"/>
                    <w:tr2bl w:val="nil"/>
                  </w:tcBorders>
                  <w:noWrap w:val="0"/>
                  <w:vAlign w:val="center"/>
                </w:tcPr>
                <w:p w14:paraId="27C1D888">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p>
              </w:tc>
              <w:tc>
                <w:tcPr>
                  <w:tcW w:w="1207" w:type="dxa"/>
                  <w:tcBorders>
                    <w:tl2br w:val="nil"/>
                    <w:tr2bl w:val="nil"/>
                  </w:tcBorders>
                  <w:noWrap w:val="0"/>
                  <w:vAlign w:val="center"/>
                </w:tcPr>
                <w:p w14:paraId="7260CAEA">
                  <w:pPr>
                    <w:pStyle w:val="33"/>
                    <w:keepNext w:val="0"/>
                    <w:keepLines w:val="0"/>
                    <w:suppressLineNumbers w:val="0"/>
                    <w:bidi w:val="0"/>
                    <w:spacing w:before="0" w:beforeLines="0" w:beforeAutospacing="0" w:after="0" w:afterLines="0" w:afterAutospacing="0"/>
                    <w:ind w:left="0" w:right="0" w:firstLine="0" w:firstLineChars="0"/>
                    <w:rPr>
                      <w:rFonts w:hint="default" w:cs="Times New Roman"/>
                      <w:color w:val="auto"/>
                      <w:lang w:val="en-US" w:eastAsia="zh-CN"/>
                    </w:rPr>
                  </w:pPr>
                  <w:r>
                    <w:rPr>
                      <w:rFonts w:hint="default" w:cs="Times New Roman"/>
                      <w:color w:val="auto"/>
                      <w:lang w:val="en-US" w:eastAsia="zh-CN"/>
                    </w:rPr>
                    <w:t>噪声</w:t>
                  </w:r>
                </w:p>
              </w:tc>
              <w:tc>
                <w:tcPr>
                  <w:tcW w:w="1784" w:type="dxa"/>
                  <w:tcBorders>
                    <w:tl2br w:val="nil"/>
                    <w:tr2bl w:val="nil"/>
                  </w:tcBorders>
                  <w:noWrap w:val="0"/>
                  <w:vAlign w:val="center"/>
                </w:tcPr>
                <w:p w14:paraId="5038F374">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default" w:cs="Times New Roman"/>
                      <w:color w:val="auto"/>
                      <w:lang w:val="en-US" w:eastAsia="zh-CN"/>
                    </w:rPr>
                    <w:t>等效声级 LAeq</w:t>
                  </w:r>
                </w:p>
              </w:tc>
              <w:tc>
                <w:tcPr>
                  <w:tcW w:w="2123" w:type="dxa"/>
                  <w:tcBorders>
                    <w:tl2br w:val="nil"/>
                    <w:tr2bl w:val="nil"/>
                  </w:tcBorders>
                  <w:noWrap w:val="0"/>
                  <w:vAlign w:val="center"/>
                </w:tcPr>
                <w:p w14:paraId="43ED6F97">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施工区边界</w:t>
                  </w:r>
                </w:p>
              </w:tc>
              <w:tc>
                <w:tcPr>
                  <w:tcW w:w="1920" w:type="dxa"/>
                  <w:tcBorders>
                    <w:tl2br w:val="nil"/>
                    <w:tr2bl w:val="nil"/>
                  </w:tcBorders>
                  <w:noWrap w:val="0"/>
                  <w:vAlign w:val="center"/>
                </w:tcPr>
                <w:p w14:paraId="0DEF100F">
                  <w:pPr>
                    <w:pStyle w:val="33"/>
                    <w:keepNext w:val="0"/>
                    <w:keepLines w:val="0"/>
                    <w:suppressLineNumbers w:val="0"/>
                    <w:bidi w:val="0"/>
                    <w:spacing w:beforeAutospacing="0" w:afterAutospacing="0"/>
                    <w:ind w:left="0" w:right="0"/>
                    <w:rPr>
                      <w:rFonts w:hint="default"/>
                      <w:color w:val="auto"/>
                      <w:lang w:val="en-US" w:eastAsia="zh-CN"/>
                    </w:rPr>
                  </w:pPr>
                  <w:r>
                    <w:rPr>
                      <w:rFonts w:hint="default"/>
                      <w:color w:val="auto"/>
                      <w:lang w:val="en-US" w:eastAsia="zh-CN"/>
                    </w:rPr>
                    <w:t>施工期内至少一次，连续监测2 天，每天昼、夜间监测1次</w:t>
                  </w:r>
                </w:p>
              </w:tc>
            </w:tr>
            <w:tr w14:paraId="2927F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07" w:type="dxa"/>
                  <w:vMerge w:val="continue"/>
                  <w:tcBorders>
                    <w:tl2br w:val="nil"/>
                    <w:tr2bl w:val="nil"/>
                  </w:tcBorders>
                  <w:noWrap w:val="0"/>
                  <w:vAlign w:val="center"/>
                </w:tcPr>
                <w:p w14:paraId="4D6CE53C">
                  <w:pPr>
                    <w:pStyle w:val="33"/>
                    <w:keepNext w:val="0"/>
                    <w:keepLines w:val="0"/>
                    <w:suppressLineNumbers w:val="0"/>
                    <w:bidi w:val="0"/>
                    <w:spacing w:before="0" w:beforeLines="0" w:beforeAutospacing="0" w:after="0" w:afterLines="0" w:afterAutospacing="0"/>
                    <w:ind w:left="0" w:right="0"/>
                    <w:rPr>
                      <w:rFonts w:hint="default"/>
                      <w:color w:val="auto"/>
                    </w:rPr>
                  </w:pPr>
                </w:p>
              </w:tc>
              <w:tc>
                <w:tcPr>
                  <w:tcW w:w="1207" w:type="dxa"/>
                  <w:tcBorders>
                    <w:tl2br w:val="nil"/>
                    <w:tr2bl w:val="nil"/>
                  </w:tcBorders>
                  <w:noWrap w:val="0"/>
                  <w:vAlign w:val="center"/>
                </w:tcPr>
                <w:p w14:paraId="19A5EB4B">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生态</w:t>
                  </w:r>
                </w:p>
              </w:tc>
              <w:tc>
                <w:tcPr>
                  <w:tcW w:w="1784" w:type="dxa"/>
                  <w:tcBorders>
                    <w:tl2br w:val="nil"/>
                    <w:tr2bl w:val="nil"/>
                  </w:tcBorders>
                  <w:noWrap w:val="0"/>
                  <w:vAlign w:val="center"/>
                </w:tcPr>
                <w:p w14:paraId="6AFE6A9B">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olor w:val="auto"/>
                      <w:lang w:val="en-US" w:eastAsia="zh-CN"/>
                    </w:rPr>
                    <w:t>植物群落变化、动物的活动、分布变化、生境质量变化</w:t>
                  </w:r>
                  <w:r>
                    <w:rPr>
                      <w:rFonts w:hint="eastAsia" w:cs="Times New Roman"/>
                      <w:color w:val="auto"/>
                      <w:lang w:val="en-US" w:eastAsia="zh-CN"/>
                    </w:rPr>
                    <w:t>等</w:t>
                  </w:r>
                </w:p>
              </w:tc>
              <w:tc>
                <w:tcPr>
                  <w:tcW w:w="2123" w:type="dxa"/>
                  <w:tcBorders>
                    <w:tl2br w:val="nil"/>
                    <w:tr2bl w:val="nil"/>
                  </w:tcBorders>
                  <w:noWrap w:val="0"/>
                  <w:vAlign w:val="center"/>
                </w:tcPr>
                <w:p w14:paraId="3724CBCD">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olor w:val="auto"/>
                      <w:lang w:val="en-US" w:eastAsia="zh-CN"/>
                    </w:rPr>
                    <w:t>每个治理点1个监测点位</w:t>
                  </w:r>
                </w:p>
              </w:tc>
              <w:tc>
                <w:tcPr>
                  <w:tcW w:w="1920" w:type="dxa"/>
                  <w:tcBorders>
                    <w:tl2br w:val="nil"/>
                    <w:tr2bl w:val="nil"/>
                  </w:tcBorders>
                  <w:noWrap w:val="0"/>
                  <w:vAlign w:val="center"/>
                </w:tcPr>
                <w:p w14:paraId="4FFE39DC">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olor w:val="auto"/>
                      <w:lang w:val="en-US" w:eastAsia="zh-CN"/>
                    </w:rPr>
                    <w:t>整个施工期至少1次</w:t>
                  </w:r>
                </w:p>
              </w:tc>
            </w:tr>
            <w:tr w14:paraId="6E665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7" w:type="dxa"/>
                  <w:tcBorders>
                    <w:tl2br w:val="nil"/>
                    <w:tr2bl w:val="nil"/>
                  </w:tcBorders>
                  <w:noWrap w:val="0"/>
                  <w:vAlign w:val="center"/>
                </w:tcPr>
                <w:p w14:paraId="1083EE98">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运营期</w:t>
                  </w:r>
                </w:p>
              </w:tc>
              <w:tc>
                <w:tcPr>
                  <w:tcW w:w="1207" w:type="dxa"/>
                  <w:tcBorders>
                    <w:tl2br w:val="nil"/>
                    <w:tr2bl w:val="nil"/>
                  </w:tcBorders>
                  <w:noWrap w:val="0"/>
                  <w:vAlign w:val="center"/>
                </w:tcPr>
                <w:p w14:paraId="4E45431C">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生态</w:t>
                  </w:r>
                </w:p>
              </w:tc>
              <w:tc>
                <w:tcPr>
                  <w:tcW w:w="1784" w:type="dxa"/>
                  <w:tcBorders>
                    <w:tl2br w:val="nil"/>
                    <w:tr2bl w:val="nil"/>
                  </w:tcBorders>
                  <w:noWrap w:val="0"/>
                  <w:vAlign w:val="center"/>
                </w:tcPr>
                <w:p w14:paraId="5FA34087">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eastAsia" w:cs="Times New Roman"/>
                      <w:color w:val="auto"/>
                      <w:lang w:val="en-US" w:eastAsia="zh-CN"/>
                    </w:rPr>
                    <w:t>植被成活率、植被覆盖、植被面积等</w:t>
                  </w:r>
                </w:p>
              </w:tc>
              <w:tc>
                <w:tcPr>
                  <w:tcW w:w="2123" w:type="dxa"/>
                  <w:tcBorders>
                    <w:tl2br w:val="nil"/>
                    <w:tr2bl w:val="nil"/>
                  </w:tcBorders>
                  <w:noWrap w:val="0"/>
                  <w:vAlign w:val="center"/>
                </w:tcPr>
                <w:p w14:paraId="67AF45C0">
                  <w:pPr>
                    <w:pStyle w:val="33"/>
                    <w:keepNext w:val="0"/>
                    <w:keepLines w:val="0"/>
                    <w:suppressLineNumbers w:val="0"/>
                    <w:bidi w:val="0"/>
                    <w:spacing w:before="0" w:beforeLines="0" w:beforeAutospacing="0" w:after="0" w:afterLines="0" w:afterAutospacing="0"/>
                    <w:ind w:left="0" w:right="0"/>
                    <w:rPr>
                      <w:rFonts w:hint="eastAsia" w:cs="Times New Roman"/>
                      <w:color w:val="auto"/>
                      <w:lang w:val="en-US" w:eastAsia="zh-CN"/>
                    </w:rPr>
                  </w:pPr>
                  <w:r>
                    <w:rPr>
                      <w:rFonts w:hint="eastAsia"/>
                      <w:color w:val="auto"/>
                      <w:lang w:val="en-US" w:eastAsia="zh-CN"/>
                    </w:rPr>
                    <w:t>每个治理点1个监测点位</w:t>
                  </w:r>
                </w:p>
              </w:tc>
              <w:tc>
                <w:tcPr>
                  <w:tcW w:w="1920" w:type="dxa"/>
                  <w:tcBorders>
                    <w:tl2br w:val="nil"/>
                    <w:tr2bl w:val="nil"/>
                  </w:tcBorders>
                  <w:noWrap w:val="0"/>
                  <w:vAlign w:val="center"/>
                </w:tcPr>
                <w:p w14:paraId="56A710B5">
                  <w:pPr>
                    <w:pStyle w:val="33"/>
                    <w:keepNext w:val="0"/>
                    <w:keepLines w:val="0"/>
                    <w:suppressLineNumbers w:val="0"/>
                    <w:bidi w:val="0"/>
                    <w:spacing w:before="0" w:beforeLines="0" w:beforeAutospacing="0" w:after="0" w:afterLines="0" w:afterAutospacing="0"/>
                    <w:ind w:left="0" w:right="0"/>
                    <w:rPr>
                      <w:rFonts w:hint="default" w:cs="Times New Roman"/>
                      <w:color w:val="auto"/>
                      <w:lang w:val="en-US" w:eastAsia="zh-CN"/>
                    </w:rPr>
                  </w:pPr>
                  <w:r>
                    <w:rPr>
                      <w:rFonts w:hint="default" w:cs="Times New Roman"/>
                      <w:color w:val="auto"/>
                      <w:lang w:val="en-US" w:eastAsia="zh-CN"/>
                    </w:rPr>
                    <w:t>1</w:t>
                  </w:r>
                  <w:r>
                    <w:rPr>
                      <w:rFonts w:hint="eastAsia" w:cs="Times New Roman"/>
                      <w:color w:val="auto"/>
                      <w:lang w:val="en-US" w:eastAsia="zh-CN"/>
                    </w:rPr>
                    <w:t>次</w:t>
                  </w:r>
                  <w:r>
                    <w:rPr>
                      <w:rFonts w:hint="default" w:cs="Times New Roman"/>
                      <w:color w:val="auto"/>
                      <w:lang w:val="en-US" w:eastAsia="zh-CN"/>
                    </w:rPr>
                    <w:t>/1</w:t>
                  </w:r>
                  <w:r>
                    <w:rPr>
                      <w:rFonts w:hint="eastAsia" w:cs="Times New Roman"/>
                      <w:color w:val="auto"/>
                      <w:lang w:val="en-US" w:eastAsia="zh-CN"/>
                    </w:rPr>
                    <w:t>年，共3次</w:t>
                  </w:r>
                </w:p>
              </w:tc>
            </w:tr>
          </w:tbl>
          <w:p w14:paraId="72108C2F">
            <w:pPr>
              <w:keepNext w:val="0"/>
              <w:keepLines w:val="0"/>
              <w:suppressLineNumbers w:val="0"/>
              <w:bidi w:val="0"/>
              <w:spacing w:before="0" w:beforeAutospacing="0" w:after="0" w:afterAutospacing="0"/>
              <w:ind w:left="0" w:right="0"/>
              <w:rPr>
                <w:rFonts w:hint="eastAsia" w:cs="Times New Roman"/>
                <w:color w:val="auto"/>
                <w:lang w:val="en-US" w:eastAsia="zh-CN"/>
              </w:rPr>
            </w:pPr>
          </w:p>
        </w:tc>
      </w:tr>
      <w:tr w14:paraId="0B938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17B13165">
            <w:pPr>
              <w:keepNext w:val="0"/>
              <w:keepLines w:val="0"/>
              <w:suppressLineNumbers w:val="0"/>
              <w:bidi w:val="0"/>
              <w:spacing w:before="0" w:beforeAutospacing="0" w:after="0" w:afterAutospacing="0"/>
              <w:ind w:left="0" w:leftChars="0" w:right="0" w:firstLine="0" w:firstLineChars="0"/>
              <w:jc w:val="center"/>
              <w:rPr>
                <w:rFonts w:hint="default" w:cs="Times New Roman"/>
                <w:bCs/>
                <w:color w:val="auto"/>
                <w:spacing w:val="10"/>
                <w:szCs w:val="21"/>
              </w:rPr>
            </w:pPr>
            <w:r>
              <w:rPr>
                <w:rFonts w:hint="default" w:cs="Times New Roman"/>
                <w:b/>
                <w:bCs/>
                <w:color w:val="auto"/>
              </w:rPr>
              <w:t>环保投资</w:t>
            </w:r>
          </w:p>
        </w:tc>
        <w:tc>
          <w:tcPr>
            <w:tcW w:w="8457" w:type="dxa"/>
            <w:noWrap w:val="0"/>
            <w:vAlign w:val="top"/>
          </w:tcPr>
          <w:p w14:paraId="14797076">
            <w:pPr>
              <w:keepNext w:val="0"/>
              <w:keepLines w:val="0"/>
              <w:suppressLineNumbers w:val="0"/>
              <w:adjustRightInd w:val="0"/>
              <w:snapToGrid w:val="0"/>
              <w:spacing w:before="0" w:beforeAutospacing="0" w:after="0" w:afterAutospacing="0" w:line="360" w:lineRule="auto"/>
              <w:ind w:left="0" w:right="0" w:firstLine="454" w:firstLineChars="200"/>
              <w:rPr>
                <w:rFonts w:hint="default" w:cs="Times New Roman"/>
                <w:color w:val="auto"/>
                <w:sz w:val="24"/>
                <w:szCs w:val="32"/>
              </w:rPr>
            </w:pPr>
            <w:r>
              <w:rPr>
                <w:rFonts w:hint="default" w:cs="Times New Roman"/>
                <w:color w:val="auto"/>
                <w:sz w:val="24"/>
              </w:rPr>
              <w:t>项目实施预算总投资</w:t>
            </w:r>
            <w:r>
              <w:rPr>
                <w:rFonts w:hint="eastAsia" w:cs="Times New Roman"/>
                <w:color w:val="auto"/>
                <w:sz w:val="24"/>
                <w:lang w:val="en-US" w:eastAsia="zh-CN"/>
              </w:rPr>
              <w:t>4779.13</w:t>
            </w:r>
            <w:r>
              <w:rPr>
                <w:rFonts w:hint="default" w:cs="Times New Roman"/>
                <w:color w:val="auto"/>
                <w:sz w:val="24"/>
              </w:rPr>
              <w:t>万元，</w:t>
            </w:r>
            <w:r>
              <w:rPr>
                <w:rFonts w:hint="eastAsia" w:ascii="宋体" w:hAnsi="宋体" w:eastAsia="宋体" w:cs="宋体"/>
                <w:color w:val="auto"/>
                <w:kern w:val="0"/>
                <w:sz w:val="24"/>
                <w:szCs w:val="24"/>
                <w:lang w:val="en-US" w:eastAsia="zh-CN" w:bidi="ar"/>
              </w:rPr>
              <w:t>项目为历史遗留废弃矿山地质环境进行生态修复治理，项目投资全部为环保投资，环保投资占总投资的</w:t>
            </w:r>
            <w:r>
              <w:rPr>
                <w:rFonts w:hint="default" w:ascii="Times New Roman" w:hAnsi="Times New Roman" w:eastAsia="宋体" w:cs="Times New Roman"/>
                <w:color w:val="auto"/>
                <w:kern w:val="0"/>
                <w:sz w:val="24"/>
                <w:szCs w:val="24"/>
                <w:lang w:val="en-US" w:eastAsia="zh-CN" w:bidi="ar"/>
              </w:rPr>
              <w:t>100%</w:t>
            </w:r>
            <w:r>
              <w:rPr>
                <w:rFonts w:hint="eastAsia" w:ascii="宋体" w:hAnsi="宋体" w:eastAsia="宋体" w:cs="宋体"/>
                <w:color w:val="auto"/>
                <w:kern w:val="0"/>
                <w:sz w:val="24"/>
                <w:szCs w:val="24"/>
                <w:lang w:val="en-US" w:eastAsia="zh-CN" w:bidi="ar"/>
              </w:rPr>
              <w:t>，项目环保投资统计情况见表</w:t>
            </w: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2</w:t>
            </w:r>
            <w:r>
              <w:rPr>
                <w:rFonts w:hint="eastAsia" w:ascii="宋体" w:hAnsi="宋体" w:eastAsia="宋体" w:cs="宋体"/>
                <w:color w:val="auto"/>
                <w:kern w:val="0"/>
                <w:sz w:val="24"/>
                <w:szCs w:val="24"/>
                <w:lang w:val="en-US" w:eastAsia="zh-CN" w:bidi="ar"/>
              </w:rPr>
              <w:t>。</w:t>
            </w:r>
          </w:p>
          <w:p w14:paraId="46B7D456">
            <w:pPr>
              <w:pStyle w:val="7"/>
              <w:keepNext w:val="0"/>
              <w:keepLines w:val="0"/>
              <w:suppressLineNumbers w:val="0"/>
              <w:spacing w:before="0" w:beforeAutospacing="0" w:after="0" w:afterAutospacing="0"/>
              <w:ind w:left="0" w:right="0" w:firstLine="0"/>
              <w:jc w:val="center"/>
              <w:rPr>
                <w:rFonts w:hint="default" w:eastAsia="黑体" w:cs="Times New Roman"/>
                <w:color w:val="auto"/>
                <w:kern w:val="0"/>
                <w:sz w:val="24"/>
                <w:szCs w:val="24"/>
                <w:lang w:bidi="ar"/>
              </w:rPr>
            </w:pPr>
            <w:r>
              <w:rPr>
                <w:rFonts w:hint="default" w:eastAsia="黑体" w:cs="Times New Roman"/>
                <w:color w:val="auto"/>
                <w:kern w:val="0"/>
                <w:sz w:val="24"/>
                <w:szCs w:val="24"/>
                <w:lang w:bidi="ar"/>
              </w:rPr>
              <w:t>表5-</w:t>
            </w:r>
            <w:r>
              <w:rPr>
                <w:rFonts w:hint="eastAsia" w:eastAsia="黑体" w:cs="Times New Roman"/>
                <w:color w:val="auto"/>
                <w:kern w:val="0"/>
                <w:sz w:val="24"/>
                <w:szCs w:val="24"/>
                <w:lang w:val="en-US" w:eastAsia="zh-CN" w:bidi="ar"/>
              </w:rPr>
              <w:t>2</w:t>
            </w:r>
            <w:r>
              <w:rPr>
                <w:rFonts w:hint="default" w:eastAsia="黑体" w:cs="Times New Roman"/>
                <w:color w:val="auto"/>
                <w:kern w:val="0"/>
                <w:sz w:val="24"/>
                <w:szCs w:val="24"/>
                <w:lang w:bidi="ar"/>
              </w:rPr>
              <w:t xml:space="preserve">  环保投资情况表</w:t>
            </w:r>
          </w:p>
          <w:tbl>
            <w:tblPr>
              <w:tblStyle w:val="27"/>
              <w:tblW w:w="82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96"/>
              <w:gridCol w:w="3777"/>
              <w:gridCol w:w="1303"/>
              <w:gridCol w:w="756"/>
            </w:tblGrid>
            <w:tr w14:paraId="2063F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tcBorders>
                    <w:tl2br w:val="nil"/>
                    <w:tr2bl w:val="nil"/>
                  </w:tcBorders>
                  <w:noWrap w:val="0"/>
                  <w:vAlign w:val="center"/>
                </w:tcPr>
                <w:p w14:paraId="4C470A1C">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时段</w:t>
                  </w:r>
                </w:p>
              </w:tc>
              <w:tc>
                <w:tcPr>
                  <w:tcW w:w="1796" w:type="dxa"/>
                  <w:tcBorders>
                    <w:tl2br w:val="nil"/>
                    <w:tr2bl w:val="nil"/>
                  </w:tcBorders>
                  <w:noWrap w:val="0"/>
                  <w:vAlign w:val="center"/>
                </w:tcPr>
                <w:p w14:paraId="7F552A40">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项目</w:t>
                  </w:r>
                </w:p>
              </w:tc>
              <w:tc>
                <w:tcPr>
                  <w:tcW w:w="3777" w:type="dxa"/>
                  <w:tcBorders>
                    <w:tl2br w:val="nil"/>
                    <w:tr2bl w:val="nil"/>
                  </w:tcBorders>
                  <w:noWrap w:val="0"/>
                  <w:vAlign w:val="center"/>
                </w:tcPr>
                <w:p w14:paraId="624FB942">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内容</w:t>
                  </w:r>
                </w:p>
              </w:tc>
              <w:tc>
                <w:tcPr>
                  <w:tcW w:w="1303" w:type="dxa"/>
                  <w:tcBorders>
                    <w:tl2br w:val="nil"/>
                    <w:tr2bl w:val="nil"/>
                  </w:tcBorders>
                  <w:noWrap w:val="0"/>
                  <w:vAlign w:val="center"/>
                </w:tcPr>
                <w:p w14:paraId="17C59885">
                  <w:pPr>
                    <w:pStyle w:val="33"/>
                    <w:keepNext w:val="0"/>
                    <w:keepLines w:val="0"/>
                    <w:suppressLineNumbers w:val="0"/>
                    <w:bidi w:val="0"/>
                    <w:spacing w:beforeAutospacing="0" w:afterAutospacing="0"/>
                    <w:ind w:left="0" w:right="0"/>
                    <w:rPr>
                      <w:rFonts w:hint="eastAsia" w:cs="Times New Roman"/>
                      <w:b/>
                      <w:bCs/>
                      <w:color w:val="auto"/>
                    </w:rPr>
                  </w:pPr>
                  <w:r>
                    <w:rPr>
                      <w:rFonts w:hint="eastAsia" w:cs="Times New Roman"/>
                      <w:b/>
                      <w:bCs/>
                      <w:color w:val="auto"/>
                    </w:rPr>
                    <w:t>投资金额</w:t>
                  </w:r>
                </w:p>
                <w:p w14:paraId="0F3B190C">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rPr>
                    <w:t>(万元)</w:t>
                  </w:r>
                </w:p>
              </w:tc>
              <w:tc>
                <w:tcPr>
                  <w:tcW w:w="756" w:type="dxa"/>
                  <w:tcBorders>
                    <w:tl2br w:val="nil"/>
                    <w:tr2bl w:val="nil"/>
                  </w:tcBorders>
                  <w:noWrap w:val="0"/>
                  <w:vAlign w:val="center"/>
                </w:tcPr>
                <w:p w14:paraId="3AB595B9">
                  <w:pPr>
                    <w:pStyle w:val="33"/>
                    <w:keepNext w:val="0"/>
                    <w:keepLines w:val="0"/>
                    <w:suppressLineNumbers w:val="0"/>
                    <w:bidi w:val="0"/>
                    <w:spacing w:beforeAutospacing="0" w:afterAutospacing="0"/>
                    <w:ind w:left="0" w:right="0"/>
                    <w:rPr>
                      <w:rFonts w:hint="default" w:cs="Times New Roman"/>
                      <w:b/>
                      <w:bCs/>
                      <w:color w:val="auto"/>
                    </w:rPr>
                  </w:pPr>
                  <w:r>
                    <w:rPr>
                      <w:rFonts w:hint="eastAsia" w:cs="Times New Roman"/>
                      <w:b/>
                      <w:bCs/>
                      <w:color w:val="auto"/>
                      <w:lang w:val="en-US" w:eastAsia="zh-CN"/>
                    </w:rPr>
                    <w:t>比例</w:t>
                  </w:r>
                </w:p>
              </w:tc>
            </w:tr>
            <w:tr w14:paraId="766D40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tcBorders>
                    <w:tl2br w:val="nil"/>
                    <w:tr2bl w:val="nil"/>
                  </w:tcBorders>
                  <w:noWrap w:val="0"/>
                  <w:vAlign w:val="center"/>
                </w:tcPr>
                <w:p w14:paraId="22E85352">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前期</w:t>
                  </w:r>
                </w:p>
              </w:tc>
              <w:tc>
                <w:tcPr>
                  <w:tcW w:w="1796" w:type="dxa"/>
                  <w:tcBorders>
                    <w:tl2br w:val="nil"/>
                    <w:tr2bl w:val="nil"/>
                  </w:tcBorders>
                  <w:noWrap w:val="0"/>
                  <w:vAlign w:val="center"/>
                </w:tcPr>
                <w:p w14:paraId="5B2D5B8D">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设计、勘</w:t>
                  </w:r>
                  <w:r>
                    <w:rPr>
                      <w:rFonts w:hint="eastAsia" w:cs="Times New Roman"/>
                      <w:color w:val="auto"/>
                      <w:lang w:val="en-US" w:eastAsia="zh-CN"/>
                    </w:rPr>
                    <w:t>测</w:t>
                  </w:r>
                </w:p>
              </w:tc>
              <w:tc>
                <w:tcPr>
                  <w:tcW w:w="3777" w:type="dxa"/>
                  <w:tcBorders>
                    <w:tl2br w:val="nil"/>
                    <w:tr2bl w:val="nil"/>
                  </w:tcBorders>
                  <w:noWrap w:val="0"/>
                  <w:vAlign w:val="center"/>
                </w:tcPr>
                <w:p w14:paraId="3D271A36">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项目前期设计、勘测、水保、管理等</w:t>
                  </w:r>
                </w:p>
              </w:tc>
              <w:tc>
                <w:tcPr>
                  <w:tcW w:w="1303" w:type="dxa"/>
                  <w:tcBorders>
                    <w:tl2br w:val="nil"/>
                    <w:tr2bl w:val="nil"/>
                  </w:tcBorders>
                  <w:noWrap w:val="0"/>
                  <w:vAlign w:val="center"/>
                </w:tcPr>
                <w:p w14:paraId="77AEE842">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257.33</w:t>
                  </w:r>
                </w:p>
              </w:tc>
              <w:tc>
                <w:tcPr>
                  <w:tcW w:w="756" w:type="dxa"/>
                  <w:tcBorders>
                    <w:tl2br w:val="nil"/>
                    <w:tr2bl w:val="nil"/>
                  </w:tcBorders>
                  <w:noWrap w:val="0"/>
                  <w:vAlign w:val="center"/>
                </w:tcPr>
                <w:p w14:paraId="65CA2042">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5.38</w:t>
                  </w:r>
                </w:p>
              </w:tc>
            </w:tr>
            <w:tr w14:paraId="52726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restart"/>
                  <w:tcBorders>
                    <w:tl2br w:val="nil"/>
                    <w:tr2bl w:val="nil"/>
                  </w:tcBorders>
                  <w:noWrap w:val="0"/>
                  <w:vAlign w:val="center"/>
                </w:tcPr>
                <w:p w14:paraId="79BB8F67">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施工期</w:t>
                  </w:r>
                </w:p>
              </w:tc>
              <w:tc>
                <w:tcPr>
                  <w:tcW w:w="1796" w:type="dxa"/>
                  <w:vMerge w:val="restart"/>
                  <w:tcBorders>
                    <w:tl2br w:val="nil"/>
                    <w:tr2bl w:val="nil"/>
                  </w:tcBorders>
                  <w:noWrap w:val="0"/>
                  <w:vAlign w:val="center"/>
                </w:tcPr>
                <w:p w14:paraId="1D96CE6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生态环境影响减缓措施</w:t>
                  </w:r>
                </w:p>
              </w:tc>
              <w:tc>
                <w:tcPr>
                  <w:tcW w:w="3777" w:type="dxa"/>
                  <w:tcBorders>
                    <w:tl2br w:val="nil"/>
                    <w:tr2bl w:val="nil"/>
                  </w:tcBorders>
                  <w:noWrap w:val="0"/>
                  <w:vAlign w:val="center"/>
                </w:tcPr>
                <w:p w14:paraId="1F21189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培坡护坡及凹陷处回填</w:t>
                  </w:r>
                </w:p>
              </w:tc>
              <w:tc>
                <w:tcPr>
                  <w:tcW w:w="1303" w:type="dxa"/>
                  <w:tcBorders>
                    <w:tl2br w:val="nil"/>
                    <w:tr2bl w:val="nil"/>
                  </w:tcBorders>
                  <w:noWrap w:val="0"/>
                  <w:vAlign w:val="center"/>
                </w:tcPr>
                <w:p w14:paraId="00A4332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2043.07</w:t>
                  </w:r>
                </w:p>
              </w:tc>
              <w:tc>
                <w:tcPr>
                  <w:tcW w:w="756" w:type="dxa"/>
                  <w:tcBorders>
                    <w:tl2br w:val="nil"/>
                    <w:tr2bl w:val="nil"/>
                  </w:tcBorders>
                  <w:noWrap w:val="0"/>
                  <w:vAlign w:val="center"/>
                </w:tcPr>
                <w:p w14:paraId="0A5DC07A">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42.75</w:t>
                  </w:r>
                </w:p>
              </w:tc>
            </w:tr>
            <w:tr w14:paraId="0589F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0C3B28AB">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7798BD57">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21CEBB33">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场地平整</w:t>
                  </w:r>
                </w:p>
              </w:tc>
              <w:tc>
                <w:tcPr>
                  <w:tcW w:w="1303" w:type="dxa"/>
                  <w:tcBorders>
                    <w:tl2br w:val="nil"/>
                    <w:tr2bl w:val="nil"/>
                  </w:tcBorders>
                  <w:noWrap w:val="0"/>
                  <w:vAlign w:val="center"/>
                </w:tcPr>
                <w:p w14:paraId="2F50088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955.02</w:t>
                  </w:r>
                </w:p>
              </w:tc>
              <w:tc>
                <w:tcPr>
                  <w:tcW w:w="756" w:type="dxa"/>
                  <w:tcBorders>
                    <w:tl2br w:val="nil"/>
                    <w:tr2bl w:val="nil"/>
                  </w:tcBorders>
                  <w:noWrap w:val="0"/>
                  <w:vAlign w:val="center"/>
                </w:tcPr>
                <w:p w14:paraId="3DC7D25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19.98</w:t>
                  </w:r>
                </w:p>
              </w:tc>
            </w:tr>
            <w:tr w14:paraId="40A93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7A3C5E77">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1AC10F49">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4FC0B1D7">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采坑回填</w:t>
                  </w:r>
                </w:p>
              </w:tc>
              <w:tc>
                <w:tcPr>
                  <w:tcW w:w="1303" w:type="dxa"/>
                  <w:tcBorders>
                    <w:tl2br w:val="nil"/>
                    <w:tr2bl w:val="nil"/>
                  </w:tcBorders>
                  <w:noWrap w:val="0"/>
                  <w:vAlign w:val="center"/>
                </w:tcPr>
                <w:p w14:paraId="6D80872A">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112.74</w:t>
                  </w:r>
                </w:p>
              </w:tc>
              <w:tc>
                <w:tcPr>
                  <w:tcW w:w="756" w:type="dxa"/>
                  <w:tcBorders>
                    <w:tl2br w:val="nil"/>
                    <w:tr2bl w:val="nil"/>
                  </w:tcBorders>
                  <w:noWrap w:val="0"/>
                  <w:vAlign w:val="center"/>
                </w:tcPr>
                <w:p w14:paraId="13C0C009">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2.36</w:t>
                  </w:r>
                </w:p>
              </w:tc>
            </w:tr>
            <w:tr w14:paraId="1D1E9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1607C854">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1C23C49B">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44ECE28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覆土工程</w:t>
                  </w:r>
                </w:p>
              </w:tc>
              <w:tc>
                <w:tcPr>
                  <w:tcW w:w="1303" w:type="dxa"/>
                  <w:tcBorders>
                    <w:tl2br w:val="nil"/>
                    <w:tr2bl w:val="nil"/>
                  </w:tcBorders>
                  <w:noWrap w:val="0"/>
                  <w:vAlign w:val="center"/>
                </w:tcPr>
                <w:p w14:paraId="4EFB6A7C">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367.11</w:t>
                  </w:r>
                </w:p>
              </w:tc>
              <w:tc>
                <w:tcPr>
                  <w:tcW w:w="756" w:type="dxa"/>
                  <w:tcBorders>
                    <w:tl2br w:val="nil"/>
                    <w:tr2bl w:val="nil"/>
                  </w:tcBorders>
                  <w:noWrap w:val="0"/>
                  <w:vAlign w:val="center"/>
                </w:tcPr>
                <w:p w14:paraId="15E64EE9">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7.68</w:t>
                  </w:r>
                </w:p>
              </w:tc>
            </w:tr>
            <w:tr w14:paraId="529B5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51A66133">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1984D41E">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3026916E">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植被恢复工程</w:t>
                  </w:r>
                </w:p>
              </w:tc>
              <w:tc>
                <w:tcPr>
                  <w:tcW w:w="1303" w:type="dxa"/>
                  <w:tcBorders>
                    <w:tl2br w:val="nil"/>
                    <w:tr2bl w:val="nil"/>
                  </w:tcBorders>
                  <w:noWrap w:val="0"/>
                  <w:vAlign w:val="center"/>
                </w:tcPr>
                <w:p w14:paraId="7735D24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309.65</w:t>
                  </w:r>
                </w:p>
              </w:tc>
              <w:tc>
                <w:tcPr>
                  <w:tcW w:w="756" w:type="dxa"/>
                  <w:tcBorders>
                    <w:tl2br w:val="nil"/>
                    <w:tr2bl w:val="nil"/>
                  </w:tcBorders>
                  <w:noWrap w:val="0"/>
                  <w:vAlign w:val="center"/>
                </w:tcPr>
                <w:p w14:paraId="5DB899C7">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6.48</w:t>
                  </w:r>
                </w:p>
              </w:tc>
            </w:tr>
            <w:tr w14:paraId="11D02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55BE634A">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70F34A44">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0F3085D8">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宣传牌工程</w:t>
                  </w:r>
                </w:p>
              </w:tc>
              <w:tc>
                <w:tcPr>
                  <w:tcW w:w="1303" w:type="dxa"/>
                  <w:tcBorders>
                    <w:tl2br w:val="nil"/>
                    <w:tr2bl w:val="nil"/>
                  </w:tcBorders>
                  <w:noWrap w:val="0"/>
                  <w:vAlign w:val="center"/>
                </w:tcPr>
                <w:p w14:paraId="0A53C176">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default" w:cs="Times New Roman"/>
                      <w:color w:val="auto"/>
                      <w:lang w:val="en-US" w:eastAsia="zh-CN"/>
                    </w:rPr>
                    <w:t>10</w:t>
                  </w:r>
                </w:p>
              </w:tc>
              <w:tc>
                <w:tcPr>
                  <w:tcW w:w="756" w:type="dxa"/>
                  <w:tcBorders>
                    <w:tl2br w:val="nil"/>
                    <w:tr2bl w:val="nil"/>
                  </w:tcBorders>
                  <w:noWrap w:val="0"/>
                  <w:vAlign w:val="center"/>
                </w:tcPr>
                <w:p w14:paraId="6C747FBA">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0.21</w:t>
                  </w:r>
                </w:p>
              </w:tc>
            </w:tr>
            <w:tr w14:paraId="2DEBA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1FEDC1D9">
                  <w:pPr>
                    <w:pStyle w:val="33"/>
                    <w:keepNext w:val="0"/>
                    <w:keepLines w:val="0"/>
                    <w:suppressLineNumbers w:val="0"/>
                    <w:bidi w:val="0"/>
                    <w:spacing w:beforeAutospacing="0" w:afterAutospacing="0"/>
                    <w:ind w:left="0" w:right="0"/>
                    <w:rPr>
                      <w:rFonts w:hint="default" w:cs="Times New Roman"/>
                      <w:color w:val="auto"/>
                    </w:rPr>
                  </w:pPr>
                </w:p>
              </w:tc>
              <w:tc>
                <w:tcPr>
                  <w:tcW w:w="1796" w:type="dxa"/>
                  <w:vMerge w:val="continue"/>
                  <w:tcBorders>
                    <w:tl2br w:val="nil"/>
                    <w:tr2bl w:val="nil"/>
                  </w:tcBorders>
                  <w:noWrap w:val="0"/>
                  <w:vAlign w:val="center"/>
                </w:tcPr>
                <w:p w14:paraId="3DE39412">
                  <w:pPr>
                    <w:pStyle w:val="33"/>
                    <w:keepNext w:val="0"/>
                    <w:keepLines w:val="0"/>
                    <w:suppressLineNumbers w:val="0"/>
                    <w:bidi w:val="0"/>
                    <w:spacing w:beforeAutospacing="0" w:afterAutospacing="0"/>
                    <w:ind w:left="0" w:right="0"/>
                    <w:rPr>
                      <w:rFonts w:hint="default" w:cs="Times New Roman"/>
                      <w:color w:val="auto"/>
                    </w:rPr>
                  </w:pPr>
                </w:p>
              </w:tc>
              <w:tc>
                <w:tcPr>
                  <w:tcW w:w="3777" w:type="dxa"/>
                  <w:tcBorders>
                    <w:tl2br w:val="nil"/>
                    <w:tr2bl w:val="nil"/>
                  </w:tcBorders>
                  <w:noWrap w:val="0"/>
                  <w:vAlign w:val="center"/>
                </w:tcPr>
                <w:p w14:paraId="3B1B2EBC">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围栏工程</w:t>
                  </w:r>
                </w:p>
              </w:tc>
              <w:tc>
                <w:tcPr>
                  <w:tcW w:w="1303" w:type="dxa"/>
                  <w:tcBorders>
                    <w:tl2br w:val="nil"/>
                    <w:tr2bl w:val="nil"/>
                  </w:tcBorders>
                  <w:noWrap w:val="0"/>
                  <w:vAlign w:val="center"/>
                </w:tcPr>
                <w:p w14:paraId="45D692F2">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default" w:cs="Times New Roman"/>
                      <w:color w:val="auto"/>
                      <w:lang w:val="en-US" w:eastAsia="zh-CN"/>
                    </w:rPr>
                    <w:t>10</w:t>
                  </w:r>
                </w:p>
              </w:tc>
              <w:tc>
                <w:tcPr>
                  <w:tcW w:w="756" w:type="dxa"/>
                  <w:tcBorders>
                    <w:tl2br w:val="nil"/>
                    <w:tr2bl w:val="nil"/>
                  </w:tcBorders>
                  <w:noWrap w:val="0"/>
                  <w:vAlign w:val="center"/>
                </w:tcPr>
                <w:p w14:paraId="3F48560E">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0.21</w:t>
                  </w:r>
                </w:p>
              </w:tc>
            </w:tr>
            <w:tr w14:paraId="5EFEA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79C5DD25">
                  <w:pPr>
                    <w:pStyle w:val="33"/>
                    <w:keepNext w:val="0"/>
                    <w:keepLines w:val="0"/>
                    <w:suppressLineNumbers w:val="0"/>
                    <w:bidi w:val="0"/>
                    <w:spacing w:beforeAutospacing="0" w:afterAutospacing="0"/>
                    <w:ind w:left="0" w:right="0"/>
                    <w:rPr>
                      <w:rFonts w:hint="default" w:cs="Times New Roman"/>
                      <w:color w:val="auto"/>
                    </w:rPr>
                  </w:pPr>
                </w:p>
              </w:tc>
              <w:tc>
                <w:tcPr>
                  <w:tcW w:w="1796" w:type="dxa"/>
                  <w:tcBorders>
                    <w:tl2br w:val="nil"/>
                    <w:tr2bl w:val="nil"/>
                  </w:tcBorders>
                  <w:noWrap w:val="0"/>
                  <w:vAlign w:val="center"/>
                </w:tcPr>
                <w:p w14:paraId="55F00F4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大气环境</w:t>
                  </w:r>
                </w:p>
              </w:tc>
              <w:tc>
                <w:tcPr>
                  <w:tcW w:w="3777" w:type="dxa"/>
                  <w:tcBorders>
                    <w:tl2br w:val="nil"/>
                    <w:tr2bl w:val="nil"/>
                  </w:tcBorders>
                  <w:noWrap w:val="0"/>
                  <w:vAlign w:val="center"/>
                </w:tcPr>
                <w:p w14:paraId="33A16A8F">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施工扬尘：施工场地设置施工围挡、定期洒水降尘、运输车辆加盖篷布；</w:t>
                  </w:r>
                </w:p>
                <w:p w14:paraId="772EBF45">
                  <w:pPr>
                    <w:keepNext w:val="0"/>
                    <w:keepLines w:val="0"/>
                    <w:widowControl w:val="0"/>
                    <w:suppressLineNumbers w:val="0"/>
                    <w:bidi w:val="0"/>
                    <w:adjustRightInd w:val="0"/>
                    <w:snapToGrid w:val="0"/>
                    <w:spacing w:before="10" w:beforeLines="10" w:beforeAutospacing="0" w:after="10" w:afterLines="10" w:afterAutospacing="0" w:line="240" w:lineRule="auto"/>
                    <w:ind w:left="0" w:right="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临时堆土场：施工期临时堆土堆放在治理区内，并采用纤维网苫盖，定期洒水保湿；</w:t>
                  </w:r>
                </w:p>
                <w:p w14:paraId="716FF8B7">
                  <w:pPr>
                    <w:pStyle w:val="33"/>
                    <w:keepNext w:val="0"/>
                    <w:keepLines w:val="0"/>
                    <w:suppressLineNumbers w:val="0"/>
                    <w:bidi w:val="0"/>
                    <w:spacing w:beforeAutospacing="0" w:afterAutospacing="0"/>
                    <w:ind w:left="0" w:right="0"/>
                    <w:jc w:val="center"/>
                    <w:rPr>
                      <w:rFonts w:hint="eastAsia" w:cs="Times New Roman"/>
                      <w:color w:val="auto"/>
                    </w:rPr>
                  </w:pPr>
                  <w:r>
                    <w:rPr>
                      <w:rFonts w:hint="eastAsia" w:ascii="Times New Roman" w:hAnsi="Times New Roman" w:eastAsia="宋体" w:cs="Times New Roman"/>
                      <w:color w:val="auto"/>
                      <w:kern w:val="0"/>
                      <w:sz w:val="21"/>
                      <w:szCs w:val="21"/>
                      <w:lang w:val="en-US" w:eastAsia="zh-CN" w:bidi="ar-SA"/>
                    </w:rPr>
                    <w:t>机械废气：加强机械设备管理和保养维修，合理降低使用次数</w:t>
                  </w:r>
                </w:p>
              </w:tc>
              <w:tc>
                <w:tcPr>
                  <w:tcW w:w="1303" w:type="dxa"/>
                  <w:tcBorders>
                    <w:tl2br w:val="nil"/>
                    <w:tr2bl w:val="nil"/>
                  </w:tcBorders>
                  <w:noWrap w:val="0"/>
                  <w:vAlign w:val="center"/>
                </w:tcPr>
                <w:p w14:paraId="0340D056">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50</w:t>
                  </w:r>
                </w:p>
              </w:tc>
              <w:tc>
                <w:tcPr>
                  <w:tcW w:w="756" w:type="dxa"/>
                  <w:tcBorders>
                    <w:tl2br w:val="nil"/>
                    <w:tr2bl w:val="nil"/>
                  </w:tcBorders>
                  <w:noWrap w:val="0"/>
                  <w:vAlign w:val="center"/>
                </w:tcPr>
                <w:p w14:paraId="1005988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1.05</w:t>
                  </w:r>
                </w:p>
              </w:tc>
            </w:tr>
            <w:tr w14:paraId="421DA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209B5648">
                  <w:pPr>
                    <w:pStyle w:val="33"/>
                    <w:keepNext w:val="0"/>
                    <w:keepLines w:val="0"/>
                    <w:suppressLineNumbers w:val="0"/>
                    <w:bidi w:val="0"/>
                    <w:spacing w:beforeAutospacing="0" w:afterAutospacing="0"/>
                    <w:ind w:left="0" w:right="0"/>
                    <w:rPr>
                      <w:rFonts w:hint="default" w:cs="Times New Roman"/>
                      <w:color w:val="auto"/>
                    </w:rPr>
                  </w:pPr>
                </w:p>
              </w:tc>
              <w:tc>
                <w:tcPr>
                  <w:tcW w:w="1796" w:type="dxa"/>
                  <w:tcBorders>
                    <w:tl2br w:val="nil"/>
                    <w:tr2bl w:val="nil"/>
                  </w:tcBorders>
                  <w:noWrap w:val="0"/>
                  <w:vAlign w:val="center"/>
                </w:tcPr>
                <w:p w14:paraId="53C9D40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声环境</w:t>
                  </w:r>
                </w:p>
              </w:tc>
              <w:tc>
                <w:tcPr>
                  <w:tcW w:w="3777" w:type="dxa"/>
                  <w:tcBorders>
                    <w:tl2br w:val="nil"/>
                    <w:tr2bl w:val="nil"/>
                  </w:tcBorders>
                  <w:noWrap w:val="0"/>
                  <w:vAlign w:val="center"/>
                </w:tcPr>
                <w:p w14:paraId="075B7DB6">
                  <w:pPr>
                    <w:pStyle w:val="33"/>
                    <w:keepNext w:val="0"/>
                    <w:keepLines w:val="0"/>
                    <w:suppressLineNumbers w:val="0"/>
                    <w:bidi w:val="0"/>
                    <w:spacing w:beforeAutospacing="0" w:afterAutospacing="0"/>
                    <w:ind w:left="0" w:right="0"/>
                    <w:rPr>
                      <w:rFonts w:hint="eastAsia" w:eastAsia="宋体" w:cs="Times New Roman"/>
                      <w:color w:val="auto"/>
                      <w:lang w:val="en-US" w:eastAsia="zh-CN"/>
                    </w:rPr>
                  </w:pPr>
                  <w:r>
                    <w:rPr>
                      <w:rFonts w:hint="eastAsia" w:cs="Times New Roman"/>
                      <w:color w:val="auto"/>
                    </w:rPr>
                    <w:t>合理安排施工时间，选用低噪声设备，分片区施工，运输车辆减速慢行、禁止鸣笛</w:t>
                  </w:r>
                </w:p>
              </w:tc>
              <w:tc>
                <w:tcPr>
                  <w:tcW w:w="1303" w:type="dxa"/>
                  <w:tcBorders>
                    <w:tl2br w:val="nil"/>
                    <w:tr2bl w:val="nil"/>
                  </w:tcBorders>
                  <w:noWrap w:val="0"/>
                  <w:vAlign w:val="center"/>
                </w:tcPr>
                <w:p w14:paraId="357B1F73">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25</w:t>
                  </w:r>
                </w:p>
              </w:tc>
              <w:tc>
                <w:tcPr>
                  <w:tcW w:w="756" w:type="dxa"/>
                  <w:tcBorders>
                    <w:tl2br w:val="nil"/>
                    <w:tr2bl w:val="nil"/>
                  </w:tcBorders>
                  <w:noWrap w:val="0"/>
                  <w:vAlign w:val="center"/>
                </w:tcPr>
                <w:p w14:paraId="2C8C5FF8">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0.52</w:t>
                  </w:r>
                </w:p>
              </w:tc>
            </w:tr>
            <w:tr w14:paraId="198DA1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0EE1DAB5">
                  <w:pPr>
                    <w:pStyle w:val="33"/>
                    <w:keepNext w:val="0"/>
                    <w:keepLines w:val="0"/>
                    <w:suppressLineNumbers w:val="0"/>
                    <w:bidi w:val="0"/>
                    <w:spacing w:beforeAutospacing="0" w:afterAutospacing="0"/>
                    <w:ind w:left="0" w:right="0"/>
                    <w:rPr>
                      <w:rFonts w:hint="default" w:cs="Times New Roman"/>
                      <w:color w:val="auto"/>
                    </w:rPr>
                  </w:pPr>
                </w:p>
              </w:tc>
              <w:tc>
                <w:tcPr>
                  <w:tcW w:w="1796" w:type="dxa"/>
                  <w:tcBorders>
                    <w:tl2br w:val="nil"/>
                    <w:tr2bl w:val="nil"/>
                  </w:tcBorders>
                  <w:noWrap w:val="0"/>
                  <w:vAlign w:val="center"/>
                </w:tcPr>
                <w:p w14:paraId="7479B0E2">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固体废物</w:t>
                  </w:r>
                </w:p>
              </w:tc>
              <w:tc>
                <w:tcPr>
                  <w:tcW w:w="3777" w:type="dxa"/>
                  <w:tcBorders>
                    <w:tl2br w:val="nil"/>
                    <w:tr2bl w:val="nil"/>
                  </w:tcBorders>
                  <w:noWrap w:val="0"/>
                  <w:vAlign w:val="center"/>
                </w:tcPr>
                <w:p w14:paraId="739FCCBF">
                  <w:pPr>
                    <w:pStyle w:val="33"/>
                    <w:keepNext w:val="0"/>
                    <w:keepLines w:val="0"/>
                    <w:suppressLineNumbers w:val="0"/>
                    <w:bidi w:val="0"/>
                    <w:spacing w:beforeAutospacing="0" w:afterAutospacing="0"/>
                    <w:ind w:left="0" w:right="0"/>
                    <w:rPr>
                      <w:rFonts w:hint="eastAsia" w:cs="Times New Roman"/>
                      <w:color w:val="auto"/>
                    </w:rPr>
                  </w:pPr>
                  <w:r>
                    <w:rPr>
                      <w:rFonts w:hint="eastAsia" w:ascii="Times New Roman" w:hAnsi="Times New Roman" w:eastAsia="宋体" w:cs="Times New Roman"/>
                      <w:color w:val="auto"/>
                      <w:kern w:val="0"/>
                      <w:sz w:val="21"/>
                      <w:szCs w:val="21"/>
                      <w:lang w:val="en-US" w:eastAsia="zh-CN" w:bidi="ar-SA"/>
                    </w:rPr>
                    <w:t>施工期的固体废弃物主要来源为建筑垃圾、草籽废包装袋与生活垃圾。建筑垃圾定期清运至指定地点处理，项目施工区生活垃圾、草籽废包装袋在施工现场集中分类收集送至邻近村庄生活垃圾收集点，由当地环卫部门统一清运处置</w:t>
                  </w:r>
                </w:p>
              </w:tc>
              <w:tc>
                <w:tcPr>
                  <w:tcW w:w="1303" w:type="dxa"/>
                  <w:tcBorders>
                    <w:tl2br w:val="nil"/>
                    <w:tr2bl w:val="nil"/>
                  </w:tcBorders>
                  <w:noWrap w:val="0"/>
                  <w:vAlign w:val="center"/>
                </w:tcPr>
                <w:p w14:paraId="669671F0">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default" w:cs="Times New Roman"/>
                      <w:color w:val="auto"/>
                      <w:lang w:val="en-US" w:eastAsia="zh-CN"/>
                    </w:rPr>
                    <w:t>15</w:t>
                  </w:r>
                </w:p>
              </w:tc>
              <w:tc>
                <w:tcPr>
                  <w:tcW w:w="756" w:type="dxa"/>
                  <w:tcBorders>
                    <w:tl2br w:val="nil"/>
                    <w:tr2bl w:val="nil"/>
                  </w:tcBorders>
                  <w:noWrap w:val="0"/>
                  <w:vAlign w:val="center"/>
                </w:tcPr>
                <w:p w14:paraId="2DA19600">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0.31</w:t>
                  </w:r>
                </w:p>
              </w:tc>
            </w:tr>
            <w:tr w14:paraId="7E37E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restart"/>
                  <w:tcBorders>
                    <w:tl2br w:val="nil"/>
                    <w:tr2bl w:val="nil"/>
                  </w:tcBorders>
                  <w:noWrap w:val="0"/>
                  <w:vAlign w:val="center"/>
                </w:tcPr>
                <w:p w14:paraId="43BE942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运营期</w:t>
                  </w:r>
                </w:p>
              </w:tc>
              <w:tc>
                <w:tcPr>
                  <w:tcW w:w="1796" w:type="dxa"/>
                  <w:tcBorders>
                    <w:tl2br w:val="nil"/>
                    <w:tr2bl w:val="nil"/>
                  </w:tcBorders>
                  <w:noWrap w:val="0"/>
                  <w:vAlign w:val="center"/>
                </w:tcPr>
                <w:p w14:paraId="5A3CC56F">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植被恢复</w:t>
                  </w:r>
                </w:p>
              </w:tc>
              <w:tc>
                <w:tcPr>
                  <w:tcW w:w="3777" w:type="dxa"/>
                  <w:tcBorders>
                    <w:tl2br w:val="nil"/>
                    <w:tr2bl w:val="nil"/>
                  </w:tcBorders>
                  <w:noWrap w:val="0"/>
                  <w:vAlign w:val="center"/>
                </w:tcPr>
                <w:p w14:paraId="55EAC77F">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养护工程</w:t>
                  </w:r>
                </w:p>
              </w:tc>
              <w:tc>
                <w:tcPr>
                  <w:tcW w:w="1303" w:type="dxa"/>
                  <w:tcBorders>
                    <w:tl2br w:val="nil"/>
                    <w:tr2bl w:val="nil"/>
                  </w:tcBorders>
                  <w:noWrap w:val="0"/>
                  <w:vAlign w:val="center"/>
                </w:tcPr>
                <w:p w14:paraId="6634D9FB">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377.57</w:t>
                  </w:r>
                </w:p>
              </w:tc>
              <w:tc>
                <w:tcPr>
                  <w:tcW w:w="756" w:type="dxa"/>
                  <w:tcBorders>
                    <w:tl2br w:val="nil"/>
                    <w:tr2bl w:val="nil"/>
                  </w:tcBorders>
                  <w:noWrap w:val="0"/>
                  <w:vAlign w:val="center"/>
                </w:tcPr>
                <w:p w14:paraId="5BF40BA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7.90</w:t>
                  </w:r>
                </w:p>
              </w:tc>
            </w:tr>
            <w:tr w14:paraId="5F647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vMerge w:val="continue"/>
                  <w:tcBorders>
                    <w:tl2br w:val="nil"/>
                    <w:tr2bl w:val="nil"/>
                  </w:tcBorders>
                  <w:noWrap w:val="0"/>
                  <w:vAlign w:val="center"/>
                </w:tcPr>
                <w:p w14:paraId="0C7ABD88">
                  <w:pPr>
                    <w:pStyle w:val="33"/>
                    <w:keepNext w:val="0"/>
                    <w:keepLines w:val="0"/>
                    <w:suppressLineNumbers w:val="0"/>
                    <w:bidi w:val="0"/>
                    <w:spacing w:beforeAutospacing="0" w:afterAutospacing="0"/>
                    <w:ind w:left="0" w:right="0"/>
                    <w:rPr>
                      <w:rFonts w:hint="default" w:cs="Times New Roman"/>
                      <w:color w:val="auto"/>
                    </w:rPr>
                  </w:pPr>
                </w:p>
              </w:tc>
              <w:tc>
                <w:tcPr>
                  <w:tcW w:w="1796" w:type="dxa"/>
                  <w:tcBorders>
                    <w:tl2br w:val="nil"/>
                    <w:tr2bl w:val="nil"/>
                  </w:tcBorders>
                  <w:noWrap w:val="0"/>
                  <w:vAlign w:val="center"/>
                </w:tcPr>
                <w:p w14:paraId="55E48B05">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rPr>
                    <w:t>环境管理监测</w:t>
                  </w:r>
                </w:p>
              </w:tc>
              <w:tc>
                <w:tcPr>
                  <w:tcW w:w="3777" w:type="dxa"/>
                  <w:tcBorders>
                    <w:tl2br w:val="nil"/>
                    <w:tr2bl w:val="nil"/>
                  </w:tcBorders>
                  <w:noWrap w:val="0"/>
                  <w:vAlign w:val="center"/>
                </w:tcPr>
                <w:p w14:paraId="49536283">
                  <w:pPr>
                    <w:pStyle w:val="33"/>
                    <w:keepNext w:val="0"/>
                    <w:keepLines w:val="0"/>
                    <w:suppressLineNumbers w:val="0"/>
                    <w:bidi w:val="0"/>
                    <w:spacing w:beforeAutospacing="0" w:afterAutospacing="0"/>
                    <w:ind w:left="0" w:right="0"/>
                    <w:rPr>
                      <w:rFonts w:hint="eastAsia" w:cs="Times New Roman"/>
                      <w:color w:val="auto"/>
                    </w:rPr>
                  </w:pPr>
                  <w:r>
                    <w:rPr>
                      <w:rFonts w:hint="eastAsia" w:cs="Times New Roman"/>
                      <w:color w:val="auto"/>
                    </w:rPr>
                    <w:t>环境管理及监测</w:t>
                  </w:r>
                </w:p>
              </w:tc>
              <w:tc>
                <w:tcPr>
                  <w:tcW w:w="1303" w:type="dxa"/>
                  <w:tcBorders>
                    <w:tl2br w:val="nil"/>
                    <w:tr2bl w:val="nil"/>
                  </w:tcBorders>
                  <w:noWrap w:val="0"/>
                  <w:vAlign w:val="center"/>
                </w:tcPr>
                <w:p w14:paraId="7FC517B4">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default" w:cs="Times New Roman"/>
                      <w:color w:val="auto"/>
                      <w:lang w:val="en-US" w:eastAsia="zh-CN"/>
                    </w:rPr>
                    <w:t>246.64</w:t>
                  </w:r>
                </w:p>
              </w:tc>
              <w:tc>
                <w:tcPr>
                  <w:tcW w:w="756" w:type="dxa"/>
                  <w:tcBorders>
                    <w:tl2br w:val="nil"/>
                    <w:tr2bl w:val="nil"/>
                  </w:tcBorders>
                  <w:noWrap w:val="0"/>
                  <w:vAlign w:val="center"/>
                </w:tcPr>
                <w:p w14:paraId="0A40ADEB">
                  <w:pPr>
                    <w:pStyle w:val="33"/>
                    <w:keepNext w:val="0"/>
                    <w:keepLines w:val="0"/>
                    <w:suppressLineNumbers w:val="0"/>
                    <w:bidi w:val="0"/>
                    <w:spacing w:beforeAutospacing="0" w:afterAutospacing="0"/>
                    <w:ind w:left="0" w:right="0"/>
                    <w:rPr>
                      <w:rFonts w:hint="default" w:cs="Times New Roman"/>
                      <w:color w:val="auto"/>
                    </w:rPr>
                  </w:pPr>
                  <w:r>
                    <w:rPr>
                      <w:rFonts w:hint="eastAsia" w:cs="Times New Roman"/>
                      <w:color w:val="auto"/>
                      <w:lang w:val="en-US" w:eastAsia="zh-CN"/>
                    </w:rPr>
                    <w:t>5.16</w:t>
                  </w:r>
                </w:p>
              </w:tc>
            </w:tr>
            <w:tr w14:paraId="74779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dxa"/>
                  <w:tcBorders>
                    <w:tl2br w:val="nil"/>
                    <w:tr2bl w:val="nil"/>
                  </w:tcBorders>
                  <w:noWrap w:val="0"/>
                  <w:vAlign w:val="center"/>
                </w:tcPr>
                <w:p w14:paraId="5DD03909">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合计</w:t>
                  </w:r>
                </w:p>
              </w:tc>
              <w:tc>
                <w:tcPr>
                  <w:tcW w:w="1796" w:type="dxa"/>
                  <w:tcBorders>
                    <w:tl2br w:val="nil"/>
                    <w:tr2bl w:val="nil"/>
                  </w:tcBorders>
                  <w:noWrap w:val="0"/>
                  <w:vAlign w:val="center"/>
                </w:tcPr>
                <w:p w14:paraId="7D2F10C9">
                  <w:pPr>
                    <w:pStyle w:val="33"/>
                    <w:keepNext w:val="0"/>
                    <w:keepLines w:val="0"/>
                    <w:suppressLineNumbers w:val="0"/>
                    <w:bidi w:val="0"/>
                    <w:spacing w:beforeAutospacing="0" w:afterAutospacing="0"/>
                    <w:ind w:left="0" w:right="0"/>
                    <w:rPr>
                      <w:rFonts w:hint="eastAsia" w:cs="Times New Roman"/>
                      <w:color w:val="auto"/>
                      <w:lang w:val="en-US" w:eastAsia="zh-CN"/>
                    </w:rPr>
                  </w:pPr>
                  <w:r>
                    <w:rPr>
                      <w:rFonts w:hint="eastAsia" w:cs="Times New Roman"/>
                      <w:color w:val="auto"/>
                      <w:lang w:val="en-US" w:eastAsia="zh-CN"/>
                    </w:rPr>
                    <w:t>/</w:t>
                  </w:r>
                </w:p>
              </w:tc>
              <w:tc>
                <w:tcPr>
                  <w:tcW w:w="3777" w:type="dxa"/>
                  <w:tcBorders>
                    <w:tl2br w:val="nil"/>
                    <w:tr2bl w:val="nil"/>
                  </w:tcBorders>
                  <w:noWrap w:val="0"/>
                  <w:vAlign w:val="center"/>
                </w:tcPr>
                <w:p w14:paraId="15F828D1">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w:t>
                  </w:r>
                </w:p>
              </w:tc>
              <w:tc>
                <w:tcPr>
                  <w:tcW w:w="1303" w:type="dxa"/>
                  <w:tcBorders>
                    <w:tl2br w:val="nil"/>
                    <w:tr2bl w:val="nil"/>
                  </w:tcBorders>
                  <w:noWrap w:val="0"/>
                  <w:vAlign w:val="center"/>
                </w:tcPr>
                <w:p w14:paraId="5D7BDBBC">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4779.13</w:t>
                  </w:r>
                </w:p>
              </w:tc>
              <w:tc>
                <w:tcPr>
                  <w:tcW w:w="756" w:type="dxa"/>
                  <w:tcBorders>
                    <w:tl2br w:val="nil"/>
                    <w:tr2bl w:val="nil"/>
                  </w:tcBorders>
                  <w:noWrap w:val="0"/>
                  <w:vAlign w:val="center"/>
                </w:tcPr>
                <w:p w14:paraId="54AC508D">
                  <w:pPr>
                    <w:pStyle w:val="33"/>
                    <w:keepNext w:val="0"/>
                    <w:keepLines w:val="0"/>
                    <w:suppressLineNumbers w:val="0"/>
                    <w:bidi w:val="0"/>
                    <w:spacing w:beforeAutospacing="0" w:afterAutospacing="0"/>
                    <w:ind w:left="0" w:right="0"/>
                    <w:rPr>
                      <w:rFonts w:hint="default" w:cs="Times New Roman"/>
                      <w:color w:val="auto"/>
                      <w:lang w:val="en-US" w:eastAsia="zh-CN"/>
                    </w:rPr>
                  </w:pPr>
                  <w:r>
                    <w:rPr>
                      <w:rFonts w:hint="eastAsia" w:cs="Times New Roman"/>
                      <w:color w:val="auto"/>
                      <w:lang w:val="en-US" w:eastAsia="zh-CN"/>
                    </w:rPr>
                    <w:t>100</w:t>
                  </w:r>
                </w:p>
              </w:tc>
            </w:tr>
          </w:tbl>
          <w:p w14:paraId="64B12541">
            <w:pPr>
              <w:pStyle w:val="7"/>
              <w:keepNext w:val="0"/>
              <w:keepLines w:val="0"/>
              <w:suppressLineNumbers w:val="0"/>
              <w:spacing w:before="0" w:beforeAutospacing="0" w:after="0" w:afterAutospacing="0"/>
              <w:ind w:left="0" w:leftChars="0" w:right="0" w:firstLine="0" w:firstLineChars="0"/>
              <w:rPr>
                <w:rFonts w:hint="default" w:cs="Times New Roman"/>
                <w:bCs/>
                <w:color w:val="auto"/>
                <w:spacing w:val="10"/>
                <w:szCs w:val="21"/>
              </w:rPr>
            </w:pPr>
          </w:p>
          <w:p w14:paraId="113171D4">
            <w:pPr>
              <w:pStyle w:val="7"/>
              <w:keepNext w:val="0"/>
              <w:keepLines w:val="0"/>
              <w:suppressLineNumbers w:val="0"/>
              <w:spacing w:before="0" w:beforeAutospacing="0" w:after="0" w:afterAutospacing="0"/>
              <w:ind w:left="0" w:leftChars="0" w:right="0" w:firstLine="0" w:firstLineChars="0"/>
              <w:rPr>
                <w:rFonts w:hint="default" w:cs="Times New Roman"/>
                <w:bCs/>
                <w:color w:val="auto"/>
                <w:spacing w:val="10"/>
                <w:szCs w:val="21"/>
              </w:rPr>
            </w:pPr>
          </w:p>
          <w:p w14:paraId="14DF7EAA">
            <w:pPr>
              <w:pStyle w:val="7"/>
              <w:keepNext w:val="0"/>
              <w:keepLines w:val="0"/>
              <w:suppressLineNumbers w:val="0"/>
              <w:spacing w:before="0" w:beforeAutospacing="0" w:after="0" w:afterAutospacing="0"/>
              <w:ind w:left="0" w:leftChars="0" w:right="0" w:firstLine="0" w:firstLineChars="0"/>
              <w:rPr>
                <w:rFonts w:hint="default" w:cs="Times New Roman"/>
                <w:bCs/>
                <w:color w:val="auto"/>
                <w:spacing w:val="10"/>
                <w:szCs w:val="21"/>
              </w:rPr>
            </w:pPr>
          </w:p>
          <w:p w14:paraId="39613233">
            <w:pPr>
              <w:pStyle w:val="7"/>
              <w:keepNext w:val="0"/>
              <w:keepLines w:val="0"/>
              <w:suppressLineNumbers w:val="0"/>
              <w:spacing w:before="0" w:beforeAutospacing="0" w:after="0" w:afterAutospacing="0"/>
              <w:ind w:left="0" w:leftChars="0" w:right="0" w:firstLine="0" w:firstLineChars="0"/>
              <w:rPr>
                <w:rFonts w:hint="default" w:cs="Times New Roman"/>
                <w:bCs/>
                <w:color w:val="auto"/>
                <w:spacing w:val="10"/>
                <w:szCs w:val="21"/>
              </w:rPr>
            </w:pPr>
          </w:p>
          <w:p w14:paraId="60EA3AE8">
            <w:pPr>
              <w:pStyle w:val="8"/>
              <w:keepNext w:val="0"/>
              <w:keepLines w:val="0"/>
              <w:suppressLineNumbers w:val="0"/>
              <w:spacing w:before="0" w:beforeAutospacing="0" w:afterAutospacing="0"/>
              <w:ind w:right="0"/>
              <w:rPr>
                <w:rFonts w:hint="default" w:cs="Times New Roman"/>
                <w:bCs/>
                <w:color w:val="auto"/>
                <w:spacing w:val="10"/>
                <w:szCs w:val="21"/>
              </w:rPr>
            </w:pPr>
          </w:p>
          <w:p w14:paraId="073AC5C4">
            <w:pPr>
              <w:keepNext w:val="0"/>
              <w:keepLines w:val="0"/>
              <w:suppressLineNumbers w:val="0"/>
              <w:spacing w:before="0" w:beforeAutospacing="0" w:after="0" w:afterAutospacing="0"/>
              <w:ind w:left="0" w:right="0"/>
              <w:rPr>
                <w:rFonts w:hint="default" w:cs="Times New Roman"/>
                <w:bCs/>
                <w:color w:val="auto"/>
                <w:spacing w:val="10"/>
                <w:szCs w:val="21"/>
              </w:rPr>
            </w:pPr>
          </w:p>
          <w:p w14:paraId="5ABD9337">
            <w:pPr>
              <w:keepNext w:val="0"/>
              <w:keepLines w:val="0"/>
              <w:suppressLineNumbers w:val="0"/>
              <w:spacing w:before="0" w:beforeAutospacing="0" w:after="0" w:afterAutospacing="0"/>
              <w:ind w:left="0" w:right="0"/>
              <w:rPr>
                <w:rFonts w:hint="default" w:cs="Times New Roman"/>
                <w:bCs/>
                <w:color w:val="auto"/>
                <w:spacing w:val="10"/>
                <w:szCs w:val="21"/>
              </w:rPr>
            </w:pPr>
          </w:p>
          <w:p w14:paraId="2737C022">
            <w:pPr>
              <w:keepNext w:val="0"/>
              <w:keepLines w:val="0"/>
              <w:suppressLineNumbers w:val="0"/>
              <w:spacing w:before="0" w:beforeAutospacing="0" w:after="0" w:afterAutospacing="0"/>
              <w:ind w:left="0" w:right="0"/>
              <w:rPr>
                <w:rFonts w:hint="default" w:cs="Times New Roman"/>
                <w:bCs/>
                <w:color w:val="auto"/>
                <w:spacing w:val="10"/>
                <w:szCs w:val="21"/>
              </w:rPr>
            </w:pPr>
          </w:p>
          <w:p w14:paraId="0A2A156A">
            <w:pPr>
              <w:keepNext w:val="0"/>
              <w:keepLines w:val="0"/>
              <w:suppressLineNumbers w:val="0"/>
              <w:spacing w:before="0" w:beforeAutospacing="0" w:after="0" w:afterAutospacing="0"/>
              <w:ind w:left="0" w:right="0"/>
              <w:rPr>
                <w:rFonts w:hint="default" w:cs="Times New Roman"/>
                <w:bCs/>
                <w:color w:val="auto"/>
                <w:spacing w:val="10"/>
                <w:szCs w:val="21"/>
              </w:rPr>
            </w:pPr>
          </w:p>
          <w:p w14:paraId="7F82B955">
            <w:pPr>
              <w:keepNext w:val="0"/>
              <w:keepLines w:val="0"/>
              <w:suppressLineNumbers w:val="0"/>
              <w:spacing w:before="0" w:beforeAutospacing="0" w:after="0" w:afterAutospacing="0"/>
              <w:ind w:left="0" w:right="0"/>
              <w:rPr>
                <w:rFonts w:hint="default" w:cs="Times New Roman"/>
                <w:bCs/>
                <w:color w:val="auto"/>
                <w:spacing w:val="10"/>
                <w:szCs w:val="21"/>
              </w:rPr>
            </w:pPr>
          </w:p>
          <w:p w14:paraId="2A988831">
            <w:pPr>
              <w:keepNext w:val="0"/>
              <w:keepLines w:val="0"/>
              <w:suppressLineNumbers w:val="0"/>
              <w:spacing w:before="0" w:beforeAutospacing="0" w:after="0" w:afterAutospacing="0"/>
              <w:ind w:left="0" w:right="0"/>
              <w:rPr>
                <w:rFonts w:hint="default" w:cs="Times New Roman"/>
                <w:bCs/>
                <w:color w:val="auto"/>
                <w:spacing w:val="10"/>
                <w:szCs w:val="21"/>
              </w:rPr>
            </w:pPr>
          </w:p>
          <w:p w14:paraId="1B8C49FC">
            <w:pPr>
              <w:keepNext w:val="0"/>
              <w:keepLines w:val="0"/>
              <w:suppressLineNumbers w:val="0"/>
              <w:spacing w:before="0" w:beforeAutospacing="0" w:after="0" w:afterAutospacing="0"/>
              <w:ind w:left="0" w:right="0"/>
              <w:rPr>
                <w:rFonts w:hint="default" w:cs="Times New Roman"/>
                <w:bCs/>
                <w:color w:val="auto"/>
                <w:spacing w:val="10"/>
                <w:szCs w:val="21"/>
              </w:rPr>
            </w:pPr>
          </w:p>
        </w:tc>
      </w:tr>
    </w:tbl>
    <w:p w14:paraId="6646C427">
      <w:pPr>
        <w:rPr>
          <w:color w:val="auto"/>
        </w:rPr>
        <w:sectPr>
          <w:pgSz w:w="11905" w:h="16838"/>
          <w:pgMar w:top="1417" w:right="1417" w:bottom="1417" w:left="1417" w:header="851" w:footer="964" w:gutter="0"/>
          <w:pgBorders>
            <w:top w:val="none" w:sz="0" w:space="0"/>
            <w:left w:val="none" w:sz="0" w:space="0"/>
            <w:bottom w:val="none" w:sz="0" w:space="0"/>
            <w:right w:val="none" w:sz="0" w:space="0"/>
          </w:pgBorders>
          <w:cols w:space="0" w:num="1"/>
          <w:rtlGutter w:val="0"/>
          <w:docGrid w:type="linesAndChars" w:linePitch="466" w:charSpace="-2709"/>
        </w:sectPr>
      </w:pPr>
    </w:p>
    <w:p w14:paraId="4C04E9A8">
      <w:pPr>
        <w:pStyle w:val="4"/>
        <w:bidi w:val="0"/>
        <w:rPr>
          <w:color w:val="auto"/>
        </w:rPr>
      </w:pPr>
      <w:r>
        <w:rPr>
          <w:color w:val="auto"/>
        </w:rPr>
        <w:t>六、生态环境保护措施监督检查清单</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2954"/>
        <w:gridCol w:w="1730"/>
        <w:gridCol w:w="1863"/>
        <w:gridCol w:w="1183"/>
      </w:tblGrid>
      <w:tr w14:paraId="76AA8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vMerge w:val="restart"/>
            <w:tcBorders>
              <w:tl2br w:val="single" w:color="auto" w:sz="12" w:space="0"/>
            </w:tcBorders>
            <w:noWrap w:val="0"/>
            <w:vAlign w:val="center"/>
          </w:tcPr>
          <w:p w14:paraId="14B35E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auto"/>
                <w:lang w:val="en-US" w:eastAsia="zh-CN"/>
              </w:rPr>
            </w:pPr>
            <w:r>
              <w:rPr>
                <w:rFonts w:hint="default" w:cs="Times New Roman"/>
                <w:b/>
                <w:bCs/>
                <w:color w:val="auto"/>
                <w:lang w:val="en-US" w:eastAsia="zh-CN"/>
              </w:rPr>
              <w:t>内容</w:t>
            </w:r>
            <w:r>
              <w:rPr>
                <w:rFonts w:hint="eastAsia" w:cs="Times New Roman"/>
                <w:b/>
                <w:bCs/>
                <w:color w:val="auto"/>
                <w:lang w:val="en-US" w:eastAsia="zh-CN"/>
              </w:rPr>
              <w:t xml:space="preserve"> </w:t>
            </w:r>
          </w:p>
          <w:p w14:paraId="09283837">
            <w:pPr>
              <w:pStyle w:val="51"/>
              <w:keepNext w:val="0"/>
              <w:keepLines w:val="0"/>
              <w:suppressLineNumbers w:val="0"/>
              <w:spacing w:before="0" w:beforeAutospacing="0" w:after="0" w:afterAutospacing="0"/>
              <w:ind w:left="0" w:right="0"/>
              <w:rPr>
                <w:rFonts w:hint="default" w:cs="Times New Roman"/>
                <w:b/>
                <w:bCs/>
                <w:color w:val="auto"/>
                <w:lang w:val="en-US" w:eastAsia="zh-CN"/>
              </w:rPr>
            </w:pPr>
          </w:p>
          <w:p w14:paraId="7AA43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要素</w:t>
            </w:r>
          </w:p>
        </w:tc>
        <w:tc>
          <w:tcPr>
            <w:tcW w:w="2521" w:type="pct"/>
            <w:gridSpan w:val="2"/>
            <w:tcBorders>
              <w:tl2br w:val="nil"/>
              <w:tr2bl w:val="nil"/>
            </w:tcBorders>
            <w:noWrap w:val="0"/>
            <w:vAlign w:val="center"/>
          </w:tcPr>
          <w:p w14:paraId="5BE046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施工期</w:t>
            </w:r>
          </w:p>
        </w:tc>
        <w:tc>
          <w:tcPr>
            <w:tcW w:w="1640" w:type="pct"/>
            <w:gridSpan w:val="2"/>
            <w:tcBorders>
              <w:tl2br w:val="nil"/>
              <w:tr2bl w:val="nil"/>
            </w:tcBorders>
            <w:noWrap w:val="0"/>
            <w:vAlign w:val="center"/>
          </w:tcPr>
          <w:p w14:paraId="6BA578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运营期</w:t>
            </w:r>
          </w:p>
        </w:tc>
      </w:tr>
      <w:tr w14:paraId="6B365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vMerge w:val="continue"/>
            <w:tcBorders>
              <w:tl2br w:val="nil"/>
              <w:tr2bl w:val="nil"/>
            </w:tcBorders>
            <w:noWrap w:val="0"/>
            <w:vAlign w:val="center"/>
          </w:tcPr>
          <w:p w14:paraId="2C23D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p>
        </w:tc>
        <w:tc>
          <w:tcPr>
            <w:tcW w:w="1590" w:type="pct"/>
            <w:tcBorders>
              <w:tl2br w:val="nil"/>
              <w:tr2bl w:val="nil"/>
            </w:tcBorders>
            <w:noWrap w:val="0"/>
            <w:vAlign w:val="center"/>
          </w:tcPr>
          <w:p w14:paraId="2429CF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环境保护措施</w:t>
            </w:r>
          </w:p>
        </w:tc>
        <w:tc>
          <w:tcPr>
            <w:tcW w:w="930" w:type="pct"/>
            <w:tcBorders>
              <w:tl2br w:val="nil"/>
              <w:tr2bl w:val="nil"/>
            </w:tcBorders>
            <w:noWrap w:val="0"/>
            <w:vAlign w:val="center"/>
          </w:tcPr>
          <w:p w14:paraId="620EF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验收要求</w:t>
            </w:r>
          </w:p>
        </w:tc>
        <w:tc>
          <w:tcPr>
            <w:tcW w:w="1003" w:type="pct"/>
            <w:tcBorders>
              <w:tl2br w:val="nil"/>
              <w:tr2bl w:val="nil"/>
            </w:tcBorders>
            <w:noWrap w:val="0"/>
            <w:vAlign w:val="center"/>
          </w:tcPr>
          <w:p w14:paraId="35FC5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环境保</w:t>
            </w:r>
          </w:p>
          <w:p w14:paraId="19231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护措施</w:t>
            </w:r>
          </w:p>
        </w:tc>
        <w:tc>
          <w:tcPr>
            <w:tcW w:w="636" w:type="pct"/>
            <w:tcBorders>
              <w:tl2br w:val="nil"/>
              <w:tr2bl w:val="nil"/>
            </w:tcBorders>
            <w:noWrap w:val="0"/>
            <w:vAlign w:val="center"/>
          </w:tcPr>
          <w:p w14:paraId="5F558C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验收</w:t>
            </w:r>
          </w:p>
          <w:p w14:paraId="64D40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lang w:val="en-US" w:eastAsia="zh-CN"/>
              </w:rPr>
            </w:pPr>
            <w:r>
              <w:rPr>
                <w:rFonts w:hint="default" w:cs="Times New Roman"/>
                <w:b/>
                <w:bCs/>
                <w:color w:val="auto"/>
                <w:lang w:val="en-US" w:eastAsia="zh-CN"/>
              </w:rPr>
              <w:t>要求</w:t>
            </w:r>
          </w:p>
        </w:tc>
      </w:tr>
      <w:tr w14:paraId="4A9F5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tcBorders>
              <w:tl2br w:val="nil"/>
              <w:tr2bl w:val="nil"/>
            </w:tcBorders>
            <w:noWrap w:val="0"/>
            <w:vAlign w:val="center"/>
          </w:tcPr>
          <w:p w14:paraId="1E1082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陆生生态</w:t>
            </w:r>
          </w:p>
        </w:tc>
        <w:tc>
          <w:tcPr>
            <w:tcW w:w="1590" w:type="pct"/>
            <w:tcBorders>
              <w:tl2br w:val="nil"/>
              <w:tr2bl w:val="nil"/>
            </w:tcBorders>
            <w:noWrap w:val="0"/>
            <w:vAlign w:val="center"/>
          </w:tcPr>
          <w:p w14:paraId="2D0F58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auto"/>
                <w:lang w:val="en-US" w:eastAsia="zh-CN"/>
              </w:rPr>
            </w:pPr>
            <w:r>
              <w:rPr>
                <w:rFonts w:hint="eastAsia" w:cs="Times New Roman"/>
                <w:color w:val="auto"/>
              </w:rPr>
              <w:t>严格控制施工区域占地</w:t>
            </w:r>
            <w:r>
              <w:rPr>
                <w:rFonts w:hint="eastAsia" w:cs="Times New Roman"/>
                <w:color w:val="auto"/>
                <w:lang w:val="en-US" w:eastAsia="zh-CN"/>
              </w:rPr>
              <w:t>及周边动植物保护，加强对管理人员和施工人员的生态保护意识教育，合理规划修复治理顺序，分阶段施工，恢复地表植被等</w:t>
            </w:r>
          </w:p>
        </w:tc>
        <w:tc>
          <w:tcPr>
            <w:tcW w:w="930" w:type="pct"/>
            <w:tcBorders>
              <w:tl2br w:val="nil"/>
              <w:tr2bl w:val="nil"/>
            </w:tcBorders>
            <w:noWrap w:val="0"/>
            <w:vAlign w:val="center"/>
          </w:tcPr>
          <w:p w14:paraId="016C9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各项生态环境保护措施落实到位，及时进行生态恢复</w:t>
            </w:r>
          </w:p>
        </w:tc>
        <w:tc>
          <w:tcPr>
            <w:tcW w:w="1003" w:type="pct"/>
            <w:tcBorders>
              <w:tl2br w:val="nil"/>
              <w:tr2bl w:val="nil"/>
            </w:tcBorders>
            <w:noWrap w:val="0"/>
            <w:vAlign w:val="center"/>
          </w:tcPr>
          <w:p w14:paraId="7E4AF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定期进行植被养护</w:t>
            </w:r>
          </w:p>
        </w:tc>
        <w:tc>
          <w:tcPr>
            <w:tcW w:w="636" w:type="pct"/>
            <w:tcBorders>
              <w:tl2br w:val="nil"/>
              <w:tr2bl w:val="nil"/>
            </w:tcBorders>
            <w:noWrap w:val="0"/>
            <w:vAlign w:val="center"/>
          </w:tcPr>
          <w:p w14:paraId="50F8F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r>
      <w:tr w14:paraId="106CE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838" w:type="pct"/>
            <w:tcBorders>
              <w:tl2br w:val="nil"/>
              <w:tr2bl w:val="nil"/>
            </w:tcBorders>
            <w:noWrap w:val="0"/>
            <w:vAlign w:val="center"/>
          </w:tcPr>
          <w:p w14:paraId="08F2D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水生生态</w:t>
            </w:r>
          </w:p>
        </w:tc>
        <w:tc>
          <w:tcPr>
            <w:tcW w:w="1590" w:type="pct"/>
            <w:tcBorders>
              <w:tl2br w:val="nil"/>
              <w:tr2bl w:val="nil"/>
            </w:tcBorders>
            <w:noWrap w:val="0"/>
            <w:vAlign w:val="center"/>
          </w:tcPr>
          <w:p w14:paraId="424CE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930" w:type="pct"/>
            <w:tcBorders>
              <w:tl2br w:val="nil"/>
              <w:tr2bl w:val="nil"/>
            </w:tcBorders>
            <w:noWrap w:val="0"/>
            <w:vAlign w:val="center"/>
          </w:tcPr>
          <w:p w14:paraId="319D2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1003" w:type="pct"/>
            <w:tcBorders>
              <w:tl2br w:val="nil"/>
              <w:tr2bl w:val="nil"/>
            </w:tcBorders>
            <w:noWrap w:val="0"/>
            <w:vAlign w:val="center"/>
          </w:tcPr>
          <w:p w14:paraId="4AB97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69EEA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51AD0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38" w:type="pct"/>
            <w:tcBorders>
              <w:tl2br w:val="nil"/>
              <w:tr2bl w:val="nil"/>
            </w:tcBorders>
            <w:noWrap w:val="0"/>
            <w:vAlign w:val="center"/>
          </w:tcPr>
          <w:p w14:paraId="1E061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地表水环境</w:t>
            </w:r>
          </w:p>
        </w:tc>
        <w:tc>
          <w:tcPr>
            <w:tcW w:w="1590" w:type="pct"/>
            <w:tcBorders>
              <w:tl2br w:val="nil"/>
              <w:tr2bl w:val="nil"/>
            </w:tcBorders>
            <w:noWrap w:val="0"/>
            <w:vAlign w:val="center"/>
          </w:tcPr>
          <w:p w14:paraId="7790E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生活污水依托周边村庄旱厕处理，项目区无废水排放</w:t>
            </w:r>
          </w:p>
        </w:tc>
        <w:tc>
          <w:tcPr>
            <w:tcW w:w="930" w:type="pct"/>
            <w:tcBorders>
              <w:tl2br w:val="nil"/>
              <w:tr2bl w:val="nil"/>
            </w:tcBorders>
            <w:noWrap w:val="0"/>
            <w:vAlign w:val="center"/>
          </w:tcPr>
          <w:p w14:paraId="617C2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无废水外排</w:t>
            </w:r>
          </w:p>
        </w:tc>
        <w:tc>
          <w:tcPr>
            <w:tcW w:w="1003" w:type="pct"/>
            <w:tcBorders>
              <w:tl2br w:val="nil"/>
              <w:tr2bl w:val="nil"/>
            </w:tcBorders>
            <w:noWrap w:val="0"/>
            <w:vAlign w:val="center"/>
          </w:tcPr>
          <w:p w14:paraId="1803CD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eastAsia="宋体" w:cs="Times New Roman"/>
                <w:color w:val="auto"/>
                <w:lang w:val="en-US" w:eastAsia="zh-CN"/>
              </w:rPr>
            </w:pPr>
            <w:r>
              <w:rPr>
                <w:rFonts w:hint="eastAsia" w:cs="Times New Roman"/>
                <w:color w:val="auto"/>
                <w:lang w:val="en-US" w:eastAsia="zh-CN"/>
              </w:rPr>
              <w:t>/</w:t>
            </w:r>
          </w:p>
        </w:tc>
        <w:tc>
          <w:tcPr>
            <w:tcW w:w="636" w:type="pct"/>
            <w:tcBorders>
              <w:tl2br w:val="nil"/>
              <w:tr2bl w:val="nil"/>
            </w:tcBorders>
            <w:noWrap w:val="0"/>
            <w:vAlign w:val="center"/>
          </w:tcPr>
          <w:p w14:paraId="33012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无废水外排</w:t>
            </w:r>
          </w:p>
        </w:tc>
      </w:tr>
      <w:tr w14:paraId="5CB5E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pct"/>
            <w:tcBorders>
              <w:tl2br w:val="nil"/>
              <w:tr2bl w:val="nil"/>
            </w:tcBorders>
            <w:noWrap w:val="0"/>
            <w:vAlign w:val="center"/>
          </w:tcPr>
          <w:p w14:paraId="4E318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地下水及土壤环境</w:t>
            </w:r>
          </w:p>
        </w:tc>
        <w:tc>
          <w:tcPr>
            <w:tcW w:w="1590" w:type="pct"/>
            <w:tcBorders>
              <w:tl2br w:val="nil"/>
              <w:tr2bl w:val="nil"/>
            </w:tcBorders>
            <w:noWrap w:val="0"/>
            <w:vAlign w:val="center"/>
          </w:tcPr>
          <w:p w14:paraId="023D88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c>
          <w:tcPr>
            <w:tcW w:w="930" w:type="pct"/>
            <w:tcBorders>
              <w:tl2br w:val="nil"/>
              <w:tr2bl w:val="nil"/>
            </w:tcBorders>
            <w:noWrap w:val="0"/>
            <w:vAlign w:val="center"/>
          </w:tcPr>
          <w:p w14:paraId="6B4489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c>
          <w:tcPr>
            <w:tcW w:w="1003" w:type="pct"/>
            <w:tcBorders>
              <w:tl2br w:val="nil"/>
              <w:tr2bl w:val="nil"/>
            </w:tcBorders>
            <w:noWrap w:val="0"/>
            <w:vAlign w:val="center"/>
          </w:tcPr>
          <w:p w14:paraId="754D3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72315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285A05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tcBorders>
              <w:tl2br w:val="nil"/>
              <w:tr2bl w:val="nil"/>
            </w:tcBorders>
            <w:noWrap w:val="0"/>
            <w:vAlign w:val="center"/>
          </w:tcPr>
          <w:p w14:paraId="32395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声环境</w:t>
            </w:r>
          </w:p>
        </w:tc>
        <w:tc>
          <w:tcPr>
            <w:tcW w:w="1590" w:type="pct"/>
            <w:tcBorders>
              <w:tl2br w:val="nil"/>
              <w:tr2bl w:val="nil"/>
            </w:tcBorders>
            <w:noWrap w:val="0"/>
            <w:vAlign w:val="center"/>
          </w:tcPr>
          <w:p w14:paraId="69437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合理安排施工时间，选用低噪声设备，分片区施工，运输车辆减速慢行、禁止鸣笛</w:t>
            </w:r>
          </w:p>
        </w:tc>
        <w:tc>
          <w:tcPr>
            <w:tcW w:w="930" w:type="pct"/>
            <w:tcBorders>
              <w:tl2br w:val="nil"/>
              <w:tr2bl w:val="nil"/>
            </w:tcBorders>
            <w:noWrap w:val="0"/>
            <w:vAlign w:val="center"/>
          </w:tcPr>
          <w:p w14:paraId="5AA45D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施工场界噪声满足《建筑施工场界环境噪声排放标准》（</w:t>
            </w:r>
            <w:r>
              <w:rPr>
                <w:rFonts w:hint="default" w:cs="Times New Roman"/>
                <w:color w:val="auto"/>
                <w:lang w:val="en-US" w:eastAsia="zh-CN"/>
              </w:rPr>
              <w:t>GB12523-2011</w:t>
            </w:r>
            <w:r>
              <w:rPr>
                <w:rFonts w:hint="eastAsia" w:cs="Times New Roman"/>
                <w:color w:val="auto"/>
                <w:lang w:val="en-US" w:eastAsia="zh-CN"/>
              </w:rPr>
              <w:t>）标准限值要求</w:t>
            </w:r>
          </w:p>
        </w:tc>
        <w:tc>
          <w:tcPr>
            <w:tcW w:w="1003" w:type="pct"/>
            <w:tcBorders>
              <w:tl2br w:val="nil"/>
              <w:tr2bl w:val="nil"/>
            </w:tcBorders>
            <w:noWrap w:val="0"/>
            <w:vAlign w:val="center"/>
          </w:tcPr>
          <w:p w14:paraId="33EBD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646C3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6D9A9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pct"/>
            <w:tcBorders>
              <w:tl2br w:val="nil"/>
              <w:tr2bl w:val="nil"/>
            </w:tcBorders>
            <w:noWrap w:val="0"/>
            <w:vAlign w:val="center"/>
          </w:tcPr>
          <w:p w14:paraId="025853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auto"/>
              </w:rPr>
            </w:pPr>
            <w:r>
              <w:rPr>
                <w:rFonts w:hint="eastAsia" w:cs="Times New Roman"/>
                <w:b/>
                <w:bCs/>
                <w:color w:val="auto"/>
              </w:rPr>
              <w:t>振动</w:t>
            </w:r>
          </w:p>
        </w:tc>
        <w:tc>
          <w:tcPr>
            <w:tcW w:w="1590" w:type="pct"/>
            <w:tcBorders>
              <w:tl2br w:val="nil"/>
              <w:tr2bl w:val="nil"/>
            </w:tcBorders>
            <w:noWrap w:val="0"/>
            <w:vAlign w:val="center"/>
          </w:tcPr>
          <w:p w14:paraId="74D0B7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c>
          <w:tcPr>
            <w:tcW w:w="930" w:type="pct"/>
            <w:tcBorders>
              <w:tl2br w:val="nil"/>
              <w:tr2bl w:val="nil"/>
            </w:tcBorders>
            <w:noWrap w:val="0"/>
            <w:vAlign w:val="center"/>
          </w:tcPr>
          <w:p w14:paraId="783093C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c>
          <w:tcPr>
            <w:tcW w:w="1003" w:type="pct"/>
            <w:tcBorders>
              <w:tl2br w:val="nil"/>
              <w:tr2bl w:val="nil"/>
            </w:tcBorders>
            <w:noWrap w:val="0"/>
            <w:vAlign w:val="center"/>
          </w:tcPr>
          <w:p w14:paraId="017E96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c>
          <w:tcPr>
            <w:tcW w:w="636" w:type="pct"/>
            <w:tcBorders>
              <w:tl2br w:val="nil"/>
              <w:tr2bl w:val="nil"/>
            </w:tcBorders>
            <w:noWrap w:val="0"/>
            <w:vAlign w:val="center"/>
          </w:tcPr>
          <w:p w14:paraId="3E2A55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w:t>
            </w:r>
          </w:p>
        </w:tc>
      </w:tr>
      <w:tr w14:paraId="10635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tcBorders>
              <w:tl2br w:val="nil"/>
              <w:tr2bl w:val="nil"/>
            </w:tcBorders>
            <w:noWrap w:val="0"/>
            <w:vAlign w:val="center"/>
          </w:tcPr>
          <w:p w14:paraId="4F541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大气环境</w:t>
            </w:r>
          </w:p>
        </w:tc>
        <w:tc>
          <w:tcPr>
            <w:tcW w:w="1590" w:type="pct"/>
            <w:tcBorders>
              <w:tl2br w:val="nil"/>
              <w:tr2bl w:val="nil"/>
            </w:tcBorders>
            <w:noWrap w:val="0"/>
            <w:vAlign w:val="center"/>
          </w:tcPr>
          <w:p w14:paraId="122D57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施工扬尘：施工场地设置施工围挡、定期洒水降尘、运输车辆加盖篷布；</w:t>
            </w:r>
          </w:p>
          <w:p w14:paraId="449508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临时堆土场：施工期临时堆土堆放在治理区内，并采用纤维网苫盖，定期洒水保湿；</w:t>
            </w:r>
          </w:p>
          <w:p w14:paraId="37C40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机械废气：加强机械设备管理和保养维修，合理降低使用次数</w:t>
            </w:r>
            <w:r>
              <w:rPr>
                <w:rFonts w:hint="eastAsia" w:cs="Times New Roman"/>
                <w:color w:val="auto"/>
                <w:lang w:val="en-US" w:eastAsia="zh-CN"/>
              </w:rPr>
              <w:t>等</w:t>
            </w:r>
          </w:p>
        </w:tc>
        <w:tc>
          <w:tcPr>
            <w:tcW w:w="930" w:type="pct"/>
            <w:tcBorders>
              <w:tl2br w:val="nil"/>
              <w:tr2bl w:val="nil"/>
            </w:tcBorders>
            <w:noWrap w:val="0"/>
            <w:vAlign w:val="center"/>
          </w:tcPr>
          <w:p w14:paraId="3EAD3D8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施工期扬尘执行《大气污染物综合排放标准》（</w:t>
            </w:r>
            <w:r>
              <w:rPr>
                <w:rFonts w:hint="default" w:cs="Times New Roman"/>
                <w:color w:val="auto"/>
                <w:lang w:val="en-US" w:eastAsia="zh-CN"/>
              </w:rPr>
              <w:t>GB16297-1996</w:t>
            </w:r>
            <w:r>
              <w:rPr>
                <w:rFonts w:hint="eastAsia" w:cs="Times New Roman"/>
                <w:color w:val="auto"/>
                <w:lang w:val="en-US" w:eastAsia="zh-CN"/>
              </w:rPr>
              <w:t>）表</w:t>
            </w:r>
            <w:r>
              <w:rPr>
                <w:rFonts w:hint="default" w:cs="Times New Roman"/>
                <w:color w:val="auto"/>
                <w:lang w:val="en-US" w:eastAsia="zh-CN"/>
              </w:rPr>
              <w:t>2</w:t>
            </w:r>
            <w:r>
              <w:rPr>
                <w:rFonts w:hint="eastAsia" w:cs="Times New Roman"/>
                <w:color w:val="auto"/>
                <w:lang w:val="en-US" w:eastAsia="zh-CN"/>
              </w:rPr>
              <w:t>无组织排放监控浓度限值标准</w:t>
            </w:r>
          </w:p>
        </w:tc>
        <w:tc>
          <w:tcPr>
            <w:tcW w:w="1003" w:type="pct"/>
            <w:tcBorders>
              <w:tl2br w:val="nil"/>
              <w:tr2bl w:val="nil"/>
            </w:tcBorders>
            <w:noWrap w:val="0"/>
            <w:vAlign w:val="center"/>
          </w:tcPr>
          <w:p w14:paraId="0D903C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59800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05477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tcBorders>
              <w:tl2br w:val="nil"/>
              <w:tr2bl w:val="nil"/>
            </w:tcBorders>
            <w:noWrap w:val="0"/>
            <w:vAlign w:val="center"/>
          </w:tcPr>
          <w:p w14:paraId="18B3CB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固体废物</w:t>
            </w:r>
          </w:p>
        </w:tc>
        <w:tc>
          <w:tcPr>
            <w:tcW w:w="1590" w:type="pct"/>
            <w:tcBorders>
              <w:tl2br w:val="nil"/>
              <w:tr2bl w:val="nil"/>
            </w:tcBorders>
            <w:noWrap w:val="0"/>
            <w:vAlign w:val="center"/>
          </w:tcPr>
          <w:p w14:paraId="44DC4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default" w:cs="Times New Roman"/>
                <w:color w:val="auto"/>
                <w:lang w:val="en-US" w:eastAsia="zh-CN"/>
              </w:rPr>
              <w:t>建筑垃圾定期清运至指定地点处理，项目施工区生活垃圾、草籽废包装袋在施工现场集中分类收集送至邻近村庄生活垃圾收集点，由当地环卫部门统一清运处置</w:t>
            </w:r>
          </w:p>
        </w:tc>
        <w:tc>
          <w:tcPr>
            <w:tcW w:w="930" w:type="pct"/>
            <w:tcBorders>
              <w:tl2br w:val="nil"/>
              <w:tr2bl w:val="nil"/>
            </w:tcBorders>
            <w:noWrap w:val="0"/>
            <w:vAlign w:val="center"/>
          </w:tcPr>
          <w:p w14:paraId="7B4F67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妥善处置</w:t>
            </w:r>
          </w:p>
        </w:tc>
        <w:tc>
          <w:tcPr>
            <w:tcW w:w="1003" w:type="pct"/>
            <w:tcBorders>
              <w:tl2br w:val="nil"/>
              <w:tr2bl w:val="nil"/>
            </w:tcBorders>
            <w:noWrap w:val="0"/>
            <w:vAlign w:val="center"/>
          </w:tcPr>
          <w:p w14:paraId="4E28F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61FC39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07E8F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38" w:type="pct"/>
            <w:tcBorders>
              <w:tl2br w:val="nil"/>
              <w:tr2bl w:val="nil"/>
            </w:tcBorders>
            <w:noWrap w:val="0"/>
            <w:vAlign w:val="center"/>
          </w:tcPr>
          <w:p w14:paraId="39C76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电磁环境</w:t>
            </w:r>
          </w:p>
        </w:tc>
        <w:tc>
          <w:tcPr>
            <w:tcW w:w="1590" w:type="pct"/>
            <w:tcBorders>
              <w:tl2br w:val="nil"/>
              <w:tr2bl w:val="nil"/>
            </w:tcBorders>
            <w:noWrap w:val="0"/>
            <w:vAlign w:val="center"/>
          </w:tcPr>
          <w:p w14:paraId="2A4CCC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930" w:type="pct"/>
            <w:tcBorders>
              <w:tl2br w:val="nil"/>
              <w:tr2bl w:val="nil"/>
            </w:tcBorders>
            <w:noWrap w:val="0"/>
            <w:vAlign w:val="center"/>
          </w:tcPr>
          <w:p w14:paraId="48FA3A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1003" w:type="pct"/>
            <w:tcBorders>
              <w:tl2br w:val="nil"/>
              <w:tr2bl w:val="nil"/>
            </w:tcBorders>
            <w:noWrap w:val="0"/>
            <w:vAlign w:val="center"/>
          </w:tcPr>
          <w:p w14:paraId="2CF13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6194A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52977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38" w:type="pct"/>
            <w:tcBorders>
              <w:tl2br w:val="nil"/>
              <w:tr2bl w:val="nil"/>
            </w:tcBorders>
            <w:noWrap w:val="0"/>
            <w:vAlign w:val="center"/>
          </w:tcPr>
          <w:p w14:paraId="3C2C58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环境风险</w:t>
            </w:r>
          </w:p>
        </w:tc>
        <w:tc>
          <w:tcPr>
            <w:tcW w:w="1590" w:type="pct"/>
            <w:tcBorders>
              <w:tl2br w:val="nil"/>
              <w:tr2bl w:val="nil"/>
            </w:tcBorders>
            <w:noWrap w:val="0"/>
            <w:vAlign w:val="center"/>
          </w:tcPr>
          <w:p w14:paraId="5A64C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930" w:type="pct"/>
            <w:tcBorders>
              <w:tl2br w:val="nil"/>
              <w:tr2bl w:val="nil"/>
            </w:tcBorders>
            <w:noWrap w:val="0"/>
            <w:vAlign w:val="center"/>
          </w:tcPr>
          <w:p w14:paraId="375DB8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1003" w:type="pct"/>
            <w:tcBorders>
              <w:tl2br w:val="nil"/>
              <w:tr2bl w:val="nil"/>
            </w:tcBorders>
            <w:noWrap w:val="0"/>
            <w:vAlign w:val="center"/>
          </w:tcPr>
          <w:p w14:paraId="7722F6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5F9B2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r w14:paraId="29136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838" w:type="pct"/>
            <w:tcBorders>
              <w:tl2br w:val="nil"/>
              <w:tr2bl w:val="nil"/>
            </w:tcBorders>
            <w:noWrap w:val="0"/>
            <w:vAlign w:val="center"/>
          </w:tcPr>
          <w:p w14:paraId="191F6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b/>
                <w:bCs/>
                <w:color w:val="auto"/>
              </w:rPr>
            </w:pPr>
            <w:r>
              <w:rPr>
                <w:rFonts w:hint="eastAsia" w:cs="Times New Roman"/>
                <w:b/>
                <w:bCs/>
                <w:color w:val="auto"/>
              </w:rPr>
              <w:t>环境监测</w:t>
            </w:r>
          </w:p>
        </w:tc>
        <w:tc>
          <w:tcPr>
            <w:tcW w:w="1590" w:type="pct"/>
            <w:tcBorders>
              <w:tl2br w:val="nil"/>
              <w:tr2bl w:val="nil"/>
            </w:tcBorders>
            <w:noWrap w:val="0"/>
            <w:vAlign w:val="center"/>
          </w:tcPr>
          <w:p w14:paraId="25762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监测TSP、噪声、生态</w:t>
            </w:r>
          </w:p>
        </w:tc>
        <w:tc>
          <w:tcPr>
            <w:tcW w:w="930" w:type="pct"/>
            <w:tcBorders>
              <w:tl2br w:val="nil"/>
              <w:tr2bl w:val="nil"/>
            </w:tcBorders>
            <w:noWrap w:val="0"/>
            <w:vAlign w:val="center"/>
          </w:tcPr>
          <w:p w14:paraId="7A8807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按要求监测</w:t>
            </w:r>
          </w:p>
        </w:tc>
        <w:tc>
          <w:tcPr>
            <w:tcW w:w="1003" w:type="pct"/>
            <w:tcBorders>
              <w:tl2br w:val="nil"/>
              <w:tr2bl w:val="nil"/>
            </w:tcBorders>
            <w:noWrap w:val="0"/>
            <w:vAlign w:val="center"/>
          </w:tcPr>
          <w:p w14:paraId="66F1B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对植被成活率、植被覆盖、植被面积等进行监测</w:t>
            </w:r>
          </w:p>
        </w:tc>
        <w:tc>
          <w:tcPr>
            <w:tcW w:w="636" w:type="pct"/>
            <w:tcBorders>
              <w:tl2br w:val="nil"/>
              <w:tr2bl w:val="nil"/>
            </w:tcBorders>
            <w:noWrap w:val="0"/>
            <w:vAlign w:val="center"/>
          </w:tcPr>
          <w:p w14:paraId="66DBB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按要求监测</w:t>
            </w:r>
          </w:p>
        </w:tc>
      </w:tr>
      <w:tr w14:paraId="506DFA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38" w:type="pct"/>
            <w:tcBorders>
              <w:tl2br w:val="nil"/>
              <w:tr2bl w:val="nil"/>
            </w:tcBorders>
            <w:noWrap w:val="0"/>
            <w:vAlign w:val="center"/>
          </w:tcPr>
          <w:p w14:paraId="5E75B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b/>
                <w:bCs/>
                <w:color w:val="auto"/>
              </w:rPr>
            </w:pPr>
            <w:r>
              <w:rPr>
                <w:rFonts w:hint="eastAsia" w:cs="Times New Roman"/>
                <w:b/>
                <w:bCs/>
                <w:color w:val="auto"/>
              </w:rPr>
              <w:t>其他</w:t>
            </w:r>
          </w:p>
        </w:tc>
        <w:tc>
          <w:tcPr>
            <w:tcW w:w="1590" w:type="pct"/>
            <w:tcBorders>
              <w:tl2br w:val="nil"/>
              <w:tr2bl w:val="nil"/>
            </w:tcBorders>
            <w:noWrap w:val="0"/>
            <w:vAlign w:val="center"/>
          </w:tcPr>
          <w:p w14:paraId="0904E7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s="Times New Roman"/>
                <w:color w:val="auto"/>
                <w:lang w:val="en-US" w:eastAsia="zh-CN"/>
              </w:rPr>
            </w:pPr>
            <w:r>
              <w:rPr>
                <w:rFonts w:hint="eastAsia" w:cs="Times New Roman"/>
                <w:color w:val="auto"/>
                <w:lang w:val="en-US" w:eastAsia="zh-CN"/>
              </w:rPr>
              <w:t>土地类型</w:t>
            </w:r>
          </w:p>
        </w:tc>
        <w:tc>
          <w:tcPr>
            <w:tcW w:w="930" w:type="pct"/>
            <w:tcBorders>
              <w:tl2br w:val="nil"/>
              <w:tr2bl w:val="nil"/>
            </w:tcBorders>
            <w:noWrap w:val="0"/>
            <w:vAlign w:val="center"/>
          </w:tcPr>
          <w:p w14:paraId="13A5C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lang w:val="en-US" w:eastAsia="zh-CN"/>
              </w:rPr>
            </w:pPr>
            <w:r>
              <w:rPr>
                <w:rFonts w:hint="eastAsia" w:cs="Times New Roman"/>
                <w:color w:val="auto"/>
                <w:lang w:val="en-US" w:eastAsia="zh-CN"/>
              </w:rPr>
              <w:t>与环评中保持一致</w:t>
            </w:r>
          </w:p>
        </w:tc>
        <w:tc>
          <w:tcPr>
            <w:tcW w:w="1003" w:type="pct"/>
            <w:tcBorders>
              <w:tl2br w:val="nil"/>
              <w:tr2bl w:val="nil"/>
            </w:tcBorders>
            <w:noWrap w:val="0"/>
            <w:vAlign w:val="center"/>
          </w:tcPr>
          <w:p w14:paraId="5315D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c>
          <w:tcPr>
            <w:tcW w:w="636" w:type="pct"/>
            <w:tcBorders>
              <w:tl2br w:val="nil"/>
              <w:tr2bl w:val="nil"/>
            </w:tcBorders>
            <w:noWrap w:val="0"/>
            <w:vAlign w:val="center"/>
          </w:tcPr>
          <w:p w14:paraId="2F7BD5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cs="Times New Roman"/>
                <w:color w:val="auto"/>
              </w:rPr>
            </w:pPr>
            <w:r>
              <w:rPr>
                <w:rFonts w:hint="eastAsia" w:cs="Times New Roman"/>
                <w:color w:val="auto"/>
                <w:lang w:val="en-US" w:eastAsia="zh-CN"/>
              </w:rPr>
              <w:t>/</w:t>
            </w:r>
          </w:p>
        </w:tc>
      </w:tr>
    </w:tbl>
    <w:p w14:paraId="64109606">
      <w:pPr>
        <w:pStyle w:val="22"/>
        <w:spacing w:before="372" w:beforeLines="80" w:beforeAutospacing="0"/>
        <w:jc w:val="center"/>
        <w:outlineLvl w:val="0"/>
        <w:rPr>
          <w:rFonts w:ascii="Times New Roman" w:hAnsi="Times New Roman" w:eastAsia="黑体"/>
          <w:snapToGrid w:val="0"/>
          <w:color w:val="auto"/>
          <w:sz w:val="30"/>
          <w:szCs w:val="30"/>
        </w:rPr>
        <w:sectPr>
          <w:pgSz w:w="11905" w:h="16838"/>
          <w:pgMar w:top="1417" w:right="1417" w:bottom="1417" w:left="1417" w:header="851" w:footer="964" w:gutter="0"/>
          <w:pgBorders>
            <w:top w:val="none" w:sz="0" w:space="0"/>
            <w:left w:val="none" w:sz="0" w:space="0"/>
            <w:bottom w:val="none" w:sz="0" w:space="0"/>
            <w:right w:val="none" w:sz="0" w:space="0"/>
          </w:pgBorders>
          <w:cols w:space="0" w:num="1"/>
          <w:rtlGutter w:val="0"/>
          <w:docGrid w:type="linesAndChars" w:linePitch="466" w:charSpace="-2709"/>
        </w:sectPr>
      </w:pPr>
    </w:p>
    <w:p w14:paraId="61E05C92">
      <w:pPr>
        <w:pStyle w:val="4"/>
        <w:bidi w:val="0"/>
        <w:rPr>
          <w:color w:val="auto"/>
        </w:rPr>
      </w:pPr>
      <w:r>
        <w:rPr>
          <w:color w:val="auto"/>
        </w:rPr>
        <w:t>七、结论</w:t>
      </w:r>
    </w:p>
    <w:tbl>
      <w:tblPr>
        <w:tblStyle w:val="26"/>
        <w:tblW w:w="94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0662D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51" w:hRule="atLeast"/>
          <w:jc w:val="center"/>
        </w:trPr>
        <w:tc>
          <w:tcPr>
            <w:tcW w:w="9400" w:type="dxa"/>
            <w:noWrap w:val="0"/>
            <w:vAlign w:val="top"/>
          </w:tcPr>
          <w:p w14:paraId="121A07C0">
            <w:pPr>
              <w:keepNext w:val="0"/>
              <w:keepLines w:val="0"/>
              <w:suppressLineNumbers w:val="0"/>
              <w:bidi w:val="0"/>
              <w:spacing w:before="0" w:beforeAutospacing="0" w:after="0" w:afterAutospacing="0"/>
              <w:ind w:left="0" w:right="0"/>
              <w:rPr>
                <w:rFonts w:hint="default" w:cs="Times New Roman"/>
                <w:color w:val="auto"/>
                <w:szCs w:val="21"/>
              </w:rPr>
            </w:pPr>
            <w:r>
              <w:rPr>
                <w:rFonts w:hint="eastAsia" w:cs="Times New Roman"/>
                <w:color w:val="auto"/>
                <w:lang w:val="en-US" w:eastAsia="zh-CN"/>
              </w:rPr>
              <w:t>从环境保护角度分析，本项目环境影响可行。</w:t>
            </w:r>
          </w:p>
        </w:tc>
      </w:tr>
    </w:tbl>
    <w:p w14:paraId="17FD5850">
      <w:pPr>
        <w:widowControl/>
        <w:adjustRightInd w:val="0"/>
        <w:snapToGrid w:val="0"/>
        <w:spacing w:before="372" w:beforeLines="80"/>
        <w:ind w:left="0" w:leftChars="0" w:firstLine="0" w:firstLineChars="0"/>
        <w:jc w:val="left"/>
        <w:rPr>
          <w:color w:val="auto"/>
        </w:rPr>
      </w:pPr>
    </w:p>
    <w:sectPr>
      <w:pgSz w:w="11905" w:h="16838"/>
      <w:pgMar w:top="1417" w:right="1417" w:bottom="1417" w:left="1417" w:header="851" w:footer="964" w:gutter="0"/>
      <w:pgBorders>
        <w:top w:val="none" w:sz="0" w:space="0"/>
        <w:left w:val="none" w:sz="0" w:space="0"/>
        <w:bottom w:val="none" w:sz="0" w:space="0"/>
        <w:right w:val="none" w:sz="0" w:space="0"/>
      </w:pgBorders>
      <w:cols w:space="0" w:num="1"/>
      <w:rtlGutter w:val="0"/>
      <w:docGrid w:type="linesAndChars" w:linePitch="466" w:charSpace="-2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54"/>
      </w:pPr>
      <w:r>
        <w:separator/>
      </w:r>
    </w:p>
  </w:endnote>
  <w:endnote w:type="continuationSeparator" w:id="1">
    <w:p>
      <w:pPr>
        <w:ind w:firstLine="45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45DAB">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130A9">
    <w:pPr>
      <w:pStyle w:val="16"/>
      <w:framePr w:wrap="around" w:vAnchor="text" w:hAnchor="margin" w:xAlign="outside" w:y="1"/>
      <w:rPr>
        <w:rStyle w:val="30"/>
      </w:rPr>
    </w:pPr>
    <w:r>
      <w:fldChar w:fldCharType="begin"/>
    </w:r>
    <w:r>
      <w:rPr>
        <w:rStyle w:val="30"/>
      </w:rPr>
      <w:instrText xml:space="preserve">PAGE  </w:instrText>
    </w:r>
    <w:r>
      <w:fldChar w:fldCharType="end"/>
    </w:r>
  </w:p>
  <w:p w14:paraId="21272837">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DE2C">
    <w:pPr>
      <w:pStyle w:val="16"/>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79073A">
                          <w:pPr>
                            <w:pStyle w:val="16"/>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MMrQMsBAACcAwAADgAAAGRycy9lMm9Eb2MueG1srVPNjtMwEL4j8Q6W&#10;79TZCqFu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BTDK0DLAQAAnAMAAA4AAAAAAAAAAQAgAAAAHgEAAGRycy9lMm9E&#10;b2MueG1sUEsFBgAAAAAGAAYAWQEAAFsFAAAAAA==&#10;">
              <v:fill on="f" focussize="0,0"/>
              <v:stroke on="f"/>
              <v:imagedata o:title=""/>
              <o:lock v:ext="edit" aspectratio="f"/>
              <v:textbox inset="0mm,0mm,0mm,0mm" style="mso-fit-shape-to-text:t;">
                <w:txbxContent>
                  <w:p w14:paraId="7D79073A">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54"/>
      </w:pPr>
      <w:r>
        <w:separator/>
      </w:r>
    </w:p>
  </w:footnote>
  <w:footnote w:type="continuationSeparator" w:id="1">
    <w:p>
      <w:pPr>
        <w:ind w:firstLine="454"/>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22ED8E"/>
    <w:multiLevelType w:val="multilevel"/>
    <w:tmpl w:val="E822ED8E"/>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FC088F03"/>
    <w:multiLevelType w:val="multilevel"/>
    <w:tmpl w:val="FC088F0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13"/>
  <w:drawingGridVerticalSpacing w:val="233"/>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OTY3ZmU2OTZjZmRlOGIyMjcyYTg4YWQyY2Y1NDA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0B7B"/>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475DC"/>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8CF"/>
    <w:rsid w:val="002E298A"/>
    <w:rsid w:val="002F02A4"/>
    <w:rsid w:val="002F272B"/>
    <w:rsid w:val="002F7077"/>
    <w:rsid w:val="002F7C6D"/>
    <w:rsid w:val="003027E4"/>
    <w:rsid w:val="0030332C"/>
    <w:rsid w:val="00312296"/>
    <w:rsid w:val="0031340E"/>
    <w:rsid w:val="00316464"/>
    <w:rsid w:val="0032073A"/>
    <w:rsid w:val="00321474"/>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228"/>
    <w:rsid w:val="003F0809"/>
    <w:rsid w:val="003F5E57"/>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676E1"/>
    <w:rsid w:val="004727B0"/>
    <w:rsid w:val="004763B8"/>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487"/>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77EF3"/>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121"/>
    <w:rsid w:val="006343AF"/>
    <w:rsid w:val="0063634A"/>
    <w:rsid w:val="0064250D"/>
    <w:rsid w:val="00646655"/>
    <w:rsid w:val="006535EB"/>
    <w:rsid w:val="00663016"/>
    <w:rsid w:val="00674605"/>
    <w:rsid w:val="006748B8"/>
    <w:rsid w:val="0068535B"/>
    <w:rsid w:val="0068736E"/>
    <w:rsid w:val="0069290A"/>
    <w:rsid w:val="00697032"/>
    <w:rsid w:val="006975AC"/>
    <w:rsid w:val="006A15FB"/>
    <w:rsid w:val="006A72BF"/>
    <w:rsid w:val="006B332A"/>
    <w:rsid w:val="006B33BD"/>
    <w:rsid w:val="006C2EDD"/>
    <w:rsid w:val="006C3F75"/>
    <w:rsid w:val="006D170E"/>
    <w:rsid w:val="006D2EDF"/>
    <w:rsid w:val="006D4E55"/>
    <w:rsid w:val="006E06AF"/>
    <w:rsid w:val="006F098D"/>
    <w:rsid w:val="006F1789"/>
    <w:rsid w:val="007013AE"/>
    <w:rsid w:val="00706C5D"/>
    <w:rsid w:val="007118E6"/>
    <w:rsid w:val="007225C9"/>
    <w:rsid w:val="00735CD7"/>
    <w:rsid w:val="00754034"/>
    <w:rsid w:val="007541B7"/>
    <w:rsid w:val="00754BF1"/>
    <w:rsid w:val="00755A30"/>
    <w:rsid w:val="00755E1C"/>
    <w:rsid w:val="00756556"/>
    <w:rsid w:val="0076132B"/>
    <w:rsid w:val="007623AE"/>
    <w:rsid w:val="00770B19"/>
    <w:rsid w:val="00774FA0"/>
    <w:rsid w:val="00776620"/>
    <w:rsid w:val="00777B6D"/>
    <w:rsid w:val="00781B71"/>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5558F"/>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B6B9F"/>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0C46"/>
    <w:rsid w:val="0091736D"/>
    <w:rsid w:val="00931001"/>
    <w:rsid w:val="00931863"/>
    <w:rsid w:val="00933524"/>
    <w:rsid w:val="0094278D"/>
    <w:rsid w:val="00943E8B"/>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10E4"/>
    <w:rsid w:val="00A23DC5"/>
    <w:rsid w:val="00A34028"/>
    <w:rsid w:val="00A35568"/>
    <w:rsid w:val="00A37056"/>
    <w:rsid w:val="00A4358F"/>
    <w:rsid w:val="00A46F67"/>
    <w:rsid w:val="00A51A1E"/>
    <w:rsid w:val="00A54AA1"/>
    <w:rsid w:val="00A568FF"/>
    <w:rsid w:val="00A61496"/>
    <w:rsid w:val="00A61833"/>
    <w:rsid w:val="00A624C6"/>
    <w:rsid w:val="00A63CEC"/>
    <w:rsid w:val="00A7031E"/>
    <w:rsid w:val="00A728B1"/>
    <w:rsid w:val="00A72EC7"/>
    <w:rsid w:val="00A763DE"/>
    <w:rsid w:val="00A803D6"/>
    <w:rsid w:val="00A81282"/>
    <w:rsid w:val="00A8713F"/>
    <w:rsid w:val="00A91167"/>
    <w:rsid w:val="00A9171C"/>
    <w:rsid w:val="00A92FFD"/>
    <w:rsid w:val="00A95975"/>
    <w:rsid w:val="00A9708D"/>
    <w:rsid w:val="00AA2C17"/>
    <w:rsid w:val="00AA4172"/>
    <w:rsid w:val="00AB0552"/>
    <w:rsid w:val="00AB1914"/>
    <w:rsid w:val="00AB5330"/>
    <w:rsid w:val="00AB7747"/>
    <w:rsid w:val="00AC2532"/>
    <w:rsid w:val="00AD1507"/>
    <w:rsid w:val="00AD5A70"/>
    <w:rsid w:val="00AD738B"/>
    <w:rsid w:val="00AE1BF4"/>
    <w:rsid w:val="00AE5D97"/>
    <w:rsid w:val="00AE627F"/>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B3DDF"/>
    <w:rsid w:val="00BC0C9E"/>
    <w:rsid w:val="00BC32DC"/>
    <w:rsid w:val="00BD1B51"/>
    <w:rsid w:val="00BD47F6"/>
    <w:rsid w:val="00BD55CC"/>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0F85"/>
    <w:rsid w:val="00CD2BCD"/>
    <w:rsid w:val="00CD36AA"/>
    <w:rsid w:val="00CD3791"/>
    <w:rsid w:val="00CD65B0"/>
    <w:rsid w:val="00CE02CD"/>
    <w:rsid w:val="00CE047C"/>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67D30"/>
    <w:rsid w:val="00F74345"/>
    <w:rsid w:val="00F74441"/>
    <w:rsid w:val="00F77F30"/>
    <w:rsid w:val="00F82589"/>
    <w:rsid w:val="00F82B19"/>
    <w:rsid w:val="00F90AA7"/>
    <w:rsid w:val="00F9212D"/>
    <w:rsid w:val="00FA301A"/>
    <w:rsid w:val="00FA406A"/>
    <w:rsid w:val="00FA5CB6"/>
    <w:rsid w:val="00FB4C69"/>
    <w:rsid w:val="00FC66AC"/>
    <w:rsid w:val="00FD18F4"/>
    <w:rsid w:val="00FD74B4"/>
    <w:rsid w:val="00FF6FCE"/>
    <w:rsid w:val="00FF7518"/>
    <w:rsid w:val="00FF7FD8"/>
    <w:rsid w:val="012731EE"/>
    <w:rsid w:val="01464EAE"/>
    <w:rsid w:val="0153632E"/>
    <w:rsid w:val="01557FFF"/>
    <w:rsid w:val="01F0215D"/>
    <w:rsid w:val="020B3FD7"/>
    <w:rsid w:val="021104AD"/>
    <w:rsid w:val="021B2558"/>
    <w:rsid w:val="023A109F"/>
    <w:rsid w:val="02846585"/>
    <w:rsid w:val="028B33E3"/>
    <w:rsid w:val="02991F49"/>
    <w:rsid w:val="02AB7B5B"/>
    <w:rsid w:val="02CD1F13"/>
    <w:rsid w:val="0310205E"/>
    <w:rsid w:val="03355597"/>
    <w:rsid w:val="036F2FCB"/>
    <w:rsid w:val="03757167"/>
    <w:rsid w:val="038446DD"/>
    <w:rsid w:val="041E69E5"/>
    <w:rsid w:val="0445169A"/>
    <w:rsid w:val="04476E46"/>
    <w:rsid w:val="04553696"/>
    <w:rsid w:val="050D487A"/>
    <w:rsid w:val="0515617D"/>
    <w:rsid w:val="05191F9F"/>
    <w:rsid w:val="052A7D48"/>
    <w:rsid w:val="05742AC8"/>
    <w:rsid w:val="058758AD"/>
    <w:rsid w:val="05B44B60"/>
    <w:rsid w:val="05D07A24"/>
    <w:rsid w:val="06352F05"/>
    <w:rsid w:val="063E7D85"/>
    <w:rsid w:val="06616A9A"/>
    <w:rsid w:val="069321EB"/>
    <w:rsid w:val="069B0BE3"/>
    <w:rsid w:val="06AA0980"/>
    <w:rsid w:val="06AB60C8"/>
    <w:rsid w:val="06CB0A74"/>
    <w:rsid w:val="06D15DED"/>
    <w:rsid w:val="06E03AA2"/>
    <w:rsid w:val="06E97932"/>
    <w:rsid w:val="070875E0"/>
    <w:rsid w:val="07293586"/>
    <w:rsid w:val="07295285"/>
    <w:rsid w:val="076C1EA1"/>
    <w:rsid w:val="07770C56"/>
    <w:rsid w:val="07A019A5"/>
    <w:rsid w:val="07B0538A"/>
    <w:rsid w:val="07F45AB1"/>
    <w:rsid w:val="08061091"/>
    <w:rsid w:val="08255293"/>
    <w:rsid w:val="08607386"/>
    <w:rsid w:val="08646E76"/>
    <w:rsid w:val="08721DC6"/>
    <w:rsid w:val="08760F23"/>
    <w:rsid w:val="08782AD4"/>
    <w:rsid w:val="08803584"/>
    <w:rsid w:val="08AE37EB"/>
    <w:rsid w:val="08C8467C"/>
    <w:rsid w:val="08DA2C94"/>
    <w:rsid w:val="08DF66BD"/>
    <w:rsid w:val="08E33DA2"/>
    <w:rsid w:val="08FF5150"/>
    <w:rsid w:val="09042BC9"/>
    <w:rsid w:val="09162C5D"/>
    <w:rsid w:val="092217DD"/>
    <w:rsid w:val="093A7294"/>
    <w:rsid w:val="093C74AB"/>
    <w:rsid w:val="094B3B92"/>
    <w:rsid w:val="09DB7FE6"/>
    <w:rsid w:val="0A1F30FA"/>
    <w:rsid w:val="0A2D510D"/>
    <w:rsid w:val="0A51342A"/>
    <w:rsid w:val="0A5A19EB"/>
    <w:rsid w:val="0A7E14F7"/>
    <w:rsid w:val="0AA84C3E"/>
    <w:rsid w:val="0AD96F7B"/>
    <w:rsid w:val="0AEB6C39"/>
    <w:rsid w:val="0B231F9E"/>
    <w:rsid w:val="0B2526F2"/>
    <w:rsid w:val="0B4D7C96"/>
    <w:rsid w:val="0B52346E"/>
    <w:rsid w:val="0B84338B"/>
    <w:rsid w:val="0B924162"/>
    <w:rsid w:val="0BBA0CFE"/>
    <w:rsid w:val="0BD06598"/>
    <w:rsid w:val="0BD27BF6"/>
    <w:rsid w:val="0C234952"/>
    <w:rsid w:val="0CA973AD"/>
    <w:rsid w:val="0CB832EC"/>
    <w:rsid w:val="0CD21ED4"/>
    <w:rsid w:val="0D35493D"/>
    <w:rsid w:val="0D3C64A6"/>
    <w:rsid w:val="0D6E0C30"/>
    <w:rsid w:val="0D7626A7"/>
    <w:rsid w:val="0D8B22D1"/>
    <w:rsid w:val="0DD6777B"/>
    <w:rsid w:val="0DDF0D4D"/>
    <w:rsid w:val="0E110D06"/>
    <w:rsid w:val="0E7532CC"/>
    <w:rsid w:val="0E8B3395"/>
    <w:rsid w:val="0E8B67DF"/>
    <w:rsid w:val="0EA7676E"/>
    <w:rsid w:val="0EB9507E"/>
    <w:rsid w:val="0EC553FF"/>
    <w:rsid w:val="0EFE5203"/>
    <w:rsid w:val="0F003769"/>
    <w:rsid w:val="0F114F36"/>
    <w:rsid w:val="0F13775A"/>
    <w:rsid w:val="0F5117D6"/>
    <w:rsid w:val="0F512276"/>
    <w:rsid w:val="0F8D13A6"/>
    <w:rsid w:val="0F9A112B"/>
    <w:rsid w:val="0FC63F72"/>
    <w:rsid w:val="0FED502C"/>
    <w:rsid w:val="0FF52D05"/>
    <w:rsid w:val="0FF623CC"/>
    <w:rsid w:val="0FF90F99"/>
    <w:rsid w:val="104D57FF"/>
    <w:rsid w:val="10622ECE"/>
    <w:rsid w:val="106D2F64"/>
    <w:rsid w:val="107E484D"/>
    <w:rsid w:val="10B63710"/>
    <w:rsid w:val="10BE733F"/>
    <w:rsid w:val="10ED30D4"/>
    <w:rsid w:val="11182893"/>
    <w:rsid w:val="111C2F7A"/>
    <w:rsid w:val="111C5B5C"/>
    <w:rsid w:val="1122167C"/>
    <w:rsid w:val="113013DE"/>
    <w:rsid w:val="11390774"/>
    <w:rsid w:val="11731F03"/>
    <w:rsid w:val="11755C50"/>
    <w:rsid w:val="11AF5257"/>
    <w:rsid w:val="11B762D9"/>
    <w:rsid w:val="11E22BBA"/>
    <w:rsid w:val="120D40DA"/>
    <w:rsid w:val="122B06C2"/>
    <w:rsid w:val="124E1305"/>
    <w:rsid w:val="1263699C"/>
    <w:rsid w:val="12945E0A"/>
    <w:rsid w:val="12C02E2D"/>
    <w:rsid w:val="12E3308D"/>
    <w:rsid w:val="12FA5655"/>
    <w:rsid w:val="12FA7900"/>
    <w:rsid w:val="130B58DD"/>
    <w:rsid w:val="134E7B9A"/>
    <w:rsid w:val="135E19A8"/>
    <w:rsid w:val="13724402"/>
    <w:rsid w:val="13951726"/>
    <w:rsid w:val="142E323C"/>
    <w:rsid w:val="142F374B"/>
    <w:rsid w:val="142F4684"/>
    <w:rsid w:val="14351FCE"/>
    <w:rsid w:val="14396509"/>
    <w:rsid w:val="1447165C"/>
    <w:rsid w:val="14706BA3"/>
    <w:rsid w:val="14915106"/>
    <w:rsid w:val="14A00788"/>
    <w:rsid w:val="14F50090"/>
    <w:rsid w:val="156F1B9A"/>
    <w:rsid w:val="158226E9"/>
    <w:rsid w:val="159521EE"/>
    <w:rsid w:val="15E20E8C"/>
    <w:rsid w:val="162F5457"/>
    <w:rsid w:val="1652225F"/>
    <w:rsid w:val="16AA639C"/>
    <w:rsid w:val="16CE44C0"/>
    <w:rsid w:val="16DC6C5E"/>
    <w:rsid w:val="17056B88"/>
    <w:rsid w:val="174A5489"/>
    <w:rsid w:val="17735226"/>
    <w:rsid w:val="177E3384"/>
    <w:rsid w:val="17962A8E"/>
    <w:rsid w:val="18025D64"/>
    <w:rsid w:val="180E011D"/>
    <w:rsid w:val="1816580D"/>
    <w:rsid w:val="184B770B"/>
    <w:rsid w:val="185D11EC"/>
    <w:rsid w:val="18710A3C"/>
    <w:rsid w:val="18AF4505"/>
    <w:rsid w:val="18C012DF"/>
    <w:rsid w:val="18C86033"/>
    <w:rsid w:val="18DC2CC2"/>
    <w:rsid w:val="18F334E0"/>
    <w:rsid w:val="18FD79C0"/>
    <w:rsid w:val="1972483F"/>
    <w:rsid w:val="19A319F9"/>
    <w:rsid w:val="19E020D4"/>
    <w:rsid w:val="19F8741E"/>
    <w:rsid w:val="1A085187"/>
    <w:rsid w:val="1A09723D"/>
    <w:rsid w:val="1A0D1240"/>
    <w:rsid w:val="1A1C66C0"/>
    <w:rsid w:val="1A370B9F"/>
    <w:rsid w:val="1A3D0DB0"/>
    <w:rsid w:val="1A42393B"/>
    <w:rsid w:val="1A6709D9"/>
    <w:rsid w:val="1A9E04C6"/>
    <w:rsid w:val="1AA52CB1"/>
    <w:rsid w:val="1B046F80"/>
    <w:rsid w:val="1B124510"/>
    <w:rsid w:val="1B3267B5"/>
    <w:rsid w:val="1B60171F"/>
    <w:rsid w:val="1B732609"/>
    <w:rsid w:val="1BC25DC8"/>
    <w:rsid w:val="1BC805CA"/>
    <w:rsid w:val="1BF81957"/>
    <w:rsid w:val="1C1147C7"/>
    <w:rsid w:val="1C1C6D9C"/>
    <w:rsid w:val="1C2303C8"/>
    <w:rsid w:val="1C3256B4"/>
    <w:rsid w:val="1C380BB7"/>
    <w:rsid w:val="1C4C4943"/>
    <w:rsid w:val="1C5E7925"/>
    <w:rsid w:val="1C676ADD"/>
    <w:rsid w:val="1C8507BC"/>
    <w:rsid w:val="1C887FC8"/>
    <w:rsid w:val="1C955AB8"/>
    <w:rsid w:val="1CC932F4"/>
    <w:rsid w:val="1D095BC4"/>
    <w:rsid w:val="1D232A04"/>
    <w:rsid w:val="1D385D84"/>
    <w:rsid w:val="1D5F6196"/>
    <w:rsid w:val="1D6132A5"/>
    <w:rsid w:val="1D8D6AB9"/>
    <w:rsid w:val="1D8E56D5"/>
    <w:rsid w:val="1DA33B45"/>
    <w:rsid w:val="1DD03E43"/>
    <w:rsid w:val="1DDF76FE"/>
    <w:rsid w:val="1E2141F7"/>
    <w:rsid w:val="1E440899"/>
    <w:rsid w:val="1E7A43DA"/>
    <w:rsid w:val="1EB277FE"/>
    <w:rsid w:val="1EB6302A"/>
    <w:rsid w:val="1ED46BF8"/>
    <w:rsid w:val="1F015E7B"/>
    <w:rsid w:val="1F2154BC"/>
    <w:rsid w:val="1F3A5574"/>
    <w:rsid w:val="1F494BDF"/>
    <w:rsid w:val="1F672AC7"/>
    <w:rsid w:val="1F8D23B7"/>
    <w:rsid w:val="1FD955FC"/>
    <w:rsid w:val="1FE32388"/>
    <w:rsid w:val="1FE7539E"/>
    <w:rsid w:val="1FEF669A"/>
    <w:rsid w:val="20747CA9"/>
    <w:rsid w:val="20805009"/>
    <w:rsid w:val="20963CB8"/>
    <w:rsid w:val="20A83488"/>
    <w:rsid w:val="20B07FB6"/>
    <w:rsid w:val="20C560E6"/>
    <w:rsid w:val="20C91F2E"/>
    <w:rsid w:val="21374CD0"/>
    <w:rsid w:val="213B74B1"/>
    <w:rsid w:val="2148051F"/>
    <w:rsid w:val="214B077B"/>
    <w:rsid w:val="21556A21"/>
    <w:rsid w:val="215A2310"/>
    <w:rsid w:val="21843C8D"/>
    <w:rsid w:val="21CC2FB1"/>
    <w:rsid w:val="21DE318A"/>
    <w:rsid w:val="21EF5B80"/>
    <w:rsid w:val="22351DE9"/>
    <w:rsid w:val="22371180"/>
    <w:rsid w:val="22403E68"/>
    <w:rsid w:val="22576990"/>
    <w:rsid w:val="22744244"/>
    <w:rsid w:val="229C4EAB"/>
    <w:rsid w:val="22B43060"/>
    <w:rsid w:val="22D54ABD"/>
    <w:rsid w:val="22DC0A1F"/>
    <w:rsid w:val="22E52C76"/>
    <w:rsid w:val="23A93D79"/>
    <w:rsid w:val="23B5498F"/>
    <w:rsid w:val="23C640E9"/>
    <w:rsid w:val="23E67D1E"/>
    <w:rsid w:val="23ED5B1A"/>
    <w:rsid w:val="24050D33"/>
    <w:rsid w:val="242624F6"/>
    <w:rsid w:val="248E4C19"/>
    <w:rsid w:val="2499105B"/>
    <w:rsid w:val="249D12EE"/>
    <w:rsid w:val="24A64E3C"/>
    <w:rsid w:val="24B2466D"/>
    <w:rsid w:val="24B6415E"/>
    <w:rsid w:val="24FD3B3B"/>
    <w:rsid w:val="252D53FE"/>
    <w:rsid w:val="25364E98"/>
    <w:rsid w:val="254C061E"/>
    <w:rsid w:val="25500262"/>
    <w:rsid w:val="2551057C"/>
    <w:rsid w:val="258B7138"/>
    <w:rsid w:val="25951FC5"/>
    <w:rsid w:val="25956469"/>
    <w:rsid w:val="25B3069D"/>
    <w:rsid w:val="25CE3729"/>
    <w:rsid w:val="25EC2D81"/>
    <w:rsid w:val="263C641E"/>
    <w:rsid w:val="264528BD"/>
    <w:rsid w:val="269520FD"/>
    <w:rsid w:val="269F005D"/>
    <w:rsid w:val="26E1141A"/>
    <w:rsid w:val="273852FE"/>
    <w:rsid w:val="273C7A98"/>
    <w:rsid w:val="27C6148F"/>
    <w:rsid w:val="27D15DD1"/>
    <w:rsid w:val="27DC79BB"/>
    <w:rsid w:val="27DD40F7"/>
    <w:rsid w:val="28535AF0"/>
    <w:rsid w:val="28A76295"/>
    <w:rsid w:val="28DA468F"/>
    <w:rsid w:val="29206EB8"/>
    <w:rsid w:val="292469E8"/>
    <w:rsid w:val="292673D8"/>
    <w:rsid w:val="293D522B"/>
    <w:rsid w:val="29437BF5"/>
    <w:rsid w:val="298D2A44"/>
    <w:rsid w:val="299B7DC6"/>
    <w:rsid w:val="29AE3346"/>
    <w:rsid w:val="29AF248E"/>
    <w:rsid w:val="29CC61D1"/>
    <w:rsid w:val="29E325E0"/>
    <w:rsid w:val="29EF2FC1"/>
    <w:rsid w:val="2A146264"/>
    <w:rsid w:val="2A2773C7"/>
    <w:rsid w:val="2A452503"/>
    <w:rsid w:val="2A522AD9"/>
    <w:rsid w:val="2A770BE0"/>
    <w:rsid w:val="2A8A5BB7"/>
    <w:rsid w:val="2AEE1FCD"/>
    <w:rsid w:val="2B0C2313"/>
    <w:rsid w:val="2B820658"/>
    <w:rsid w:val="2B8F74B6"/>
    <w:rsid w:val="2B9B1B37"/>
    <w:rsid w:val="2BA936A8"/>
    <w:rsid w:val="2BA975AA"/>
    <w:rsid w:val="2BF408F9"/>
    <w:rsid w:val="2C0F23A5"/>
    <w:rsid w:val="2C163734"/>
    <w:rsid w:val="2C315A5A"/>
    <w:rsid w:val="2CA93F14"/>
    <w:rsid w:val="2CFD09F5"/>
    <w:rsid w:val="2D1219CB"/>
    <w:rsid w:val="2D3E28D1"/>
    <w:rsid w:val="2D4526E2"/>
    <w:rsid w:val="2D4D5CC5"/>
    <w:rsid w:val="2D5201C0"/>
    <w:rsid w:val="2D576D64"/>
    <w:rsid w:val="2D9E56F5"/>
    <w:rsid w:val="2DBE4B0C"/>
    <w:rsid w:val="2DCF4E7C"/>
    <w:rsid w:val="2DE24215"/>
    <w:rsid w:val="2E140EBA"/>
    <w:rsid w:val="2E4216A4"/>
    <w:rsid w:val="2E667F96"/>
    <w:rsid w:val="2E717347"/>
    <w:rsid w:val="2E8226AB"/>
    <w:rsid w:val="2E89343E"/>
    <w:rsid w:val="2EA40620"/>
    <w:rsid w:val="2EC46F9A"/>
    <w:rsid w:val="2EFE0305"/>
    <w:rsid w:val="2F337EDA"/>
    <w:rsid w:val="2F3A3BDD"/>
    <w:rsid w:val="2F4A1308"/>
    <w:rsid w:val="2F4F1437"/>
    <w:rsid w:val="2F832C79"/>
    <w:rsid w:val="2F956F80"/>
    <w:rsid w:val="2F9E65A4"/>
    <w:rsid w:val="2FB85B7F"/>
    <w:rsid w:val="2FEF2D58"/>
    <w:rsid w:val="3029612C"/>
    <w:rsid w:val="302E553D"/>
    <w:rsid w:val="30580BC9"/>
    <w:rsid w:val="30603568"/>
    <w:rsid w:val="308F6BAA"/>
    <w:rsid w:val="309044F5"/>
    <w:rsid w:val="30D616E4"/>
    <w:rsid w:val="30E266CD"/>
    <w:rsid w:val="310224D9"/>
    <w:rsid w:val="311E2ED7"/>
    <w:rsid w:val="312D1129"/>
    <w:rsid w:val="315C449C"/>
    <w:rsid w:val="315E1AB5"/>
    <w:rsid w:val="316D5E64"/>
    <w:rsid w:val="317D6530"/>
    <w:rsid w:val="319D2F4A"/>
    <w:rsid w:val="31A24CAA"/>
    <w:rsid w:val="31A61558"/>
    <w:rsid w:val="31B639EF"/>
    <w:rsid w:val="31B82709"/>
    <w:rsid w:val="31DA3AEF"/>
    <w:rsid w:val="31E725CA"/>
    <w:rsid w:val="321B7CF6"/>
    <w:rsid w:val="32400B34"/>
    <w:rsid w:val="329E6876"/>
    <w:rsid w:val="32D16D3C"/>
    <w:rsid w:val="32D537D9"/>
    <w:rsid w:val="331D36BE"/>
    <w:rsid w:val="332E3A59"/>
    <w:rsid w:val="333D462F"/>
    <w:rsid w:val="33684435"/>
    <w:rsid w:val="337116BF"/>
    <w:rsid w:val="338F369F"/>
    <w:rsid w:val="33D934D4"/>
    <w:rsid w:val="33E35BA8"/>
    <w:rsid w:val="33FE2F6A"/>
    <w:rsid w:val="34056568"/>
    <w:rsid w:val="344A6670"/>
    <w:rsid w:val="34550F6E"/>
    <w:rsid w:val="34565015"/>
    <w:rsid w:val="34866582"/>
    <w:rsid w:val="34A922E2"/>
    <w:rsid w:val="34FD5A72"/>
    <w:rsid w:val="351F701B"/>
    <w:rsid w:val="35AC69D4"/>
    <w:rsid w:val="35B714AB"/>
    <w:rsid w:val="35C30488"/>
    <w:rsid w:val="35DC779C"/>
    <w:rsid w:val="36074A7F"/>
    <w:rsid w:val="36751FFF"/>
    <w:rsid w:val="36790FAE"/>
    <w:rsid w:val="368D6CE8"/>
    <w:rsid w:val="36923549"/>
    <w:rsid w:val="36B27E7B"/>
    <w:rsid w:val="36B75FBF"/>
    <w:rsid w:val="36BA6A1E"/>
    <w:rsid w:val="36DA0180"/>
    <w:rsid w:val="36FB4891"/>
    <w:rsid w:val="37127EAC"/>
    <w:rsid w:val="372C6501"/>
    <w:rsid w:val="372E3D52"/>
    <w:rsid w:val="3734296E"/>
    <w:rsid w:val="375046D6"/>
    <w:rsid w:val="37546930"/>
    <w:rsid w:val="37982A35"/>
    <w:rsid w:val="37C36C7B"/>
    <w:rsid w:val="37D6333D"/>
    <w:rsid w:val="37D722CE"/>
    <w:rsid w:val="383D59F2"/>
    <w:rsid w:val="386A0A0E"/>
    <w:rsid w:val="386A72E1"/>
    <w:rsid w:val="38857FFF"/>
    <w:rsid w:val="38F12CD3"/>
    <w:rsid w:val="38F94775"/>
    <w:rsid w:val="39261FAF"/>
    <w:rsid w:val="392971ED"/>
    <w:rsid w:val="394A0EC1"/>
    <w:rsid w:val="39777B02"/>
    <w:rsid w:val="39B74034"/>
    <w:rsid w:val="39E430C3"/>
    <w:rsid w:val="3A851211"/>
    <w:rsid w:val="3A960861"/>
    <w:rsid w:val="3B2F6C4A"/>
    <w:rsid w:val="3B3763D1"/>
    <w:rsid w:val="3B5E605B"/>
    <w:rsid w:val="3BC742F4"/>
    <w:rsid w:val="3C011D0B"/>
    <w:rsid w:val="3C2319A5"/>
    <w:rsid w:val="3C3F3C09"/>
    <w:rsid w:val="3C5A43F8"/>
    <w:rsid w:val="3C9F7B5D"/>
    <w:rsid w:val="3CAC10AD"/>
    <w:rsid w:val="3CAD6FC8"/>
    <w:rsid w:val="3CDA245A"/>
    <w:rsid w:val="3CEE0A37"/>
    <w:rsid w:val="3D0777F5"/>
    <w:rsid w:val="3D2A34E3"/>
    <w:rsid w:val="3DBD46AD"/>
    <w:rsid w:val="3DD663EC"/>
    <w:rsid w:val="3DE8585D"/>
    <w:rsid w:val="3DF064DB"/>
    <w:rsid w:val="3E1F467F"/>
    <w:rsid w:val="3E457629"/>
    <w:rsid w:val="3E6D5563"/>
    <w:rsid w:val="3E7F5C3D"/>
    <w:rsid w:val="3EAF3CA0"/>
    <w:rsid w:val="3EFA7D28"/>
    <w:rsid w:val="3F3643C1"/>
    <w:rsid w:val="3F3A6931"/>
    <w:rsid w:val="3F660E74"/>
    <w:rsid w:val="3F6F27ED"/>
    <w:rsid w:val="3F7A2EE6"/>
    <w:rsid w:val="3F7F6FEF"/>
    <w:rsid w:val="3FC217B1"/>
    <w:rsid w:val="3FCB524E"/>
    <w:rsid w:val="3FCD54F0"/>
    <w:rsid w:val="3FCF649D"/>
    <w:rsid w:val="3FFF2A05"/>
    <w:rsid w:val="400C0C7E"/>
    <w:rsid w:val="4017735D"/>
    <w:rsid w:val="403F16C6"/>
    <w:rsid w:val="407A6407"/>
    <w:rsid w:val="40915C78"/>
    <w:rsid w:val="409D5D7A"/>
    <w:rsid w:val="40D7489F"/>
    <w:rsid w:val="40F13762"/>
    <w:rsid w:val="40FB141E"/>
    <w:rsid w:val="412D4653"/>
    <w:rsid w:val="41396558"/>
    <w:rsid w:val="41436921"/>
    <w:rsid w:val="41670862"/>
    <w:rsid w:val="41744D2D"/>
    <w:rsid w:val="41AB74EB"/>
    <w:rsid w:val="42213C39"/>
    <w:rsid w:val="423A3BCC"/>
    <w:rsid w:val="424526EE"/>
    <w:rsid w:val="425A6680"/>
    <w:rsid w:val="428D254A"/>
    <w:rsid w:val="42941061"/>
    <w:rsid w:val="42DE4B54"/>
    <w:rsid w:val="430144DB"/>
    <w:rsid w:val="43133EA5"/>
    <w:rsid w:val="431F6F1A"/>
    <w:rsid w:val="432033BE"/>
    <w:rsid w:val="433A6FE6"/>
    <w:rsid w:val="4350713C"/>
    <w:rsid w:val="436653E0"/>
    <w:rsid w:val="439912A3"/>
    <w:rsid w:val="43B753A5"/>
    <w:rsid w:val="43C468A3"/>
    <w:rsid w:val="43EE526A"/>
    <w:rsid w:val="441664F0"/>
    <w:rsid w:val="443C7B3C"/>
    <w:rsid w:val="44514761"/>
    <w:rsid w:val="448902DB"/>
    <w:rsid w:val="44B97144"/>
    <w:rsid w:val="44C304A5"/>
    <w:rsid w:val="44C47E7D"/>
    <w:rsid w:val="44C821E0"/>
    <w:rsid w:val="44CD14E0"/>
    <w:rsid w:val="44D83825"/>
    <w:rsid w:val="44EE46AF"/>
    <w:rsid w:val="44F248E6"/>
    <w:rsid w:val="44FF34A7"/>
    <w:rsid w:val="4504286C"/>
    <w:rsid w:val="453677E1"/>
    <w:rsid w:val="455F7AA2"/>
    <w:rsid w:val="4584178D"/>
    <w:rsid w:val="45857508"/>
    <w:rsid w:val="458946E9"/>
    <w:rsid w:val="45AB0885"/>
    <w:rsid w:val="45F36E16"/>
    <w:rsid w:val="46296FA0"/>
    <w:rsid w:val="463C4FC9"/>
    <w:rsid w:val="4654337F"/>
    <w:rsid w:val="46D955A7"/>
    <w:rsid w:val="46E97F6B"/>
    <w:rsid w:val="46F273C3"/>
    <w:rsid w:val="47133957"/>
    <w:rsid w:val="472B5E2E"/>
    <w:rsid w:val="47376F28"/>
    <w:rsid w:val="473B1E9E"/>
    <w:rsid w:val="4779329E"/>
    <w:rsid w:val="479B22FB"/>
    <w:rsid w:val="479E69E5"/>
    <w:rsid w:val="47A07E0C"/>
    <w:rsid w:val="47ED5D08"/>
    <w:rsid w:val="480C46E8"/>
    <w:rsid w:val="4870272E"/>
    <w:rsid w:val="48CB12DB"/>
    <w:rsid w:val="48F47AA5"/>
    <w:rsid w:val="491C1900"/>
    <w:rsid w:val="49446510"/>
    <w:rsid w:val="496334E4"/>
    <w:rsid w:val="497712D5"/>
    <w:rsid w:val="49C425C9"/>
    <w:rsid w:val="49DC7715"/>
    <w:rsid w:val="49EC4E5D"/>
    <w:rsid w:val="49F80902"/>
    <w:rsid w:val="49FE3E1C"/>
    <w:rsid w:val="4A023139"/>
    <w:rsid w:val="4A3951E4"/>
    <w:rsid w:val="4A45370A"/>
    <w:rsid w:val="4A7B576F"/>
    <w:rsid w:val="4AB3134A"/>
    <w:rsid w:val="4B180E1F"/>
    <w:rsid w:val="4B6202EC"/>
    <w:rsid w:val="4BAB57EF"/>
    <w:rsid w:val="4BAC5E94"/>
    <w:rsid w:val="4BAF6FA9"/>
    <w:rsid w:val="4BE87A0B"/>
    <w:rsid w:val="4C3B4DC5"/>
    <w:rsid w:val="4C4A0649"/>
    <w:rsid w:val="4C52103F"/>
    <w:rsid w:val="4C7B78B7"/>
    <w:rsid w:val="4C7C33F1"/>
    <w:rsid w:val="4CC17237"/>
    <w:rsid w:val="4CC306E7"/>
    <w:rsid w:val="4CE470D3"/>
    <w:rsid w:val="4D000825"/>
    <w:rsid w:val="4D0553D3"/>
    <w:rsid w:val="4D0A5CE4"/>
    <w:rsid w:val="4D5C793C"/>
    <w:rsid w:val="4D833E13"/>
    <w:rsid w:val="4D8900BB"/>
    <w:rsid w:val="4D9E1AAF"/>
    <w:rsid w:val="4DA40E78"/>
    <w:rsid w:val="4DA967FA"/>
    <w:rsid w:val="4DAA7A5F"/>
    <w:rsid w:val="4DB27309"/>
    <w:rsid w:val="4DC332C4"/>
    <w:rsid w:val="4DD90358"/>
    <w:rsid w:val="4DEC4FB0"/>
    <w:rsid w:val="4E013D57"/>
    <w:rsid w:val="4E075D8A"/>
    <w:rsid w:val="4E481A1B"/>
    <w:rsid w:val="4E69645C"/>
    <w:rsid w:val="4E855B50"/>
    <w:rsid w:val="4E86609F"/>
    <w:rsid w:val="4E9A046D"/>
    <w:rsid w:val="4EA348E9"/>
    <w:rsid w:val="4EA5674F"/>
    <w:rsid w:val="4EE14A94"/>
    <w:rsid w:val="4EEA0D24"/>
    <w:rsid w:val="4EEE2C73"/>
    <w:rsid w:val="4EFD0A57"/>
    <w:rsid w:val="4F0F209F"/>
    <w:rsid w:val="4F2106B1"/>
    <w:rsid w:val="4F2616C5"/>
    <w:rsid w:val="4F360DA8"/>
    <w:rsid w:val="4F90683E"/>
    <w:rsid w:val="4FC62A8C"/>
    <w:rsid w:val="4FE20F0D"/>
    <w:rsid w:val="4FE35077"/>
    <w:rsid w:val="50504C4B"/>
    <w:rsid w:val="506B7C43"/>
    <w:rsid w:val="5094221C"/>
    <w:rsid w:val="509776AD"/>
    <w:rsid w:val="509C6E7C"/>
    <w:rsid w:val="50D72716"/>
    <w:rsid w:val="50EB02B6"/>
    <w:rsid w:val="515656E0"/>
    <w:rsid w:val="5162104E"/>
    <w:rsid w:val="51735B92"/>
    <w:rsid w:val="521E31BF"/>
    <w:rsid w:val="523715B2"/>
    <w:rsid w:val="523A167B"/>
    <w:rsid w:val="525A6978"/>
    <w:rsid w:val="529E034E"/>
    <w:rsid w:val="52AE78B1"/>
    <w:rsid w:val="52CB3708"/>
    <w:rsid w:val="52CE6B1A"/>
    <w:rsid w:val="52D55408"/>
    <w:rsid w:val="52D7336D"/>
    <w:rsid w:val="532000DC"/>
    <w:rsid w:val="53304F57"/>
    <w:rsid w:val="53444D9F"/>
    <w:rsid w:val="538128BD"/>
    <w:rsid w:val="53832F3F"/>
    <w:rsid w:val="53A039CC"/>
    <w:rsid w:val="53A1505A"/>
    <w:rsid w:val="53E915AA"/>
    <w:rsid w:val="54063E08"/>
    <w:rsid w:val="543437E8"/>
    <w:rsid w:val="54631D2B"/>
    <w:rsid w:val="5472334E"/>
    <w:rsid w:val="548627C7"/>
    <w:rsid w:val="54CB3B07"/>
    <w:rsid w:val="54FE3F62"/>
    <w:rsid w:val="54FF3F9A"/>
    <w:rsid w:val="55080DA0"/>
    <w:rsid w:val="550A6B45"/>
    <w:rsid w:val="5522024E"/>
    <w:rsid w:val="55683A1E"/>
    <w:rsid w:val="55693829"/>
    <w:rsid w:val="55763D8B"/>
    <w:rsid w:val="55794A09"/>
    <w:rsid w:val="5597268E"/>
    <w:rsid w:val="559B174B"/>
    <w:rsid w:val="55CD58B3"/>
    <w:rsid w:val="55CE0CF4"/>
    <w:rsid w:val="55EB785C"/>
    <w:rsid w:val="55EF63CB"/>
    <w:rsid w:val="563F2CD3"/>
    <w:rsid w:val="566F78A1"/>
    <w:rsid w:val="56A43DD2"/>
    <w:rsid w:val="56A4712A"/>
    <w:rsid w:val="56A92BD5"/>
    <w:rsid w:val="56B22A9C"/>
    <w:rsid w:val="56B460F0"/>
    <w:rsid w:val="56D84E09"/>
    <w:rsid w:val="56DD3206"/>
    <w:rsid w:val="57014E5D"/>
    <w:rsid w:val="57566F57"/>
    <w:rsid w:val="57713D91"/>
    <w:rsid w:val="57827D4C"/>
    <w:rsid w:val="579213E2"/>
    <w:rsid w:val="57997DB1"/>
    <w:rsid w:val="57A75A1C"/>
    <w:rsid w:val="57B63E99"/>
    <w:rsid w:val="57B72A76"/>
    <w:rsid w:val="57D04F5B"/>
    <w:rsid w:val="57D72671"/>
    <w:rsid w:val="57DF28A1"/>
    <w:rsid w:val="57E13056"/>
    <w:rsid w:val="5814471C"/>
    <w:rsid w:val="582F5A02"/>
    <w:rsid w:val="584C0D10"/>
    <w:rsid w:val="586E02D0"/>
    <w:rsid w:val="58717B6B"/>
    <w:rsid w:val="58773629"/>
    <w:rsid w:val="587C0C3F"/>
    <w:rsid w:val="58841312"/>
    <w:rsid w:val="589D2963"/>
    <w:rsid w:val="58C3061C"/>
    <w:rsid w:val="591E1CF6"/>
    <w:rsid w:val="59382F8F"/>
    <w:rsid w:val="59411FDD"/>
    <w:rsid w:val="59444A7D"/>
    <w:rsid w:val="59464DA9"/>
    <w:rsid w:val="59575208"/>
    <w:rsid w:val="59BD150F"/>
    <w:rsid w:val="59C92994"/>
    <w:rsid w:val="59E20201"/>
    <w:rsid w:val="59EC64B5"/>
    <w:rsid w:val="5A00764E"/>
    <w:rsid w:val="5A221963"/>
    <w:rsid w:val="5A3C747D"/>
    <w:rsid w:val="5A601E9A"/>
    <w:rsid w:val="5A7857FC"/>
    <w:rsid w:val="5A9C5AE3"/>
    <w:rsid w:val="5AB81CD6"/>
    <w:rsid w:val="5AB85045"/>
    <w:rsid w:val="5ABE2233"/>
    <w:rsid w:val="5B0B62AA"/>
    <w:rsid w:val="5B276D18"/>
    <w:rsid w:val="5B5334BA"/>
    <w:rsid w:val="5B882AA2"/>
    <w:rsid w:val="5BA53CC0"/>
    <w:rsid w:val="5BB125D2"/>
    <w:rsid w:val="5BDF5D95"/>
    <w:rsid w:val="5C1B7F58"/>
    <w:rsid w:val="5C355073"/>
    <w:rsid w:val="5C58107B"/>
    <w:rsid w:val="5C8D44F9"/>
    <w:rsid w:val="5C984494"/>
    <w:rsid w:val="5CA05E7F"/>
    <w:rsid w:val="5CDF09D1"/>
    <w:rsid w:val="5CF52D6E"/>
    <w:rsid w:val="5D3752D3"/>
    <w:rsid w:val="5D500679"/>
    <w:rsid w:val="5D645B3A"/>
    <w:rsid w:val="5D987D87"/>
    <w:rsid w:val="5DAB3B72"/>
    <w:rsid w:val="5DB1402C"/>
    <w:rsid w:val="5DCB1D21"/>
    <w:rsid w:val="5DDC188C"/>
    <w:rsid w:val="5DEC37F3"/>
    <w:rsid w:val="5DF87A0F"/>
    <w:rsid w:val="5E123B81"/>
    <w:rsid w:val="5E227B93"/>
    <w:rsid w:val="5E2C0A11"/>
    <w:rsid w:val="5E653F23"/>
    <w:rsid w:val="5F1A2B43"/>
    <w:rsid w:val="5F4505F1"/>
    <w:rsid w:val="5F984189"/>
    <w:rsid w:val="5FB837BB"/>
    <w:rsid w:val="5FC11974"/>
    <w:rsid w:val="5FFA55EB"/>
    <w:rsid w:val="6034058F"/>
    <w:rsid w:val="603A7A0C"/>
    <w:rsid w:val="60433DF0"/>
    <w:rsid w:val="6063347E"/>
    <w:rsid w:val="60A5633D"/>
    <w:rsid w:val="60C84960"/>
    <w:rsid w:val="60F11A9E"/>
    <w:rsid w:val="60F95D0E"/>
    <w:rsid w:val="61046171"/>
    <w:rsid w:val="612A3FC1"/>
    <w:rsid w:val="614F34DA"/>
    <w:rsid w:val="617927BC"/>
    <w:rsid w:val="61927700"/>
    <w:rsid w:val="6196781D"/>
    <w:rsid w:val="619A16DC"/>
    <w:rsid w:val="61E427AF"/>
    <w:rsid w:val="621511BF"/>
    <w:rsid w:val="6220088D"/>
    <w:rsid w:val="62273B85"/>
    <w:rsid w:val="622A6076"/>
    <w:rsid w:val="62364782"/>
    <w:rsid w:val="62BA67B8"/>
    <w:rsid w:val="62D96C8E"/>
    <w:rsid w:val="62E93C35"/>
    <w:rsid w:val="631E026D"/>
    <w:rsid w:val="63AB23D8"/>
    <w:rsid w:val="63C87E04"/>
    <w:rsid w:val="63CC6BCE"/>
    <w:rsid w:val="63D40BE9"/>
    <w:rsid w:val="63E0211F"/>
    <w:rsid w:val="63EB658D"/>
    <w:rsid w:val="645372AF"/>
    <w:rsid w:val="64542204"/>
    <w:rsid w:val="64943EE2"/>
    <w:rsid w:val="64BA2A97"/>
    <w:rsid w:val="64CA0F84"/>
    <w:rsid w:val="64DB0EF3"/>
    <w:rsid w:val="65010BA0"/>
    <w:rsid w:val="65373578"/>
    <w:rsid w:val="657333CA"/>
    <w:rsid w:val="65B512EC"/>
    <w:rsid w:val="65CD2940"/>
    <w:rsid w:val="66613222"/>
    <w:rsid w:val="66A03588"/>
    <w:rsid w:val="66C67976"/>
    <w:rsid w:val="66CD3A36"/>
    <w:rsid w:val="66F10A4A"/>
    <w:rsid w:val="671E7365"/>
    <w:rsid w:val="673F2C7A"/>
    <w:rsid w:val="67501A0D"/>
    <w:rsid w:val="67DE3038"/>
    <w:rsid w:val="67E31626"/>
    <w:rsid w:val="67FD51CC"/>
    <w:rsid w:val="681F6961"/>
    <w:rsid w:val="68610A2F"/>
    <w:rsid w:val="68705FEE"/>
    <w:rsid w:val="6879333B"/>
    <w:rsid w:val="687F3E33"/>
    <w:rsid w:val="68805514"/>
    <w:rsid w:val="68A7606F"/>
    <w:rsid w:val="68D2424A"/>
    <w:rsid w:val="6915134E"/>
    <w:rsid w:val="69345F0F"/>
    <w:rsid w:val="693F6B2D"/>
    <w:rsid w:val="694E2071"/>
    <w:rsid w:val="696279DD"/>
    <w:rsid w:val="697A3B33"/>
    <w:rsid w:val="697D1388"/>
    <w:rsid w:val="699E2456"/>
    <w:rsid w:val="69B25E89"/>
    <w:rsid w:val="69C57FA5"/>
    <w:rsid w:val="69ED1407"/>
    <w:rsid w:val="6A2014B1"/>
    <w:rsid w:val="6A3A44B6"/>
    <w:rsid w:val="6A502639"/>
    <w:rsid w:val="6A5E63F6"/>
    <w:rsid w:val="6A7E60D4"/>
    <w:rsid w:val="6ACE66D6"/>
    <w:rsid w:val="6AE368FC"/>
    <w:rsid w:val="6AF751E5"/>
    <w:rsid w:val="6B2C2051"/>
    <w:rsid w:val="6B322639"/>
    <w:rsid w:val="6B792DBC"/>
    <w:rsid w:val="6BC5689C"/>
    <w:rsid w:val="6BCB7ABB"/>
    <w:rsid w:val="6BF54C12"/>
    <w:rsid w:val="6C3D26A7"/>
    <w:rsid w:val="6C47110C"/>
    <w:rsid w:val="6C636C38"/>
    <w:rsid w:val="6C931EAF"/>
    <w:rsid w:val="6CC60283"/>
    <w:rsid w:val="6CF43042"/>
    <w:rsid w:val="6D2356D5"/>
    <w:rsid w:val="6D4573FA"/>
    <w:rsid w:val="6D4E08B0"/>
    <w:rsid w:val="6D785A21"/>
    <w:rsid w:val="6D8F2D6B"/>
    <w:rsid w:val="6DAC1038"/>
    <w:rsid w:val="6DB34098"/>
    <w:rsid w:val="6DB545B6"/>
    <w:rsid w:val="6DC20A4A"/>
    <w:rsid w:val="6DE84A40"/>
    <w:rsid w:val="6E115415"/>
    <w:rsid w:val="6E3D468C"/>
    <w:rsid w:val="6E4375A0"/>
    <w:rsid w:val="6E514CED"/>
    <w:rsid w:val="6E79491A"/>
    <w:rsid w:val="6E7F37BF"/>
    <w:rsid w:val="6EA51167"/>
    <w:rsid w:val="6EB563D5"/>
    <w:rsid w:val="6EC247BC"/>
    <w:rsid w:val="6ECF7EDD"/>
    <w:rsid w:val="6EE05E82"/>
    <w:rsid w:val="6EFE3D04"/>
    <w:rsid w:val="6F0C2B8F"/>
    <w:rsid w:val="6F152DFC"/>
    <w:rsid w:val="6F225983"/>
    <w:rsid w:val="6F26520C"/>
    <w:rsid w:val="6F2B6694"/>
    <w:rsid w:val="6F5E6AA9"/>
    <w:rsid w:val="6F7E6BF3"/>
    <w:rsid w:val="6FB1521A"/>
    <w:rsid w:val="6FE4084F"/>
    <w:rsid w:val="6FFC5590"/>
    <w:rsid w:val="70301DA3"/>
    <w:rsid w:val="704B4FCA"/>
    <w:rsid w:val="706D1DD0"/>
    <w:rsid w:val="7070020E"/>
    <w:rsid w:val="707A6D80"/>
    <w:rsid w:val="70856B87"/>
    <w:rsid w:val="70967F6C"/>
    <w:rsid w:val="70C57C29"/>
    <w:rsid w:val="70D527EE"/>
    <w:rsid w:val="70DA4044"/>
    <w:rsid w:val="71060A5A"/>
    <w:rsid w:val="713901B8"/>
    <w:rsid w:val="715B5300"/>
    <w:rsid w:val="715E13F7"/>
    <w:rsid w:val="715F4BD7"/>
    <w:rsid w:val="716D1530"/>
    <w:rsid w:val="71D27F8A"/>
    <w:rsid w:val="71E35433"/>
    <w:rsid w:val="71F744C6"/>
    <w:rsid w:val="71F960CF"/>
    <w:rsid w:val="72294F32"/>
    <w:rsid w:val="726A345E"/>
    <w:rsid w:val="727427F4"/>
    <w:rsid w:val="727662A7"/>
    <w:rsid w:val="728E0815"/>
    <w:rsid w:val="72905D6F"/>
    <w:rsid w:val="731F5D5E"/>
    <w:rsid w:val="73537419"/>
    <w:rsid w:val="735E4E1D"/>
    <w:rsid w:val="73691A00"/>
    <w:rsid w:val="73D239B1"/>
    <w:rsid w:val="73E13EE4"/>
    <w:rsid w:val="740577B2"/>
    <w:rsid w:val="74147B26"/>
    <w:rsid w:val="741E793C"/>
    <w:rsid w:val="74376DFD"/>
    <w:rsid w:val="746113CD"/>
    <w:rsid w:val="748051BB"/>
    <w:rsid w:val="74B3253D"/>
    <w:rsid w:val="74D56350"/>
    <w:rsid w:val="756E770A"/>
    <w:rsid w:val="758D75E2"/>
    <w:rsid w:val="759C21E1"/>
    <w:rsid w:val="75B734CB"/>
    <w:rsid w:val="75BA273E"/>
    <w:rsid w:val="75C567CF"/>
    <w:rsid w:val="75F55855"/>
    <w:rsid w:val="764352FA"/>
    <w:rsid w:val="76736459"/>
    <w:rsid w:val="76E53200"/>
    <w:rsid w:val="76F409B3"/>
    <w:rsid w:val="77277B70"/>
    <w:rsid w:val="772D318D"/>
    <w:rsid w:val="77762421"/>
    <w:rsid w:val="779D739E"/>
    <w:rsid w:val="77B358A8"/>
    <w:rsid w:val="77D8265E"/>
    <w:rsid w:val="77FB7DBA"/>
    <w:rsid w:val="780F09F4"/>
    <w:rsid w:val="7824602F"/>
    <w:rsid w:val="78275DD1"/>
    <w:rsid w:val="789C4F47"/>
    <w:rsid w:val="78A11F10"/>
    <w:rsid w:val="78A90480"/>
    <w:rsid w:val="78C22246"/>
    <w:rsid w:val="79104233"/>
    <w:rsid w:val="792103E3"/>
    <w:rsid w:val="792720A9"/>
    <w:rsid w:val="7948501B"/>
    <w:rsid w:val="797A1F3F"/>
    <w:rsid w:val="79811327"/>
    <w:rsid w:val="79921F90"/>
    <w:rsid w:val="79B2253B"/>
    <w:rsid w:val="79D456AC"/>
    <w:rsid w:val="79DC2610"/>
    <w:rsid w:val="79DE4809"/>
    <w:rsid w:val="7A0A377D"/>
    <w:rsid w:val="7A347E17"/>
    <w:rsid w:val="7A364017"/>
    <w:rsid w:val="7A3C795A"/>
    <w:rsid w:val="7A8012E2"/>
    <w:rsid w:val="7A8265E1"/>
    <w:rsid w:val="7A8377B3"/>
    <w:rsid w:val="7ABE79D7"/>
    <w:rsid w:val="7B0A738D"/>
    <w:rsid w:val="7B162734"/>
    <w:rsid w:val="7B373ACE"/>
    <w:rsid w:val="7B3A2568"/>
    <w:rsid w:val="7B3D5BB4"/>
    <w:rsid w:val="7B686D42"/>
    <w:rsid w:val="7B7A6E08"/>
    <w:rsid w:val="7B841746"/>
    <w:rsid w:val="7BE1682B"/>
    <w:rsid w:val="7C0564F8"/>
    <w:rsid w:val="7CE61344"/>
    <w:rsid w:val="7D0239FF"/>
    <w:rsid w:val="7D03040F"/>
    <w:rsid w:val="7D11554A"/>
    <w:rsid w:val="7D28320C"/>
    <w:rsid w:val="7D3E30C8"/>
    <w:rsid w:val="7D464325"/>
    <w:rsid w:val="7D5E40CD"/>
    <w:rsid w:val="7D693BED"/>
    <w:rsid w:val="7D7632BB"/>
    <w:rsid w:val="7DBA34EC"/>
    <w:rsid w:val="7DBD6776"/>
    <w:rsid w:val="7DC827FF"/>
    <w:rsid w:val="7DC975CB"/>
    <w:rsid w:val="7DE021F6"/>
    <w:rsid w:val="7E096221"/>
    <w:rsid w:val="7E3D7BC4"/>
    <w:rsid w:val="7E72519D"/>
    <w:rsid w:val="7ED4682F"/>
    <w:rsid w:val="7F0D1FD5"/>
    <w:rsid w:val="7F37727D"/>
    <w:rsid w:val="7FCC575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ocked="1"/>
    <w:lsdException w:qFormat="1" w:unhideWhenUsed="0" w:uiPriority="1" w:semiHidden="0" w:name="heading 3" w:locked="1"/>
    <w:lsdException w:qFormat="1" w:unhideWhenUsed="0" w:uiPriority="1"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ocked="1"/>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147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6"/>
    <w:qFormat/>
    <w:uiPriority w:val="0"/>
    <w:pPr>
      <w:keepNext/>
      <w:overflowPunct w:val="0"/>
      <w:ind w:firstLine="0" w:firstLineChars="0"/>
      <w:outlineLvl w:val="0"/>
    </w:pPr>
    <w:rPr>
      <w:rFonts w:ascii="Times New Roman" w:hAnsi="Times New Roman" w:eastAsia="黑体"/>
      <w:bCs/>
      <w:color w:val="000000" w:themeColor="text1"/>
      <w:kern w:val="44"/>
      <w:szCs w:val="30"/>
      <w14:textFill>
        <w14:solidFill>
          <w14:schemeClr w14:val="tx1"/>
        </w14:solidFill>
      </w14:textFill>
    </w:rPr>
  </w:style>
  <w:style w:type="paragraph" w:styleId="3">
    <w:name w:val="heading 2"/>
    <w:basedOn w:val="1"/>
    <w:next w:val="1"/>
    <w:qFormat/>
    <w:locked/>
    <w:uiPriority w:val="1"/>
    <w:pPr>
      <w:ind w:firstLine="0" w:firstLineChars="0"/>
      <w:jc w:val="center"/>
      <w:outlineLvl w:val="1"/>
    </w:pPr>
    <w:rPr>
      <w:rFonts w:eastAsia="黑体" w:cs="宋体"/>
      <w:bCs/>
      <w:szCs w:val="30"/>
    </w:rPr>
  </w:style>
  <w:style w:type="paragraph" w:styleId="4">
    <w:name w:val="heading 3"/>
    <w:basedOn w:val="1"/>
    <w:link w:val="37"/>
    <w:qFormat/>
    <w:locked/>
    <w:uiPriority w:val="1"/>
    <w:pPr>
      <w:adjustRightInd w:val="0"/>
      <w:snapToGrid w:val="0"/>
      <w:spacing w:before="240" w:after="60"/>
      <w:ind w:firstLine="0" w:firstLineChars="0"/>
      <w:jc w:val="center"/>
      <w:outlineLvl w:val="2"/>
    </w:pPr>
    <w:rPr>
      <w:rFonts w:eastAsia="黑体" w:cs="宋体"/>
      <w:bCs/>
      <w:sz w:val="30"/>
      <w:szCs w:val="28"/>
    </w:rPr>
  </w:style>
  <w:style w:type="paragraph" w:styleId="5">
    <w:name w:val="heading 4"/>
    <w:basedOn w:val="1"/>
    <w:next w:val="1"/>
    <w:link w:val="38"/>
    <w:qFormat/>
    <w:locked/>
    <w:uiPriority w:val="1"/>
    <w:pPr>
      <w:ind w:left="783"/>
      <w:outlineLvl w:val="3"/>
    </w:pPr>
    <w:rPr>
      <w:rFonts w:ascii="Times New Roman" w:hAnsi="Times New Roman" w:eastAsia="Times New Roman" w:cs="Times New Roman"/>
      <w:b/>
      <w:bCs/>
      <w:sz w:val="28"/>
      <w:szCs w:val="28"/>
    </w:rPr>
  </w:style>
  <w:style w:type="paragraph" w:styleId="6">
    <w:name w:val="heading 5"/>
    <w:basedOn w:val="1"/>
    <w:next w:val="1"/>
    <w:unhideWhenUsed/>
    <w:qFormat/>
    <w:locked/>
    <w:uiPriority w:val="0"/>
    <w:pPr>
      <w:keepNext/>
      <w:keepLines/>
      <w:spacing w:beforeLines="0" w:beforeAutospacing="0" w:afterLines="0" w:afterAutospacing="0" w:line="240" w:lineRule="auto"/>
      <w:ind w:firstLine="0" w:firstLineChars="0"/>
      <w:jc w:val="center"/>
      <w:outlineLvl w:val="4"/>
    </w:pPr>
    <w:rPr>
      <w:rFonts w:eastAsia="黑体"/>
    </w:rPr>
  </w:style>
  <w:style w:type="character" w:default="1" w:styleId="28">
    <w:name w:val="Default Paragraph Font"/>
    <w:semiHidden/>
    <w:qFormat/>
    <w:uiPriority w:val="0"/>
  </w:style>
  <w:style w:type="table" w:default="1" w:styleId="2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Body Text First Indent 2"/>
    <w:basedOn w:val="9"/>
    <w:next w:val="1"/>
    <w:qFormat/>
    <w:uiPriority w:val="0"/>
    <w:pPr>
      <w:ind w:firstLine="420" w:firstLineChars="200"/>
    </w:pPr>
  </w:style>
  <w:style w:type="paragraph" w:styleId="9">
    <w:name w:val="Body Text Indent"/>
    <w:basedOn w:val="1"/>
    <w:next w:val="8"/>
    <w:link w:val="39"/>
    <w:semiHidden/>
    <w:qFormat/>
    <w:uiPriority w:val="0"/>
    <w:pPr>
      <w:spacing w:after="120"/>
      <w:ind w:left="420" w:leftChars="200"/>
    </w:pPr>
  </w:style>
  <w:style w:type="paragraph" w:styleId="10">
    <w:name w:val="annotation text"/>
    <w:basedOn w:val="1"/>
    <w:link w:val="40"/>
    <w:semiHidden/>
    <w:qFormat/>
    <w:uiPriority w:val="0"/>
    <w:pPr>
      <w:jc w:val="left"/>
    </w:pPr>
    <w:rPr>
      <w:kern w:val="0"/>
      <w:sz w:val="20"/>
    </w:rPr>
  </w:style>
  <w:style w:type="paragraph" w:styleId="11">
    <w:name w:val="Body Text"/>
    <w:basedOn w:val="1"/>
    <w:link w:val="41"/>
    <w:qFormat/>
    <w:uiPriority w:val="0"/>
    <w:pPr>
      <w:widowControl/>
      <w:snapToGrid w:val="0"/>
      <w:spacing w:before="60" w:after="160" w:line="259" w:lineRule="auto"/>
      <w:ind w:right="113"/>
    </w:pPr>
    <w:rPr>
      <w:kern w:val="0"/>
      <w:sz w:val="18"/>
      <w:szCs w:val="18"/>
    </w:rPr>
  </w:style>
  <w:style w:type="paragraph" w:styleId="12">
    <w:name w:val="Plain Text"/>
    <w:basedOn w:val="1"/>
    <w:next w:val="13"/>
    <w:qFormat/>
    <w:uiPriority w:val="0"/>
    <w:rPr>
      <w:rFonts w:ascii="宋体" w:hAnsi="Courier New"/>
    </w:rPr>
  </w:style>
  <w:style w:type="paragraph" w:styleId="13">
    <w:name w:val="toc 1"/>
    <w:basedOn w:val="1"/>
    <w:next w:val="1"/>
    <w:qFormat/>
    <w:locked/>
    <w:uiPriority w:val="39"/>
    <w:pPr>
      <w:tabs>
        <w:tab w:val="right" w:leader="dot" w:pos="8296"/>
      </w:tabs>
      <w:spacing w:beforeLines="100" w:line="360" w:lineRule="auto"/>
    </w:pPr>
    <w:rPr>
      <w:snapToGrid w:val="0"/>
      <w:kern w:val="0"/>
      <w:sz w:val="24"/>
    </w:rPr>
  </w:style>
  <w:style w:type="paragraph" w:styleId="14">
    <w:name w:val="Date"/>
    <w:basedOn w:val="1"/>
    <w:next w:val="1"/>
    <w:link w:val="42"/>
    <w:qFormat/>
    <w:uiPriority w:val="0"/>
    <w:pPr>
      <w:ind w:left="100" w:leftChars="2500"/>
    </w:pPr>
    <w:rPr>
      <w:kern w:val="0"/>
      <w:sz w:val="20"/>
    </w:rPr>
  </w:style>
  <w:style w:type="paragraph" w:styleId="15">
    <w:name w:val="Balloon Text"/>
    <w:basedOn w:val="1"/>
    <w:link w:val="43"/>
    <w:semiHidden/>
    <w:qFormat/>
    <w:uiPriority w:val="0"/>
    <w:rPr>
      <w:sz w:val="18"/>
      <w:szCs w:val="18"/>
    </w:rPr>
  </w:style>
  <w:style w:type="paragraph" w:styleId="16">
    <w:name w:val="footer"/>
    <w:basedOn w:val="1"/>
    <w:link w:val="44"/>
    <w:qFormat/>
    <w:uiPriority w:val="99"/>
    <w:pPr>
      <w:tabs>
        <w:tab w:val="center" w:pos="4153"/>
        <w:tab w:val="right" w:pos="8306"/>
      </w:tabs>
      <w:snapToGrid w:val="0"/>
      <w:jc w:val="left"/>
    </w:pPr>
    <w:rPr>
      <w:sz w:val="18"/>
      <w:szCs w:val="18"/>
    </w:rPr>
  </w:style>
  <w:style w:type="paragraph" w:styleId="17">
    <w:name w:val="header"/>
    <w:basedOn w:val="1"/>
    <w:link w:val="45"/>
    <w:qFormat/>
    <w:uiPriority w:val="0"/>
    <w:pPr>
      <w:pBdr>
        <w:bottom w:val="single" w:color="auto" w:sz="6" w:space="1"/>
      </w:pBdr>
      <w:tabs>
        <w:tab w:val="center" w:pos="4153"/>
        <w:tab w:val="right" w:pos="8306"/>
      </w:tabs>
      <w:snapToGrid w:val="0"/>
      <w:jc w:val="center"/>
    </w:pPr>
    <w:rPr>
      <w:sz w:val="18"/>
      <w:szCs w:val="18"/>
    </w:rPr>
  </w:style>
  <w:style w:type="paragraph" w:styleId="18">
    <w:name w:val="index heading"/>
    <w:basedOn w:val="1"/>
    <w:next w:val="19"/>
    <w:qFormat/>
    <w:uiPriority w:val="99"/>
    <w:rPr>
      <w:rFonts w:ascii="Arial" w:hAnsi="Arial"/>
      <w:b/>
    </w:rPr>
  </w:style>
  <w:style w:type="paragraph" w:styleId="19">
    <w:name w:val="index 1"/>
    <w:basedOn w:val="1"/>
    <w:next w:val="1"/>
    <w:qFormat/>
    <w:uiPriority w:val="0"/>
  </w:style>
  <w:style w:type="paragraph" w:styleId="20">
    <w:name w:val="List"/>
    <w:basedOn w:val="1"/>
    <w:qFormat/>
    <w:uiPriority w:val="0"/>
    <w:pPr>
      <w:spacing w:line="320" w:lineRule="exact"/>
      <w:ind w:firstLine="0" w:firstLineChars="0"/>
      <w:jc w:val="center"/>
    </w:pPr>
    <w:rPr>
      <w:sz w:val="22"/>
    </w:rPr>
  </w:style>
  <w:style w:type="paragraph" w:styleId="21">
    <w:name w:val="table of figures"/>
    <w:basedOn w:val="1"/>
    <w:next w:val="1"/>
    <w:qFormat/>
    <w:uiPriority w:val="0"/>
    <w:pPr>
      <w:ind w:left="200" w:leftChars="200" w:hanging="200" w:hangingChars="200"/>
    </w:pPr>
    <w:rPr>
      <w:rFonts w:ascii="Calibri" w:hAnsi="Calibri" w:eastAsia="宋体" w:cs="Times New Roman"/>
    </w:rPr>
  </w:style>
  <w:style w:type="paragraph" w:styleId="22">
    <w:name w:val="Normal (Web)"/>
    <w:basedOn w:val="1"/>
    <w:link w:val="46"/>
    <w:qFormat/>
    <w:uiPriority w:val="0"/>
    <w:pPr>
      <w:widowControl/>
      <w:spacing w:before="100" w:beforeAutospacing="1" w:after="100" w:afterAutospacing="1"/>
      <w:jc w:val="left"/>
    </w:pPr>
    <w:rPr>
      <w:rFonts w:ascii="宋体" w:hAnsi="宋体"/>
      <w:kern w:val="0"/>
      <w:sz w:val="24"/>
    </w:rPr>
  </w:style>
  <w:style w:type="paragraph" w:styleId="23">
    <w:name w:val="Title"/>
    <w:basedOn w:val="1"/>
    <w:next w:val="1"/>
    <w:qFormat/>
    <w:locked/>
    <w:uiPriority w:val="10"/>
    <w:pPr>
      <w:adjustRightInd w:val="0"/>
      <w:snapToGrid w:val="0"/>
      <w:jc w:val="center"/>
      <w:outlineLvl w:val="0"/>
    </w:pPr>
    <w:rPr>
      <w:rFonts w:cs="Times New Roman"/>
      <w:b/>
      <w:bCs/>
      <w:sz w:val="24"/>
      <w:szCs w:val="32"/>
    </w:rPr>
  </w:style>
  <w:style w:type="paragraph" w:styleId="24">
    <w:name w:val="annotation subject"/>
    <w:basedOn w:val="10"/>
    <w:next w:val="10"/>
    <w:link w:val="47"/>
    <w:semiHidden/>
    <w:qFormat/>
    <w:uiPriority w:val="0"/>
    <w:rPr>
      <w:b/>
      <w:bCs/>
    </w:rPr>
  </w:style>
  <w:style w:type="paragraph" w:styleId="25">
    <w:name w:val="Body Text First Indent"/>
    <w:basedOn w:val="11"/>
    <w:qFormat/>
    <w:uiPriority w:val="0"/>
    <w:pPr>
      <w:spacing w:after="120"/>
      <w:ind w:firstLine="420" w:firstLineChars="100"/>
    </w:pPr>
    <w:rPr>
      <w:rFonts w:eastAsia="宋体"/>
      <w:sz w:val="21"/>
      <w:szCs w:val="20"/>
    </w:rPr>
  </w:style>
  <w:style w:type="table" w:styleId="27">
    <w:name w:val="Table Grid"/>
    <w:basedOn w:val="2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qFormat/>
    <w:uiPriority w:val="0"/>
  </w:style>
  <w:style w:type="character" w:styleId="31">
    <w:name w:val="Hyperlink"/>
    <w:qFormat/>
    <w:uiPriority w:val="0"/>
    <w:rPr>
      <w:color w:val="0000FF"/>
      <w:u w:val="single"/>
    </w:rPr>
  </w:style>
  <w:style w:type="character" w:styleId="32">
    <w:name w:val="annotation reference"/>
    <w:semiHidden/>
    <w:qFormat/>
    <w:uiPriority w:val="0"/>
    <w:rPr>
      <w:sz w:val="21"/>
    </w:rPr>
  </w:style>
  <w:style w:type="paragraph" w:customStyle="1" w:styleId="33">
    <w:name w:val="表格"/>
    <w:basedOn w:val="7"/>
    <w:next w:val="1"/>
    <w:link w:val="34"/>
    <w:qFormat/>
    <w:uiPriority w:val="0"/>
    <w:pPr>
      <w:adjustRightInd w:val="0"/>
      <w:snapToGrid w:val="0"/>
      <w:spacing w:before="10" w:beforeLines="10" w:after="10" w:afterLines="10" w:line="240" w:lineRule="auto"/>
      <w:ind w:firstLine="0" w:firstLineChars="0"/>
      <w:jc w:val="center"/>
    </w:pPr>
    <w:rPr>
      <w:rFonts w:ascii="Times New Roman"/>
      <w:kern w:val="0"/>
      <w:sz w:val="21"/>
      <w:szCs w:val="21"/>
    </w:rPr>
  </w:style>
  <w:style w:type="character" w:customStyle="1" w:styleId="34">
    <w:name w:val="表格 Char"/>
    <w:link w:val="33"/>
    <w:qFormat/>
    <w:locked/>
    <w:uiPriority w:val="0"/>
    <w:rPr>
      <w:rFonts w:ascii="Times New Roman" w:hAnsi="Times New Roman" w:eastAsia="宋体"/>
      <w:sz w:val="21"/>
    </w:rPr>
  </w:style>
  <w:style w:type="paragraph" w:customStyle="1" w:styleId="35">
    <w:name w:val="Normal Indent1"/>
    <w:basedOn w:val="1"/>
    <w:qFormat/>
    <w:uiPriority w:val="0"/>
    <w:pPr>
      <w:spacing w:line="600" w:lineRule="exact"/>
      <w:ind w:firstLine="420"/>
    </w:pPr>
    <w:rPr>
      <w:rFonts w:ascii="宋体"/>
      <w:sz w:val="32"/>
      <w:szCs w:val="20"/>
    </w:rPr>
  </w:style>
  <w:style w:type="character" w:customStyle="1" w:styleId="36">
    <w:name w:val="标题 1 Char"/>
    <w:link w:val="2"/>
    <w:qFormat/>
    <w:uiPriority w:val="0"/>
    <w:rPr>
      <w:rFonts w:ascii="Times New Roman" w:hAnsi="Times New Roman" w:eastAsia="黑体" w:cs="Times New Roman"/>
      <w:bCs/>
      <w:color w:val="000000" w:themeColor="text1"/>
      <w:kern w:val="44"/>
      <w:sz w:val="24"/>
      <w:szCs w:val="30"/>
      <w:lang w:val="en-US" w:eastAsia="zh-CN" w:bidi="ar-SA"/>
      <w14:textFill>
        <w14:solidFill>
          <w14:schemeClr w14:val="tx1"/>
        </w14:solidFill>
      </w14:textFill>
    </w:rPr>
  </w:style>
  <w:style w:type="character" w:customStyle="1" w:styleId="37">
    <w:name w:val="标题 3 Char"/>
    <w:link w:val="4"/>
    <w:qFormat/>
    <w:uiPriority w:val="1"/>
    <w:rPr>
      <w:rFonts w:ascii="Times New Roman" w:hAnsi="Times New Roman" w:eastAsia="黑体" w:cs="宋体"/>
      <w:bCs/>
      <w:kern w:val="2"/>
      <w:sz w:val="30"/>
      <w:szCs w:val="28"/>
      <w:lang w:val="en-US" w:eastAsia="zh-CN" w:bidi="ar-SA"/>
    </w:rPr>
  </w:style>
  <w:style w:type="character" w:customStyle="1" w:styleId="38">
    <w:name w:val="标题 4 Char"/>
    <w:link w:val="5"/>
    <w:qFormat/>
    <w:uiPriority w:val="1"/>
    <w:rPr>
      <w:rFonts w:ascii="Times New Roman" w:hAnsi="Times New Roman" w:eastAsia="Times New Roman" w:cs="Times New Roman"/>
      <w:b/>
      <w:bCs/>
      <w:sz w:val="28"/>
      <w:szCs w:val="28"/>
    </w:rPr>
  </w:style>
  <w:style w:type="character" w:customStyle="1" w:styleId="39">
    <w:name w:val="正文文本缩进 字符"/>
    <w:link w:val="9"/>
    <w:semiHidden/>
    <w:qFormat/>
    <w:locked/>
    <w:uiPriority w:val="0"/>
    <w:rPr>
      <w:rFonts w:ascii="Times New Roman" w:hAnsi="Times New Roman" w:eastAsia="宋体" w:cs="Times New Roman"/>
      <w:sz w:val="24"/>
      <w:szCs w:val="24"/>
    </w:rPr>
  </w:style>
  <w:style w:type="character" w:customStyle="1" w:styleId="40">
    <w:name w:val="批注文字 字符"/>
    <w:link w:val="10"/>
    <w:qFormat/>
    <w:locked/>
    <w:uiPriority w:val="0"/>
    <w:rPr>
      <w:rFonts w:ascii="Times New Roman" w:hAnsi="Times New Roman" w:eastAsia="宋体"/>
      <w:sz w:val="24"/>
    </w:rPr>
  </w:style>
  <w:style w:type="character" w:customStyle="1" w:styleId="41">
    <w:name w:val="正文文本 字符"/>
    <w:link w:val="11"/>
    <w:qFormat/>
    <w:locked/>
    <w:uiPriority w:val="0"/>
    <w:rPr>
      <w:sz w:val="18"/>
    </w:rPr>
  </w:style>
  <w:style w:type="character" w:customStyle="1" w:styleId="42">
    <w:name w:val="日期 字符1"/>
    <w:link w:val="14"/>
    <w:qFormat/>
    <w:locked/>
    <w:uiPriority w:val="0"/>
    <w:rPr>
      <w:rFonts w:ascii="Times New Roman" w:hAnsi="Times New Roman" w:eastAsia="宋体"/>
      <w:sz w:val="24"/>
    </w:rPr>
  </w:style>
  <w:style w:type="character" w:customStyle="1" w:styleId="43">
    <w:name w:val="批注框文本 字符"/>
    <w:link w:val="15"/>
    <w:semiHidden/>
    <w:qFormat/>
    <w:locked/>
    <w:uiPriority w:val="0"/>
    <w:rPr>
      <w:rFonts w:ascii="Times New Roman" w:hAnsi="Times New Roman" w:eastAsia="宋体" w:cs="Times New Roman"/>
      <w:sz w:val="18"/>
      <w:szCs w:val="18"/>
    </w:rPr>
  </w:style>
  <w:style w:type="character" w:customStyle="1" w:styleId="44">
    <w:name w:val="页脚 字符"/>
    <w:link w:val="16"/>
    <w:qFormat/>
    <w:locked/>
    <w:uiPriority w:val="99"/>
    <w:rPr>
      <w:rFonts w:cs="Times New Roman"/>
      <w:sz w:val="18"/>
      <w:szCs w:val="18"/>
    </w:rPr>
  </w:style>
  <w:style w:type="character" w:customStyle="1" w:styleId="45">
    <w:name w:val="页眉 字符"/>
    <w:link w:val="17"/>
    <w:qFormat/>
    <w:locked/>
    <w:uiPriority w:val="0"/>
    <w:rPr>
      <w:rFonts w:cs="Times New Roman"/>
      <w:sz w:val="18"/>
      <w:szCs w:val="18"/>
    </w:rPr>
  </w:style>
  <w:style w:type="character" w:customStyle="1" w:styleId="46">
    <w:name w:val="普通(网站) 字符"/>
    <w:link w:val="22"/>
    <w:qFormat/>
    <w:locked/>
    <w:uiPriority w:val="0"/>
    <w:rPr>
      <w:rFonts w:ascii="宋体" w:hAnsi="宋体" w:eastAsia="宋体"/>
      <w:sz w:val="24"/>
    </w:rPr>
  </w:style>
  <w:style w:type="character" w:customStyle="1" w:styleId="47">
    <w:name w:val="批注主题 字符"/>
    <w:link w:val="24"/>
    <w:semiHidden/>
    <w:qFormat/>
    <w:locked/>
    <w:uiPriority w:val="0"/>
    <w:rPr>
      <w:rFonts w:cs="Times New Roman"/>
      <w:b/>
      <w:bCs/>
      <w:kern w:val="2"/>
      <w:szCs w:val="24"/>
    </w:rPr>
  </w:style>
  <w:style w:type="paragraph" w:customStyle="1" w:styleId="48">
    <w:name w:val="表头"/>
    <w:basedOn w:val="20"/>
    <w:next w:val="1"/>
    <w:qFormat/>
    <w:uiPriority w:val="0"/>
    <w:pPr>
      <w:adjustRightInd w:val="0"/>
      <w:snapToGrid w:val="0"/>
      <w:spacing w:beforeLines="25"/>
      <w:jc w:val="center"/>
      <w:textAlignment w:val="baseline"/>
    </w:pPr>
    <w:rPr>
      <w:rFonts w:hAnsi="宋体" w:eastAsia="仿宋_GB2312"/>
      <w:b/>
      <w:kern w:val="0"/>
      <w:sz w:val="28"/>
      <w:szCs w:val="28"/>
    </w:rPr>
  </w:style>
  <w:style w:type="paragraph" w:customStyle="1" w:styleId="49">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50">
    <w:name w:val="Date1"/>
    <w:basedOn w:val="1"/>
    <w:next w:val="1"/>
    <w:qFormat/>
    <w:uiPriority w:val="0"/>
    <w:pPr>
      <w:adjustRightInd w:val="0"/>
      <w:jc w:val="left"/>
      <w:textAlignment w:val="baseline"/>
    </w:pPr>
    <w:rPr>
      <w:rFonts w:ascii="宋体" w:hAnsi="宋体"/>
      <w:sz w:val="28"/>
      <w:szCs w:val="20"/>
    </w:rPr>
  </w:style>
  <w:style w:type="paragraph" w:customStyle="1" w:styleId="51">
    <w:name w:val="正文."/>
    <w:basedOn w:val="1"/>
    <w:qFormat/>
    <w:uiPriority w:val="0"/>
  </w:style>
  <w:style w:type="paragraph" w:customStyle="1" w:styleId="52">
    <w:name w:val="正文（首行缩进两字）"/>
    <w:basedOn w:val="1"/>
    <w:qFormat/>
    <w:uiPriority w:val="0"/>
    <w:pPr>
      <w:ind w:firstLine="420"/>
    </w:pPr>
    <w:rPr>
      <w:sz w:val="28"/>
      <w:szCs w:val="21"/>
    </w:rPr>
  </w:style>
  <w:style w:type="character" w:customStyle="1" w:styleId="53">
    <w:name w:val="正文文本 字符1"/>
    <w:semiHidden/>
    <w:qFormat/>
    <w:uiPriority w:val="0"/>
    <w:rPr>
      <w:rFonts w:ascii="Times New Roman" w:hAnsi="Times New Roman" w:eastAsia="宋体" w:cs="Times New Roman"/>
      <w:sz w:val="24"/>
      <w:szCs w:val="24"/>
    </w:rPr>
  </w:style>
  <w:style w:type="character" w:customStyle="1" w:styleId="54">
    <w:name w:val="日期 字符"/>
    <w:semiHidden/>
    <w:qFormat/>
    <w:uiPriority w:val="0"/>
    <w:rPr>
      <w:rFonts w:ascii="Times New Roman" w:hAnsi="Times New Roman" w:eastAsia="宋体" w:cs="Times New Roman"/>
      <w:sz w:val="24"/>
      <w:szCs w:val="24"/>
    </w:rPr>
  </w:style>
  <w:style w:type="character" w:customStyle="1" w:styleId="55">
    <w:name w:val="普通(网站) Char"/>
    <w:qFormat/>
    <w:locked/>
    <w:uiPriority w:val="0"/>
    <w:rPr>
      <w:rFonts w:ascii="宋体" w:hAnsi="宋体" w:eastAsia="宋体"/>
      <w:sz w:val="24"/>
    </w:rPr>
  </w:style>
  <w:style w:type="character" w:customStyle="1" w:styleId="56">
    <w:name w:val="批注文字 字符1"/>
    <w:semiHidden/>
    <w:qFormat/>
    <w:uiPriority w:val="0"/>
    <w:rPr>
      <w:rFonts w:ascii="Times New Roman" w:hAnsi="Times New Roman" w:eastAsia="宋体" w:cs="Times New Roman"/>
      <w:sz w:val="24"/>
      <w:szCs w:val="24"/>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报告表标题1"/>
    <w:basedOn w:val="1"/>
    <w:qFormat/>
    <w:uiPriority w:val="0"/>
    <w:pPr>
      <w:adjustRightInd w:val="0"/>
    </w:pPr>
    <w:rPr>
      <w:rFonts w:ascii="Calibri" w:hAnsi="Calibri" w:eastAsia="黑体"/>
    </w:rPr>
  </w:style>
  <w:style w:type="paragraph" w:customStyle="1" w:styleId="59">
    <w:name w:val="Table Paragraph"/>
    <w:basedOn w:val="1"/>
    <w:qFormat/>
    <w:uiPriority w:val="1"/>
    <w:pPr>
      <w:jc w:val="center"/>
    </w:pPr>
    <w:rPr>
      <w:rFonts w:ascii="Times New Roman" w:hAnsi="Times New Roman" w:eastAsia="Times New Roman" w:cs="Times New Roman"/>
    </w:rPr>
  </w:style>
  <w:style w:type="paragraph" w:styleId="60">
    <w:name w:val="List Paragraph"/>
    <w:basedOn w:val="1"/>
    <w:qFormat/>
    <w:uiPriority w:val="1"/>
    <w:pPr>
      <w:ind w:left="956" w:hanging="197"/>
    </w:pPr>
    <w:rPr>
      <w:rFonts w:ascii="宋体" w:hAnsi="宋体" w:eastAsia="宋体" w:cs="宋体"/>
    </w:rPr>
  </w:style>
  <w:style w:type="paragraph" w:customStyle="1" w:styleId="61">
    <w:name w:val="Default"/>
    <w:basedOn w:val="62"/>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62">
    <w:name w:val="纯文本1"/>
    <w:basedOn w:val="1"/>
    <w:qFormat/>
    <w:uiPriority w:val="0"/>
    <w:rPr>
      <w:rFonts w:hint="eastAsia" w:ascii="宋体" w:hAnsi="Courier New"/>
      <w:szCs w:val="22"/>
    </w:rPr>
  </w:style>
  <w:style w:type="paragraph" w:customStyle="1" w:styleId="63">
    <w:name w:val="环评送审"/>
    <w:basedOn w:val="1"/>
    <w:qFormat/>
    <w:uiPriority w:val="0"/>
    <w:pPr>
      <w:spacing w:line="360" w:lineRule="auto"/>
      <w:ind w:firstLine="480" w:firstLineChars="200"/>
      <w:jc w:val="left"/>
    </w:pPr>
    <w:rPr>
      <w:rFonts w:ascii="仿宋_GB2312" w:eastAsia="仿宋_GB2312"/>
      <w:sz w:val="24"/>
      <w:szCs w:val="20"/>
    </w:rPr>
  </w:style>
  <w:style w:type="paragraph" w:customStyle="1" w:styleId="64">
    <w:name w:val="【正文】"/>
    <w:basedOn w:val="1"/>
    <w:qFormat/>
    <w:uiPriority w:val="0"/>
    <w:pPr>
      <w:spacing w:line="440" w:lineRule="exact"/>
      <w:ind w:firstLine="544"/>
    </w:pPr>
    <w:rPr>
      <w:rFonts w:cs="宋体"/>
      <w:sz w:val="24"/>
      <w:szCs w:val="20"/>
    </w:rPr>
  </w:style>
  <w:style w:type="paragraph" w:customStyle="1" w:styleId="65">
    <w:name w:val="正文120"/>
    <w:basedOn w:val="1"/>
    <w:qFormat/>
    <w:uiPriority w:val="0"/>
    <w:pPr>
      <w:spacing w:line="360" w:lineRule="auto"/>
      <w:ind w:firstLine="720" w:firstLineChars="200"/>
    </w:pPr>
    <w:rPr>
      <w:rFonts w:ascii="Times New Roman" w:hAnsi="Times New Roman" w:eastAsia="宋体"/>
      <w:sz w:val="24"/>
      <w:szCs w:val="24"/>
    </w:rPr>
  </w:style>
  <w:style w:type="paragraph" w:customStyle="1" w:styleId="66">
    <w:name w:val="p15"/>
    <w:basedOn w:val="1"/>
    <w:qFormat/>
    <w:uiPriority w:val="0"/>
    <w:pPr>
      <w:widowControl/>
      <w:snapToGrid w:val="0"/>
      <w:jc w:val="left"/>
    </w:pPr>
    <w:rPr>
      <w:color w:val="000000"/>
      <w:kern w:val="0"/>
      <w:sz w:val="24"/>
    </w:rPr>
  </w:style>
  <w:style w:type="character" w:customStyle="1" w:styleId="67">
    <w:name w:val="font11"/>
    <w:qFormat/>
    <w:uiPriority w:val="0"/>
    <w:rPr>
      <w:rFonts w:ascii="宋体" w:hAnsi="宋体" w:eastAsia="宋体" w:cs="宋体"/>
      <w:b/>
      <w:bCs/>
      <w:color w:val="000000"/>
      <w:sz w:val="22"/>
      <w:szCs w:val="22"/>
      <w:u w:val="none"/>
    </w:rPr>
  </w:style>
  <w:style w:type="character" w:customStyle="1" w:styleId="68">
    <w:name w:val="font51"/>
    <w:qFormat/>
    <w:uiPriority w:val="0"/>
    <w:rPr>
      <w:rFonts w:ascii="宋体" w:hAnsi="宋体" w:eastAsia="宋体" w:cs="宋体"/>
      <w:color w:val="000000"/>
      <w:sz w:val="22"/>
      <w:szCs w:val="22"/>
      <w:u w:val="none"/>
    </w:rPr>
  </w:style>
  <w:style w:type="character" w:customStyle="1" w:styleId="69">
    <w:name w:val="font41"/>
    <w:qFormat/>
    <w:uiPriority w:val="0"/>
    <w:rPr>
      <w:rFonts w:hint="default" w:ascii="Times New Roman" w:hAnsi="Times New Roman" w:cs="Times New Roman"/>
      <w:color w:val="000000"/>
      <w:sz w:val="22"/>
      <w:szCs w:val="22"/>
      <w:u w:val="none"/>
    </w:rPr>
  </w:style>
  <w:style w:type="character" w:customStyle="1" w:styleId="70">
    <w:name w:val="font91"/>
    <w:qFormat/>
    <w:uiPriority w:val="0"/>
    <w:rPr>
      <w:rFonts w:hint="default" w:ascii="Times New Roman" w:hAnsi="Times New Roman" w:cs="Times New Roman"/>
      <w:color w:val="000000"/>
      <w:sz w:val="22"/>
      <w:szCs w:val="22"/>
      <w:u w:val="none"/>
      <w:vertAlign w:val="superscript"/>
    </w:rPr>
  </w:style>
  <w:style w:type="character" w:customStyle="1" w:styleId="71">
    <w:name w:val="font101"/>
    <w:qFormat/>
    <w:uiPriority w:val="0"/>
    <w:rPr>
      <w:rFonts w:hint="default" w:ascii="Times New Roman" w:hAnsi="Times New Roman" w:cs="Times New Roman"/>
      <w:color w:val="000000"/>
      <w:sz w:val="22"/>
      <w:szCs w:val="22"/>
      <w:u w:val="none"/>
    </w:rPr>
  </w:style>
  <w:style w:type="character" w:customStyle="1" w:styleId="72">
    <w:name w:val="font112"/>
    <w:qFormat/>
    <w:uiPriority w:val="0"/>
    <w:rPr>
      <w:rFonts w:hint="default" w:ascii="Times New Roman" w:hAnsi="Times New Roman" w:cs="Times New Roman"/>
      <w:color w:val="000000"/>
      <w:sz w:val="22"/>
      <w:szCs w:val="22"/>
      <w:u w:val="none"/>
      <w:vertAlign w:val="superscript"/>
    </w:rPr>
  </w:style>
  <w:style w:type="character" w:customStyle="1" w:styleId="73">
    <w:name w:val="font81"/>
    <w:qFormat/>
    <w:uiPriority w:val="0"/>
    <w:rPr>
      <w:rFonts w:hint="eastAsia" w:ascii="宋体" w:hAnsi="宋体" w:eastAsia="宋体" w:cs="宋体"/>
      <w:color w:val="000000"/>
      <w:sz w:val="22"/>
      <w:szCs w:val="22"/>
      <w:u w:val="none"/>
    </w:rPr>
  </w:style>
  <w:style w:type="character" w:customStyle="1" w:styleId="74">
    <w:name w:val="font121"/>
    <w:qFormat/>
    <w:uiPriority w:val="0"/>
    <w:rPr>
      <w:rFonts w:hint="default" w:ascii="Times New Roman" w:hAnsi="Times New Roman" w:cs="Times New Roman"/>
      <w:color w:val="FF0000"/>
      <w:sz w:val="22"/>
      <w:szCs w:val="22"/>
      <w:u w:val="none"/>
      <w:vertAlign w:val="superscript"/>
    </w:rPr>
  </w:style>
  <w:style w:type="character" w:customStyle="1" w:styleId="75">
    <w:name w:val="font01"/>
    <w:qFormat/>
    <w:uiPriority w:val="0"/>
    <w:rPr>
      <w:rFonts w:hint="eastAsia" w:ascii="宋体" w:hAnsi="宋体" w:eastAsia="宋体" w:cs="宋体"/>
      <w:color w:val="FF0000"/>
      <w:sz w:val="22"/>
      <w:szCs w:val="22"/>
      <w:u w:val="none"/>
    </w:rPr>
  </w:style>
  <w:style w:type="character" w:customStyle="1" w:styleId="76">
    <w:name w:val="font21"/>
    <w:qFormat/>
    <w:uiPriority w:val="0"/>
    <w:rPr>
      <w:rFonts w:hint="eastAsia" w:ascii="宋体" w:hAnsi="宋体" w:eastAsia="宋体" w:cs="宋体"/>
      <w:b/>
      <w:bCs/>
      <w:color w:val="000000"/>
      <w:sz w:val="21"/>
      <w:szCs w:val="21"/>
      <w:u w:val="none"/>
    </w:rPr>
  </w:style>
  <w:style w:type="character" w:customStyle="1" w:styleId="77">
    <w:name w:val="font71"/>
    <w:qFormat/>
    <w:uiPriority w:val="0"/>
    <w:rPr>
      <w:rFonts w:hint="default" w:ascii="Times New Roman" w:hAnsi="Times New Roman" w:cs="Times New Roman"/>
      <w:color w:val="000000"/>
      <w:sz w:val="21"/>
      <w:szCs w:val="21"/>
      <w:u w:val="none"/>
      <w:vertAlign w:val="subscript"/>
    </w:rPr>
  </w:style>
  <w:style w:type="character" w:customStyle="1" w:styleId="78">
    <w:name w:val="font61"/>
    <w:qFormat/>
    <w:uiPriority w:val="0"/>
    <w:rPr>
      <w:rFonts w:hint="default" w:ascii="Times New Roman" w:hAnsi="Times New Roman" w:cs="Times New Roman"/>
      <w:color w:val="000000"/>
      <w:sz w:val="21"/>
      <w:szCs w:val="21"/>
      <w:u w:val="none"/>
      <w:vertAlign w:val="superscript"/>
    </w:rPr>
  </w:style>
  <w:style w:type="character" w:customStyle="1" w:styleId="79">
    <w:name w:val="font31"/>
    <w:qFormat/>
    <w:uiPriority w:val="0"/>
    <w:rPr>
      <w:rFonts w:hint="default" w:ascii="Times New Roman" w:hAnsi="Times New Roman" w:cs="Times New Roman"/>
      <w:color w:val="000000"/>
      <w:sz w:val="20"/>
      <w:szCs w:val="20"/>
      <w:u w:val="none"/>
    </w:rPr>
  </w:style>
  <w:style w:type="paragraph" w:customStyle="1" w:styleId="80">
    <w:name w:val="_Style 78"/>
    <w:unhideWhenUsed/>
    <w:qFormat/>
    <w:uiPriority w:val="99"/>
    <w:rPr>
      <w:rFonts w:ascii="Times New Roman" w:hAnsi="Times New Roman" w:eastAsia="宋体" w:cs="Times New Roman"/>
      <w:kern w:val="2"/>
      <w:sz w:val="21"/>
      <w:szCs w:val="24"/>
      <w:lang w:val="en-US" w:eastAsia="zh-CN" w:bidi="ar-SA"/>
    </w:rPr>
  </w:style>
  <w:style w:type="table" w:customStyle="1" w:styleId="81">
    <w:name w:val="Table Normal"/>
    <w:unhideWhenUsed/>
    <w:qFormat/>
    <w:uiPriority w:val="0"/>
    <w:tblPr>
      <w:tblCellMar>
        <w:top w:w="0" w:type="dxa"/>
        <w:left w:w="0" w:type="dxa"/>
        <w:bottom w:w="0" w:type="dxa"/>
        <w:right w:w="0" w:type="dxa"/>
      </w:tblCellMar>
    </w:tblPr>
  </w:style>
  <w:style w:type="paragraph" w:customStyle="1" w:styleId="82">
    <w:name w:val="Table Text"/>
    <w:basedOn w:val="1"/>
    <w:semiHidden/>
    <w:qFormat/>
    <w:uiPriority w:val="0"/>
    <w:rPr>
      <w:rFonts w:ascii="Times New Roman" w:hAnsi="Times New Roman" w:eastAsia="Times New Roman" w:cs="Times New Roman"/>
      <w:sz w:val="24"/>
      <w:szCs w:val="24"/>
      <w:lang w:val="en-US" w:eastAsia="en-US" w:bidi="ar-SA"/>
    </w:rPr>
  </w:style>
  <w:style w:type="paragraph" w:customStyle="1" w:styleId="83">
    <w:name w:val="表格001"/>
    <w:basedOn w:val="1"/>
    <w:next w:val="1"/>
    <w:qFormat/>
    <w:uiPriority w:val="0"/>
    <w:pPr>
      <w:adjustRightInd w:val="0"/>
      <w:snapToGrid w:val="0"/>
      <w:jc w:val="center"/>
    </w:pPr>
    <w:rPr>
      <w:rFonts w:ascii="Calibri" w:hAnsi="Calibri" w:eastAsia="宋体" w:cs="Times New Roman"/>
      <w:szCs w:val="21"/>
    </w:rPr>
  </w:style>
  <w:style w:type="paragraph" w:customStyle="1" w:styleId="84">
    <w:name w:val="样式 正文缩进正文缩进2正文缩进 Char Char正文缩进 Char Char Char Char正文缩进 Char ..."/>
    <w:basedOn w:val="7"/>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15168</Words>
  <Characters>16637</Characters>
  <Lines>372</Lines>
  <Paragraphs>104</Paragraphs>
  <TotalTime>135</TotalTime>
  <ScaleCrop>false</ScaleCrop>
  <LinksUpToDate>false</LinksUpToDate>
  <CharactersWithSpaces>16735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2023-05-14T04:07:00Z</dcterms:created>
  <dc:creator>lhj</dc:creator>
  <cp:lastModifiedBy>鱼儿</cp:lastModifiedBy>
  <cp:lastPrinted>2020-12-24T01:50:00Z</cp:lastPrinted>
  <dcterms:modified xsi:type="dcterms:W3CDTF">2025-04-03T03:46:30Z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72B667506F534EABBC9121743FA0395D_13</vt:lpwstr>
  </property>
  <property fmtid="{D5CDD505-2E9C-101B-9397-08002B2CF9AE}" pid="4" name="KSOTemplateDocerSaveRecord">
    <vt:lpwstr>eyJoZGlkIjoiZTY5MGFlNTdlZjkzNjdlYzUyMzQ3OTY0OTRlZmU5N2IiLCJ1c2VySWQiOiI0NjI0MTY4NzQifQ==</vt:lpwstr>
  </property>
</Properties>
</file>